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182" w:rsidRDefault="00EA5182" w:rsidP="00EA5182">
      <w:pPr>
        <w:spacing w:after="0" w:line="360" w:lineRule="auto"/>
        <w:jc w:val="center"/>
        <w:outlineLvl w:val="0"/>
        <w:rPr>
          <w:rFonts w:ascii="Times New Roman" w:eastAsia="Times New Roman" w:hAnsi="Times New Roman" w:cs="Times New Roman"/>
          <w:b/>
          <w:bCs/>
          <w:kern w:val="36"/>
          <w:sz w:val="24"/>
          <w:szCs w:val="24"/>
          <w:lang w:eastAsia="id-ID"/>
        </w:rPr>
      </w:pPr>
    </w:p>
    <w:p w:rsidR="00EA5182" w:rsidRDefault="00EA5182" w:rsidP="00EA5182">
      <w:pPr>
        <w:spacing w:after="0" w:line="360" w:lineRule="auto"/>
        <w:jc w:val="center"/>
        <w:outlineLvl w:val="0"/>
        <w:rPr>
          <w:rFonts w:ascii="Times New Roman" w:eastAsia="Times New Roman" w:hAnsi="Times New Roman" w:cs="Times New Roman"/>
          <w:b/>
          <w:bCs/>
          <w:kern w:val="36"/>
          <w:sz w:val="24"/>
          <w:szCs w:val="24"/>
          <w:lang w:eastAsia="id-ID"/>
        </w:rPr>
      </w:pPr>
    </w:p>
    <w:p w:rsidR="00EA5182" w:rsidRDefault="00EA5182" w:rsidP="00EA5182">
      <w:pPr>
        <w:spacing w:after="0" w:line="360" w:lineRule="auto"/>
        <w:jc w:val="center"/>
        <w:outlineLvl w:val="0"/>
        <w:rPr>
          <w:rFonts w:ascii="Times New Roman" w:eastAsia="Times New Roman" w:hAnsi="Times New Roman" w:cs="Times New Roman"/>
          <w:b/>
          <w:bCs/>
          <w:kern w:val="36"/>
          <w:sz w:val="24"/>
          <w:szCs w:val="24"/>
          <w:lang w:eastAsia="id-ID"/>
        </w:rPr>
      </w:pPr>
    </w:p>
    <w:p w:rsidR="002166A5" w:rsidRDefault="002166A5" w:rsidP="00EA5182">
      <w:pPr>
        <w:spacing w:after="0" w:line="360" w:lineRule="auto"/>
        <w:jc w:val="center"/>
        <w:outlineLvl w:val="0"/>
        <w:rPr>
          <w:rFonts w:ascii="Times New Roman" w:eastAsia="Times New Roman" w:hAnsi="Times New Roman" w:cs="Times New Roman"/>
          <w:b/>
          <w:bCs/>
          <w:kern w:val="36"/>
          <w:sz w:val="24"/>
          <w:szCs w:val="24"/>
          <w:lang w:eastAsia="id-ID"/>
        </w:rPr>
      </w:pPr>
      <w:r>
        <w:rPr>
          <w:rFonts w:ascii="Times New Roman" w:eastAsia="Times New Roman" w:hAnsi="Times New Roman" w:cs="Times New Roman"/>
          <w:b/>
          <w:bCs/>
          <w:kern w:val="36"/>
          <w:sz w:val="24"/>
          <w:szCs w:val="24"/>
          <w:lang w:eastAsia="id-ID"/>
        </w:rPr>
        <w:t>JURNAL ILMIAH</w:t>
      </w:r>
    </w:p>
    <w:p w:rsidR="00EA5182" w:rsidRPr="00C47C21" w:rsidRDefault="00EA5182" w:rsidP="00EA5182">
      <w:pPr>
        <w:spacing w:after="0" w:line="360" w:lineRule="auto"/>
        <w:jc w:val="center"/>
        <w:rPr>
          <w:rFonts w:ascii="Times New Roman" w:hAnsi="Times New Roman" w:cs="Times New Roman"/>
          <w:b/>
          <w:bCs/>
          <w:sz w:val="24"/>
          <w:szCs w:val="24"/>
        </w:rPr>
      </w:pPr>
      <w:bookmarkStart w:id="0" w:name="_Hlk192187522"/>
      <w:r w:rsidRPr="00C47C21">
        <w:rPr>
          <w:rFonts w:ascii="Times New Roman" w:hAnsi="Times New Roman" w:cs="Times New Roman"/>
          <w:b/>
          <w:bCs/>
          <w:sz w:val="24"/>
          <w:szCs w:val="24"/>
        </w:rPr>
        <w:t>TANGGUNG JAWAB HUKUM BADAN LAYANAN UMUM BADAN PENGELOLA DANA PERKEBUNAN KELAPA SAWIT ATAS PELAKSANAAN PROGRAM PEREMAJAAN PERKEBUNAN KELAPA SAWIT DALAM PRESPEKTIF HUKUM PERDATA</w:t>
      </w:r>
    </w:p>
    <w:p w:rsidR="00EA5182" w:rsidRPr="00C47C21" w:rsidRDefault="00EA5182" w:rsidP="00EA5182">
      <w:pPr>
        <w:jc w:val="center"/>
        <w:rPr>
          <w:rFonts w:ascii="Times New Roman" w:hAnsi="Times New Roman" w:cs="Times New Roman"/>
          <w:b/>
          <w:bCs/>
          <w:sz w:val="24"/>
          <w:szCs w:val="24"/>
        </w:rPr>
      </w:pPr>
    </w:p>
    <w:bookmarkEnd w:id="0"/>
    <w:p w:rsidR="00EA5182" w:rsidRPr="00C47C21" w:rsidRDefault="00EA5182" w:rsidP="00EA5182">
      <w:pPr>
        <w:rPr>
          <w:rFonts w:ascii="Times New Roman" w:hAnsi="Times New Roman" w:cs="Times New Roman"/>
          <w:b/>
          <w:bCs/>
          <w:sz w:val="24"/>
          <w:szCs w:val="24"/>
        </w:rPr>
      </w:pPr>
    </w:p>
    <w:p w:rsidR="00EA5182" w:rsidRPr="00C47C21" w:rsidRDefault="00EA5182" w:rsidP="00EA5182">
      <w:pPr>
        <w:jc w:val="center"/>
        <w:rPr>
          <w:rFonts w:ascii="Times New Roman" w:hAnsi="Times New Roman" w:cs="Times New Roman"/>
          <w:b/>
          <w:bCs/>
          <w:sz w:val="24"/>
          <w:szCs w:val="24"/>
          <w:lang w:val="fi-FI"/>
        </w:rPr>
      </w:pPr>
      <w:r w:rsidRPr="00C47C21">
        <w:rPr>
          <w:rFonts w:ascii="Times New Roman" w:hAnsi="Times New Roman" w:cs="Times New Roman"/>
          <w:b/>
          <w:bCs/>
          <w:sz w:val="24"/>
          <w:szCs w:val="24"/>
          <w:lang w:val="fi-FI"/>
        </w:rPr>
        <w:t>Oleh :</w:t>
      </w:r>
    </w:p>
    <w:p w:rsidR="00EA5182" w:rsidRPr="00C47C21" w:rsidRDefault="00EA5182" w:rsidP="00EA5182">
      <w:pPr>
        <w:spacing w:after="0"/>
        <w:ind w:left="2160"/>
        <w:rPr>
          <w:rFonts w:ascii="Times New Roman" w:hAnsi="Times New Roman" w:cs="Times New Roman"/>
          <w:b/>
          <w:bCs/>
          <w:sz w:val="24"/>
          <w:szCs w:val="24"/>
        </w:rPr>
      </w:pPr>
      <w:r w:rsidRPr="00C47C21">
        <w:rPr>
          <w:rFonts w:ascii="Times New Roman" w:hAnsi="Times New Roman" w:cs="Times New Roman"/>
          <w:b/>
          <w:bCs/>
          <w:sz w:val="24"/>
          <w:szCs w:val="24"/>
        </w:rPr>
        <w:t>Nama</w:t>
      </w:r>
      <w:r w:rsidRPr="00C47C21">
        <w:rPr>
          <w:rFonts w:ascii="Times New Roman" w:hAnsi="Times New Roman" w:cs="Times New Roman"/>
          <w:b/>
          <w:bCs/>
          <w:sz w:val="24"/>
          <w:szCs w:val="24"/>
        </w:rPr>
        <w:tab/>
      </w:r>
      <w:r w:rsidRPr="00C47C21">
        <w:rPr>
          <w:rFonts w:ascii="Times New Roman" w:hAnsi="Times New Roman" w:cs="Times New Roman"/>
          <w:b/>
          <w:bCs/>
          <w:sz w:val="24"/>
          <w:szCs w:val="24"/>
        </w:rPr>
        <w:tab/>
        <w:t xml:space="preserve">: </w:t>
      </w:r>
      <w:r w:rsidRPr="00C47C21">
        <w:rPr>
          <w:rFonts w:ascii="Times New Roman" w:hAnsi="Times New Roman" w:cs="Times New Roman"/>
          <w:b/>
          <w:bCs/>
          <w:sz w:val="24"/>
          <w:szCs w:val="24"/>
          <w:lang w:val="zh-CN"/>
        </w:rPr>
        <w:t>Rizcky Riyadhi</w:t>
      </w:r>
    </w:p>
    <w:p w:rsidR="00EA5182" w:rsidRPr="00C47C21" w:rsidRDefault="00EA5182" w:rsidP="00EA5182">
      <w:pPr>
        <w:spacing w:after="0"/>
        <w:ind w:left="2160"/>
        <w:rPr>
          <w:rFonts w:ascii="Times New Roman" w:hAnsi="Times New Roman" w:cs="Times New Roman"/>
          <w:b/>
          <w:bCs/>
          <w:sz w:val="24"/>
          <w:szCs w:val="24"/>
        </w:rPr>
      </w:pPr>
      <w:r w:rsidRPr="00C47C21">
        <w:rPr>
          <w:rFonts w:ascii="Times New Roman" w:hAnsi="Times New Roman" w:cs="Times New Roman"/>
          <w:b/>
          <w:bCs/>
          <w:sz w:val="24"/>
          <w:szCs w:val="24"/>
        </w:rPr>
        <w:t>NPM</w:t>
      </w:r>
      <w:r w:rsidRPr="00C47C21">
        <w:rPr>
          <w:rFonts w:ascii="Times New Roman" w:hAnsi="Times New Roman" w:cs="Times New Roman"/>
          <w:b/>
          <w:bCs/>
          <w:sz w:val="24"/>
          <w:szCs w:val="24"/>
        </w:rPr>
        <w:tab/>
      </w:r>
      <w:r w:rsidRPr="00C47C21">
        <w:rPr>
          <w:rFonts w:ascii="Times New Roman" w:hAnsi="Times New Roman" w:cs="Times New Roman"/>
          <w:b/>
          <w:bCs/>
          <w:sz w:val="24"/>
          <w:szCs w:val="24"/>
        </w:rPr>
        <w:tab/>
        <w:t>: 228040062</w:t>
      </w:r>
    </w:p>
    <w:p w:rsidR="00EA5182" w:rsidRPr="00C47C21" w:rsidRDefault="00EA5182" w:rsidP="00EA5182">
      <w:pPr>
        <w:spacing w:after="0"/>
        <w:ind w:left="2160"/>
        <w:rPr>
          <w:rFonts w:ascii="Times New Roman" w:hAnsi="Times New Roman" w:cs="Times New Roman"/>
          <w:b/>
          <w:bCs/>
          <w:sz w:val="24"/>
          <w:szCs w:val="24"/>
        </w:rPr>
      </w:pPr>
      <w:r w:rsidRPr="00C47C21">
        <w:rPr>
          <w:rFonts w:ascii="Times New Roman" w:hAnsi="Times New Roman" w:cs="Times New Roman"/>
          <w:b/>
          <w:bCs/>
          <w:sz w:val="24"/>
          <w:szCs w:val="24"/>
        </w:rPr>
        <w:t>Program</w:t>
      </w:r>
      <w:r w:rsidRPr="00C47C21">
        <w:rPr>
          <w:rFonts w:ascii="Times New Roman" w:hAnsi="Times New Roman" w:cs="Times New Roman"/>
          <w:b/>
          <w:bCs/>
          <w:sz w:val="24"/>
          <w:szCs w:val="24"/>
        </w:rPr>
        <w:tab/>
        <w:t>: Hukum Ekonomi</w:t>
      </w:r>
    </w:p>
    <w:p w:rsidR="00EA5182" w:rsidRPr="00C47C21" w:rsidRDefault="00EA5182" w:rsidP="00EA5182">
      <w:pPr>
        <w:jc w:val="center"/>
        <w:rPr>
          <w:rFonts w:ascii="Times New Roman" w:hAnsi="Times New Roman" w:cs="Times New Roman"/>
          <w:b/>
          <w:bCs/>
          <w:sz w:val="24"/>
          <w:szCs w:val="24"/>
        </w:rPr>
      </w:pPr>
    </w:p>
    <w:p w:rsidR="00EA5182" w:rsidRPr="00C47C21" w:rsidRDefault="00EA5182" w:rsidP="00EA5182">
      <w:pPr>
        <w:rPr>
          <w:rFonts w:ascii="Times New Roman" w:hAnsi="Times New Roman" w:cs="Times New Roman"/>
          <w:b/>
          <w:bCs/>
          <w:sz w:val="24"/>
          <w:szCs w:val="24"/>
        </w:rPr>
      </w:pPr>
    </w:p>
    <w:p w:rsidR="00EA5182" w:rsidRPr="00C47C21" w:rsidRDefault="00EA5182" w:rsidP="00EA5182">
      <w:pPr>
        <w:jc w:val="center"/>
        <w:rPr>
          <w:rFonts w:ascii="Times New Roman" w:hAnsi="Times New Roman" w:cs="Times New Roman"/>
          <w:b/>
          <w:bCs/>
          <w:sz w:val="24"/>
          <w:szCs w:val="24"/>
        </w:rPr>
      </w:pPr>
      <w:r w:rsidRPr="00C47C21">
        <w:rPr>
          <w:rFonts w:ascii="Times New Roman" w:hAnsi="Times New Roman" w:cs="Times New Roman"/>
          <w:b/>
          <w:bCs/>
          <w:noProof/>
          <w:sz w:val="24"/>
          <w:szCs w:val="24"/>
          <w:lang w:eastAsia="id-ID"/>
        </w:rPr>
        <w:drawing>
          <wp:inline distT="0" distB="0" distL="0" distR="0" wp14:anchorId="4D16D0D6" wp14:editId="7F567E80">
            <wp:extent cx="1596390" cy="1622425"/>
            <wp:effectExtent l="0" t="0" r="3810" b="0"/>
            <wp:docPr id="1809893505" name="Picture 2" descr="Universitas Pasundan - Wikipedia bahasa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93505" name="Picture 2" descr="Universitas Pasundan - Wikipedia bahasa Indonesi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18035" cy="1644345"/>
                    </a:xfrm>
                    <a:prstGeom prst="rect">
                      <a:avLst/>
                    </a:prstGeom>
                    <a:noFill/>
                    <a:ln>
                      <a:noFill/>
                    </a:ln>
                  </pic:spPr>
                </pic:pic>
              </a:graphicData>
            </a:graphic>
          </wp:inline>
        </w:drawing>
      </w:r>
    </w:p>
    <w:p w:rsidR="00EA5182" w:rsidRPr="00C47C21" w:rsidRDefault="00EA5182" w:rsidP="00EA5182">
      <w:pPr>
        <w:rPr>
          <w:rFonts w:ascii="Times New Roman" w:hAnsi="Times New Roman" w:cs="Times New Roman"/>
          <w:b/>
          <w:bCs/>
          <w:sz w:val="24"/>
          <w:szCs w:val="24"/>
        </w:rPr>
      </w:pPr>
    </w:p>
    <w:p w:rsidR="00EA5182" w:rsidRPr="00C47C21" w:rsidRDefault="00EA5182" w:rsidP="00EA5182">
      <w:pPr>
        <w:spacing w:after="0"/>
        <w:jc w:val="center"/>
        <w:rPr>
          <w:rFonts w:ascii="Times New Roman" w:hAnsi="Times New Roman" w:cs="Times New Roman"/>
          <w:b/>
          <w:bCs/>
          <w:sz w:val="24"/>
          <w:szCs w:val="24"/>
        </w:rPr>
      </w:pPr>
      <w:r w:rsidRPr="00C47C21">
        <w:rPr>
          <w:rFonts w:ascii="Times New Roman" w:hAnsi="Times New Roman" w:cs="Times New Roman"/>
          <w:b/>
          <w:bCs/>
          <w:sz w:val="24"/>
          <w:szCs w:val="24"/>
        </w:rPr>
        <w:t>PROGRAM MAGISTER ILMU HUKUM</w:t>
      </w:r>
    </w:p>
    <w:p w:rsidR="00EA5182" w:rsidRPr="00C47C21" w:rsidRDefault="00EA5182" w:rsidP="00EA5182">
      <w:pPr>
        <w:spacing w:after="0"/>
        <w:jc w:val="center"/>
        <w:rPr>
          <w:rFonts w:ascii="Times New Roman" w:hAnsi="Times New Roman" w:cs="Times New Roman"/>
          <w:b/>
          <w:bCs/>
          <w:sz w:val="24"/>
          <w:szCs w:val="24"/>
        </w:rPr>
      </w:pPr>
      <w:r w:rsidRPr="00C47C21">
        <w:rPr>
          <w:rFonts w:ascii="Times New Roman" w:hAnsi="Times New Roman" w:cs="Times New Roman"/>
          <w:b/>
          <w:bCs/>
          <w:sz w:val="24"/>
          <w:szCs w:val="24"/>
        </w:rPr>
        <w:t>PASCASARJANA UNIVERSITAS PASUNDAN</w:t>
      </w:r>
    </w:p>
    <w:p w:rsidR="00EA5182" w:rsidRPr="00C47C21" w:rsidRDefault="00EA5182" w:rsidP="00EA5182">
      <w:pPr>
        <w:spacing w:after="0"/>
        <w:jc w:val="center"/>
        <w:rPr>
          <w:rFonts w:ascii="Times New Roman" w:hAnsi="Times New Roman" w:cs="Times New Roman"/>
          <w:b/>
          <w:bCs/>
          <w:sz w:val="24"/>
          <w:szCs w:val="24"/>
        </w:rPr>
      </w:pPr>
      <w:r w:rsidRPr="00C47C21">
        <w:rPr>
          <w:rFonts w:ascii="Times New Roman" w:hAnsi="Times New Roman" w:cs="Times New Roman"/>
          <w:b/>
          <w:bCs/>
          <w:sz w:val="24"/>
          <w:szCs w:val="24"/>
        </w:rPr>
        <w:t>BANDUNG</w:t>
      </w:r>
    </w:p>
    <w:p w:rsidR="00EA5182" w:rsidRDefault="00EA5182" w:rsidP="00EA5182">
      <w:pPr>
        <w:spacing w:after="0"/>
        <w:jc w:val="center"/>
        <w:rPr>
          <w:rFonts w:ascii="Times New Roman" w:hAnsi="Times New Roman" w:cs="Times New Roman"/>
          <w:b/>
          <w:bCs/>
          <w:sz w:val="24"/>
          <w:szCs w:val="24"/>
        </w:rPr>
      </w:pPr>
      <w:r w:rsidRPr="00C47C21">
        <w:rPr>
          <w:rFonts w:ascii="Times New Roman" w:hAnsi="Times New Roman" w:cs="Times New Roman"/>
          <w:b/>
          <w:bCs/>
          <w:sz w:val="24"/>
          <w:szCs w:val="24"/>
        </w:rPr>
        <w:t>2025</w:t>
      </w:r>
    </w:p>
    <w:p w:rsidR="00EA5182" w:rsidRDefault="00EA5182" w:rsidP="00EA5182">
      <w:pPr>
        <w:spacing w:after="0"/>
        <w:jc w:val="center"/>
        <w:rPr>
          <w:rFonts w:ascii="Times New Roman" w:hAnsi="Times New Roman" w:cs="Times New Roman"/>
          <w:b/>
          <w:bCs/>
          <w:sz w:val="24"/>
          <w:szCs w:val="24"/>
        </w:rPr>
      </w:pPr>
    </w:p>
    <w:p w:rsidR="00EA5182" w:rsidRPr="00C47C21" w:rsidRDefault="00EA5182" w:rsidP="00EA5182">
      <w:pPr>
        <w:spacing w:after="0"/>
        <w:jc w:val="center"/>
        <w:rPr>
          <w:rFonts w:ascii="Times New Roman" w:hAnsi="Times New Roman" w:cs="Times New Roman"/>
          <w:sz w:val="24"/>
          <w:szCs w:val="24"/>
        </w:rPr>
      </w:pPr>
    </w:p>
    <w:p w:rsidR="004F4D91" w:rsidRDefault="004F4D91" w:rsidP="004F4D91">
      <w:pPr>
        <w:spacing w:before="100" w:beforeAutospacing="1" w:after="100" w:afterAutospacing="1"/>
        <w:jc w:val="center"/>
        <w:outlineLvl w:val="1"/>
        <w:rPr>
          <w:rFonts w:ascii="Times New Roman" w:eastAsia="Times New Roman" w:hAnsi="Times New Roman" w:cs="Times New Roman"/>
          <w:b/>
          <w:bCs/>
          <w:sz w:val="24"/>
          <w:szCs w:val="24"/>
          <w:lang w:eastAsia="id-ID"/>
        </w:rPr>
      </w:pPr>
    </w:p>
    <w:p w:rsidR="004F4D91" w:rsidRPr="004F4D91" w:rsidRDefault="004F4D91" w:rsidP="004F4D91">
      <w:pPr>
        <w:spacing w:before="100" w:beforeAutospacing="1" w:after="100" w:afterAutospacing="1"/>
        <w:jc w:val="center"/>
        <w:outlineLvl w:val="1"/>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lastRenderedPageBreak/>
        <w:t>ABSTRAK</w:t>
      </w:r>
    </w:p>
    <w:p w:rsidR="004F4D91" w:rsidRPr="004F4D91" w:rsidRDefault="004F4D91" w:rsidP="004F4D91">
      <w:pPr>
        <w:spacing w:before="100" w:beforeAutospacing="1" w:after="100" w:afterAutospacing="1"/>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Program Peremajaan Sawit Rakyat (PSR) merupakan kebijakan strategis nasional yang bertujuan meningkatkan produktivitas dan keberlanjutan perkebunan kelapa sawit rakyat. Pendanaan program ini dikelola oleh Badan Pengelola Dana Perkebunan Kelapa Sawit (BPDPKS) yang berstatus sebagai Badan Layanan Umum (BLU). Dalam praktiknya, pelaksanaan program PSR masih dihadapkan pada berbagai permasalahan berupa penyimpangan penggunaan dana yang berpotensi menimbulkan kerugian keuangan negara. Artikel ini bertujuan untuk menganalisis kedudukan dana PSR, hubungan hukum antara BPDPKS dengan penerima dana, serta bentuk tanggung jawab hukum BPDPKS dalam perspektif hukum perdata apabila terjadi penyimpangan dalam pelaksanaan program. Metode penelitian yang digunakan adalah yuridis normatif dengan pendekatan peraturan perundang-undangan dan konseptual. Hasil kajian menunjukkan bahwa meskipun dana PSR merupakan bagian dari keuangan negara, hubungan hukum antara BPDPKS dan penerima dana bersifat keperdataan dan melahirkan perikatan. BPDPKS dapat dimintai pertanggungjawaban hukum perdata apabila terbukti lalai dalam menjalankan kewajiban pengawasan yang mengakibatkan kerugian.</w:t>
      </w:r>
    </w:p>
    <w:p w:rsidR="004F4D91" w:rsidRPr="004F4D91" w:rsidRDefault="004F4D91" w:rsidP="004F4D91">
      <w:pPr>
        <w:spacing w:before="100" w:beforeAutospacing="1" w:after="100" w:afterAutospacing="1"/>
        <w:ind w:left="1418" w:hanging="1418"/>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b/>
          <w:sz w:val="24"/>
          <w:szCs w:val="24"/>
          <w:lang w:eastAsia="id-ID"/>
        </w:rPr>
        <w:t>Kata Kunci:</w:t>
      </w:r>
      <w:r w:rsidRPr="004F4D91">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4F4D91">
        <w:rPr>
          <w:rFonts w:ascii="Times New Roman" w:eastAsia="Times New Roman" w:hAnsi="Times New Roman" w:cs="Times New Roman"/>
          <w:sz w:val="24"/>
          <w:szCs w:val="24"/>
          <w:lang w:eastAsia="id-ID"/>
        </w:rPr>
        <w:t>BPDPKS, Badan Layanan Umum, Tanggung Jawab Hukum, Peremajaan Sawit Rakyat, Hukum Perdata.</w:t>
      </w:r>
    </w:p>
    <w:p w:rsidR="004F4D91" w:rsidRDefault="007C578F" w:rsidP="007C578F">
      <w:pPr>
        <w:pStyle w:val="NormalWeb"/>
        <w:spacing w:line="276" w:lineRule="auto"/>
        <w:jc w:val="center"/>
      </w:pPr>
      <w:r>
        <w:rPr>
          <w:rStyle w:val="Strong"/>
        </w:rPr>
        <w:t>ABSTRACT</w:t>
      </w:r>
    </w:p>
    <w:p w:rsidR="004F4D91" w:rsidRDefault="004F4D91" w:rsidP="004F4D91">
      <w:pPr>
        <w:pStyle w:val="NormalWeb"/>
        <w:spacing w:line="276" w:lineRule="auto"/>
        <w:jc w:val="both"/>
      </w:pPr>
      <w:r>
        <w:t>The Smallholder Oil Palm Replanting Program (Peremajaan Sawit Rakyat/PSR) is a national strategic policy aimed at increasing the productivity and sustainability of smallholder oil palm plantations. Funding for this program is managed by the Palm Oil Plantation Fund Management Agency (Badan Pengelola Dana Perkebunan Kelapa Sawit/BPDPKS), which has the status of a Public Service Agency (Badan Layanan Umum/BLU). In practice, the implementation of the PSR program still faces various problems, particularly deviations in the use of funds that have the potential to cause state financial losses. This article aims to analyze the legal status of PSR funds, the legal relationship between BPDPKS and fund recipients, and the form of BPDPKS’s legal liability from a civil law perspective in the event of irregularities in program implementation. The research method used is normative juridical research with statutory and conceptual approaches. The results of the study indicate that although PSR funds are part of state finances, the legal relationship between BPDPKS and fund recipients is civil in nature and gives rise to contractual obligations. BPDPKS may be held civilly liable if it is proven to have been negligent in carrying out its supervisory duties, resulting in losses.</w:t>
      </w:r>
    </w:p>
    <w:p w:rsidR="004F4D91" w:rsidRDefault="004F4D91" w:rsidP="007C578F">
      <w:pPr>
        <w:pStyle w:val="NormalWeb"/>
        <w:spacing w:line="276" w:lineRule="auto"/>
        <w:ind w:left="1276" w:hanging="1276"/>
        <w:jc w:val="both"/>
      </w:pPr>
      <w:r>
        <w:rPr>
          <w:rStyle w:val="Strong"/>
        </w:rPr>
        <w:lastRenderedPageBreak/>
        <w:t>Keywords:</w:t>
      </w:r>
      <w:r>
        <w:t xml:space="preserve"> BPDPKS, Public Service Agency, Legal Liability, Smallholder Oil Palm Replanting, Civil Law.</w:t>
      </w:r>
    </w:p>
    <w:p w:rsidR="004F4D91" w:rsidRDefault="007C578F" w:rsidP="007C578F">
      <w:pPr>
        <w:pStyle w:val="NormalWeb"/>
        <w:spacing w:line="276" w:lineRule="auto"/>
        <w:jc w:val="center"/>
      </w:pPr>
      <w:r>
        <w:rPr>
          <w:rStyle w:val="Strong"/>
        </w:rPr>
        <w:t>ABSTRAK</w:t>
      </w:r>
    </w:p>
    <w:p w:rsidR="004F4D91" w:rsidRDefault="004F4D91" w:rsidP="004F4D91">
      <w:pPr>
        <w:pStyle w:val="NormalWeb"/>
        <w:spacing w:line="276" w:lineRule="auto"/>
        <w:jc w:val="both"/>
      </w:pPr>
      <w:r>
        <w:t>Program Peremajaan Sawit Rakyat (PSR) mangrupa kawijakan strategis nasional anu boga tujuan pikeun ningkatkeun produktivitas jeung kasinambungan perkebunan kalapa sawit rahayat. Pendanaan program ieu diatur ku Badan Pengelola Dana Perkebunan Kelapa Sawit (BPDPKS) anu miboga status minangka Badan Layanan Umum (BLU). Dina prakna, palaksanaan program PSR masih nyanghareupan rupa-rupa pasualan, utamana aya panyimpangan dina pamakean dana anu boga poténsi nimbulkeun karugian kauangan nagara. Artikel ieu miboga tujuan pikeun nganalisis kadudukan dana PSR, hubungan hukum antara BPDPKS jeung panarima dana, sarta wangun tanggung jawab hukum BPDPKS dina sudut pandang hukum perdata lamun kajadian panyimpangan dina palaksanaan program. Métode panalungtikan anu dipaké nyaéta yuridis normatif kalayan pendekatan peraturan perundang-undangan jeung konseptual. Hasil kajian némbongkeun yén sanajan dana PSR kaasup kana kauangan nagara, hubungan hukum antara BPDPKS jeung panarima dana sipatna keperdataan sarta nimbulkeun perikatan. BPDPKS bisa dipenta tanggung jawab sacara hukum perdata lamun kabuktian lalawora dina ngalaksanakeun kawajiban pangawasan anu nyababkeun karugian.</w:t>
      </w:r>
    </w:p>
    <w:p w:rsidR="004F4D91" w:rsidRDefault="004F4D91" w:rsidP="007C578F">
      <w:pPr>
        <w:pStyle w:val="NormalWeb"/>
        <w:spacing w:line="276" w:lineRule="auto"/>
        <w:ind w:left="1560" w:hanging="1560"/>
        <w:jc w:val="both"/>
      </w:pPr>
      <w:r>
        <w:rPr>
          <w:rStyle w:val="Strong"/>
        </w:rPr>
        <w:t xml:space="preserve">Kecap </w:t>
      </w:r>
      <w:r w:rsidR="007C578F">
        <w:rPr>
          <w:rStyle w:val="Strong"/>
        </w:rPr>
        <w:t>K</w:t>
      </w:r>
      <w:r>
        <w:rPr>
          <w:rStyle w:val="Strong"/>
        </w:rPr>
        <w:t>onci:</w:t>
      </w:r>
      <w:r>
        <w:t xml:space="preserve"> BPDPKS, Badan Layanan Umum, Tanggung Jawab Hukum, Peremajaan Sawit Rakyat, Hukum Perdata.</w:t>
      </w:r>
    </w:p>
    <w:p w:rsidR="004F4D91" w:rsidRDefault="004F4D91" w:rsidP="004F4D91">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4F4D91" w:rsidRPr="004F4D91" w:rsidRDefault="000B3AA8" w:rsidP="002166A5">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2166A5">
        <w:rPr>
          <w:rFonts w:ascii="Times New Roman" w:eastAsia="Times New Roman" w:hAnsi="Times New Roman" w:cs="Times New Roman"/>
          <w:b/>
          <w:bCs/>
          <w:sz w:val="24"/>
          <w:szCs w:val="24"/>
          <w:lang w:eastAsia="id-ID"/>
        </w:rPr>
        <w:t>PENDAHULUAN</w:t>
      </w:r>
    </w:p>
    <w:p w:rsidR="002166A5" w:rsidRPr="002166A5" w:rsidRDefault="002166A5" w:rsidP="002166A5">
      <w:pPr>
        <w:pStyle w:val="Heading3"/>
        <w:spacing w:line="360" w:lineRule="auto"/>
        <w:jc w:val="both"/>
        <w:rPr>
          <w:sz w:val="24"/>
          <w:szCs w:val="24"/>
        </w:rPr>
      </w:pPr>
      <w:r w:rsidRPr="002166A5">
        <w:rPr>
          <w:sz w:val="24"/>
          <w:szCs w:val="24"/>
        </w:rPr>
        <w:t>Kedudukan Dana Program Peremajaan Sawit Rakyat dalam Perspektif Hukum Perdata dan Keuangan Negara</w:t>
      </w:r>
    </w:p>
    <w:p w:rsidR="002166A5" w:rsidRPr="002166A5" w:rsidRDefault="002166A5" w:rsidP="002166A5">
      <w:pPr>
        <w:pStyle w:val="NormalWeb"/>
        <w:spacing w:line="360" w:lineRule="auto"/>
        <w:ind w:firstLine="567"/>
        <w:jc w:val="both"/>
      </w:pPr>
      <w:r w:rsidRPr="002166A5">
        <w:t xml:space="preserve">Dana Program Peremajaan Sawit Rakyat (PSR) yang dikelola oleh Badan Pengelola Dana Perkebunan Kelapa Sawit (BPDPKS) bersumber dari pungutan ekspor kelapa sawit yang secara yuridis dikualifikasikan sebagai Penerimaan Negara Bukan Pajak (PNBP). Berdasarkan Undang-Undang Nomor 17 Tahun 2003 tentang Keuangan Negara dan Undang-Undang Nomor 1 Tahun 2004 </w:t>
      </w:r>
      <w:r w:rsidRPr="002166A5">
        <w:lastRenderedPageBreak/>
        <w:t>tentang Perbendaharaan Negara, PNBP merupakan bagian yang tidak terpisahkan dari keuangan negara. Konsekuensinya, setiap pengelolaan dan penggunaan dana PSR harus tunduk pada prinsip-prinsip pengelolaan keuangan negara, yakni akuntabilitas, transparansi, efektivitas, efisiensi, dan kehati-hatian.</w:t>
      </w:r>
    </w:p>
    <w:p w:rsidR="002166A5" w:rsidRPr="002166A5" w:rsidRDefault="002166A5" w:rsidP="002166A5">
      <w:pPr>
        <w:pStyle w:val="NormalWeb"/>
        <w:spacing w:line="360" w:lineRule="auto"/>
        <w:ind w:firstLine="567"/>
        <w:jc w:val="both"/>
      </w:pPr>
      <w:r w:rsidRPr="002166A5">
        <w:t>Namun demikian, karakteristik BPDPKS sebagai Badan Layanan Umum (BLU) memberikan fleksibilitas tertentu dalam pengelolaan keuangan. Fleksibilitas ini dimaksudkan untuk meningkatkan kualitas pelayanan publik, bukan untuk menghilangkan sifat dana sebagai keuangan negara. Dalam konteks penyaluran dana PSR kepada penerima manfaat, BPDPKS memasuki ranah hubungan hukum keperdataan karena adanya perjanjian kerja sama sebagai dasar penyaluran dana.</w:t>
      </w:r>
    </w:p>
    <w:p w:rsidR="002166A5" w:rsidRPr="002166A5" w:rsidRDefault="002166A5" w:rsidP="002166A5">
      <w:pPr>
        <w:pStyle w:val="NormalWeb"/>
        <w:spacing w:line="360" w:lineRule="auto"/>
        <w:ind w:firstLine="567"/>
        <w:jc w:val="both"/>
      </w:pPr>
      <w:r w:rsidRPr="002166A5">
        <w:t>Secara teoritis, kondisi ini menunjukkan adanya pertemuan antara rezim hukum publik dan hukum perdata. Dana PSR tetap berstatus keuangan negara, tetapi hubungan hukum antara BPDPKS dan penerima dana tunduk pada hukum perdata. Oleh karena itu, pengelolaan dana PSR tidak dapat semata-mata dinilai dari aspek administratif, melainkan juga dari pemenuhan kewajiban keperdataan yang lahir dari perikatan.</w:t>
      </w:r>
    </w:p>
    <w:p w:rsidR="002166A5" w:rsidRPr="002166A5" w:rsidRDefault="002166A5" w:rsidP="002166A5">
      <w:pPr>
        <w:pStyle w:val="Heading3"/>
        <w:spacing w:line="360" w:lineRule="auto"/>
        <w:jc w:val="both"/>
        <w:rPr>
          <w:sz w:val="24"/>
          <w:szCs w:val="24"/>
        </w:rPr>
      </w:pPr>
      <w:r w:rsidRPr="002166A5">
        <w:rPr>
          <w:sz w:val="24"/>
          <w:szCs w:val="24"/>
        </w:rPr>
        <w:t>Hubungan Hukum Keperdataan antara BPDPKS dan Penerima Dana PSR</w:t>
      </w:r>
    </w:p>
    <w:p w:rsidR="002166A5" w:rsidRPr="002166A5" w:rsidRDefault="002166A5" w:rsidP="002166A5">
      <w:pPr>
        <w:pStyle w:val="NormalWeb"/>
        <w:spacing w:line="360" w:lineRule="auto"/>
        <w:ind w:firstLine="567"/>
        <w:jc w:val="both"/>
      </w:pPr>
      <w:r w:rsidRPr="002166A5">
        <w:t>Hubungan hukum antara BPDPKS dan penerima dana PSR lahir dari perjanjian kerja sama yang secara substansial memenuhi unsur-unsur sahnya perjanjian sebagaimana diatur dalam Pasal 1320 KUHPerdata, yaitu kesepakatan para pihak, kecakapan, objek tertentu, dan causa yang halal. Perjanjian ini menempatkan BPDPKS dan penerima dana sebagai subjek hukum yang memiliki kedudukan setara dalam hubungan keperdataan.</w:t>
      </w:r>
    </w:p>
    <w:p w:rsidR="002166A5" w:rsidRPr="002166A5" w:rsidRDefault="002166A5" w:rsidP="002166A5">
      <w:pPr>
        <w:pStyle w:val="NormalWeb"/>
        <w:spacing w:line="360" w:lineRule="auto"/>
        <w:ind w:firstLine="567"/>
        <w:jc w:val="both"/>
      </w:pPr>
      <w:r w:rsidRPr="002166A5">
        <w:t xml:space="preserve">Dalam perjanjian tersebut, BPDPKS berkewajiban menyalurkan dana sesuai ketentuan, melakukan verifikasi administratif dan teknis, serta melaksanakan pengawasan dan evaluasi penggunaan dana. Sementara itu, penerima dana berkewajiban menggunakan dana sesuai peruntukan, mematuhi ketentuan teknis </w:t>
      </w:r>
      <w:r w:rsidRPr="002166A5">
        <w:lastRenderedPageBreak/>
        <w:t>program PSR, dan mempertanggungjawabkan penggunaan dana secara transparan.</w:t>
      </w:r>
    </w:p>
    <w:p w:rsidR="002166A5" w:rsidRPr="002166A5" w:rsidRDefault="002166A5" w:rsidP="002166A5">
      <w:pPr>
        <w:pStyle w:val="NormalWeb"/>
        <w:spacing w:line="360" w:lineRule="auto"/>
        <w:ind w:firstLine="567"/>
        <w:jc w:val="both"/>
      </w:pPr>
      <w:r w:rsidRPr="002166A5">
        <w:t>Asas pacta sunt servanda sebagaimana diatur dalam Pasal 1338 KUHPerdata menegaskan bahwa perjanjian yang dibuat secara sah berlaku sebagai undang-undang bagi para pihak. Dengan demikian, pelanggaran terhadap ketentuan perjanjian, baik oleh penerima dana maupun oleh BPDPKS, menimbulkan konsekuensi hukum berupa tanggung jawab keperdataan.</w:t>
      </w:r>
    </w:p>
    <w:p w:rsidR="002166A5" w:rsidRPr="002166A5" w:rsidRDefault="002166A5" w:rsidP="002166A5">
      <w:pPr>
        <w:pStyle w:val="Heading3"/>
        <w:spacing w:line="360" w:lineRule="auto"/>
        <w:jc w:val="both"/>
        <w:rPr>
          <w:sz w:val="24"/>
          <w:szCs w:val="24"/>
        </w:rPr>
      </w:pPr>
      <w:r w:rsidRPr="002166A5">
        <w:rPr>
          <w:sz w:val="24"/>
          <w:szCs w:val="24"/>
        </w:rPr>
        <w:t>Wanprestasi dalam Pelaksanaan Program PSR</w:t>
      </w:r>
    </w:p>
    <w:p w:rsidR="002166A5" w:rsidRPr="002166A5" w:rsidRDefault="002166A5" w:rsidP="002166A5">
      <w:pPr>
        <w:pStyle w:val="NormalWeb"/>
        <w:spacing w:line="360" w:lineRule="auto"/>
        <w:ind w:firstLine="567"/>
        <w:jc w:val="both"/>
      </w:pPr>
      <w:r w:rsidRPr="002166A5">
        <w:t>Wanprestasi dalam pelaksanaan program PSR dapat terjadi apabila salah satu pihak tidak memenuhi kewajiban yang diperjanjikan. Bagi penerima dana, wanprestasi dapat berupa penggunaan dana tidak sesuai peruntukan, pemalsuan data, atau kegagalan melaksanakan peremajaan sesuai standar teknis. Dalam kondisi ini, penerima dana dapat dimintai pertanggungjawaban berupa pengembalian dana, ganti rugi, atau sanksi perdata lainnya.</w:t>
      </w:r>
    </w:p>
    <w:p w:rsidR="002166A5" w:rsidRPr="002166A5" w:rsidRDefault="002166A5" w:rsidP="002166A5">
      <w:pPr>
        <w:pStyle w:val="NormalWeb"/>
        <w:spacing w:line="360" w:lineRule="auto"/>
        <w:ind w:firstLine="567"/>
        <w:jc w:val="both"/>
      </w:pPr>
      <w:r w:rsidRPr="002166A5">
        <w:t>Di sisi lain, BPDPKS juga berpotensi melakukan wanprestasi apabila tidak melaksanakan kewajiban pengawasan secara memadai. Kelalaian dalam melakukan verifikasi awal, monitoring pelaksanaan, atau evaluasi penggunaan dana dapat dikualifikasikan sebagai tidak terpenuhinya kewajiban kontraktual. Wanprestasi oleh BPDPKS ini menjadi relevan apabila kelalaian tersebut berkontribusi langsung terhadap terjadinya penyimpangan dan kerugian.</w:t>
      </w:r>
    </w:p>
    <w:p w:rsidR="002166A5" w:rsidRPr="002166A5" w:rsidRDefault="002166A5" w:rsidP="002166A5">
      <w:pPr>
        <w:pStyle w:val="Heading3"/>
        <w:spacing w:line="360" w:lineRule="auto"/>
        <w:jc w:val="both"/>
        <w:rPr>
          <w:sz w:val="24"/>
          <w:szCs w:val="24"/>
        </w:rPr>
      </w:pPr>
      <w:r w:rsidRPr="002166A5">
        <w:rPr>
          <w:sz w:val="24"/>
          <w:szCs w:val="24"/>
        </w:rPr>
        <w:t>Perbuatan Melawan Hukum dan Tanggung Jawab Tidak Langsung BPDPKS</w:t>
      </w:r>
    </w:p>
    <w:p w:rsidR="002166A5" w:rsidRPr="002166A5" w:rsidRDefault="002166A5" w:rsidP="002166A5">
      <w:pPr>
        <w:pStyle w:val="NormalWeb"/>
        <w:spacing w:line="360" w:lineRule="auto"/>
        <w:ind w:firstLine="567"/>
        <w:jc w:val="both"/>
      </w:pPr>
      <w:r w:rsidRPr="002166A5">
        <w:t>Selain wanprestasi, tanggung jawab hukum BPDPKS juga dapat dianalisis melalui rezim perbuatan melawan hukum sebagaimana diatur dalam Pasal 1365 KUHPerdata. Unsur-unsur perbuatan melawan hukum meliputi adanya perbuatan atau kelalaian, sifat melawan hukum, adanya kerugian, adanya kesalahan, dan adanya hubungan kausal antara perbuatan dan kerugian.</w:t>
      </w:r>
    </w:p>
    <w:p w:rsidR="002166A5" w:rsidRPr="002166A5" w:rsidRDefault="002166A5" w:rsidP="002166A5">
      <w:pPr>
        <w:pStyle w:val="NormalWeb"/>
        <w:spacing w:line="360" w:lineRule="auto"/>
        <w:ind w:firstLine="567"/>
        <w:jc w:val="both"/>
      </w:pPr>
      <w:r w:rsidRPr="002166A5">
        <w:lastRenderedPageBreak/>
        <w:t>Kelalaian BPDPKS dalam menerapkan prinsip kehati-hatian dan pengawasan yang memadai dapat memenuhi unsur perbuatan melawan hukum apabila terbukti melanggar kewajiban hukum yang melekat pada pengelolaan dana publik. Dalam konteks ini, meskipun penyimpangan dilakukan secara langsung oleh penerima dana, BPDPKS tetap dapat dimintai pertanggungjawaban hukum secara tidak langsung berdasarkan Pasal 1367 KUHPerdata, sepanjang terdapat hubungan pengawasan dan kelalaian yang berkontribusi terhadap kerugian.</w:t>
      </w:r>
    </w:p>
    <w:p w:rsidR="004F4D91" w:rsidRPr="004F4D91" w:rsidRDefault="000B3AA8" w:rsidP="004F4D91">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t>METODE PENELITIAN</w:t>
      </w:r>
    </w:p>
    <w:p w:rsidR="004F4D91" w:rsidRPr="004F4D91" w:rsidRDefault="004F4D91" w:rsidP="000B3AA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Penelitian ini menggunakan metode yuridis normatif dengan spesifikasi deskriptif-analitis. Pendekatan yang digunakan meliputi pendekatan peraturan perundang-undangan dan pendekatan konseptual. Data diperoleh melalui studi kepustakaan yang mencakup bahan hukum primer, sekunder, dan tersier. Analisis data dilakukan secara kualitatif dengan menelaah norma hukum, doktrin, dan asas hukum perdata yang relevan dengan tanggung jawab hukum BLU.</w:t>
      </w:r>
    </w:p>
    <w:p w:rsidR="004F4D91" w:rsidRPr="004F4D91" w:rsidRDefault="000B3AA8" w:rsidP="004F4D91">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t>PEMBAHASAN</w:t>
      </w:r>
    </w:p>
    <w:p w:rsidR="004F4D91" w:rsidRPr="004F4D91" w:rsidRDefault="004F4D91" w:rsidP="004F4D91">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t>Kedudukan Dana Program Peremajaan Sawit Rakyat dalam Perspektif Hukum Perdata dan Keuangan Negara</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Dana Program Peremajaan Sawit Rakyat (PSR) yang dikelola oleh Badan Pengelola Dana Perkebunan Kelapa Sawit (BPDPKS) bersumber dari pungutan ekspor kelapa sawit yang secara yuridis dikualifikasikan sebagai Penerimaan Negara Bukan Pajak (PNBP). Berdasarkan Undang-Undang Nomor 17 Tahun 2003 tentang Keuangan Negara dan Undang-Undang Nomor 1 Tahun 2004 tentang Perbendaharaan Negara, PNBP merupakan bagian yang tidak terpisahkan dari keuangan negara. Konsekuensinya, setiap pengelolaan dan penggunaan dana PSR harus tunduk pada prinsip-prinsip pengelolaan keuangan negara, yakni akuntabilitas, transparansi, efektivitas, efisiensi, dan kehati-hatian.</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lastRenderedPageBreak/>
        <w:t>Namun demikian, karakteristik BPDPKS sebagai Badan Layanan Umum (BLU) memberikan fleksibilitas tertentu dalam pengelolaan keuangan. Fleksibilitas ini dimaksudkan untuk meningkatkan kualitas pelayanan publik, bukan untuk menghilangkan sifat dana sebagai keuangan negara. Dalam konteks penyaluran dana PSR kepada penerima manfaat, BPDPKS memasuki ranah hubungan hukum keperdataan karena adanya perjanjian kerja sama sebagai dasar penyaluran dana.</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Secara teoritis, kondisi ini menunjukkan adanya pertemuan antara rezim hukum publik dan hukum perdata. Dana PSR tetap berstatus keuangan negara, tetapi hubungan hukum antara BPDPKS dan penerima dana tunduk pada hukum perdata. Oleh karena itu, pengelolaan dana PSR tidak dapat semata-mata dinilai dari aspek administratif, melainkan juga dari pemenuhan kewajiban keperdataan yang lahir dari perikatan.</w:t>
      </w:r>
    </w:p>
    <w:p w:rsidR="004F4D91" w:rsidRPr="004F4D91" w:rsidRDefault="004F4D91" w:rsidP="004F4D91">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t>Hubungan Hukum Keperdataan antara BPDPKS dan Penerima Dana PSR</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Hubungan hukum antara BPDPKS dan penerima dana PSR lahir dari perjanjian kerja sama yang secara substansial memenuhi unsur-unsur sahnya perjanjian sebagaimana diatur dalam Pasal 1320 KUHPerdata, yaitu kesepakatan para pihak, kecakapan, objek tertentu, dan causa yang halal. Perjanjian ini menempatkan BPDPKS dan penerima dana sebagai subjek hukum yang memiliki kedudukan setara dalam hubungan keperdataan.</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Dalam perjanjian tersebut, BPDPKS berkewajiban menyalurkan dana sesuai ketentuan, melakukan verifikasi administratif dan teknis, serta melaksanakan pengawasan dan evaluasi penggunaan dana. Sementara itu, penerima dana berkewajiban menggunakan dana sesuai peruntukan, mematuhi ketentuan teknis program PSR, dan mempertanggungjawabkan penggunaan dana secara transparan.</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 xml:space="preserve">Asas pacta sunt servanda sebagaimana diatur dalam Pasal 1338 KUHPerdata menegaskan bahwa perjanjian yang dibuat secara sah berlaku </w:t>
      </w:r>
      <w:r w:rsidRPr="004F4D91">
        <w:rPr>
          <w:rFonts w:ascii="Times New Roman" w:eastAsia="Times New Roman" w:hAnsi="Times New Roman" w:cs="Times New Roman"/>
          <w:sz w:val="24"/>
          <w:szCs w:val="24"/>
          <w:lang w:eastAsia="id-ID"/>
        </w:rPr>
        <w:lastRenderedPageBreak/>
        <w:t>sebagai undang-undang bagi para pihak. Dengan demikian, pelanggaran terhadap ketentuan perjanjian, baik oleh penerima dana maupun oleh BPDPKS, menimbulkan konsekuensi hukum berupa tanggung jawab keperdataan.</w:t>
      </w:r>
    </w:p>
    <w:p w:rsidR="004F4D91" w:rsidRPr="004F4D91" w:rsidRDefault="004F4D91" w:rsidP="004F4D91">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t>Wanprestasi dalam Pelaksanaan Program PSR</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Wanprestasi dalam pelaksanaan program PSR dapat terjadi apabila salah satu pihak tidak memenuhi kewajiban yang diperjanjikan. Bagi penerima dana, wanprestasi dapat berupa penggunaan dana tidak sesuai peruntukan, pemalsuan data, atau kegagalan melaksanakan peremajaan sesuai standar teknis. Dalam kondisi ini, penerima dana dapat dimintai pertanggungjawaban berupa pengembalian dana, ganti rugi, atau sanksi perdata lainnya.</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Di sisi lain, BPDPKS juga berpotensi melakukan wanprestasi apabila tidak melaksanakan kewajiban pengawasan secara memadai. Kelalaian dalam melakukan verifikasi awal, monitoring pelaksanaan, atau evaluasi penggunaan dana dapat dikualifikasikan sebagai tidak terpenuhinya kewajiban kontraktual. Wanprestasi oleh BPDPKS ini menjadi relevan apabila kelalaian tersebut berkontribusi langsung terhadap terjadinya penyimpangan dan kerugian.</w:t>
      </w:r>
    </w:p>
    <w:p w:rsidR="004F4D91" w:rsidRPr="004F4D91" w:rsidRDefault="004F4D91" w:rsidP="004F4D91">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t>Perbuatan Melawan Hukum dan Tanggung Jawab Tidak Langsung BPDPKS</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Selain wanprestasi, tanggung jawab hukum BPDPKS juga dapat dianalisis melalui rezim perbuatan melawan hukum sebagaimana diatur dalam Pasal 1365 KUHPerdata. Unsur-unsur perbuatan melawan hukum meliputi adanya perbuatan atau kelalaian, sifat melawan hukum, adanya kerugian, adanya kesalahan, dan adanya hubungan kausal antara perbuatan dan kerugian.</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 xml:space="preserve">Kelalaian BPDPKS dalam menerapkan prinsip kehati-hatian dan pengawasan yang memadai dapat memenuhi unsur perbuatan melawan hukum apabila terbukti melanggar kewajiban hukum yang melekat pada pengelolaan dana publik. Dalam konteks ini, meskipun penyimpangan dilakukan secara langsung </w:t>
      </w:r>
      <w:r w:rsidRPr="004F4D91">
        <w:rPr>
          <w:rFonts w:ascii="Times New Roman" w:eastAsia="Times New Roman" w:hAnsi="Times New Roman" w:cs="Times New Roman"/>
          <w:sz w:val="24"/>
          <w:szCs w:val="24"/>
          <w:lang w:eastAsia="id-ID"/>
        </w:rPr>
        <w:lastRenderedPageBreak/>
        <w:t>oleh penerima dana, BPDPKS tetap dapat dimintai pertanggungjawaban hukum secara tidak langsung berdasarkan Pasal 1367 KUHPerdata, sepanjang terdapat hubungan pengawasan dan kelalaian yang berkontribusi terhadap kerugian.</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Pendekatan ini menegaskan bahwa tanggung jawab hukum BPDPKS tidak bersifat absolut, melainkan bergantung pada pembuktian adanya kesalahan atau kelalaian. Dengan demikian, hukum perdata memberikan ruang untuk menilai secara proporsional tingkat tanggung jawab BPDPKS dalam setiap kasus penyimpangan program PSR.</w:t>
      </w:r>
    </w:p>
    <w:p w:rsidR="004F4D91" w:rsidRPr="004F4D91" w:rsidRDefault="004F4D91" w:rsidP="004F4D91">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4F4D91">
        <w:rPr>
          <w:rFonts w:ascii="Times New Roman" w:eastAsia="Times New Roman" w:hAnsi="Times New Roman" w:cs="Times New Roman"/>
          <w:b/>
          <w:bCs/>
          <w:sz w:val="24"/>
          <w:szCs w:val="24"/>
          <w:lang w:eastAsia="id-ID"/>
        </w:rPr>
        <w:t>Implikasi Hukum terhadap Tata Kelola Program PSR</w:t>
      </w:r>
    </w:p>
    <w:p w:rsidR="004F4D91" w:rsidRPr="004F4D91" w:rsidRDefault="004F4D91" w:rsidP="0066642D">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4F4D91">
        <w:rPr>
          <w:rFonts w:ascii="Times New Roman" w:eastAsia="Times New Roman" w:hAnsi="Times New Roman" w:cs="Times New Roman"/>
          <w:sz w:val="24"/>
          <w:szCs w:val="24"/>
          <w:lang w:eastAsia="id-ID"/>
        </w:rPr>
        <w:t>Pendalaman tanggung jawab hukum BPDPKS dalam perspektif hukum perdata memberikan implikasi penting terhadap tata kelola program PSR. Penguatan mekanisme perjanjian, standar pengawasan, dan sistem akuntabilitas menjadi kebutuhan mendesak untuk meminimalkan risiko penyimpangan. Selain itu, kejelasan konstruksi tanggung jawab hukum juga berfungsi sebagai instrumen pencegahan (preventive legal function) agar pengelolaan dana publik berjalan sesuai prinsip good governance.</w:t>
      </w:r>
    </w:p>
    <w:p w:rsidR="004F4D91" w:rsidRPr="004F4D91" w:rsidRDefault="002166A5" w:rsidP="002C4C75">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2C4C75">
        <w:rPr>
          <w:rFonts w:ascii="Times New Roman" w:eastAsia="Times New Roman" w:hAnsi="Times New Roman" w:cs="Times New Roman"/>
          <w:b/>
          <w:bCs/>
          <w:sz w:val="24"/>
          <w:szCs w:val="24"/>
          <w:lang w:eastAsia="id-ID"/>
        </w:rPr>
        <w:t>KESIMPULAN</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Pertama, dana Program Peremajaan Sawit Rakyat (PSR) yang dikelola oleh Badan Pengelola Dana Perkebunan Kelapa Sawit (BPDPKS) secara normatif merupakan bagian dari keuangan negara karena bersumber dari pungutan ekspor sawit dan dikelola oleh lembaga yang dibentuk oleh pemerintah. Namun demikian, dalam tahap penyaluran kepada penerima manfaat, dana PSR tersebut melahirkan hubungan hukum keperdataan antara BPDPKS dan penerima dana. Hal ini menegaskan bahwa meskipun dana tersebut memiliki karakter publik, mekanisme distribusinya tunduk pada rezim hukum perdata yang menempatkan para pihak dalam kedudukan hukum yang setara berdasarkan perjanjian.</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lastRenderedPageBreak/>
        <w:t>Kedua, hubungan hukum keperdataan antara BPDPKS dan penerima dana PSR dibangun melalui perjanjian kerja sama yang melahirkan hak dan kewajiban bagi masing-masing pihak. Perjanjian tersebut mengikat secara hukum dan wajib dilaksanakan berdasarkan asas pacta sunt servanda serta dilandasi oleh asas itikad baik. Penyimpangan penggunaan dana PSR oleh penerima dana dapat dikualifikasikan sebagai bentuk wanprestasi karena tidak dipenuhinya prestasi sebagaimana diperjanjikan. Sementara itu, apabila BPDPKS lalai dalam melaksanakan kewajiban pengawasan dan pengendalian penggunaan dana, maka kelalaian tersebut dapat dikategorikan sebagai wanprestasi ataupun sebagai perbuatan melawan hukum, tergantung pada terpenuhinya unsur-unsur kesalahan dan kerugian yang ditimbulkan.</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Ketiga, dalam perspektif hukum perdata, BPDPKS dimungkinkan untuk dimintai pertanggungjawaban hukum secara proporsional apabila terbukti adanya kelalaian dalam menjalankan fungsi pengawasan yang memiliki hubungan kausal dengan kerugian yang dialami oleh negara maupun pihak lain. Pertanggungjawaban tersebut dapat didasarkan pada ketentuan Pasal 1365 dan Pasal 1367 KUHPerdata yang mengatur tentang perbuatan melawan hukum dan tanggung jawab atas perbuatan pihak lain yang berada dalam pengawasannya. Oleh karena itu, penguatan sistem pengawasan, kejelasan pengaturan dalam perjanjian kerja sama, serta konsistensi penerapan prinsip kehati-hatian merupakan prasyarat utama untuk menjamin akuntabilitas, kepastian hukum, dan efektivitas pengelolaan dana Program Peremajaan Sawit Rakyat.</w:t>
      </w:r>
    </w:p>
    <w:p w:rsidR="002C4C75" w:rsidRPr="002C4C75" w:rsidRDefault="002C4C75" w:rsidP="002C4C75">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2C4C75">
        <w:rPr>
          <w:rFonts w:ascii="Times New Roman" w:eastAsia="Times New Roman" w:hAnsi="Times New Roman" w:cs="Times New Roman"/>
          <w:b/>
          <w:bCs/>
          <w:sz w:val="24"/>
          <w:szCs w:val="24"/>
          <w:lang w:eastAsia="id-ID"/>
        </w:rPr>
        <w:t>SARAN</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Pertama, disarankan agar BPDPKS memperkuat perumusan klausul dalam perjanjian kerja sama penyaluran dana PSR, khususnya yang berkaitan dengan mekanisme pengawasan, sanksi atas wanprestasi, serta tanggung jawab hukum para pihak. Perjanjian tersebut perlu dirumuskan secara lebih rinci dan tegas guna meminimalkan ruang penyimpangan serta memberikan kepastian hukum bagi BPDPKS maupun penerima dana.</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lastRenderedPageBreak/>
        <w:t>Kedua, BPDPKS perlu meningkatkan sistem pengawasan dan pengendalian dana PSR secara berkelanjutan melalui penerapan prinsip kehati-hatian (prudential principle). Pengawasan tidak hanya dilakukan secara administratif, tetapi juga secara substantif melalui monitoring lapangan, evaluasi berkala, serta pemanfaatan teknologi informasi untuk mendeteksi potensi penyimpangan sejak dini.</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Ketiga, diperlukan sinkronisasi dan harmonisasi regulasi antara hukum keuangan negara dan hukum perdata dalam pengelolaan dana PSR agar tidak menimbulkan dualisme pertanggungjawaban hukum. Kejelasan pengaturan ini penting untuk menentukan batas-batas tanggung jawab BPDPKS, khususnya dalam konteks hubungan hukum keperdataan dengan penerima dana.</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Keempat, bagi penerima dana PSR, disarankan untuk meningkatkan pemahaman dan kepatuhan terhadap ketentuan perjanjian serta peraturan perundang-undangan yang berlaku. Kepatuhan tersebut tidak hanya bertujuan untuk menghindari konsekuensi hukum, tetapi juga untuk menjamin tercapainya tujuan utama program PSR dalam meningkatkan produktivitas dan keberlanjutan perkebunan kelapa sawit rakyat.</w:t>
      </w:r>
    </w:p>
    <w:p w:rsidR="002C4C75" w:rsidRPr="002C4C75" w:rsidRDefault="002C4C75" w:rsidP="002C4C7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Kelima, bagi penelitian selanjutnya, disarankan untuk mengkaji lebih lanjut pertanggungjawaban hukum BPDPKS dari perspektif hukum administrasi negara dan hukum pidana guna memperoleh gambaran yang lebih komprehensif mengenai rezim hukum yang mengatur pengelolaan dana PSR.</w:t>
      </w:r>
    </w:p>
    <w:p w:rsidR="00057D66" w:rsidRDefault="00057D66" w:rsidP="002C4C7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p>
    <w:p w:rsidR="00057D66" w:rsidRDefault="00057D66" w:rsidP="002C4C7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p>
    <w:p w:rsidR="00057D66" w:rsidRDefault="00057D66" w:rsidP="002C4C7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p>
    <w:p w:rsidR="00057D66" w:rsidRDefault="00057D66" w:rsidP="002C4C7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p>
    <w:p w:rsidR="00057D66" w:rsidRDefault="00057D66" w:rsidP="002C4C7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p>
    <w:p w:rsidR="004F4D91" w:rsidRPr="004F4D91" w:rsidRDefault="002C4C75" w:rsidP="002C4C7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bookmarkStart w:id="1" w:name="_GoBack"/>
      <w:bookmarkEnd w:id="1"/>
      <w:r w:rsidRPr="002C4C75">
        <w:rPr>
          <w:rFonts w:ascii="Times New Roman" w:eastAsia="Times New Roman" w:hAnsi="Times New Roman" w:cs="Times New Roman"/>
          <w:b/>
          <w:bCs/>
          <w:sz w:val="24"/>
          <w:szCs w:val="24"/>
          <w:lang w:eastAsia="id-ID"/>
        </w:rPr>
        <w:lastRenderedPageBreak/>
        <w:t>DAFTAR PUSTAKA</w:t>
      </w:r>
    </w:p>
    <w:p w:rsidR="007F565B" w:rsidRPr="002C4C75" w:rsidRDefault="007F565B" w:rsidP="007F565B">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w:t>
      </w:r>
      <w:r w:rsidRPr="002C4C75">
        <w:rPr>
          <w:rFonts w:ascii="Times New Roman" w:eastAsia="Times New Roman" w:hAnsi="Times New Roman" w:cs="Times New Roman"/>
          <w:b/>
          <w:bCs/>
          <w:sz w:val="24"/>
          <w:szCs w:val="24"/>
          <w:lang w:eastAsia="id-ID"/>
        </w:rPr>
        <w:t xml:space="preserve">. </w:t>
      </w:r>
      <w:r>
        <w:rPr>
          <w:rFonts w:ascii="Times New Roman" w:eastAsia="Times New Roman" w:hAnsi="Times New Roman" w:cs="Times New Roman"/>
          <w:b/>
          <w:bCs/>
          <w:sz w:val="24"/>
          <w:szCs w:val="24"/>
          <w:lang w:eastAsia="id-ID"/>
        </w:rPr>
        <w:tab/>
      </w:r>
      <w:r w:rsidRPr="002C4C75">
        <w:rPr>
          <w:rFonts w:ascii="Times New Roman" w:eastAsia="Times New Roman" w:hAnsi="Times New Roman" w:cs="Times New Roman"/>
          <w:b/>
          <w:bCs/>
          <w:sz w:val="24"/>
          <w:szCs w:val="24"/>
          <w:lang w:eastAsia="id-ID"/>
        </w:rPr>
        <w:t>Buku</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Fuady, Munir. </w:t>
      </w:r>
      <w:r w:rsidRPr="002C4C75">
        <w:rPr>
          <w:rFonts w:ascii="Times New Roman" w:eastAsia="Times New Roman" w:hAnsi="Times New Roman" w:cs="Times New Roman"/>
          <w:i/>
          <w:iCs/>
          <w:sz w:val="24"/>
          <w:szCs w:val="24"/>
          <w:lang w:eastAsia="id-ID"/>
        </w:rPr>
        <w:t>Perbuatan Melawan Hukum: Pendekatan Kontemporer</w:t>
      </w:r>
      <w:r w:rsidRPr="002C4C75">
        <w:rPr>
          <w:rFonts w:ascii="Times New Roman" w:eastAsia="Times New Roman" w:hAnsi="Times New Roman" w:cs="Times New Roman"/>
          <w:sz w:val="24"/>
          <w:szCs w:val="24"/>
          <w:lang w:eastAsia="id-ID"/>
        </w:rPr>
        <w:t>. Bandung: Citra Aditya Bakti, 2017.</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Hadjon, Philipus M. </w:t>
      </w:r>
      <w:r w:rsidRPr="002C4C75">
        <w:rPr>
          <w:rFonts w:ascii="Times New Roman" w:eastAsia="Times New Roman" w:hAnsi="Times New Roman" w:cs="Times New Roman"/>
          <w:i/>
          <w:iCs/>
          <w:sz w:val="24"/>
          <w:szCs w:val="24"/>
          <w:lang w:eastAsia="id-ID"/>
        </w:rPr>
        <w:t>Pengantar Hukum Administrasi Indonesia</w:t>
      </w:r>
      <w:r w:rsidRPr="002C4C75">
        <w:rPr>
          <w:rFonts w:ascii="Times New Roman" w:eastAsia="Times New Roman" w:hAnsi="Times New Roman" w:cs="Times New Roman"/>
          <w:sz w:val="24"/>
          <w:szCs w:val="24"/>
          <w:lang w:eastAsia="id-ID"/>
        </w:rPr>
        <w:t>. Yogyakarta: Gadjah Mada University Press, 2019.</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Harahap, M. Yahya. </w:t>
      </w:r>
      <w:r w:rsidRPr="002C4C75">
        <w:rPr>
          <w:rFonts w:ascii="Times New Roman" w:eastAsia="Times New Roman" w:hAnsi="Times New Roman" w:cs="Times New Roman"/>
          <w:i/>
          <w:iCs/>
          <w:sz w:val="24"/>
          <w:szCs w:val="24"/>
          <w:lang w:eastAsia="id-ID"/>
        </w:rPr>
        <w:t>Hukum Perjanjian</w:t>
      </w:r>
      <w:r w:rsidRPr="002C4C75">
        <w:rPr>
          <w:rFonts w:ascii="Times New Roman" w:eastAsia="Times New Roman" w:hAnsi="Times New Roman" w:cs="Times New Roman"/>
          <w:sz w:val="24"/>
          <w:szCs w:val="24"/>
          <w:lang w:eastAsia="id-ID"/>
        </w:rPr>
        <w:t>. Jakarta: Sinar Grafika, 2016.</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Marzuki, Peter Mahmud. </w:t>
      </w:r>
      <w:r w:rsidRPr="002C4C75">
        <w:rPr>
          <w:rFonts w:ascii="Times New Roman" w:eastAsia="Times New Roman" w:hAnsi="Times New Roman" w:cs="Times New Roman"/>
          <w:i/>
          <w:iCs/>
          <w:sz w:val="24"/>
          <w:szCs w:val="24"/>
          <w:lang w:eastAsia="id-ID"/>
        </w:rPr>
        <w:t>Penelitian Hukum</w:t>
      </w:r>
      <w:r w:rsidRPr="002C4C75">
        <w:rPr>
          <w:rFonts w:ascii="Times New Roman" w:eastAsia="Times New Roman" w:hAnsi="Times New Roman" w:cs="Times New Roman"/>
          <w:sz w:val="24"/>
          <w:szCs w:val="24"/>
          <w:lang w:eastAsia="id-ID"/>
        </w:rPr>
        <w:t>. Jakarta: Kencana Prenada Media Group, 2021.</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Muhammad, Abdulkadir. </w:t>
      </w:r>
      <w:r w:rsidRPr="002C4C75">
        <w:rPr>
          <w:rFonts w:ascii="Times New Roman" w:eastAsia="Times New Roman" w:hAnsi="Times New Roman" w:cs="Times New Roman"/>
          <w:i/>
          <w:iCs/>
          <w:sz w:val="24"/>
          <w:szCs w:val="24"/>
          <w:lang w:eastAsia="id-ID"/>
        </w:rPr>
        <w:t>Hukum Perdata Indonesia</w:t>
      </w:r>
      <w:r w:rsidRPr="002C4C75">
        <w:rPr>
          <w:rFonts w:ascii="Times New Roman" w:eastAsia="Times New Roman" w:hAnsi="Times New Roman" w:cs="Times New Roman"/>
          <w:sz w:val="24"/>
          <w:szCs w:val="24"/>
          <w:lang w:eastAsia="id-ID"/>
        </w:rPr>
        <w:t>. Bandung: Citra Aditya Bakti, 2018.</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Prodjodikoro, Wirjono. </w:t>
      </w:r>
      <w:r w:rsidRPr="002C4C75">
        <w:rPr>
          <w:rFonts w:ascii="Times New Roman" w:eastAsia="Times New Roman" w:hAnsi="Times New Roman" w:cs="Times New Roman"/>
          <w:i/>
          <w:iCs/>
          <w:sz w:val="24"/>
          <w:szCs w:val="24"/>
          <w:lang w:eastAsia="id-ID"/>
        </w:rPr>
        <w:t>Asas-Asas Hukum Perdata</w:t>
      </w:r>
      <w:r w:rsidRPr="002C4C75">
        <w:rPr>
          <w:rFonts w:ascii="Times New Roman" w:eastAsia="Times New Roman" w:hAnsi="Times New Roman" w:cs="Times New Roman"/>
          <w:sz w:val="24"/>
          <w:szCs w:val="24"/>
          <w:lang w:eastAsia="id-ID"/>
        </w:rPr>
        <w:t>. Bandung: Sumur Bandung, 2014.</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Sjahdeini, Sutan Remy. </w:t>
      </w:r>
      <w:r w:rsidRPr="002C4C75">
        <w:rPr>
          <w:rFonts w:ascii="Times New Roman" w:eastAsia="Times New Roman" w:hAnsi="Times New Roman" w:cs="Times New Roman"/>
          <w:i/>
          <w:iCs/>
          <w:sz w:val="24"/>
          <w:szCs w:val="24"/>
          <w:lang w:eastAsia="id-ID"/>
        </w:rPr>
        <w:t>Kebebasan Berkontrak dan Perlindungan yang Seimbang bagi Para Pihak</w:t>
      </w:r>
      <w:r w:rsidRPr="002C4C75">
        <w:rPr>
          <w:rFonts w:ascii="Times New Roman" w:eastAsia="Times New Roman" w:hAnsi="Times New Roman" w:cs="Times New Roman"/>
          <w:sz w:val="24"/>
          <w:szCs w:val="24"/>
          <w:lang w:eastAsia="id-ID"/>
        </w:rPr>
        <w:t>. Jakarta: Pustaka Utama Grafiti, 2018.</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Subekti. </w:t>
      </w:r>
      <w:r w:rsidRPr="002C4C75">
        <w:rPr>
          <w:rFonts w:ascii="Times New Roman" w:eastAsia="Times New Roman" w:hAnsi="Times New Roman" w:cs="Times New Roman"/>
          <w:i/>
          <w:iCs/>
          <w:sz w:val="24"/>
          <w:szCs w:val="24"/>
          <w:lang w:eastAsia="id-ID"/>
        </w:rPr>
        <w:t>Hukum Perjanjian</w:t>
      </w:r>
      <w:r w:rsidRPr="002C4C75">
        <w:rPr>
          <w:rFonts w:ascii="Times New Roman" w:eastAsia="Times New Roman" w:hAnsi="Times New Roman" w:cs="Times New Roman"/>
          <w:sz w:val="24"/>
          <w:szCs w:val="24"/>
          <w:lang w:eastAsia="id-ID"/>
        </w:rPr>
        <w:t>. Jakarta: Intermasa, 2015.</w:t>
      </w:r>
    </w:p>
    <w:p w:rsidR="002C4C75" w:rsidRPr="002C4C75" w:rsidRDefault="007F565B" w:rsidP="002C4C75">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B</w:t>
      </w:r>
      <w:r w:rsidR="002C4C75" w:rsidRPr="002C4C75">
        <w:rPr>
          <w:rFonts w:ascii="Times New Roman" w:eastAsia="Times New Roman" w:hAnsi="Times New Roman" w:cs="Times New Roman"/>
          <w:b/>
          <w:bCs/>
          <w:sz w:val="24"/>
          <w:szCs w:val="24"/>
          <w:lang w:eastAsia="id-ID"/>
        </w:rPr>
        <w:t xml:space="preserve">. </w:t>
      </w:r>
      <w:r w:rsidR="002C4C75">
        <w:rPr>
          <w:rFonts w:ascii="Times New Roman" w:eastAsia="Times New Roman" w:hAnsi="Times New Roman" w:cs="Times New Roman"/>
          <w:b/>
          <w:bCs/>
          <w:sz w:val="24"/>
          <w:szCs w:val="24"/>
          <w:lang w:eastAsia="id-ID"/>
        </w:rPr>
        <w:tab/>
      </w:r>
      <w:r w:rsidR="002C4C75" w:rsidRPr="002C4C75">
        <w:rPr>
          <w:rFonts w:ascii="Times New Roman" w:eastAsia="Times New Roman" w:hAnsi="Times New Roman" w:cs="Times New Roman"/>
          <w:b/>
          <w:bCs/>
          <w:sz w:val="24"/>
          <w:szCs w:val="24"/>
          <w:lang w:eastAsia="id-ID"/>
        </w:rPr>
        <w:t>Peraturan Perundang-Undangan</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Indonesia. Kitab Undang-Undang Hukum Perdata (Burgerlijk Wetboek).</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Indonesia. Peraturan Menteri Keuangan Nomor 113/PMK.05/2012 tentang Pola Pengelolaan Keuangan Badan Layanan Umum.</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lastRenderedPageBreak/>
        <w:t>Indonesia. Peraturan Pemerintah Nomor 23 Tahun 2005 tentang Pengelolaan Keuangan Badan Layanan Umum sebagaimana telah diubah dengan Peraturan Pemerintah Nomor 74 Tahun 2012.</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Indonesia. Peraturan Presiden Nomor 61 Tahun 2015 tentang Penghimpunan dan Penggunaan Dana Perkebunan Kelapa Sawit sebagaimana telah diubah dengan Peraturan Presiden Nomor 66 Tahun 2018.</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Indonesia. Undang-Undang Dasar Negara Republik Indonesia Tahun 1945.</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Indonesia. Undang-Undang Nomor 1 Tahun 2004 tentang Perbendaharaan Negara (Lembaran Negara Republik Indonesia Tahun 2004 Nomor 5, Tambahan Lembaran Negara Republik Indonesia Nomor 4355).</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Indonesia. Undang-Undang Nomor 17 Tahun 2003 tentang Keuangan Negara (Lembaran Negara Republik Indonesia Tahun 2003 Nomor 47, Tambahan Lembaran Negara Republik Indonesia Nomor 4286).</w:t>
      </w:r>
    </w:p>
    <w:p w:rsidR="00BD12E7" w:rsidRPr="002C4C75" w:rsidRDefault="00BD12E7" w:rsidP="00BD12E7">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Indonesia. Undang-Undang Nomor 39 Tahun 2014 tentang Perkebunan (Lembaran Negara Republik Indonesia Tahun 2014 Nomor 308, Tambahan Lembaran Negara Republik Indonesia Nomor 5613).</w:t>
      </w:r>
    </w:p>
    <w:p w:rsidR="002C4C75" w:rsidRPr="002C4C75" w:rsidRDefault="002C4C75" w:rsidP="007F565B">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sidRPr="002C4C75">
        <w:rPr>
          <w:rFonts w:ascii="Times New Roman" w:eastAsia="Times New Roman" w:hAnsi="Times New Roman" w:cs="Times New Roman"/>
          <w:b/>
          <w:bCs/>
          <w:sz w:val="24"/>
          <w:szCs w:val="24"/>
          <w:lang w:eastAsia="id-ID"/>
        </w:rPr>
        <w:t xml:space="preserve">C. </w:t>
      </w:r>
      <w:r w:rsidR="007F565B">
        <w:rPr>
          <w:rFonts w:ascii="Times New Roman" w:eastAsia="Times New Roman" w:hAnsi="Times New Roman" w:cs="Times New Roman"/>
          <w:b/>
          <w:bCs/>
          <w:sz w:val="24"/>
          <w:szCs w:val="24"/>
          <w:lang w:eastAsia="id-ID"/>
        </w:rPr>
        <w:tab/>
      </w:r>
      <w:r w:rsidRPr="002C4C75">
        <w:rPr>
          <w:rFonts w:ascii="Times New Roman" w:eastAsia="Times New Roman" w:hAnsi="Times New Roman" w:cs="Times New Roman"/>
          <w:b/>
          <w:bCs/>
          <w:sz w:val="24"/>
          <w:szCs w:val="24"/>
          <w:lang w:eastAsia="id-ID"/>
        </w:rPr>
        <w:t>Jurnal Ilmiah</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Arianto, Henry. “Tanggung Jawab Hukum dalam Pengelolaan Keuangan Negara.” </w:t>
      </w:r>
      <w:r w:rsidRPr="002C4C75">
        <w:rPr>
          <w:rFonts w:ascii="Times New Roman" w:eastAsia="Times New Roman" w:hAnsi="Times New Roman" w:cs="Times New Roman"/>
          <w:i/>
          <w:iCs/>
          <w:sz w:val="24"/>
          <w:szCs w:val="24"/>
          <w:lang w:eastAsia="id-ID"/>
        </w:rPr>
        <w:t>Jurnal Hukum dan Pembangunan</w:t>
      </w:r>
      <w:r w:rsidRPr="002C4C75">
        <w:rPr>
          <w:rFonts w:ascii="Times New Roman" w:eastAsia="Times New Roman" w:hAnsi="Times New Roman" w:cs="Times New Roman"/>
          <w:sz w:val="24"/>
          <w:szCs w:val="24"/>
          <w:lang w:eastAsia="id-ID"/>
        </w:rPr>
        <w:t>, Vol. 48 No. 2 (2018).</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Fauzan, M. “Kedudukan Badan Layanan Umum dalam Sistem Keuangan Negara.” </w:t>
      </w:r>
      <w:r w:rsidRPr="002C4C75">
        <w:rPr>
          <w:rFonts w:ascii="Times New Roman" w:eastAsia="Times New Roman" w:hAnsi="Times New Roman" w:cs="Times New Roman"/>
          <w:i/>
          <w:iCs/>
          <w:sz w:val="24"/>
          <w:szCs w:val="24"/>
          <w:lang w:eastAsia="id-ID"/>
        </w:rPr>
        <w:t>Jurnal Legislasi Indonesia</w:t>
      </w:r>
      <w:r w:rsidRPr="002C4C75">
        <w:rPr>
          <w:rFonts w:ascii="Times New Roman" w:eastAsia="Times New Roman" w:hAnsi="Times New Roman" w:cs="Times New Roman"/>
          <w:sz w:val="24"/>
          <w:szCs w:val="24"/>
          <w:lang w:eastAsia="id-ID"/>
        </w:rPr>
        <w:t>, Vol. 15 No. 3 (2018).</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Rahardjo, Satjipto. “Hukum Progresif dan Tanggung Jawab Negara.” </w:t>
      </w:r>
      <w:r w:rsidRPr="002C4C75">
        <w:rPr>
          <w:rFonts w:ascii="Times New Roman" w:eastAsia="Times New Roman" w:hAnsi="Times New Roman" w:cs="Times New Roman"/>
          <w:i/>
          <w:iCs/>
          <w:sz w:val="24"/>
          <w:szCs w:val="24"/>
          <w:lang w:eastAsia="id-ID"/>
        </w:rPr>
        <w:t>Jurnal Hukum IUS QUIA IUSTUM</w:t>
      </w:r>
      <w:r w:rsidRPr="002C4C75">
        <w:rPr>
          <w:rFonts w:ascii="Times New Roman" w:eastAsia="Times New Roman" w:hAnsi="Times New Roman" w:cs="Times New Roman"/>
          <w:sz w:val="24"/>
          <w:szCs w:val="24"/>
          <w:lang w:eastAsia="id-ID"/>
        </w:rPr>
        <w:t>, Vol. 17 No. 3 (2010).</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lastRenderedPageBreak/>
        <w:t xml:space="preserve">Siregar, Taufik. “Pertanggungjawaban Perdata Badan Layanan Umum dalam Pengelolaan Dana Publik.” </w:t>
      </w:r>
      <w:r w:rsidRPr="002C4C75">
        <w:rPr>
          <w:rFonts w:ascii="Times New Roman" w:eastAsia="Times New Roman" w:hAnsi="Times New Roman" w:cs="Times New Roman"/>
          <w:i/>
          <w:iCs/>
          <w:sz w:val="24"/>
          <w:szCs w:val="24"/>
          <w:lang w:eastAsia="id-ID"/>
        </w:rPr>
        <w:t>Jurnal RechtsVinding</w:t>
      </w:r>
      <w:r w:rsidRPr="002C4C75">
        <w:rPr>
          <w:rFonts w:ascii="Times New Roman" w:eastAsia="Times New Roman" w:hAnsi="Times New Roman" w:cs="Times New Roman"/>
          <w:sz w:val="24"/>
          <w:szCs w:val="24"/>
          <w:lang w:eastAsia="id-ID"/>
        </w:rPr>
        <w:t>, Vol. 9 No. 1 (2020).</w:t>
      </w:r>
    </w:p>
    <w:p w:rsidR="007F565B" w:rsidRPr="002C4C75" w:rsidRDefault="007F565B" w:rsidP="007F565B">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Wahyuni, Sri. “Aspek Hukum Perjanjian dalam Penyaluran Dana Publik.” </w:t>
      </w:r>
      <w:r w:rsidRPr="002C4C75">
        <w:rPr>
          <w:rFonts w:ascii="Times New Roman" w:eastAsia="Times New Roman" w:hAnsi="Times New Roman" w:cs="Times New Roman"/>
          <w:i/>
          <w:iCs/>
          <w:sz w:val="24"/>
          <w:szCs w:val="24"/>
          <w:lang w:eastAsia="id-ID"/>
        </w:rPr>
        <w:t>Jurnal Ilmu Hukum</w:t>
      </w:r>
      <w:r w:rsidRPr="002C4C75">
        <w:rPr>
          <w:rFonts w:ascii="Times New Roman" w:eastAsia="Times New Roman" w:hAnsi="Times New Roman" w:cs="Times New Roman"/>
          <w:sz w:val="24"/>
          <w:szCs w:val="24"/>
          <w:lang w:eastAsia="id-ID"/>
        </w:rPr>
        <w:t>, Vol. 6 No. 2 (2019).</w:t>
      </w:r>
    </w:p>
    <w:p w:rsidR="002C4C75" w:rsidRPr="002C4C75" w:rsidRDefault="002C4C75" w:rsidP="008E4A52">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sidRPr="002C4C75">
        <w:rPr>
          <w:rFonts w:ascii="Times New Roman" w:eastAsia="Times New Roman" w:hAnsi="Times New Roman" w:cs="Times New Roman"/>
          <w:b/>
          <w:bCs/>
          <w:sz w:val="24"/>
          <w:szCs w:val="24"/>
          <w:lang w:eastAsia="id-ID"/>
        </w:rPr>
        <w:t xml:space="preserve">D. </w:t>
      </w:r>
      <w:r w:rsidR="008E4A52">
        <w:rPr>
          <w:rFonts w:ascii="Times New Roman" w:eastAsia="Times New Roman" w:hAnsi="Times New Roman" w:cs="Times New Roman"/>
          <w:b/>
          <w:bCs/>
          <w:sz w:val="24"/>
          <w:szCs w:val="24"/>
          <w:lang w:eastAsia="id-ID"/>
        </w:rPr>
        <w:tab/>
      </w:r>
      <w:r w:rsidRPr="002C4C75">
        <w:rPr>
          <w:rFonts w:ascii="Times New Roman" w:eastAsia="Times New Roman" w:hAnsi="Times New Roman" w:cs="Times New Roman"/>
          <w:b/>
          <w:bCs/>
          <w:sz w:val="24"/>
          <w:szCs w:val="24"/>
          <w:lang w:eastAsia="id-ID"/>
        </w:rPr>
        <w:t>Sumber Institusional dan Laporan</w:t>
      </w:r>
    </w:p>
    <w:p w:rsidR="008E4A52" w:rsidRPr="002C4C75" w:rsidRDefault="008E4A52" w:rsidP="008E4A52">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Badan Pemeriksa Keuangan Republik Indonesia. </w:t>
      </w:r>
      <w:r w:rsidRPr="002C4C75">
        <w:rPr>
          <w:rFonts w:ascii="Times New Roman" w:eastAsia="Times New Roman" w:hAnsi="Times New Roman" w:cs="Times New Roman"/>
          <w:i/>
          <w:iCs/>
          <w:sz w:val="24"/>
          <w:szCs w:val="24"/>
          <w:lang w:eastAsia="id-ID"/>
        </w:rPr>
        <w:t>Ikhtisar Hasil Pemeriksaan Semester</w:t>
      </w:r>
      <w:r w:rsidRPr="002C4C75">
        <w:rPr>
          <w:rFonts w:ascii="Times New Roman" w:eastAsia="Times New Roman" w:hAnsi="Times New Roman" w:cs="Times New Roman"/>
          <w:sz w:val="24"/>
          <w:szCs w:val="24"/>
          <w:lang w:eastAsia="id-ID"/>
        </w:rPr>
        <w:t>. Jakarta: BPK RI, berbagai tahun.</w:t>
      </w:r>
    </w:p>
    <w:p w:rsidR="008E4A52" w:rsidRPr="002C4C75" w:rsidRDefault="008E4A52" w:rsidP="008E4A52">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Badan Pengelola Dana Perkebunan Kelapa Sawit (BPDPKS). </w:t>
      </w:r>
      <w:r w:rsidRPr="002C4C75">
        <w:rPr>
          <w:rFonts w:ascii="Times New Roman" w:eastAsia="Times New Roman" w:hAnsi="Times New Roman" w:cs="Times New Roman"/>
          <w:i/>
          <w:iCs/>
          <w:sz w:val="24"/>
          <w:szCs w:val="24"/>
          <w:lang w:eastAsia="id-ID"/>
        </w:rPr>
        <w:t>Pedoman Pelaksanaan Program Peremajaan Sawit Rakyat</w:t>
      </w:r>
      <w:r w:rsidRPr="002C4C75">
        <w:rPr>
          <w:rFonts w:ascii="Times New Roman" w:eastAsia="Times New Roman" w:hAnsi="Times New Roman" w:cs="Times New Roman"/>
          <w:sz w:val="24"/>
          <w:szCs w:val="24"/>
          <w:lang w:eastAsia="id-ID"/>
        </w:rPr>
        <w:t>. Jakarta: BPDPKS, 2022.</w:t>
      </w:r>
    </w:p>
    <w:p w:rsidR="008E4A52" w:rsidRPr="002C4C75" w:rsidRDefault="008E4A52" w:rsidP="008E4A52">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C4C75">
        <w:rPr>
          <w:rFonts w:ascii="Times New Roman" w:eastAsia="Times New Roman" w:hAnsi="Times New Roman" w:cs="Times New Roman"/>
          <w:sz w:val="24"/>
          <w:szCs w:val="24"/>
          <w:lang w:eastAsia="id-ID"/>
        </w:rPr>
        <w:t xml:space="preserve">Kementerian Keuangan Republik Indonesia. </w:t>
      </w:r>
      <w:r w:rsidRPr="002C4C75">
        <w:rPr>
          <w:rFonts w:ascii="Times New Roman" w:eastAsia="Times New Roman" w:hAnsi="Times New Roman" w:cs="Times New Roman"/>
          <w:i/>
          <w:iCs/>
          <w:sz w:val="24"/>
          <w:szCs w:val="24"/>
          <w:lang w:eastAsia="id-ID"/>
        </w:rPr>
        <w:t>Kebijakan Pengelolaan Keuangan Badan Layanan Umum</w:t>
      </w:r>
      <w:r w:rsidRPr="002C4C75">
        <w:rPr>
          <w:rFonts w:ascii="Times New Roman" w:eastAsia="Times New Roman" w:hAnsi="Times New Roman" w:cs="Times New Roman"/>
          <w:sz w:val="24"/>
          <w:szCs w:val="24"/>
          <w:lang w:eastAsia="id-ID"/>
        </w:rPr>
        <w:t>. Jakarta: Kemenkeu RI, 2021.</w:t>
      </w:r>
    </w:p>
    <w:sectPr w:rsidR="008E4A52" w:rsidRPr="002C4C75" w:rsidSect="002166A5">
      <w:headerReference w:type="default" r:id="rId8"/>
      <w:footerReference w:type="default" r:id="rId9"/>
      <w:pgSz w:w="11906" w:h="16838" w:code="9"/>
      <w:pgMar w:top="2268"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48" w:rsidRDefault="00EA1148" w:rsidP="002166A5">
      <w:pPr>
        <w:spacing w:after="0" w:line="240" w:lineRule="auto"/>
      </w:pPr>
      <w:r>
        <w:separator/>
      </w:r>
    </w:p>
  </w:endnote>
  <w:endnote w:type="continuationSeparator" w:id="0">
    <w:p w:rsidR="00EA1148" w:rsidRDefault="00EA1148" w:rsidP="0021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5" w:rsidRDefault="002166A5">
    <w:pPr>
      <w:pStyle w:val="Footer"/>
      <w:jc w:val="right"/>
    </w:pPr>
  </w:p>
  <w:p w:rsidR="002166A5" w:rsidRDefault="00216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48" w:rsidRDefault="00EA1148" w:rsidP="002166A5">
      <w:pPr>
        <w:spacing w:after="0" w:line="240" w:lineRule="auto"/>
      </w:pPr>
      <w:r>
        <w:separator/>
      </w:r>
    </w:p>
  </w:footnote>
  <w:footnote w:type="continuationSeparator" w:id="0">
    <w:p w:rsidR="00EA1148" w:rsidRDefault="00EA1148" w:rsidP="00216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266215"/>
      <w:docPartObj>
        <w:docPartGallery w:val="Page Numbers (Top of Page)"/>
        <w:docPartUnique/>
      </w:docPartObj>
    </w:sdtPr>
    <w:sdtEndPr>
      <w:rPr>
        <w:rFonts w:ascii="Times New Roman" w:hAnsi="Times New Roman" w:cs="Times New Roman"/>
        <w:noProof/>
        <w:sz w:val="24"/>
      </w:rPr>
    </w:sdtEndPr>
    <w:sdtContent>
      <w:p w:rsidR="002166A5" w:rsidRPr="002166A5" w:rsidRDefault="002166A5">
        <w:pPr>
          <w:pStyle w:val="Header"/>
          <w:jc w:val="right"/>
          <w:rPr>
            <w:rFonts w:ascii="Times New Roman" w:hAnsi="Times New Roman" w:cs="Times New Roman"/>
            <w:sz w:val="24"/>
          </w:rPr>
        </w:pPr>
        <w:r w:rsidRPr="002166A5">
          <w:rPr>
            <w:rFonts w:ascii="Times New Roman" w:hAnsi="Times New Roman" w:cs="Times New Roman"/>
            <w:sz w:val="24"/>
          </w:rPr>
          <w:fldChar w:fldCharType="begin"/>
        </w:r>
        <w:r w:rsidRPr="002166A5">
          <w:rPr>
            <w:rFonts w:ascii="Times New Roman" w:hAnsi="Times New Roman" w:cs="Times New Roman"/>
            <w:sz w:val="24"/>
          </w:rPr>
          <w:instrText xml:space="preserve"> PAGE   \* MERGEFORMAT </w:instrText>
        </w:r>
        <w:r w:rsidRPr="002166A5">
          <w:rPr>
            <w:rFonts w:ascii="Times New Roman" w:hAnsi="Times New Roman" w:cs="Times New Roman"/>
            <w:sz w:val="24"/>
          </w:rPr>
          <w:fldChar w:fldCharType="separate"/>
        </w:r>
        <w:r w:rsidR="00057D66">
          <w:rPr>
            <w:rFonts w:ascii="Times New Roman" w:hAnsi="Times New Roman" w:cs="Times New Roman"/>
            <w:noProof/>
            <w:sz w:val="24"/>
          </w:rPr>
          <w:t>13</w:t>
        </w:r>
        <w:r w:rsidRPr="002166A5">
          <w:rPr>
            <w:rFonts w:ascii="Times New Roman" w:hAnsi="Times New Roman" w:cs="Times New Roman"/>
            <w:noProof/>
            <w:sz w:val="24"/>
          </w:rPr>
          <w:fldChar w:fldCharType="end"/>
        </w:r>
      </w:p>
    </w:sdtContent>
  </w:sdt>
  <w:p w:rsidR="002166A5" w:rsidRDefault="002166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91"/>
    <w:rsid w:val="00057D66"/>
    <w:rsid w:val="000B3AA8"/>
    <w:rsid w:val="002166A5"/>
    <w:rsid w:val="002C4C75"/>
    <w:rsid w:val="004F4D91"/>
    <w:rsid w:val="0066642D"/>
    <w:rsid w:val="006A01DF"/>
    <w:rsid w:val="007C578F"/>
    <w:rsid w:val="007F565B"/>
    <w:rsid w:val="008E4A52"/>
    <w:rsid w:val="00A943C6"/>
    <w:rsid w:val="00B02851"/>
    <w:rsid w:val="00BD12E7"/>
    <w:rsid w:val="00EA1148"/>
    <w:rsid w:val="00EA51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4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4F4D9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4F4D91"/>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D91"/>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4F4D91"/>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4F4D91"/>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4F4D9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F4D91"/>
    <w:rPr>
      <w:b/>
      <w:bCs/>
    </w:rPr>
  </w:style>
  <w:style w:type="paragraph" w:styleId="Header">
    <w:name w:val="header"/>
    <w:basedOn w:val="Normal"/>
    <w:link w:val="HeaderChar"/>
    <w:uiPriority w:val="99"/>
    <w:unhideWhenUsed/>
    <w:rsid w:val="00216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6A5"/>
  </w:style>
  <w:style w:type="paragraph" w:styleId="Footer">
    <w:name w:val="footer"/>
    <w:basedOn w:val="Normal"/>
    <w:link w:val="FooterChar"/>
    <w:uiPriority w:val="99"/>
    <w:unhideWhenUsed/>
    <w:rsid w:val="00216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6A5"/>
  </w:style>
  <w:style w:type="paragraph" w:styleId="BalloonText">
    <w:name w:val="Balloon Text"/>
    <w:basedOn w:val="Normal"/>
    <w:link w:val="BalloonTextChar"/>
    <w:uiPriority w:val="99"/>
    <w:semiHidden/>
    <w:unhideWhenUsed/>
    <w:rsid w:val="00EA5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182"/>
    <w:rPr>
      <w:rFonts w:ascii="Tahoma" w:hAnsi="Tahoma" w:cs="Tahoma"/>
      <w:sz w:val="16"/>
      <w:szCs w:val="16"/>
    </w:rPr>
  </w:style>
  <w:style w:type="character" w:styleId="Emphasis">
    <w:name w:val="Emphasis"/>
    <w:basedOn w:val="DefaultParagraphFont"/>
    <w:uiPriority w:val="20"/>
    <w:qFormat/>
    <w:rsid w:val="002C4C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4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4F4D9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4F4D91"/>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D91"/>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4F4D91"/>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4F4D91"/>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4F4D9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F4D91"/>
    <w:rPr>
      <w:b/>
      <w:bCs/>
    </w:rPr>
  </w:style>
  <w:style w:type="paragraph" w:styleId="Header">
    <w:name w:val="header"/>
    <w:basedOn w:val="Normal"/>
    <w:link w:val="HeaderChar"/>
    <w:uiPriority w:val="99"/>
    <w:unhideWhenUsed/>
    <w:rsid w:val="00216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6A5"/>
  </w:style>
  <w:style w:type="paragraph" w:styleId="Footer">
    <w:name w:val="footer"/>
    <w:basedOn w:val="Normal"/>
    <w:link w:val="FooterChar"/>
    <w:uiPriority w:val="99"/>
    <w:unhideWhenUsed/>
    <w:rsid w:val="00216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6A5"/>
  </w:style>
  <w:style w:type="paragraph" w:styleId="BalloonText">
    <w:name w:val="Balloon Text"/>
    <w:basedOn w:val="Normal"/>
    <w:link w:val="BalloonTextChar"/>
    <w:uiPriority w:val="99"/>
    <w:semiHidden/>
    <w:unhideWhenUsed/>
    <w:rsid w:val="00EA5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182"/>
    <w:rPr>
      <w:rFonts w:ascii="Tahoma" w:hAnsi="Tahoma" w:cs="Tahoma"/>
      <w:sz w:val="16"/>
      <w:szCs w:val="16"/>
    </w:rPr>
  </w:style>
  <w:style w:type="character" w:styleId="Emphasis">
    <w:name w:val="Emphasis"/>
    <w:basedOn w:val="DefaultParagraphFont"/>
    <w:uiPriority w:val="20"/>
    <w:qFormat/>
    <w:rsid w:val="002C4C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7916">
      <w:bodyDiv w:val="1"/>
      <w:marLeft w:val="0"/>
      <w:marRight w:val="0"/>
      <w:marTop w:val="0"/>
      <w:marBottom w:val="0"/>
      <w:divBdr>
        <w:top w:val="none" w:sz="0" w:space="0" w:color="auto"/>
        <w:left w:val="none" w:sz="0" w:space="0" w:color="auto"/>
        <w:bottom w:val="none" w:sz="0" w:space="0" w:color="auto"/>
        <w:right w:val="none" w:sz="0" w:space="0" w:color="auto"/>
      </w:divBdr>
    </w:div>
    <w:div w:id="51780631">
      <w:bodyDiv w:val="1"/>
      <w:marLeft w:val="0"/>
      <w:marRight w:val="0"/>
      <w:marTop w:val="0"/>
      <w:marBottom w:val="0"/>
      <w:divBdr>
        <w:top w:val="none" w:sz="0" w:space="0" w:color="auto"/>
        <w:left w:val="none" w:sz="0" w:space="0" w:color="auto"/>
        <w:bottom w:val="none" w:sz="0" w:space="0" w:color="auto"/>
        <w:right w:val="none" w:sz="0" w:space="0" w:color="auto"/>
      </w:divBdr>
    </w:div>
    <w:div w:id="318272731">
      <w:bodyDiv w:val="1"/>
      <w:marLeft w:val="0"/>
      <w:marRight w:val="0"/>
      <w:marTop w:val="0"/>
      <w:marBottom w:val="0"/>
      <w:divBdr>
        <w:top w:val="none" w:sz="0" w:space="0" w:color="auto"/>
        <w:left w:val="none" w:sz="0" w:space="0" w:color="auto"/>
        <w:bottom w:val="none" w:sz="0" w:space="0" w:color="auto"/>
        <w:right w:val="none" w:sz="0" w:space="0" w:color="auto"/>
      </w:divBdr>
      <w:divsChild>
        <w:div w:id="1580140255">
          <w:marLeft w:val="0"/>
          <w:marRight w:val="0"/>
          <w:marTop w:val="0"/>
          <w:marBottom w:val="0"/>
          <w:divBdr>
            <w:top w:val="none" w:sz="0" w:space="0" w:color="auto"/>
            <w:left w:val="none" w:sz="0" w:space="0" w:color="auto"/>
            <w:bottom w:val="none" w:sz="0" w:space="0" w:color="auto"/>
            <w:right w:val="none" w:sz="0" w:space="0" w:color="auto"/>
          </w:divBdr>
          <w:divsChild>
            <w:div w:id="1836267106">
              <w:marLeft w:val="0"/>
              <w:marRight w:val="0"/>
              <w:marTop w:val="0"/>
              <w:marBottom w:val="0"/>
              <w:divBdr>
                <w:top w:val="none" w:sz="0" w:space="0" w:color="auto"/>
                <w:left w:val="none" w:sz="0" w:space="0" w:color="auto"/>
                <w:bottom w:val="none" w:sz="0" w:space="0" w:color="auto"/>
                <w:right w:val="none" w:sz="0" w:space="0" w:color="auto"/>
              </w:divBdr>
              <w:divsChild>
                <w:div w:id="1651591286">
                  <w:marLeft w:val="0"/>
                  <w:marRight w:val="0"/>
                  <w:marTop w:val="0"/>
                  <w:marBottom w:val="0"/>
                  <w:divBdr>
                    <w:top w:val="none" w:sz="0" w:space="0" w:color="auto"/>
                    <w:left w:val="none" w:sz="0" w:space="0" w:color="auto"/>
                    <w:bottom w:val="none" w:sz="0" w:space="0" w:color="auto"/>
                    <w:right w:val="none" w:sz="0" w:space="0" w:color="auto"/>
                  </w:divBdr>
                  <w:divsChild>
                    <w:div w:id="103809527">
                      <w:marLeft w:val="0"/>
                      <w:marRight w:val="0"/>
                      <w:marTop w:val="0"/>
                      <w:marBottom w:val="0"/>
                      <w:divBdr>
                        <w:top w:val="none" w:sz="0" w:space="0" w:color="auto"/>
                        <w:left w:val="none" w:sz="0" w:space="0" w:color="auto"/>
                        <w:bottom w:val="none" w:sz="0" w:space="0" w:color="auto"/>
                        <w:right w:val="none" w:sz="0" w:space="0" w:color="auto"/>
                      </w:divBdr>
                      <w:divsChild>
                        <w:div w:id="1421835673">
                          <w:marLeft w:val="0"/>
                          <w:marRight w:val="0"/>
                          <w:marTop w:val="0"/>
                          <w:marBottom w:val="0"/>
                          <w:divBdr>
                            <w:top w:val="none" w:sz="0" w:space="0" w:color="auto"/>
                            <w:left w:val="none" w:sz="0" w:space="0" w:color="auto"/>
                            <w:bottom w:val="none" w:sz="0" w:space="0" w:color="auto"/>
                            <w:right w:val="none" w:sz="0" w:space="0" w:color="auto"/>
                          </w:divBdr>
                          <w:divsChild>
                            <w:div w:id="715854598">
                              <w:marLeft w:val="0"/>
                              <w:marRight w:val="0"/>
                              <w:marTop w:val="0"/>
                              <w:marBottom w:val="0"/>
                              <w:divBdr>
                                <w:top w:val="none" w:sz="0" w:space="0" w:color="auto"/>
                                <w:left w:val="none" w:sz="0" w:space="0" w:color="auto"/>
                                <w:bottom w:val="none" w:sz="0" w:space="0" w:color="auto"/>
                                <w:right w:val="none" w:sz="0" w:space="0" w:color="auto"/>
                              </w:divBdr>
                              <w:divsChild>
                                <w:div w:id="18092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363531">
      <w:bodyDiv w:val="1"/>
      <w:marLeft w:val="0"/>
      <w:marRight w:val="0"/>
      <w:marTop w:val="0"/>
      <w:marBottom w:val="0"/>
      <w:divBdr>
        <w:top w:val="none" w:sz="0" w:space="0" w:color="auto"/>
        <w:left w:val="none" w:sz="0" w:space="0" w:color="auto"/>
        <w:bottom w:val="none" w:sz="0" w:space="0" w:color="auto"/>
        <w:right w:val="none" w:sz="0" w:space="0" w:color="auto"/>
      </w:divBdr>
    </w:div>
    <w:div w:id="1841432783">
      <w:bodyDiv w:val="1"/>
      <w:marLeft w:val="0"/>
      <w:marRight w:val="0"/>
      <w:marTop w:val="0"/>
      <w:marBottom w:val="0"/>
      <w:divBdr>
        <w:top w:val="none" w:sz="0" w:space="0" w:color="auto"/>
        <w:left w:val="none" w:sz="0" w:space="0" w:color="auto"/>
        <w:bottom w:val="none" w:sz="0" w:space="0" w:color="auto"/>
        <w:right w:val="none" w:sz="0" w:space="0" w:color="auto"/>
      </w:divBdr>
      <w:divsChild>
        <w:div w:id="1490756463">
          <w:marLeft w:val="0"/>
          <w:marRight w:val="0"/>
          <w:marTop w:val="0"/>
          <w:marBottom w:val="0"/>
          <w:divBdr>
            <w:top w:val="none" w:sz="0" w:space="0" w:color="auto"/>
            <w:left w:val="none" w:sz="0" w:space="0" w:color="auto"/>
            <w:bottom w:val="none" w:sz="0" w:space="0" w:color="auto"/>
            <w:right w:val="none" w:sz="0" w:space="0" w:color="auto"/>
          </w:divBdr>
          <w:divsChild>
            <w:div w:id="667446972">
              <w:marLeft w:val="0"/>
              <w:marRight w:val="0"/>
              <w:marTop w:val="0"/>
              <w:marBottom w:val="0"/>
              <w:divBdr>
                <w:top w:val="none" w:sz="0" w:space="0" w:color="auto"/>
                <w:left w:val="none" w:sz="0" w:space="0" w:color="auto"/>
                <w:bottom w:val="none" w:sz="0" w:space="0" w:color="auto"/>
                <w:right w:val="none" w:sz="0" w:space="0" w:color="auto"/>
              </w:divBdr>
              <w:divsChild>
                <w:div w:id="776097181">
                  <w:marLeft w:val="0"/>
                  <w:marRight w:val="0"/>
                  <w:marTop w:val="0"/>
                  <w:marBottom w:val="0"/>
                  <w:divBdr>
                    <w:top w:val="none" w:sz="0" w:space="0" w:color="auto"/>
                    <w:left w:val="none" w:sz="0" w:space="0" w:color="auto"/>
                    <w:bottom w:val="none" w:sz="0" w:space="0" w:color="auto"/>
                    <w:right w:val="none" w:sz="0" w:space="0" w:color="auto"/>
                  </w:divBdr>
                  <w:divsChild>
                    <w:div w:id="1587031371">
                      <w:marLeft w:val="0"/>
                      <w:marRight w:val="0"/>
                      <w:marTop w:val="0"/>
                      <w:marBottom w:val="0"/>
                      <w:divBdr>
                        <w:top w:val="none" w:sz="0" w:space="0" w:color="auto"/>
                        <w:left w:val="none" w:sz="0" w:space="0" w:color="auto"/>
                        <w:bottom w:val="none" w:sz="0" w:space="0" w:color="auto"/>
                        <w:right w:val="none" w:sz="0" w:space="0" w:color="auto"/>
                      </w:divBdr>
                      <w:divsChild>
                        <w:div w:id="511535020">
                          <w:marLeft w:val="0"/>
                          <w:marRight w:val="0"/>
                          <w:marTop w:val="0"/>
                          <w:marBottom w:val="0"/>
                          <w:divBdr>
                            <w:top w:val="none" w:sz="0" w:space="0" w:color="auto"/>
                            <w:left w:val="none" w:sz="0" w:space="0" w:color="auto"/>
                            <w:bottom w:val="none" w:sz="0" w:space="0" w:color="auto"/>
                            <w:right w:val="none" w:sz="0" w:space="0" w:color="auto"/>
                          </w:divBdr>
                          <w:divsChild>
                            <w:div w:id="192500102">
                              <w:marLeft w:val="0"/>
                              <w:marRight w:val="0"/>
                              <w:marTop w:val="0"/>
                              <w:marBottom w:val="0"/>
                              <w:divBdr>
                                <w:top w:val="none" w:sz="0" w:space="0" w:color="auto"/>
                                <w:left w:val="none" w:sz="0" w:space="0" w:color="auto"/>
                                <w:bottom w:val="none" w:sz="0" w:space="0" w:color="auto"/>
                                <w:right w:val="none" w:sz="0" w:space="0" w:color="auto"/>
                              </w:divBdr>
                              <w:divsChild>
                                <w:div w:id="286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0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2025-12-16T03:26:00Z</dcterms:created>
  <dcterms:modified xsi:type="dcterms:W3CDTF">2025-12-16T04:17:00Z</dcterms:modified>
</cp:coreProperties>
</file>