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10" w:rsidRDefault="00E77B10" w:rsidP="00E77B10">
      <w:pPr>
        <w:spacing w:after="0" w:line="360" w:lineRule="auto"/>
        <w:jc w:val="center"/>
        <w:rPr>
          <w:rFonts w:ascii="Times New Roman" w:hAnsi="Times New Roman" w:cs="Times New Roman"/>
          <w:b/>
          <w:sz w:val="24"/>
          <w:szCs w:val="24"/>
          <w:lang w:val="id-ID"/>
        </w:rPr>
      </w:pPr>
      <w:bookmarkStart w:id="0" w:name="_Hlk199873487"/>
    </w:p>
    <w:p w:rsidR="00E77B10" w:rsidRDefault="00E77B10" w:rsidP="00E77B10">
      <w:pPr>
        <w:spacing w:after="0" w:line="360" w:lineRule="auto"/>
        <w:jc w:val="center"/>
        <w:rPr>
          <w:rFonts w:ascii="Times New Roman" w:hAnsi="Times New Roman" w:cs="Times New Roman"/>
          <w:b/>
          <w:sz w:val="24"/>
          <w:szCs w:val="24"/>
          <w:lang w:val="id-ID"/>
        </w:rPr>
      </w:pPr>
    </w:p>
    <w:p w:rsidR="00E77B10" w:rsidRDefault="00E77B10" w:rsidP="00E77B10">
      <w:pPr>
        <w:spacing w:after="0" w:line="360" w:lineRule="auto"/>
        <w:jc w:val="center"/>
        <w:rPr>
          <w:rFonts w:ascii="Times New Roman" w:hAnsi="Times New Roman" w:cs="Times New Roman"/>
          <w:b/>
          <w:sz w:val="24"/>
          <w:szCs w:val="24"/>
          <w:lang w:val="id-ID"/>
        </w:rPr>
      </w:pPr>
    </w:p>
    <w:p w:rsidR="00E77B10" w:rsidRDefault="00E77B10" w:rsidP="00E77B10">
      <w:pPr>
        <w:spacing w:after="0" w:line="360" w:lineRule="auto"/>
        <w:jc w:val="center"/>
        <w:rPr>
          <w:rFonts w:ascii="Times New Roman" w:hAnsi="Times New Roman" w:cs="Times New Roman"/>
          <w:b/>
          <w:sz w:val="24"/>
          <w:szCs w:val="24"/>
          <w:lang w:val="id-ID"/>
        </w:rPr>
      </w:pPr>
    </w:p>
    <w:p w:rsidR="00E77B10" w:rsidRDefault="00E77B10" w:rsidP="00E77B10">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JURNAL ILMIAH</w:t>
      </w:r>
    </w:p>
    <w:p w:rsidR="00E77B10" w:rsidRPr="00E77B10" w:rsidRDefault="00E77B10" w:rsidP="00E77B10">
      <w:pPr>
        <w:spacing w:after="0" w:line="360" w:lineRule="auto"/>
        <w:jc w:val="center"/>
        <w:rPr>
          <w:rFonts w:ascii="Times New Roman" w:hAnsi="Times New Roman" w:cs="Times New Roman"/>
          <w:sz w:val="24"/>
          <w:szCs w:val="24"/>
        </w:rPr>
      </w:pPr>
      <w:r w:rsidRPr="00E77B10">
        <w:rPr>
          <w:rFonts w:ascii="Times New Roman" w:hAnsi="Times New Roman" w:cs="Times New Roman"/>
          <w:b/>
          <w:sz w:val="24"/>
          <w:szCs w:val="24"/>
        </w:rPr>
        <w:t>URGENSI PEDOMAN PEMIDANAAN UNTUK MENCEGAH DISPARITAS PUTUSAN HAKIM KAITANNYA DENGAN TUJUAN HUKUM</w:t>
      </w:r>
    </w:p>
    <w:bookmarkEnd w:id="0"/>
    <w:p w:rsidR="00E77B10" w:rsidRPr="00E77B10" w:rsidRDefault="00E77B10" w:rsidP="00E77B10">
      <w:pPr>
        <w:spacing w:after="0" w:line="360" w:lineRule="auto"/>
        <w:rPr>
          <w:rFonts w:ascii="Times New Roman" w:hAnsi="Times New Roman" w:cs="Times New Roman"/>
          <w:sz w:val="24"/>
          <w:szCs w:val="24"/>
        </w:rPr>
      </w:pPr>
    </w:p>
    <w:p w:rsidR="00E77B10" w:rsidRPr="00E77B10" w:rsidRDefault="00E77B10" w:rsidP="00E77B10">
      <w:pPr>
        <w:spacing w:after="0" w:line="360" w:lineRule="auto"/>
        <w:rPr>
          <w:rFonts w:ascii="Times New Roman" w:hAnsi="Times New Roman" w:cs="Times New Roman"/>
          <w:sz w:val="24"/>
          <w:szCs w:val="24"/>
        </w:rPr>
      </w:pPr>
    </w:p>
    <w:p w:rsidR="00E77B10" w:rsidRDefault="00E77B10" w:rsidP="00E77B10">
      <w:pPr>
        <w:spacing w:after="0" w:line="360" w:lineRule="auto"/>
        <w:jc w:val="center"/>
        <w:rPr>
          <w:rFonts w:ascii="Times New Roman" w:hAnsi="Times New Roman" w:cs="Times New Roman"/>
          <w:sz w:val="24"/>
          <w:szCs w:val="24"/>
          <w:lang w:val="id-ID"/>
        </w:rPr>
      </w:pPr>
    </w:p>
    <w:p w:rsidR="00E77B10" w:rsidRDefault="00E77B10" w:rsidP="00E77B10">
      <w:pPr>
        <w:spacing w:after="0" w:line="360" w:lineRule="auto"/>
        <w:jc w:val="center"/>
        <w:rPr>
          <w:rFonts w:ascii="Times New Roman" w:hAnsi="Times New Roman" w:cs="Times New Roman"/>
          <w:sz w:val="24"/>
          <w:szCs w:val="24"/>
          <w:lang w:val="id-ID"/>
        </w:rPr>
      </w:pPr>
    </w:p>
    <w:p w:rsidR="00E77B10" w:rsidRPr="00E77B10" w:rsidRDefault="00E77B10" w:rsidP="00E77B10">
      <w:pPr>
        <w:spacing w:after="0" w:line="360" w:lineRule="auto"/>
        <w:jc w:val="center"/>
        <w:rPr>
          <w:rFonts w:ascii="Times New Roman" w:hAnsi="Times New Roman" w:cs="Times New Roman"/>
          <w:sz w:val="24"/>
          <w:szCs w:val="24"/>
        </w:rPr>
      </w:pPr>
      <w:proofErr w:type="spellStart"/>
      <w:r w:rsidRPr="00E77B10">
        <w:rPr>
          <w:rFonts w:ascii="Times New Roman" w:hAnsi="Times New Roman" w:cs="Times New Roman"/>
          <w:sz w:val="24"/>
          <w:szCs w:val="24"/>
        </w:rPr>
        <w:t>Oleh</w:t>
      </w:r>
      <w:proofErr w:type="spellEnd"/>
      <w:r w:rsidRPr="00E77B10">
        <w:rPr>
          <w:rFonts w:ascii="Times New Roman" w:hAnsi="Times New Roman" w:cs="Times New Roman"/>
          <w:sz w:val="24"/>
          <w:szCs w:val="24"/>
        </w:rPr>
        <w:t>:</w:t>
      </w:r>
    </w:p>
    <w:p w:rsidR="00E77B10" w:rsidRPr="00E77B10" w:rsidRDefault="00E77B10" w:rsidP="00E77B10">
      <w:pPr>
        <w:spacing w:after="0" w:line="360" w:lineRule="auto"/>
        <w:jc w:val="center"/>
        <w:rPr>
          <w:rFonts w:ascii="Times New Roman" w:hAnsi="Times New Roman" w:cs="Times New Roman"/>
          <w:sz w:val="24"/>
          <w:szCs w:val="24"/>
        </w:rPr>
      </w:pPr>
      <w:r w:rsidRPr="00E77B10">
        <w:rPr>
          <w:rFonts w:ascii="Times New Roman" w:hAnsi="Times New Roman" w:cs="Times New Roman"/>
          <w:b/>
          <w:sz w:val="24"/>
          <w:szCs w:val="24"/>
        </w:rPr>
        <w:t xml:space="preserve">NURHAYANI BUTAR </w:t>
      </w:r>
      <w:proofErr w:type="spellStart"/>
      <w:r w:rsidRPr="00E77B10">
        <w:rPr>
          <w:rFonts w:ascii="Times New Roman" w:hAnsi="Times New Roman" w:cs="Times New Roman"/>
          <w:b/>
          <w:sz w:val="24"/>
          <w:szCs w:val="24"/>
        </w:rPr>
        <w:t>BUTAR</w:t>
      </w:r>
      <w:proofErr w:type="spellEnd"/>
    </w:p>
    <w:p w:rsidR="00E77B10" w:rsidRPr="00E77B10" w:rsidRDefault="00E77B10" w:rsidP="00E77B10">
      <w:pPr>
        <w:spacing w:after="0" w:line="360" w:lineRule="auto"/>
        <w:jc w:val="center"/>
        <w:rPr>
          <w:rFonts w:ascii="Times New Roman" w:hAnsi="Times New Roman" w:cs="Times New Roman"/>
          <w:sz w:val="24"/>
          <w:szCs w:val="24"/>
        </w:rPr>
      </w:pPr>
      <w:r w:rsidRPr="00E77B10">
        <w:rPr>
          <w:rFonts w:ascii="Times New Roman" w:hAnsi="Times New Roman" w:cs="Times New Roman"/>
          <w:sz w:val="24"/>
          <w:szCs w:val="24"/>
        </w:rPr>
        <w:t>NPM: 238040079</w:t>
      </w:r>
    </w:p>
    <w:p w:rsidR="00E77B10" w:rsidRDefault="00E77B10" w:rsidP="00E77B10">
      <w:pPr>
        <w:spacing w:after="0" w:line="360" w:lineRule="auto"/>
        <w:rPr>
          <w:rFonts w:ascii="Times New Roman" w:hAnsi="Times New Roman" w:cs="Times New Roman"/>
          <w:sz w:val="24"/>
          <w:szCs w:val="24"/>
          <w:lang w:val="id-ID"/>
        </w:rPr>
      </w:pPr>
    </w:p>
    <w:p w:rsidR="00E77B10" w:rsidRDefault="00E77B10" w:rsidP="00E77B10">
      <w:pPr>
        <w:spacing w:after="0" w:line="360" w:lineRule="auto"/>
        <w:rPr>
          <w:rFonts w:ascii="Times New Roman" w:hAnsi="Times New Roman" w:cs="Times New Roman"/>
          <w:sz w:val="24"/>
          <w:szCs w:val="24"/>
          <w:lang w:val="id-ID"/>
        </w:rPr>
      </w:pPr>
    </w:p>
    <w:p w:rsidR="00E77B10" w:rsidRPr="00E77B10" w:rsidRDefault="00E77B10" w:rsidP="00E77B10">
      <w:pPr>
        <w:spacing w:after="0" w:line="360" w:lineRule="auto"/>
        <w:rPr>
          <w:rFonts w:ascii="Times New Roman" w:hAnsi="Times New Roman" w:cs="Times New Roman"/>
          <w:sz w:val="24"/>
          <w:szCs w:val="24"/>
          <w:lang w:val="id-ID"/>
        </w:rPr>
      </w:pPr>
    </w:p>
    <w:p w:rsidR="00E77B10" w:rsidRDefault="00E77B10" w:rsidP="00E77B10">
      <w:pPr>
        <w:spacing w:after="0" w:line="360" w:lineRule="auto"/>
        <w:jc w:val="center"/>
        <w:rPr>
          <w:rFonts w:ascii="Times New Roman" w:hAnsi="Times New Roman" w:cs="Times New Roman"/>
          <w:sz w:val="24"/>
          <w:szCs w:val="24"/>
          <w:lang w:val="id-ID"/>
        </w:rPr>
      </w:pPr>
      <w:r w:rsidRPr="00E77B10">
        <w:rPr>
          <w:rFonts w:ascii="Times New Roman" w:hAnsi="Times New Roman" w:cs="Times New Roman"/>
          <w:noProof/>
          <w:sz w:val="24"/>
          <w:szCs w:val="24"/>
          <w:lang w:val="id-ID" w:eastAsia="id-ID"/>
        </w:rPr>
        <w:drawing>
          <wp:inline distT="0" distB="0" distL="0" distR="0" wp14:anchorId="36381FF3" wp14:editId="222E8EC3">
            <wp:extent cx="1104900" cy="11215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302" cy="1155495"/>
                    </a:xfrm>
                    <a:prstGeom prst="rect">
                      <a:avLst/>
                    </a:prstGeom>
                    <a:noFill/>
                  </pic:spPr>
                </pic:pic>
              </a:graphicData>
            </a:graphic>
          </wp:inline>
        </w:drawing>
      </w:r>
    </w:p>
    <w:p w:rsidR="00E77B10" w:rsidRDefault="00E77B10" w:rsidP="00E77B10">
      <w:pPr>
        <w:spacing w:after="0" w:line="360" w:lineRule="auto"/>
        <w:jc w:val="center"/>
        <w:rPr>
          <w:rFonts w:ascii="Times New Roman" w:hAnsi="Times New Roman" w:cs="Times New Roman"/>
          <w:sz w:val="24"/>
          <w:szCs w:val="24"/>
          <w:lang w:val="id-ID"/>
        </w:rPr>
      </w:pPr>
    </w:p>
    <w:p w:rsidR="00E77B10" w:rsidRPr="00E77B10" w:rsidRDefault="00E77B10" w:rsidP="00E77B10">
      <w:pPr>
        <w:spacing w:after="0" w:line="360" w:lineRule="auto"/>
        <w:jc w:val="center"/>
        <w:rPr>
          <w:rFonts w:ascii="Times New Roman" w:hAnsi="Times New Roman" w:cs="Times New Roman"/>
          <w:sz w:val="24"/>
          <w:szCs w:val="24"/>
          <w:lang w:val="id-ID"/>
        </w:rPr>
      </w:pPr>
    </w:p>
    <w:p w:rsidR="00E77B10" w:rsidRPr="00E77B10" w:rsidRDefault="00E77B10" w:rsidP="00E77B10">
      <w:pPr>
        <w:spacing w:after="0" w:line="360" w:lineRule="auto"/>
        <w:jc w:val="center"/>
        <w:rPr>
          <w:rFonts w:ascii="Times New Roman" w:hAnsi="Times New Roman" w:cs="Times New Roman"/>
          <w:sz w:val="24"/>
          <w:szCs w:val="24"/>
        </w:rPr>
      </w:pPr>
    </w:p>
    <w:p w:rsidR="00E77B10" w:rsidRPr="00E77B10" w:rsidRDefault="00E77B10" w:rsidP="00E77B10">
      <w:pPr>
        <w:spacing w:after="0" w:line="360" w:lineRule="auto"/>
        <w:jc w:val="center"/>
        <w:rPr>
          <w:rFonts w:ascii="Times New Roman" w:hAnsi="Times New Roman" w:cs="Times New Roman"/>
          <w:sz w:val="24"/>
          <w:szCs w:val="24"/>
        </w:rPr>
      </w:pPr>
      <w:r w:rsidRPr="00E77B10">
        <w:rPr>
          <w:rFonts w:ascii="Times New Roman" w:hAnsi="Times New Roman" w:cs="Times New Roman"/>
          <w:b/>
          <w:sz w:val="24"/>
          <w:szCs w:val="24"/>
        </w:rPr>
        <w:t>PROGRAM STUDI MAGISTER ILMU HUKUM</w:t>
      </w:r>
    </w:p>
    <w:p w:rsidR="00E77B10" w:rsidRPr="00E77B10" w:rsidRDefault="00E77B10" w:rsidP="00E77B10">
      <w:pPr>
        <w:spacing w:after="0" w:line="360" w:lineRule="auto"/>
        <w:jc w:val="center"/>
        <w:rPr>
          <w:rFonts w:ascii="Times New Roman" w:hAnsi="Times New Roman" w:cs="Times New Roman"/>
          <w:sz w:val="24"/>
          <w:szCs w:val="24"/>
        </w:rPr>
      </w:pPr>
      <w:r w:rsidRPr="00E77B10">
        <w:rPr>
          <w:rFonts w:ascii="Times New Roman" w:hAnsi="Times New Roman" w:cs="Times New Roman"/>
          <w:b/>
          <w:sz w:val="24"/>
          <w:szCs w:val="24"/>
        </w:rPr>
        <w:t>PROGRAM PASCASARJANA</w:t>
      </w:r>
    </w:p>
    <w:p w:rsidR="00E77B10" w:rsidRPr="00E77B10" w:rsidRDefault="00E77B10" w:rsidP="00E77B10">
      <w:pPr>
        <w:spacing w:after="0" w:line="360" w:lineRule="auto"/>
        <w:jc w:val="center"/>
        <w:rPr>
          <w:rFonts w:ascii="Times New Roman" w:hAnsi="Times New Roman" w:cs="Times New Roman"/>
          <w:sz w:val="24"/>
          <w:szCs w:val="24"/>
        </w:rPr>
      </w:pPr>
      <w:r w:rsidRPr="00E77B10">
        <w:rPr>
          <w:rFonts w:ascii="Times New Roman" w:hAnsi="Times New Roman" w:cs="Times New Roman"/>
          <w:b/>
          <w:sz w:val="24"/>
          <w:szCs w:val="24"/>
        </w:rPr>
        <w:t>UNIVERSITAS PASUNDAN</w:t>
      </w:r>
    </w:p>
    <w:p w:rsidR="00E77B10" w:rsidRPr="00E77B10" w:rsidRDefault="00E77B10" w:rsidP="00E77B10">
      <w:pPr>
        <w:spacing w:after="0" w:line="360" w:lineRule="auto"/>
        <w:jc w:val="center"/>
        <w:rPr>
          <w:rFonts w:ascii="Times New Roman" w:hAnsi="Times New Roman" w:cs="Times New Roman"/>
          <w:sz w:val="24"/>
          <w:szCs w:val="24"/>
        </w:rPr>
      </w:pPr>
      <w:r w:rsidRPr="00E77B10">
        <w:rPr>
          <w:rFonts w:ascii="Times New Roman" w:hAnsi="Times New Roman" w:cs="Times New Roman"/>
          <w:b/>
          <w:sz w:val="24"/>
          <w:szCs w:val="24"/>
        </w:rPr>
        <w:t>BANDUNG</w:t>
      </w:r>
    </w:p>
    <w:p w:rsidR="00F961AD" w:rsidRDefault="00E77B10" w:rsidP="00E77B10">
      <w:pPr>
        <w:spacing w:line="360" w:lineRule="auto"/>
        <w:jc w:val="center"/>
        <w:rPr>
          <w:rFonts w:ascii="Times New Roman" w:hAnsi="Times New Roman" w:cs="Times New Roman"/>
          <w:b/>
          <w:sz w:val="24"/>
          <w:szCs w:val="24"/>
          <w:lang w:val="id-ID"/>
        </w:rPr>
      </w:pPr>
      <w:r w:rsidRPr="00E77B10">
        <w:rPr>
          <w:rFonts w:ascii="Times New Roman" w:hAnsi="Times New Roman" w:cs="Times New Roman"/>
          <w:b/>
          <w:sz w:val="24"/>
          <w:szCs w:val="24"/>
        </w:rPr>
        <w:t>2025</w:t>
      </w:r>
    </w:p>
    <w:p w:rsidR="00E77B10" w:rsidRDefault="00E77B10" w:rsidP="00E77B10">
      <w:pPr>
        <w:spacing w:line="360" w:lineRule="auto"/>
        <w:jc w:val="center"/>
        <w:rPr>
          <w:rFonts w:ascii="Times New Roman" w:hAnsi="Times New Roman" w:cs="Times New Roman"/>
          <w:b/>
          <w:sz w:val="24"/>
          <w:szCs w:val="24"/>
          <w:lang w:val="id-ID"/>
        </w:rPr>
      </w:pPr>
    </w:p>
    <w:p w:rsidR="00E77B10" w:rsidRDefault="00E77B10" w:rsidP="00E77B10">
      <w:pPr>
        <w:spacing w:line="360" w:lineRule="auto"/>
        <w:jc w:val="center"/>
        <w:rPr>
          <w:rFonts w:ascii="Times New Roman" w:hAnsi="Times New Roman" w:cs="Times New Roman"/>
          <w:b/>
          <w:sz w:val="24"/>
          <w:szCs w:val="24"/>
          <w:lang w:val="id-ID"/>
        </w:rPr>
      </w:pPr>
    </w:p>
    <w:p w:rsidR="00850F95" w:rsidRPr="00850F95" w:rsidRDefault="00850F95" w:rsidP="00850F9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val="id-ID" w:eastAsia="id-ID"/>
        </w:rPr>
      </w:pPr>
      <w:r w:rsidRPr="00850F95">
        <w:rPr>
          <w:rFonts w:ascii="Times New Roman" w:eastAsia="Times New Roman" w:hAnsi="Times New Roman" w:cs="Times New Roman"/>
          <w:b/>
          <w:bCs/>
          <w:kern w:val="36"/>
          <w:sz w:val="24"/>
          <w:szCs w:val="24"/>
          <w:lang w:val="id-ID" w:eastAsia="id-ID"/>
        </w:rPr>
        <w:lastRenderedPageBreak/>
        <w:t>ABSTRAK</w:t>
      </w:r>
    </w:p>
    <w:p w:rsidR="00850F95" w:rsidRDefault="00850F95" w:rsidP="00850F95">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Disparitas pemidanaan merupakan problem serius dalam sistem peradilan pidana Indonesia. Ketiadaan pedoman pemidanaan yang komprehensif dan mengikat menyebabkan diskresi hakim terlalu luas sehingga memunculkan putusan berbeda terhadap perkara yang memiliki karakteristik serupa. Penelitian ini bertujuan untuk menganalisis urgensi pembentukan pedoman pemidanaan dalam mencegah disparitas putusan serta mengkaji pengaruhnya terhadap asas kebebasan hakim. Metode penelitian menggunakan pendekatan yuridis normatif dengan studi perundang-undangan, doktrin, dan putusan relevan. Hasil penelitian menunjukkan bahwa pedoman pemidanaan merupakan kebutuhan mendesak karena dapat menyelaraskan diskresi hakim dengan prinsip keadilan substantif, proporsionalitas, serta memperkuat akuntabilitas dan legitimasi putusan. Pedoman pemidanaan tidak bertentangan dengan kebebasan hakim, melainkan menjadi instrumen untuk menyeimbangkan kebebasan tersebu</w:t>
      </w:r>
      <w:r>
        <w:rPr>
          <w:rFonts w:ascii="Times New Roman" w:eastAsia="Times New Roman" w:hAnsi="Times New Roman" w:cs="Times New Roman"/>
          <w:sz w:val="24"/>
          <w:szCs w:val="24"/>
          <w:lang w:val="id-ID" w:eastAsia="id-ID"/>
        </w:rPr>
        <w:t>t agar tidak bersifat arbitrer.</w:t>
      </w:r>
    </w:p>
    <w:p w:rsidR="00850F95" w:rsidRDefault="00850F95" w:rsidP="00850F95">
      <w:pPr>
        <w:spacing w:before="100" w:beforeAutospacing="1" w:after="100" w:afterAutospacing="1" w:line="360" w:lineRule="auto"/>
        <w:jc w:val="center"/>
        <w:rPr>
          <w:rStyle w:val="Strong"/>
          <w:rFonts w:ascii="Times New Roman" w:hAnsi="Times New Roman" w:cs="Times New Roman"/>
          <w:sz w:val="24"/>
          <w:szCs w:val="24"/>
          <w:lang w:val="id-ID"/>
        </w:rPr>
      </w:pPr>
      <w:r w:rsidRPr="00850F95">
        <w:rPr>
          <w:rFonts w:ascii="Times New Roman" w:eastAsia="Times New Roman" w:hAnsi="Times New Roman" w:cs="Times New Roman"/>
          <w:b/>
          <w:bCs/>
          <w:sz w:val="24"/>
          <w:szCs w:val="24"/>
          <w:lang w:val="id-ID" w:eastAsia="id-ID"/>
        </w:rPr>
        <w:t>Kata kunci:</w:t>
      </w:r>
      <w:r w:rsidRPr="00850F95">
        <w:rPr>
          <w:rFonts w:ascii="Times New Roman" w:eastAsia="Times New Roman" w:hAnsi="Times New Roman" w:cs="Times New Roman"/>
          <w:sz w:val="24"/>
          <w:szCs w:val="24"/>
          <w:lang w:val="id-ID" w:eastAsia="id-ID"/>
        </w:rPr>
        <w:t xml:space="preserve"> </w:t>
      </w:r>
      <w:r w:rsidRPr="00850F95">
        <w:rPr>
          <w:rFonts w:ascii="Times New Roman" w:eastAsia="Times New Roman" w:hAnsi="Times New Roman" w:cs="Times New Roman"/>
          <w:b/>
          <w:sz w:val="24"/>
          <w:szCs w:val="24"/>
          <w:lang w:val="id-ID" w:eastAsia="id-ID"/>
        </w:rPr>
        <w:t>Pedoman pemidanaan, disparitas putusan, hakim, keadilan, tujuan hukum.</w:t>
      </w:r>
      <w:r w:rsidRPr="00850F95">
        <w:rPr>
          <w:rFonts w:ascii="Times New Roman" w:eastAsia="Times New Roman" w:hAnsi="Times New Roman" w:cs="Times New Roman"/>
          <w:b/>
          <w:sz w:val="24"/>
          <w:szCs w:val="24"/>
          <w:lang w:val="id-ID" w:eastAsia="id-ID"/>
        </w:rPr>
        <w:br/>
      </w: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BF3B5D" w:rsidRDefault="00BF3B5D" w:rsidP="00850F95">
      <w:pPr>
        <w:spacing w:before="100" w:beforeAutospacing="1" w:after="100" w:afterAutospacing="1" w:line="360" w:lineRule="auto"/>
        <w:jc w:val="center"/>
        <w:rPr>
          <w:rStyle w:val="Strong"/>
          <w:rFonts w:ascii="Times New Roman" w:hAnsi="Times New Roman" w:cs="Times New Roman"/>
          <w:sz w:val="24"/>
          <w:szCs w:val="24"/>
          <w:lang w:val="id-ID"/>
        </w:rPr>
      </w:pPr>
    </w:p>
    <w:p w:rsidR="00850F95" w:rsidRDefault="00850F95" w:rsidP="00850F95">
      <w:pPr>
        <w:spacing w:before="100" w:beforeAutospacing="1" w:after="100" w:afterAutospacing="1" w:line="360" w:lineRule="auto"/>
        <w:jc w:val="center"/>
        <w:rPr>
          <w:rStyle w:val="Strong"/>
          <w:rFonts w:ascii="Times New Roman" w:hAnsi="Times New Roman" w:cs="Times New Roman"/>
          <w:sz w:val="24"/>
          <w:szCs w:val="24"/>
          <w:lang w:val="id-ID"/>
        </w:rPr>
      </w:pPr>
      <w:r w:rsidRPr="00850F95">
        <w:rPr>
          <w:rStyle w:val="Strong"/>
          <w:rFonts w:ascii="Times New Roman" w:hAnsi="Times New Roman" w:cs="Times New Roman"/>
          <w:sz w:val="24"/>
          <w:szCs w:val="24"/>
        </w:rPr>
        <w:lastRenderedPageBreak/>
        <w:t>ABSTRACT</w:t>
      </w:r>
    </w:p>
    <w:p w:rsidR="00850F95" w:rsidRPr="00850F95" w:rsidRDefault="00850F95" w:rsidP="00850F95">
      <w:pPr>
        <w:spacing w:before="100" w:beforeAutospacing="1" w:after="100" w:afterAutospacing="1" w:line="360" w:lineRule="auto"/>
        <w:jc w:val="both"/>
        <w:rPr>
          <w:rFonts w:ascii="Times New Roman" w:hAnsi="Times New Roman" w:cs="Times New Roman"/>
          <w:sz w:val="24"/>
          <w:szCs w:val="24"/>
          <w:lang w:val="id-ID"/>
        </w:rPr>
      </w:pPr>
      <w:r w:rsidRPr="00850F95">
        <w:rPr>
          <w:rFonts w:ascii="Times New Roman" w:hAnsi="Times New Roman" w:cs="Times New Roman"/>
          <w:sz w:val="24"/>
          <w:szCs w:val="24"/>
        </w:rPr>
        <w:t>Sentencing disparity is a serious problem in the Indonesian criminal justice system. The absence of comprehensive and binding sentencing guidelines has resulted in excessively broad judicial discretion, leading to different decisions in cases with similar characteristics. This study aims to analyze the urgency of establishing sentencing guidelines to prevent disparity in judicial decisions and to examine their impact on the principle of judicial independence. The research employs a normative juridical approach through the study of legislation, doctrines, and relevant court decisions. The findings show that sentencing guidelines are an urgent necessity as they can harmonize judicial discretion with the principles of substantive justice and proportionality, as well as strengthen the accountability and legitimacy of judicial decisions. Sentencing guidelines do not contradict judicial independence; instead, they serve as an instrument to balance such independence so that it does not become arbitrary.</w:t>
      </w:r>
    </w:p>
    <w:p w:rsidR="00850F95" w:rsidRPr="00850F95" w:rsidRDefault="00850F95" w:rsidP="00850F95">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850F95">
        <w:rPr>
          <w:rStyle w:val="Strong"/>
          <w:rFonts w:ascii="Times New Roman" w:hAnsi="Times New Roman" w:cs="Times New Roman"/>
          <w:sz w:val="24"/>
          <w:szCs w:val="24"/>
        </w:rPr>
        <w:t>Keywords:</w:t>
      </w:r>
      <w:r w:rsidRPr="00850F95">
        <w:rPr>
          <w:rFonts w:ascii="Times New Roman" w:hAnsi="Times New Roman" w:cs="Times New Roman"/>
          <w:sz w:val="24"/>
          <w:szCs w:val="24"/>
        </w:rPr>
        <w:t xml:space="preserve"> </w:t>
      </w:r>
      <w:r w:rsidRPr="00850F95">
        <w:rPr>
          <w:rFonts w:ascii="Times New Roman" w:hAnsi="Times New Roman" w:cs="Times New Roman"/>
          <w:b/>
          <w:sz w:val="24"/>
          <w:szCs w:val="24"/>
        </w:rPr>
        <w:t>Sentencing guidelines, decision disparity, judges, justice, legal objectives.</w:t>
      </w: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BF3B5D" w:rsidRDefault="00BF3B5D"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p>
    <w:p w:rsidR="00850F95" w:rsidRDefault="00850F95" w:rsidP="00850F95">
      <w:pPr>
        <w:spacing w:before="100" w:beforeAutospacing="1" w:after="100" w:afterAutospacing="1" w:line="360" w:lineRule="auto"/>
        <w:jc w:val="center"/>
        <w:rPr>
          <w:rFonts w:ascii="Times New Roman" w:eastAsia="Times New Roman" w:hAnsi="Times New Roman" w:cs="Times New Roman"/>
          <w:b/>
          <w:bCs/>
          <w:sz w:val="24"/>
          <w:szCs w:val="24"/>
          <w:lang w:val="id-ID" w:eastAsia="id-ID"/>
        </w:rPr>
      </w:pPr>
      <w:r w:rsidRPr="00850F95">
        <w:rPr>
          <w:rFonts w:ascii="Times New Roman" w:eastAsia="Times New Roman" w:hAnsi="Times New Roman" w:cs="Times New Roman"/>
          <w:b/>
          <w:bCs/>
          <w:sz w:val="24"/>
          <w:szCs w:val="24"/>
          <w:lang w:val="id-ID" w:eastAsia="id-ID"/>
        </w:rPr>
        <w:lastRenderedPageBreak/>
        <w:t xml:space="preserve">ABSTRAK </w:t>
      </w:r>
    </w:p>
    <w:p w:rsidR="00850F95" w:rsidRPr="00850F95" w:rsidRDefault="00850F95" w:rsidP="00850F95">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Disparitas pamuatan hukuman mangrupikeun masalah anu serius dina sistem peradilan pidana di Indonesia. Henteuna pedoman pamuatan hukuman anu komprehensif jeung ngabogaan daya ikat nyababkeun diskresi hakim jadi teuing lega, anu ahirna medar kana béda-béda putusan sanajan perkara miboga ciri anu sarupa. Panalungtikan ieu boga tujuan pikeun nganalisis kumaha pentingna nyusun pedoman pamuatan hukuman pikeun nyegah disparitas putusan, sarta nalungtik pangaruhna kana asas kamerdikaan hakim. Métode panalungtikan ngagunakeun pendekatan yuridis normatif liwat studi kana perundang-undangan, doktrin, jeung putusan-putusan anu relevan. Hasil panalungtikan nunjukkeun yén pedoman pamuatan hukuman mangrupa hiji kabutuhan anu kacida gentosna sabab bisa nyalaraskan diskresi hakim jeung prinsip kaadilan substantif jeung proporsionalitas, ogé bisa nguatkeun akuntabilitas jeung legitimasi putusan. Pedoman pamuatan hukuman henteu nentang kana kamerdikaan hakim; sabalikna, éta jadi instrumen pikeun nimbangkeun kabébasan éta supaya henteu condong kana kaputusan anu arbitrér.</w:t>
      </w:r>
    </w:p>
    <w:p w:rsidR="00850F95" w:rsidRPr="00850F95" w:rsidRDefault="00850F95" w:rsidP="00850F95">
      <w:pPr>
        <w:spacing w:before="100" w:beforeAutospacing="1" w:after="100" w:afterAutospacing="1" w:line="360" w:lineRule="auto"/>
        <w:jc w:val="both"/>
        <w:rPr>
          <w:rFonts w:ascii="Times New Roman" w:eastAsia="Times New Roman" w:hAnsi="Times New Roman" w:cs="Times New Roman"/>
          <w:b/>
          <w:sz w:val="24"/>
          <w:szCs w:val="24"/>
          <w:lang w:val="id-ID" w:eastAsia="id-ID"/>
        </w:rPr>
      </w:pPr>
      <w:r w:rsidRPr="00850F95">
        <w:rPr>
          <w:rFonts w:ascii="Times New Roman" w:eastAsia="Times New Roman" w:hAnsi="Times New Roman" w:cs="Times New Roman"/>
          <w:b/>
          <w:bCs/>
          <w:sz w:val="24"/>
          <w:szCs w:val="24"/>
          <w:lang w:val="id-ID" w:eastAsia="id-ID"/>
        </w:rPr>
        <w:t>Kecap konci:</w:t>
      </w:r>
      <w:r w:rsidRPr="00850F95">
        <w:rPr>
          <w:rFonts w:ascii="Times New Roman" w:eastAsia="Times New Roman" w:hAnsi="Times New Roman" w:cs="Times New Roman"/>
          <w:sz w:val="24"/>
          <w:szCs w:val="24"/>
          <w:lang w:val="id-ID" w:eastAsia="id-ID"/>
        </w:rPr>
        <w:t xml:space="preserve"> </w:t>
      </w:r>
      <w:r w:rsidRPr="00850F95">
        <w:rPr>
          <w:rFonts w:ascii="Times New Roman" w:eastAsia="Times New Roman" w:hAnsi="Times New Roman" w:cs="Times New Roman"/>
          <w:b/>
          <w:sz w:val="24"/>
          <w:szCs w:val="24"/>
          <w:lang w:val="id-ID" w:eastAsia="id-ID"/>
        </w:rPr>
        <w:t>Pedoman pamuatan hukuman, disparitas putusan, hakim, kaadilan, tujuan hukum.</w:t>
      </w:r>
    </w:p>
    <w:p w:rsidR="00850F95" w:rsidRPr="00850F95" w:rsidRDefault="00850F95" w:rsidP="00850F95">
      <w:pPr>
        <w:spacing w:before="100" w:beforeAutospacing="1" w:after="100" w:afterAutospacing="1" w:line="240" w:lineRule="auto"/>
        <w:outlineLvl w:val="0"/>
        <w:rPr>
          <w:rFonts w:ascii="Times New Roman" w:eastAsia="Times New Roman" w:hAnsi="Times New Roman" w:cs="Times New Roman"/>
          <w:b/>
          <w:bCs/>
          <w:kern w:val="36"/>
          <w:sz w:val="24"/>
          <w:szCs w:val="24"/>
          <w:lang w:val="id-ID" w:eastAsia="id-ID"/>
        </w:rPr>
      </w:pPr>
      <w:r w:rsidRPr="00AA6FD2">
        <w:rPr>
          <w:rFonts w:ascii="Times New Roman" w:eastAsia="Times New Roman" w:hAnsi="Times New Roman" w:cs="Times New Roman"/>
          <w:b/>
          <w:bCs/>
          <w:kern w:val="36"/>
          <w:sz w:val="24"/>
          <w:szCs w:val="24"/>
          <w:lang w:val="id-ID" w:eastAsia="id-ID"/>
        </w:rPr>
        <w:t>PENDAHULUAN</w:t>
      </w:r>
    </w:p>
    <w:p w:rsidR="00AA6FD2" w:rsidRPr="00AA6FD2" w:rsidRDefault="00AA6FD2" w:rsidP="00AA6FD2">
      <w:pPr>
        <w:pStyle w:val="NormalWeb"/>
        <w:spacing w:line="360" w:lineRule="auto"/>
        <w:ind w:firstLine="567"/>
        <w:jc w:val="both"/>
      </w:pPr>
      <w:r w:rsidRPr="00AA6FD2">
        <w:t>Pemidanaan merupakan tahap krusial dalam keseluruhan proses peradilan pidana karena pada tahap inilah negara, melalui hakim, menentukan bentuk pertanggungjawaban pidana terhadap pelaku kejahatan. Keputusan pemidanaan tidak hanya menyangkut aspek legal-formal, tetapi juga menyentuh dimensi moral, sosial, dan kemanusiaan. Oleh sebab itu, pemidanaan harus mampu mencerminkan tiga nilai fundamental dalam hukum, yaitu keadilan, kepastian, dan kemanfaatan. Dalam konteks ini, hakim menjadi aktor sentral yang memiliki kewenangan luas untuk menentukan jenis, berat-ringannya, serta bentuk pidana yang dijatuhkan.</w:t>
      </w:r>
    </w:p>
    <w:p w:rsidR="00AA6FD2" w:rsidRPr="00AA6FD2" w:rsidRDefault="00AA6FD2" w:rsidP="00AA6FD2">
      <w:pPr>
        <w:pStyle w:val="NormalWeb"/>
        <w:spacing w:line="360" w:lineRule="auto"/>
        <w:ind w:firstLine="567"/>
        <w:jc w:val="both"/>
      </w:pPr>
      <w:r w:rsidRPr="00AA6FD2">
        <w:t xml:space="preserve">Namun, luasnya ruang diskresi tersebut seringkali menimbulkan problem dalam praktik, terutama terkait </w:t>
      </w:r>
      <w:r w:rsidRPr="00AA6FD2">
        <w:rPr>
          <w:rStyle w:val="Strong"/>
          <w:rFonts w:eastAsiaTheme="minorEastAsia"/>
          <w:b w:val="0"/>
        </w:rPr>
        <w:t>disparitas pemidanaan</w:t>
      </w:r>
      <w:r w:rsidRPr="00AA6FD2">
        <w:t xml:space="preserve">. Disparitas terjadi ketika dua atau lebih perkara dengan karakteristik objektif yang sama justru diputus dengan hukuman yang berbeda secara signifikan tanpa alasan pembenar yang jelas. Perbedaan pemidanaan seperti ini dapat menimbulkan kesan ketidakadilan dan inkonsistensi, sehingga berpotensi melanggar asas </w:t>
      </w:r>
      <w:r w:rsidRPr="00AA6FD2">
        <w:rPr>
          <w:rStyle w:val="Strong"/>
          <w:rFonts w:eastAsiaTheme="minorEastAsia"/>
          <w:b w:val="0"/>
        </w:rPr>
        <w:t>equality before the law</w:t>
      </w:r>
      <w:r w:rsidRPr="00AA6FD2">
        <w:rPr>
          <w:b/>
        </w:rPr>
        <w:t>,</w:t>
      </w:r>
      <w:r w:rsidRPr="00AA6FD2">
        <w:t xml:space="preserve"> yaitu bahwa setiap orang berhak mendapatkan perlakuan yang </w:t>
      </w:r>
      <w:r w:rsidRPr="00AA6FD2">
        <w:lastRenderedPageBreak/>
        <w:t>sama di hadapan hukum. Jika disparitas tidak dapat dijelaskan secara rasional dan proporsional, maka hal tersebut dapat menggerus legitimasi lembaga peradilan dan menurunkan tingkat kepercayaan masyarakat terhadap sistem hukum.</w:t>
      </w:r>
    </w:p>
    <w:p w:rsidR="00AA6FD2" w:rsidRPr="00AA6FD2" w:rsidRDefault="00AA6FD2" w:rsidP="00AA6FD2">
      <w:pPr>
        <w:pStyle w:val="NormalWeb"/>
        <w:spacing w:line="360" w:lineRule="auto"/>
        <w:ind w:firstLine="567"/>
        <w:jc w:val="both"/>
      </w:pPr>
      <w:r w:rsidRPr="00AA6FD2">
        <w:t xml:space="preserve">Di sisi lain, dinamika sosial saat ini menunjukkan meningkatnya tuntutan publik terhadap transparansi, profesionalisme, dan konsistensi dalam setiap putusan pengadilan. Masyarakat tidak lagi menerima putusan yang hanya didasarkan pada intuisi atau pengalaman pribadi hakim semata, tetapi menuntut adanya standar yang lebih terukur dan dapat dipertanggungjawabkan. Hal ini mencerminkan kebutuhan untuk memperkuat prinsip </w:t>
      </w:r>
      <w:r w:rsidRPr="00AA6FD2">
        <w:rPr>
          <w:rStyle w:val="Strong"/>
          <w:rFonts w:eastAsiaTheme="minorEastAsia"/>
          <w:b w:val="0"/>
        </w:rPr>
        <w:t>akuntabilitas</w:t>
      </w:r>
      <w:r w:rsidRPr="00AA6FD2">
        <w:t xml:space="preserve"> dalam proses pemidanaan, terutama karena putusan pidana memiliki konsekuensi besar terhadap kehidupan seseorang.</w:t>
      </w:r>
    </w:p>
    <w:p w:rsidR="00AA6FD2" w:rsidRPr="00AA6FD2" w:rsidRDefault="00AA6FD2" w:rsidP="00AA6FD2">
      <w:pPr>
        <w:pStyle w:val="NormalWeb"/>
        <w:spacing w:line="360" w:lineRule="auto"/>
        <w:ind w:firstLine="567"/>
        <w:jc w:val="both"/>
      </w:pPr>
      <w:r w:rsidRPr="00AA6FD2">
        <w:t xml:space="preserve">Meskipun demikian, hingga saat ini Indonesia masih belum memiliki </w:t>
      </w:r>
      <w:r w:rsidRPr="00AA6FD2">
        <w:rPr>
          <w:rStyle w:val="Strong"/>
          <w:rFonts w:eastAsiaTheme="minorEastAsia"/>
          <w:b w:val="0"/>
        </w:rPr>
        <w:t>pedoman pemidanaan nasional</w:t>
      </w:r>
      <w:r w:rsidRPr="00AA6FD2">
        <w:rPr>
          <w:b/>
        </w:rPr>
        <w:t xml:space="preserve"> </w:t>
      </w:r>
      <w:r w:rsidRPr="00AA6FD2">
        <w:t>yang terstruktur, terpadu, dan mengikat. Ketiadaan pedoman tersebut menjadikan ruang subjektivitas hakim sangat dominan, sehingga potensi terjadinya disparitas putusan semakin besar. Berbeda dengan beberapa negara lain yang telah menerapkan sentencing guidelines sebagai instrumen untuk menyelaraskan praktik pemidanaan, Indonesia masih bertumpu pada penilaian individual masing-masing hakim.</w:t>
      </w:r>
    </w:p>
    <w:p w:rsidR="00AA6FD2" w:rsidRPr="00AA6FD2" w:rsidRDefault="00AA6FD2" w:rsidP="00AA6FD2">
      <w:pPr>
        <w:pStyle w:val="NormalWeb"/>
        <w:spacing w:line="360" w:lineRule="auto"/>
        <w:ind w:firstLine="567"/>
        <w:jc w:val="both"/>
      </w:pPr>
      <w:r w:rsidRPr="00AA6FD2">
        <w:t xml:space="preserve">Kondisi ini memperlihatkan urgensi penyusunan pedoman pemidanaan yang bersifat nasional, komprehensif, dan implementatif. Kehadiran pedoman pemidanaan bukanlah dimaksudkan untuk membatasi kebebasan hakim, melainkan menjadi alat bantu agar kebebasan tersebut tetap berada dalam koridor yang jelas dan bertanggung jawab. Pedoman tersebut juga dapat membantu menyelaraskan putusan hakim dengan tujuan hukum sebagaimana dikemukakan oleh Gustav Radbruch, yaitu </w:t>
      </w:r>
      <w:r w:rsidRPr="00AA6FD2">
        <w:rPr>
          <w:rStyle w:val="Strong"/>
          <w:rFonts w:eastAsiaTheme="minorEastAsia"/>
          <w:b w:val="0"/>
        </w:rPr>
        <w:t>keadilan</w:t>
      </w:r>
      <w:r w:rsidRPr="00AA6FD2">
        <w:rPr>
          <w:b/>
        </w:rPr>
        <w:t xml:space="preserve"> </w:t>
      </w:r>
      <w:r w:rsidRPr="00AA6FD2">
        <w:t xml:space="preserve">(gerechtigkeit), </w:t>
      </w:r>
      <w:r w:rsidRPr="00AA6FD2">
        <w:rPr>
          <w:rStyle w:val="Strong"/>
          <w:rFonts w:eastAsiaTheme="minorEastAsia"/>
          <w:b w:val="0"/>
        </w:rPr>
        <w:t>kepastian hukum</w:t>
      </w:r>
      <w:r w:rsidRPr="00AA6FD2">
        <w:t xml:space="preserve"> (rechtssicherheit), dan </w:t>
      </w:r>
      <w:r w:rsidRPr="00AA6FD2">
        <w:rPr>
          <w:rStyle w:val="Strong"/>
          <w:rFonts w:eastAsiaTheme="minorEastAsia"/>
          <w:b w:val="0"/>
        </w:rPr>
        <w:t>kemanfaatan</w:t>
      </w:r>
      <w:r w:rsidRPr="00AA6FD2">
        <w:rPr>
          <w:b/>
        </w:rPr>
        <w:t xml:space="preserve"> (</w:t>
      </w:r>
      <w:r w:rsidRPr="00AA6FD2">
        <w:t>zweckmassigkeit). Melalui pedoman pemidanaan yang baik, ketiga tujuan tersebut dapat dicapai secara seimbang, sehingga pemidanaan tidak hanya berdimensi represif, tetapi juga progresif, humanis, dan berorientasi pada kemaslahatan masyarakat.</w:t>
      </w:r>
    </w:p>
    <w:p w:rsidR="004203DF" w:rsidRPr="004203DF" w:rsidRDefault="004203DF" w:rsidP="004203DF">
      <w:pPr>
        <w:pStyle w:val="Heading3"/>
        <w:spacing w:line="360" w:lineRule="auto"/>
        <w:jc w:val="both"/>
        <w:rPr>
          <w:sz w:val="24"/>
          <w:szCs w:val="24"/>
        </w:rPr>
      </w:pPr>
      <w:r w:rsidRPr="004203DF">
        <w:rPr>
          <w:rStyle w:val="Strong"/>
          <w:rFonts w:eastAsiaTheme="minorEastAsia"/>
          <w:b/>
          <w:bCs/>
          <w:sz w:val="24"/>
          <w:szCs w:val="24"/>
        </w:rPr>
        <w:t xml:space="preserve">RUMUSAN MASALAH </w:t>
      </w:r>
    </w:p>
    <w:p w:rsidR="004203DF" w:rsidRPr="004203DF" w:rsidRDefault="004203DF" w:rsidP="00C470CE">
      <w:pPr>
        <w:pStyle w:val="NormalWeb"/>
        <w:numPr>
          <w:ilvl w:val="0"/>
          <w:numId w:val="13"/>
        </w:numPr>
        <w:tabs>
          <w:tab w:val="clear" w:pos="720"/>
        </w:tabs>
        <w:spacing w:before="240" w:beforeAutospacing="0" w:after="240" w:afterAutospacing="0" w:line="360" w:lineRule="auto"/>
        <w:ind w:left="567" w:hanging="567"/>
        <w:jc w:val="both"/>
      </w:pPr>
      <w:r w:rsidRPr="004203DF">
        <w:rPr>
          <w:rStyle w:val="Strong"/>
          <w:rFonts w:eastAsiaTheme="minorEastAsia"/>
          <w:b w:val="0"/>
        </w:rPr>
        <w:t>Mengapa penyusunan pedoman pemidanaan penting untuk mencegah disparitas putusan hakim?</w:t>
      </w:r>
      <w:r>
        <w:t xml:space="preserve"> </w:t>
      </w:r>
      <w:r w:rsidRPr="004203DF">
        <w:t xml:space="preserve">Pertanyaan ini berangkat dari fenomena semakin meluasnya disparitas pemidanaan di Indonesia, yaitu perbedaan hukuman yang signifikan pada perkara </w:t>
      </w:r>
      <w:r w:rsidRPr="004203DF">
        <w:lastRenderedPageBreak/>
        <w:t>dengan karakteristik serupa. Rumusan masalah ini menuntut penjelasan mengenai faktor-faktor yang menyebabkan disparitas muncul, termasuk ketiadaan standar nasional, dominannya subjektivitas hakim, serta lemahnya instrumen pengendali pemidanaan. Selain itu, perlu dianalisis bagaimana pedoman pemidanaan dapat berfungsi sebagai alat untuk menciptakan konsistensi, proporsionalitas, transparansi, dan akuntabilitas dalam putusan pidana. Dengan demikian, fokus masalah ini adalah menggali urgensi dan relevansi pedoman pemidanaan dalam membangun sistem peradilan pidana yang lebih terukur dan berkeadilan.</w:t>
      </w:r>
    </w:p>
    <w:p w:rsidR="004203DF" w:rsidRPr="004203DF" w:rsidRDefault="004203DF" w:rsidP="00C470CE">
      <w:pPr>
        <w:pStyle w:val="NormalWeb"/>
        <w:numPr>
          <w:ilvl w:val="0"/>
          <w:numId w:val="13"/>
        </w:numPr>
        <w:spacing w:before="240" w:beforeAutospacing="0" w:after="240" w:afterAutospacing="0" w:line="360" w:lineRule="auto"/>
        <w:ind w:left="567" w:hanging="567"/>
        <w:jc w:val="both"/>
      </w:pPr>
      <w:r w:rsidRPr="004203DF">
        <w:rPr>
          <w:rStyle w:val="Strong"/>
          <w:rFonts w:eastAsiaTheme="minorEastAsia"/>
          <w:b w:val="0"/>
        </w:rPr>
        <w:t>Bagaimana pengaruh pedoman pemidanaan terhadap asas kebebasan hakim?</w:t>
      </w:r>
      <w:r>
        <w:t xml:space="preserve"> </w:t>
      </w:r>
      <w:r w:rsidRPr="004203DF">
        <w:t>Masalah ini merujuk pada perdebatan akademik bahwa pedoman pemidanaan dikhawatirkan dapat mengurangi ruang kebebasan hakim dalam menjatuhkan putusan. Bagian ini mengharuskan kajian mengenai sejauh mana pedoman pemidanaan dapat membatasi atau justru memperkuat independensi hakim. Rumusan masalah ini menuntut pembahasan tentang posisi pedoman pemidanaan sebagai instrumen penuntun yang tidak menghilangkan kebebasan hakim, melainkan menyeimbangkan kebebasan tersebut agar tidak bersifat sewenang-wenang. Diperlukan analisis mengenai hubungan antara kebebasan hakim, tanggung jawab profesional, prinsip checks and balances, dan kebutuhan akan konsistensi putusan.</w:t>
      </w:r>
    </w:p>
    <w:p w:rsidR="00850F95" w:rsidRPr="00850F95" w:rsidRDefault="00850F95" w:rsidP="0052485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id-ID" w:eastAsia="id-ID"/>
        </w:rPr>
      </w:pPr>
      <w:r w:rsidRPr="00524857">
        <w:rPr>
          <w:rFonts w:ascii="Times New Roman" w:eastAsia="Times New Roman" w:hAnsi="Times New Roman" w:cs="Times New Roman"/>
          <w:b/>
          <w:bCs/>
          <w:kern w:val="36"/>
          <w:sz w:val="24"/>
          <w:szCs w:val="24"/>
          <w:lang w:val="id-ID" w:eastAsia="id-ID"/>
        </w:rPr>
        <w:t>TUJUAN PENELITIAN</w:t>
      </w:r>
    </w:p>
    <w:p w:rsidR="00850F95" w:rsidRPr="00850F95" w:rsidRDefault="00850F95" w:rsidP="00524857">
      <w:pPr>
        <w:numPr>
          <w:ilvl w:val="0"/>
          <w:numId w:val="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Menganalisis urgensi pedoman pemidanaan dalam mencegah disparitas putusan.</w:t>
      </w:r>
    </w:p>
    <w:p w:rsidR="00C470CE" w:rsidRPr="00C470CE" w:rsidRDefault="00850F95" w:rsidP="0003173C">
      <w:pPr>
        <w:numPr>
          <w:ilvl w:val="0"/>
          <w:numId w:val="2"/>
        </w:numPr>
        <w:tabs>
          <w:tab w:val="clear" w:pos="360"/>
        </w:tabs>
        <w:spacing w:before="100" w:beforeAutospacing="1" w:after="100" w:afterAutospacing="1" w:line="360" w:lineRule="auto"/>
        <w:ind w:left="567" w:hanging="567"/>
        <w:jc w:val="both"/>
        <w:outlineLvl w:val="0"/>
        <w:rPr>
          <w:rFonts w:ascii="Times New Roman" w:eastAsia="Times New Roman" w:hAnsi="Times New Roman" w:cs="Times New Roman"/>
          <w:b/>
          <w:bCs/>
          <w:kern w:val="36"/>
          <w:sz w:val="24"/>
          <w:szCs w:val="24"/>
          <w:lang w:val="id-ID" w:eastAsia="id-ID"/>
        </w:rPr>
      </w:pPr>
      <w:r w:rsidRPr="00850F95">
        <w:rPr>
          <w:rFonts w:ascii="Times New Roman" w:eastAsia="Times New Roman" w:hAnsi="Times New Roman" w:cs="Times New Roman"/>
          <w:sz w:val="24"/>
          <w:szCs w:val="24"/>
          <w:lang w:val="id-ID" w:eastAsia="id-ID"/>
        </w:rPr>
        <w:t>Mengkaji pengaruh pedoman pemid</w:t>
      </w:r>
      <w:r w:rsidR="00C470CE">
        <w:rPr>
          <w:rFonts w:ascii="Times New Roman" w:eastAsia="Times New Roman" w:hAnsi="Times New Roman" w:cs="Times New Roman"/>
          <w:sz w:val="24"/>
          <w:szCs w:val="24"/>
          <w:lang w:val="id-ID" w:eastAsia="id-ID"/>
        </w:rPr>
        <w:t>anaan terhadap kebebasan hakim.</w:t>
      </w:r>
    </w:p>
    <w:p w:rsidR="00850F95" w:rsidRPr="00850F95" w:rsidRDefault="00850F95" w:rsidP="00C470CE">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id-ID" w:eastAsia="id-ID"/>
        </w:rPr>
      </w:pPr>
      <w:r w:rsidRPr="00C470CE">
        <w:rPr>
          <w:rFonts w:ascii="Times New Roman" w:eastAsia="Times New Roman" w:hAnsi="Times New Roman" w:cs="Times New Roman"/>
          <w:b/>
          <w:bCs/>
          <w:kern w:val="36"/>
          <w:sz w:val="24"/>
          <w:szCs w:val="24"/>
          <w:lang w:val="id-ID" w:eastAsia="id-ID"/>
        </w:rPr>
        <w:t>METODE PENELITIAN</w:t>
      </w:r>
    </w:p>
    <w:p w:rsidR="00850F95" w:rsidRPr="00850F95" w:rsidRDefault="00850F95" w:rsidP="0003173C">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 xml:space="preserve">Penelitian menggunakan metode </w:t>
      </w:r>
      <w:r w:rsidRPr="0003173C">
        <w:rPr>
          <w:rFonts w:ascii="Times New Roman" w:eastAsia="Times New Roman" w:hAnsi="Times New Roman" w:cs="Times New Roman"/>
          <w:bCs/>
          <w:sz w:val="24"/>
          <w:szCs w:val="24"/>
          <w:lang w:val="id-ID" w:eastAsia="id-ID"/>
        </w:rPr>
        <w:t>yuridis normatif</w:t>
      </w:r>
      <w:r w:rsidRPr="00850F95">
        <w:rPr>
          <w:rFonts w:ascii="Times New Roman" w:eastAsia="Times New Roman" w:hAnsi="Times New Roman" w:cs="Times New Roman"/>
          <w:sz w:val="24"/>
          <w:szCs w:val="24"/>
          <w:lang w:val="id-ID" w:eastAsia="id-ID"/>
        </w:rPr>
        <w:t xml:space="preserve"> melalui pendekatan:</w:t>
      </w:r>
    </w:p>
    <w:p w:rsidR="00850F95" w:rsidRPr="00850F95" w:rsidRDefault="00850F95" w:rsidP="0003173C">
      <w:pPr>
        <w:numPr>
          <w:ilvl w:val="0"/>
          <w:numId w:val="1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03173C">
        <w:rPr>
          <w:rFonts w:ascii="Times New Roman" w:eastAsia="Times New Roman" w:hAnsi="Times New Roman" w:cs="Times New Roman"/>
          <w:bCs/>
          <w:sz w:val="24"/>
          <w:szCs w:val="24"/>
          <w:lang w:val="id-ID" w:eastAsia="id-ID"/>
        </w:rPr>
        <w:t>peraturan perundang-undangan</w:t>
      </w:r>
      <w:r w:rsidRPr="00850F95">
        <w:rPr>
          <w:rFonts w:ascii="Times New Roman" w:eastAsia="Times New Roman" w:hAnsi="Times New Roman" w:cs="Times New Roman"/>
          <w:sz w:val="24"/>
          <w:szCs w:val="24"/>
          <w:lang w:val="id-ID" w:eastAsia="id-ID"/>
        </w:rPr>
        <w:t>,</w:t>
      </w:r>
    </w:p>
    <w:p w:rsidR="00850F95" w:rsidRPr="00850F95" w:rsidRDefault="00850F95" w:rsidP="0003173C">
      <w:pPr>
        <w:numPr>
          <w:ilvl w:val="0"/>
          <w:numId w:val="1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03173C">
        <w:rPr>
          <w:rFonts w:ascii="Times New Roman" w:eastAsia="Times New Roman" w:hAnsi="Times New Roman" w:cs="Times New Roman"/>
          <w:bCs/>
          <w:sz w:val="24"/>
          <w:szCs w:val="24"/>
          <w:lang w:val="id-ID" w:eastAsia="id-ID"/>
        </w:rPr>
        <w:t>konseptual</w:t>
      </w:r>
      <w:r w:rsidRPr="00850F95">
        <w:rPr>
          <w:rFonts w:ascii="Times New Roman" w:eastAsia="Times New Roman" w:hAnsi="Times New Roman" w:cs="Times New Roman"/>
          <w:sz w:val="24"/>
          <w:szCs w:val="24"/>
          <w:lang w:val="id-ID" w:eastAsia="id-ID"/>
        </w:rPr>
        <w:t>, dan</w:t>
      </w:r>
    </w:p>
    <w:p w:rsidR="00850F95" w:rsidRPr="00850F95" w:rsidRDefault="00850F95" w:rsidP="0003173C">
      <w:pPr>
        <w:numPr>
          <w:ilvl w:val="0"/>
          <w:numId w:val="1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03173C">
        <w:rPr>
          <w:rFonts w:ascii="Times New Roman" w:eastAsia="Times New Roman" w:hAnsi="Times New Roman" w:cs="Times New Roman"/>
          <w:bCs/>
          <w:sz w:val="24"/>
          <w:szCs w:val="24"/>
          <w:lang w:val="id-ID" w:eastAsia="id-ID"/>
        </w:rPr>
        <w:t>studi kasus</w:t>
      </w:r>
      <w:r w:rsidRPr="00850F95">
        <w:rPr>
          <w:rFonts w:ascii="Times New Roman" w:eastAsia="Times New Roman" w:hAnsi="Times New Roman" w:cs="Times New Roman"/>
          <w:sz w:val="24"/>
          <w:szCs w:val="24"/>
          <w:lang w:val="id-ID" w:eastAsia="id-ID"/>
        </w:rPr>
        <w:t>.</w:t>
      </w:r>
    </w:p>
    <w:p w:rsidR="00856DCA" w:rsidRDefault="00850F95" w:rsidP="008D637D">
      <w:pPr>
        <w:spacing w:before="240" w:after="100" w:afterAutospacing="1" w:line="360" w:lineRule="auto"/>
        <w:ind w:firstLine="567"/>
        <w:jc w:val="both"/>
        <w:rPr>
          <w:rFonts w:ascii="Times New Roman" w:eastAsia="Times New Roman" w:hAnsi="Times New Roman" w:cs="Times New Roman"/>
          <w:b/>
          <w:bCs/>
          <w:kern w:val="36"/>
          <w:sz w:val="24"/>
          <w:szCs w:val="24"/>
          <w:lang w:val="id-ID" w:eastAsia="id-ID"/>
        </w:rPr>
      </w:pPr>
      <w:r w:rsidRPr="00850F95">
        <w:rPr>
          <w:rFonts w:ascii="Times New Roman" w:eastAsia="Times New Roman" w:hAnsi="Times New Roman" w:cs="Times New Roman"/>
          <w:sz w:val="24"/>
          <w:szCs w:val="24"/>
          <w:lang w:val="id-ID" w:eastAsia="id-ID"/>
        </w:rPr>
        <w:t>Sumber data mencakup bahan hukum primer, sekunder, dan tersier. Analisis dilakukan secara kualitatif melalui interpretasi peraturan, doktrin, serta putusan pengadilan.</w:t>
      </w:r>
      <w:r w:rsidRPr="00850F95">
        <w:rPr>
          <w:rFonts w:ascii="Times New Roman" w:eastAsia="Times New Roman" w:hAnsi="Times New Roman" w:cs="Times New Roman"/>
          <w:sz w:val="24"/>
          <w:szCs w:val="24"/>
          <w:lang w:val="id-ID" w:eastAsia="id-ID"/>
        </w:rPr>
        <w:br/>
      </w:r>
    </w:p>
    <w:p w:rsidR="00850F95" w:rsidRPr="00850F95" w:rsidRDefault="00850F95" w:rsidP="00856DCA">
      <w:pPr>
        <w:spacing w:before="240" w:after="100" w:afterAutospacing="1" w:line="360" w:lineRule="auto"/>
        <w:jc w:val="both"/>
        <w:rPr>
          <w:rFonts w:ascii="Times New Roman" w:eastAsia="Times New Roman" w:hAnsi="Times New Roman" w:cs="Times New Roman"/>
          <w:b/>
          <w:bCs/>
          <w:kern w:val="36"/>
          <w:sz w:val="24"/>
          <w:szCs w:val="24"/>
          <w:lang w:val="id-ID" w:eastAsia="id-ID"/>
        </w:rPr>
      </w:pPr>
      <w:r w:rsidRPr="0003173C">
        <w:rPr>
          <w:rFonts w:ascii="Times New Roman" w:eastAsia="Times New Roman" w:hAnsi="Times New Roman" w:cs="Times New Roman"/>
          <w:b/>
          <w:bCs/>
          <w:kern w:val="36"/>
          <w:sz w:val="24"/>
          <w:szCs w:val="24"/>
          <w:lang w:val="id-ID" w:eastAsia="id-ID"/>
        </w:rPr>
        <w:lastRenderedPageBreak/>
        <w:t>KERANGKA TEORI</w:t>
      </w:r>
    </w:p>
    <w:p w:rsidR="00850F95" w:rsidRPr="00850F95" w:rsidRDefault="00850F95" w:rsidP="0003173C">
      <w:pPr>
        <w:spacing w:before="100" w:beforeAutospacing="1" w:after="100" w:afterAutospacing="1" w:line="360" w:lineRule="auto"/>
        <w:jc w:val="both"/>
        <w:outlineLvl w:val="2"/>
        <w:rPr>
          <w:rFonts w:ascii="Times New Roman" w:eastAsia="Times New Roman" w:hAnsi="Times New Roman" w:cs="Times New Roman"/>
          <w:b/>
          <w:bCs/>
          <w:sz w:val="24"/>
          <w:szCs w:val="24"/>
          <w:lang w:val="id-ID" w:eastAsia="id-ID"/>
        </w:rPr>
      </w:pPr>
      <w:r w:rsidRPr="0003173C">
        <w:rPr>
          <w:rFonts w:ascii="Times New Roman" w:eastAsia="Times New Roman" w:hAnsi="Times New Roman" w:cs="Times New Roman"/>
          <w:b/>
          <w:bCs/>
          <w:sz w:val="24"/>
          <w:szCs w:val="24"/>
          <w:lang w:val="id-ID" w:eastAsia="id-ID"/>
        </w:rPr>
        <w:t>Teori Pemidanaan</w:t>
      </w:r>
    </w:p>
    <w:p w:rsidR="00850F95" w:rsidRPr="00850F95" w:rsidRDefault="00850F95" w:rsidP="0003173C">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Pemidanaan memiliki fungsi:</w:t>
      </w:r>
    </w:p>
    <w:p w:rsidR="00850F95" w:rsidRPr="00850F95" w:rsidRDefault="00850F95" w:rsidP="00856DCA">
      <w:pPr>
        <w:numPr>
          <w:ilvl w:val="0"/>
          <w:numId w:val="1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melindungi masyarakat,</w:t>
      </w:r>
    </w:p>
    <w:p w:rsidR="00850F95" w:rsidRPr="00850F95" w:rsidRDefault="00850F95" w:rsidP="00856DCA">
      <w:pPr>
        <w:numPr>
          <w:ilvl w:val="0"/>
          <w:numId w:val="1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menegakkan keadilan,</w:t>
      </w:r>
    </w:p>
    <w:p w:rsidR="00850F95" w:rsidRPr="00850F95" w:rsidRDefault="00850F95" w:rsidP="00856DCA">
      <w:pPr>
        <w:numPr>
          <w:ilvl w:val="0"/>
          <w:numId w:val="1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memberikan efek jera,</w:t>
      </w:r>
    </w:p>
    <w:p w:rsidR="00856DCA" w:rsidRDefault="00850F95" w:rsidP="00856DCA">
      <w:pPr>
        <w:numPr>
          <w:ilvl w:val="0"/>
          <w:numId w:val="1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dan memperbaiki pelaku kejahatan.</w:t>
      </w:r>
    </w:p>
    <w:p w:rsidR="00D867B2" w:rsidRPr="00D867B2" w:rsidRDefault="00850F95" w:rsidP="00850F95">
      <w:pPr>
        <w:numPr>
          <w:ilvl w:val="0"/>
          <w:numId w:val="15"/>
        </w:numPr>
        <w:tabs>
          <w:tab w:val="clear" w:pos="360"/>
        </w:tabs>
        <w:spacing w:before="100" w:beforeAutospacing="1" w:after="100" w:afterAutospacing="1" w:line="240" w:lineRule="auto"/>
        <w:ind w:left="567" w:hanging="567"/>
        <w:jc w:val="both"/>
        <w:outlineLvl w:val="2"/>
        <w:rPr>
          <w:rFonts w:ascii="Times New Roman" w:eastAsia="Times New Roman" w:hAnsi="Times New Roman" w:cs="Times New Roman"/>
          <w:b/>
          <w:bCs/>
          <w:sz w:val="27"/>
          <w:szCs w:val="27"/>
          <w:lang w:val="id-ID" w:eastAsia="id-ID"/>
        </w:rPr>
      </w:pPr>
      <w:r w:rsidRPr="00850F95">
        <w:rPr>
          <w:rFonts w:ascii="Times New Roman" w:eastAsia="Times New Roman" w:hAnsi="Times New Roman" w:cs="Times New Roman"/>
          <w:sz w:val="24"/>
          <w:szCs w:val="24"/>
          <w:lang w:val="id-ID" w:eastAsia="id-ID"/>
        </w:rPr>
        <w:t>Hakim wajib menimbang jenis pidana, berat ringannya, dan kondisi objektif-subjektif pelaku.</w:t>
      </w:r>
    </w:p>
    <w:p w:rsidR="00850F95" w:rsidRPr="00850F95" w:rsidRDefault="00D867B2" w:rsidP="00D867B2">
      <w:pPr>
        <w:spacing w:before="100" w:beforeAutospacing="1" w:after="100" w:afterAutospacing="1" w:line="240" w:lineRule="auto"/>
        <w:jc w:val="both"/>
        <w:outlineLvl w:val="2"/>
        <w:rPr>
          <w:rFonts w:ascii="Times New Roman" w:eastAsia="Times New Roman" w:hAnsi="Times New Roman" w:cs="Times New Roman"/>
          <w:b/>
          <w:bCs/>
          <w:sz w:val="27"/>
          <w:szCs w:val="27"/>
          <w:lang w:val="id-ID" w:eastAsia="id-ID"/>
        </w:rPr>
      </w:pPr>
      <w:r>
        <w:rPr>
          <w:rFonts w:ascii="Times New Roman" w:eastAsia="Times New Roman" w:hAnsi="Times New Roman" w:cs="Times New Roman"/>
          <w:sz w:val="24"/>
          <w:szCs w:val="24"/>
          <w:lang w:val="id-ID" w:eastAsia="id-ID"/>
        </w:rPr>
        <w:t xml:space="preserve"> </w:t>
      </w:r>
      <w:r w:rsidR="00850F95" w:rsidRPr="00D867B2">
        <w:rPr>
          <w:rFonts w:ascii="Times New Roman" w:eastAsia="Times New Roman" w:hAnsi="Times New Roman" w:cs="Times New Roman"/>
          <w:b/>
          <w:bCs/>
          <w:sz w:val="27"/>
          <w:szCs w:val="27"/>
          <w:lang w:val="id-ID" w:eastAsia="id-ID"/>
        </w:rPr>
        <w:t>Teori Tujuan Hukum (Gustav Radbruch)</w:t>
      </w:r>
    </w:p>
    <w:p w:rsidR="00850F95" w:rsidRPr="00850F95" w:rsidRDefault="00850F95" w:rsidP="00850F95">
      <w:pPr>
        <w:spacing w:before="100" w:beforeAutospacing="1" w:after="100" w:afterAutospacing="1" w:line="240" w:lineRule="auto"/>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Tujuan hukum mencakup:</w:t>
      </w:r>
    </w:p>
    <w:p w:rsidR="00850F95" w:rsidRPr="00850F95" w:rsidRDefault="00850F95" w:rsidP="00D867B2">
      <w:pPr>
        <w:numPr>
          <w:ilvl w:val="0"/>
          <w:numId w:val="1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keadilan</w:t>
      </w:r>
      <w:r w:rsidRPr="00850F95">
        <w:rPr>
          <w:rFonts w:ascii="Times New Roman" w:eastAsia="Times New Roman" w:hAnsi="Times New Roman" w:cs="Times New Roman"/>
          <w:sz w:val="24"/>
          <w:szCs w:val="24"/>
          <w:lang w:val="id-ID" w:eastAsia="id-ID"/>
        </w:rPr>
        <w:t>,</w:t>
      </w:r>
    </w:p>
    <w:p w:rsidR="00850F95" w:rsidRPr="00850F95" w:rsidRDefault="00850F95" w:rsidP="00D867B2">
      <w:pPr>
        <w:numPr>
          <w:ilvl w:val="0"/>
          <w:numId w:val="1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kepastian hukum</w:t>
      </w:r>
      <w:r w:rsidRPr="00850F95">
        <w:rPr>
          <w:rFonts w:ascii="Times New Roman" w:eastAsia="Times New Roman" w:hAnsi="Times New Roman" w:cs="Times New Roman"/>
          <w:sz w:val="24"/>
          <w:szCs w:val="24"/>
          <w:lang w:val="id-ID" w:eastAsia="id-ID"/>
        </w:rPr>
        <w:t>,</w:t>
      </w:r>
    </w:p>
    <w:p w:rsidR="00850F95" w:rsidRPr="00850F95" w:rsidRDefault="00850F95" w:rsidP="00D867B2">
      <w:pPr>
        <w:numPr>
          <w:ilvl w:val="0"/>
          <w:numId w:val="1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kemanfaatan</w:t>
      </w:r>
      <w:r w:rsidRPr="00850F95">
        <w:rPr>
          <w:rFonts w:ascii="Times New Roman" w:eastAsia="Times New Roman" w:hAnsi="Times New Roman" w:cs="Times New Roman"/>
          <w:sz w:val="24"/>
          <w:szCs w:val="24"/>
          <w:lang w:val="id-ID" w:eastAsia="id-ID"/>
        </w:rPr>
        <w:t>.</w:t>
      </w:r>
    </w:p>
    <w:p w:rsidR="00850F95" w:rsidRPr="00850F95" w:rsidRDefault="00850F95" w:rsidP="00D867B2">
      <w:pPr>
        <w:spacing w:before="100" w:beforeAutospacing="1" w:after="100" w:afterAutospacing="1" w:line="240" w:lineRule="auto"/>
        <w:rPr>
          <w:rFonts w:ascii="Times New Roman" w:eastAsia="Times New Roman" w:hAnsi="Times New Roman" w:cs="Times New Roman"/>
          <w:b/>
          <w:bCs/>
          <w:sz w:val="27"/>
          <w:szCs w:val="27"/>
          <w:lang w:val="id-ID" w:eastAsia="id-ID"/>
        </w:rPr>
      </w:pPr>
      <w:r w:rsidRPr="00850F95">
        <w:rPr>
          <w:rFonts w:ascii="Times New Roman" w:eastAsia="Times New Roman" w:hAnsi="Times New Roman" w:cs="Times New Roman"/>
          <w:b/>
          <w:bCs/>
          <w:sz w:val="27"/>
          <w:szCs w:val="27"/>
          <w:lang w:val="id-ID" w:eastAsia="id-ID"/>
        </w:rPr>
        <w:t>Asas Equality Before the Law dan Proportionality</w:t>
      </w:r>
    </w:p>
    <w:p w:rsidR="00850F95" w:rsidRPr="00850F95" w:rsidRDefault="00850F95" w:rsidP="00850F95">
      <w:pPr>
        <w:spacing w:before="100" w:beforeAutospacing="1" w:after="100" w:afterAutospacing="1" w:line="240" w:lineRule="auto"/>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Disparitas pidana yang tidak wajar melanggar asas kesetaraan dan proporsionalitas.</w:t>
      </w:r>
      <w:r w:rsidRPr="00850F95">
        <w:rPr>
          <w:rFonts w:ascii="Times New Roman" w:eastAsia="Times New Roman" w:hAnsi="Times New Roman" w:cs="Times New Roman"/>
          <w:sz w:val="24"/>
          <w:szCs w:val="24"/>
          <w:lang w:val="id-ID" w:eastAsia="id-ID"/>
        </w:rPr>
        <w:br/>
      </w:r>
    </w:p>
    <w:p w:rsidR="00850F95" w:rsidRPr="00850F95" w:rsidRDefault="00850F95" w:rsidP="00850F95">
      <w:pPr>
        <w:spacing w:before="100" w:beforeAutospacing="1" w:after="100" w:afterAutospacing="1" w:line="240" w:lineRule="auto"/>
        <w:outlineLvl w:val="2"/>
        <w:rPr>
          <w:rFonts w:ascii="Times New Roman" w:eastAsia="Times New Roman" w:hAnsi="Times New Roman" w:cs="Times New Roman"/>
          <w:b/>
          <w:bCs/>
          <w:sz w:val="27"/>
          <w:szCs w:val="27"/>
          <w:lang w:val="id-ID" w:eastAsia="id-ID"/>
        </w:rPr>
      </w:pPr>
      <w:r w:rsidRPr="00850F95">
        <w:rPr>
          <w:rFonts w:ascii="Times New Roman" w:eastAsia="Times New Roman" w:hAnsi="Times New Roman" w:cs="Times New Roman"/>
          <w:b/>
          <w:bCs/>
          <w:sz w:val="27"/>
          <w:szCs w:val="27"/>
          <w:lang w:val="id-ID" w:eastAsia="id-ID"/>
        </w:rPr>
        <w:t>Teori Legalistik vs. Substantive Justice</w:t>
      </w:r>
    </w:p>
    <w:p w:rsidR="00850F95" w:rsidRPr="00850F95" w:rsidRDefault="00850F95" w:rsidP="00850F95">
      <w:pPr>
        <w:spacing w:before="100" w:beforeAutospacing="1" w:after="100" w:afterAutospacing="1" w:line="240" w:lineRule="auto"/>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Pemidanaan tidak hanya berorientasi pada teks hukum, tetapi juga keadilan substantif.</w:t>
      </w:r>
      <w:r w:rsidRPr="00850F95">
        <w:rPr>
          <w:rFonts w:ascii="Times New Roman" w:eastAsia="Times New Roman" w:hAnsi="Times New Roman" w:cs="Times New Roman"/>
          <w:sz w:val="24"/>
          <w:szCs w:val="24"/>
          <w:lang w:val="id-ID" w:eastAsia="id-ID"/>
        </w:rPr>
        <w:br/>
      </w:r>
    </w:p>
    <w:p w:rsidR="00D867B2" w:rsidRPr="00D867B2" w:rsidRDefault="00D867B2" w:rsidP="00D867B2">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D867B2">
        <w:rPr>
          <w:rFonts w:ascii="Times New Roman" w:eastAsia="Times New Roman" w:hAnsi="Times New Roman" w:cs="Times New Roman"/>
          <w:b/>
          <w:bCs/>
          <w:sz w:val="24"/>
          <w:szCs w:val="24"/>
          <w:lang w:val="id-ID" w:eastAsia="id-ID"/>
        </w:rPr>
        <w:t xml:space="preserve">HASIL DAN PEMBAHASAN </w:t>
      </w:r>
    </w:p>
    <w:p w:rsidR="00D867B2" w:rsidRPr="00D867B2" w:rsidRDefault="00D867B2" w:rsidP="00D867B2">
      <w:pPr>
        <w:spacing w:before="100" w:beforeAutospacing="1" w:after="100" w:afterAutospacing="1" w:line="360" w:lineRule="auto"/>
        <w:jc w:val="both"/>
        <w:outlineLvl w:val="2"/>
        <w:rPr>
          <w:rFonts w:ascii="Times New Roman" w:eastAsia="Times New Roman" w:hAnsi="Times New Roman" w:cs="Times New Roman"/>
          <w:b/>
          <w:bCs/>
          <w:sz w:val="24"/>
          <w:szCs w:val="24"/>
          <w:lang w:val="id-ID" w:eastAsia="id-ID"/>
        </w:rPr>
      </w:pPr>
      <w:r w:rsidRPr="00D867B2">
        <w:rPr>
          <w:rFonts w:ascii="Times New Roman" w:eastAsia="Times New Roman" w:hAnsi="Times New Roman" w:cs="Times New Roman"/>
          <w:b/>
          <w:bCs/>
          <w:sz w:val="24"/>
          <w:szCs w:val="24"/>
          <w:lang w:val="id-ID" w:eastAsia="id-ID"/>
        </w:rPr>
        <w:t>Realitas Disparitas Pemidanaan di Indonesia</w:t>
      </w:r>
    </w:p>
    <w:p w:rsidR="00D867B2" w:rsidRPr="00D867B2" w:rsidRDefault="00D867B2" w:rsidP="00D867B2">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sz w:val="24"/>
          <w:szCs w:val="24"/>
          <w:lang w:val="id-ID" w:eastAsia="id-ID"/>
        </w:rPr>
        <w:t>Fenomena disparitas pemidanaan menjadi salah satu masalah paling menonjol dalam sistem peradilan pidana Indonesia. Berbagai data kasus dan analisis putusan menunjukkan bahwa dua perkara yang memiliki unsur dan karakteristik objektif yang sama dapat berakhir dengan putusan pidana yang berbeda secara signifikan. Disparitas ini dapat terlihat dalam perkara-perkara seperti narkotika, pencurian, penganiayaan, hingga tindak pidana korupsi.</w:t>
      </w:r>
    </w:p>
    <w:p w:rsidR="00D867B2" w:rsidRPr="00D867B2" w:rsidRDefault="00D867B2" w:rsidP="00D867B2">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sz w:val="24"/>
          <w:szCs w:val="24"/>
          <w:lang w:val="id-ID" w:eastAsia="id-ID"/>
        </w:rPr>
        <w:lastRenderedPageBreak/>
        <w:t>Secara umum, disparitas pemidanaan di Indonesia terjadi karena beberapa persoalan mendasar, yaitu:</w:t>
      </w:r>
    </w:p>
    <w:p w:rsidR="00D867B2" w:rsidRPr="00D867B2" w:rsidRDefault="00D867B2" w:rsidP="00D867B2">
      <w:pPr>
        <w:numPr>
          <w:ilvl w:val="0"/>
          <w:numId w:val="2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D637D">
        <w:rPr>
          <w:rFonts w:ascii="Times New Roman" w:eastAsia="Times New Roman" w:hAnsi="Times New Roman" w:cs="Times New Roman"/>
          <w:bCs/>
          <w:sz w:val="24"/>
          <w:szCs w:val="24"/>
          <w:lang w:val="id-ID" w:eastAsia="id-ID"/>
        </w:rPr>
        <w:t>Tidak adanya pedoman pemidanaan nasional</w:t>
      </w:r>
      <w:r w:rsidRPr="00D867B2">
        <w:rPr>
          <w:rFonts w:ascii="Times New Roman" w:eastAsia="Times New Roman" w:hAnsi="Times New Roman" w:cs="Times New Roman"/>
          <w:sz w:val="24"/>
          <w:szCs w:val="24"/>
          <w:lang w:val="id-ID" w:eastAsia="id-ID"/>
        </w:rPr>
        <w:t xml:space="preserve"> yang bersifat menyeluruh untuk semua jenis tindak pidana. Akibatnya, setiap hakim menggunakan pendekatan masing-masing dalam menentukan berat-ringannya pidana.</w:t>
      </w:r>
    </w:p>
    <w:p w:rsidR="00D867B2" w:rsidRPr="00D867B2" w:rsidRDefault="00D867B2" w:rsidP="00D867B2">
      <w:pPr>
        <w:numPr>
          <w:ilvl w:val="0"/>
          <w:numId w:val="2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D637D">
        <w:rPr>
          <w:rFonts w:ascii="Times New Roman" w:eastAsia="Times New Roman" w:hAnsi="Times New Roman" w:cs="Times New Roman"/>
          <w:bCs/>
          <w:sz w:val="24"/>
          <w:szCs w:val="24"/>
          <w:lang w:val="id-ID" w:eastAsia="id-ID"/>
        </w:rPr>
        <w:t>Subjektivitas hakim</w:t>
      </w:r>
      <w:r w:rsidRPr="00D867B2">
        <w:rPr>
          <w:rFonts w:ascii="Times New Roman" w:eastAsia="Times New Roman" w:hAnsi="Times New Roman" w:cs="Times New Roman"/>
          <w:sz w:val="24"/>
          <w:szCs w:val="24"/>
          <w:lang w:val="id-ID" w:eastAsia="id-ID"/>
        </w:rPr>
        <w:t xml:space="preserve"> yang muncul karena bergantung pada pengalaman, intuisi, latar belakang moral, dan perspektif pribadi.</w:t>
      </w:r>
    </w:p>
    <w:p w:rsidR="00D867B2" w:rsidRPr="00D867B2" w:rsidRDefault="00D867B2" w:rsidP="00D867B2">
      <w:pPr>
        <w:numPr>
          <w:ilvl w:val="0"/>
          <w:numId w:val="2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D637D">
        <w:rPr>
          <w:rFonts w:ascii="Times New Roman" w:eastAsia="Times New Roman" w:hAnsi="Times New Roman" w:cs="Times New Roman"/>
          <w:bCs/>
          <w:sz w:val="24"/>
          <w:szCs w:val="24"/>
          <w:lang w:val="id-ID" w:eastAsia="id-ID"/>
        </w:rPr>
        <w:t>Minimnya parameter penjatuhan pidana</w:t>
      </w:r>
      <w:r w:rsidRPr="00D867B2">
        <w:rPr>
          <w:rFonts w:ascii="Times New Roman" w:eastAsia="Times New Roman" w:hAnsi="Times New Roman" w:cs="Times New Roman"/>
          <w:sz w:val="24"/>
          <w:szCs w:val="24"/>
          <w:lang w:val="id-ID" w:eastAsia="id-ID"/>
        </w:rPr>
        <w:t xml:space="preserve"> seperti pembobotan tingkat kesalahan, dampak kerugian, kondisi pelaku, dan karakter delik.</w:t>
      </w:r>
    </w:p>
    <w:p w:rsidR="00D867B2" w:rsidRPr="00D867B2" w:rsidRDefault="00D867B2" w:rsidP="00D867B2">
      <w:pPr>
        <w:numPr>
          <w:ilvl w:val="0"/>
          <w:numId w:val="20"/>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D637D">
        <w:rPr>
          <w:rFonts w:ascii="Times New Roman" w:eastAsia="Times New Roman" w:hAnsi="Times New Roman" w:cs="Times New Roman"/>
          <w:bCs/>
          <w:sz w:val="24"/>
          <w:szCs w:val="24"/>
          <w:lang w:val="id-ID" w:eastAsia="id-ID"/>
        </w:rPr>
        <w:t>Inkonsistensi dalam pertimbangan yuridis</w:t>
      </w:r>
      <w:r w:rsidRPr="00D867B2">
        <w:rPr>
          <w:rFonts w:ascii="Times New Roman" w:eastAsia="Times New Roman" w:hAnsi="Times New Roman" w:cs="Times New Roman"/>
          <w:sz w:val="24"/>
          <w:szCs w:val="24"/>
          <w:lang w:val="id-ID" w:eastAsia="id-ID"/>
        </w:rPr>
        <w:t>, misalnya perbedaan dalam menilai hal-hal yang memberatkan dan meringankan.</w:t>
      </w:r>
    </w:p>
    <w:p w:rsidR="00D867B2" w:rsidRPr="00D867B2" w:rsidRDefault="00D867B2" w:rsidP="00D867B2">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sz w:val="24"/>
          <w:szCs w:val="24"/>
          <w:lang w:val="id-ID" w:eastAsia="id-ID"/>
        </w:rPr>
        <w:t xml:space="preserve">Mahkamah Agung sebenarnya telah mengeluarkan </w:t>
      </w:r>
      <w:r w:rsidRPr="00D867B2">
        <w:rPr>
          <w:rFonts w:ascii="Times New Roman" w:eastAsia="Times New Roman" w:hAnsi="Times New Roman" w:cs="Times New Roman"/>
          <w:bCs/>
          <w:sz w:val="24"/>
          <w:szCs w:val="24"/>
          <w:lang w:val="id-ID" w:eastAsia="id-ID"/>
        </w:rPr>
        <w:t>PERMA No. 1 Tahun 2020 tentang Pedoman Pemidanaan untuk Perkara Tindak Pidana Korupsi</w:t>
      </w:r>
      <w:r w:rsidRPr="00D867B2">
        <w:rPr>
          <w:rFonts w:ascii="Times New Roman" w:eastAsia="Times New Roman" w:hAnsi="Times New Roman" w:cs="Times New Roman"/>
          <w:sz w:val="24"/>
          <w:szCs w:val="24"/>
          <w:lang w:val="id-ID" w:eastAsia="id-ID"/>
        </w:rPr>
        <w:t xml:space="preserve">, yang merupakan langkah awal menuju pembentukan pedoman pemidanaan. Namun pedoman tersebut </w:t>
      </w:r>
      <w:r w:rsidRPr="00D867B2">
        <w:rPr>
          <w:rFonts w:ascii="Times New Roman" w:eastAsia="Times New Roman" w:hAnsi="Times New Roman" w:cs="Times New Roman"/>
          <w:bCs/>
          <w:sz w:val="24"/>
          <w:szCs w:val="24"/>
          <w:lang w:val="id-ID" w:eastAsia="id-ID"/>
        </w:rPr>
        <w:t>hanya terbatas untuk jenis tindak pidana tertentu</w:t>
      </w:r>
      <w:r w:rsidRPr="00D867B2">
        <w:rPr>
          <w:rFonts w:ascii="Times New Roman" w:eastAsia="Times New Roman" w:hAnsi="Times New Roman" w:cs="Times New Roman"/>
          <w:sz w:val="24"/>
          <w:szCs w:val="24"/>
          <w:lang w:val="id-ID" w:eastAsia="id-ID"/>
        </w:rPr>
        <w:t>, sehingga belum mampu menyelesaikan disparitas pemidanaan secara menyeluruh. Dengan demikian, kebutuhan akan pedoman nasional yang bersifat lintas-perkara semakin mendesak.</w:t>
      </w:r>
    </w:p>
    <w:p w:rsidR="00D867B2" w:rsidRPr="00D867B2" w:rsidRDefault="00D867B2" w:rsidP="00D867B2">
      <w:pPr>
        <w:spacing w:before="100" w:beforeAutospacing="1" w:after="100" w:afterAutospacing="1" w:line="360" w:lineRule="auto"/>
        <w:jc w:val="both"/>
        <w:outlineLvl w:val="2"/>
        <w:rPr>
          <w:rFonts w:ascii="Times New Roman" w:eastAsia="Times New Roman" w:hAnsi="Times New Roman" w:cs="Times New Roman"/>
          <w:b/>
          <w:bCs/>
          <w:sz w:val="24"/>
          <w:szCs w:val="24"/>
          <w:lang w:val="id-ID" w:eastAsia="id-ID"/>
        </w:rPr>
      </w:pPr>
      <w:r w:rsidRPr="00D867B2">
        <w:rPr>
          <w:rFonts w:ascii="Times New Roman" w:eastAsia="Times New Roman" w:hAnsi="Times New Roman" w:cs="Times New Roman"/>
          <w:b/>
          <w:bCs/>
          <w:sz w:val="24"/>
          <w:szCs w:val="24"/>
          <w:lang w:val="id-ID" w:eastAsia="id-ID"/>
        </w:rPr>
        <w:t>Penyebab Utama Disparitas Pemidanaan</w:t>
      </w:r>
    </w:p>
    <w:p w:rsidR="00D867B2" w:rsidRPr="00D867B2" w:rsidRDefault="00D867B2" w:rsidP="00D867B2">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sz w:val="24"/>
          <w:szCs w:val="24"/>
          <w:lang w:val="id-ID" w:eastAsia="id-ID"/>
        </w:rPr>
        <w:t>Berbagai penelitian, termasuk analisis dalam Tesis Nurhayani Butar Butar, menunjukkan bahwa disparitas pemidanaan berasal dari banyak faktor sistemik dan struktural. Beberapa penyebab utamanya adalah:</w:t>
      </w:r>
    </w:p>
    <w:p w:rsidR="00D867B2" w:rsidRPr="00D867B2" w:rsidRDefault="00D867B2" w:rsidP="00D867B2">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Ruang diskresi hakim yang terlalu luas tanpa pedoman nasional</w:t>
      </w:r>
      <w:r w:rsidRPr="00D867B2">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Ketika tidak ada standar baku, maka hakim memiliki kebebasan penuh menentukan jenis dan durasi pidana. Kebebasan tanpa batas ini membuka peluang terjadinya ketidakkonsistenan.</w:t>
      </w:r>
    </w:p>
    <w:p w:rsidR="00D867B2" w:rsidRPr="00D867B2" w:rsidRDefault="00D867B2" w:rsidP="00D867B2">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Perbedaan penafsiran hukum antarhakim</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Hakim dapat memiliki perspektif berbeda dalam menafsirkan delik, menilai alat bukti, atau menentukan kategori kesalahan. Tidak adanya unifikasi penafsiran menyebabkan hasil putusan berbeda.</w:t>
      </w:r>
    </w:p>
    <w:p w:rsidR="00D867B2" w:rsidRPr="00D867B2" w:rsidRDefault="00D867B2" w:rsidP="00D867B2">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Karakter personal, latar belakang sosial, dan nilai-nilai subjektif hakim</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Preferensi pribadi, pengaruh psikologis, bahkan pandangan konservatif atau progresif seorang hakim turut mempengaruhi besaran pidana.</w:t>
      </w:r>
    </w:p>
    <w:p w:rsidR="00D867B2" w:rsidRPr="00D867B2" w:rsidRDefault="00D867B2" w:rsidP="00D867B2">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lastRenderedPageBreak/>
        <w:t>Kelemahan struktur hukum dan koordinasi antar lembaga peradilan</w:t>
      </w:r>
      <w:r w:rsidRPr="00D867B2">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Minimnya komunikasi antar-lingkungan peradilan, termasuk kurangnya publikasi pedoman internal atau putusan rujukan, membuat hakim bekerja secara individual tanpa referensi yang seragam.</w:t>
      </w:r>
    </w:p>
    <w:p w:rsidR="00D867B2" w:rsidRPr="00D867B2" w:rsidRDefault="00D867B2" w:rsidP="00D867B2">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Tidak adanya standar baku dalam menentukan berat-ringannya pidana</w:t>
      </w:r>
      <w:r w:rsidRPr="00D867B2">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Misalnya, tidak ada formula kuantitatif untuk menilai tingkat kesalahan (culpability), tingkat bahaya perbuatan, kerugian korban, atau faktor rehabilitatif pelaku. Hal ini menyebabkan pertimbangan hakim tidak seragam.</w:t>
      </w:r>
    </w:p>
    <w:p w:rsidR="00D867B2" w:rsidRPr="00D867B2" w:rsidRDefault="00D867B2" w:rsidP="00D867B2">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val="id-ID" w:eastAsia="id-ID"/>
        </w:rPr>
      </w:pPr>
      <w:r w:rsidRPr="00D867B2">
        <w:rPr>
          <w:rFonts w:ascii="Times New Roman" w:eastAsia="Times New Roman" w:hAnsi="Times New Roman" w:cs="Times New Roman"/>
          <w:b/>
          <w:bCs/>
          <w:sz w:val="24"/>
          <w:szCs w:val="24"/>
          <w:lang w:val="id-ID" w:eastAsia="id-ID"/>
        </w:rPr>
        <w:t xml:space="preserve">3. </w:t>
      </w:r>
      <w:r>
        <w:rPr>
          <w:rFonts w:ascii="Times New Roman" w:eastAsia="Times New Roman" w:hAnsi="Times New Roman" w:cs="Times New Roman"/>
          <w:b/>
          <w:bCs/>
          <w:sz w:val="24"/>
          <w:szCs w:val="24"/>
          <w:lang w:val="id-ID" w:eastAsia="id-ID"/>
        </w:rPr>
        <w:tab/>
      </w:r>
      <w:r w:rsidRPr="00D867B2">
        <w:rPr>
          <w:rFonts w:ascii="Times New Roman" w:eastAsia="Times New Roman" w:hAnsi="Times New Roman" w:cs="Times New Roman"/>
          <w:b/>
          <w:bCs/>
          <w:sz w:val="24"/>
          <w:szCs w:val="24"/>
          <w:lang w:val="id-ID" w:eastAsia="id-ID"/>
        </w:rPr>
        <w:t>Urgensi Penyusunan Pedoman Pemidanaan</w:t>
      </w:r>
    </w:p>
    <w:p w:rsidR="00D867B2" w:rsidRPr="00D867B2" w:rsidRDefault="00D867B2" w:rsidP="00D867B2">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sz w:val="24"/>
          <w:szCs w:val="24"/>
          <w:lang w:val="id-ID" w:eastAsia="id-ID"/>
        </w:rPr>
        <w:t>Melihat realitas dan penyebab disparitas pemidanaan, penyusunan pedoman pemidanaan menjadi kebutuhan yang sangat mendesak. Pedoman ini berfungsi bukan untuk menghilangkan kebebasan hakim, melainkan memperkuat kualitas pertimbangan hakim dan mengefektifkan penerapan tujuan hukum. Adapun urgensi utama penyusunan pedoman pemidanaan antara lain:</w:t>
      </w:r>
    </w:p>
    <w:p w:rsidR="00D867B2" w:rsidRPr="00D867B2" w:rsidRDefault="00D867B2" w:rsidP="00D867B2">
      <w:pPr>
        <w:numPr>
          <w:ilvl w:val="0"/>
          <w:numId w:val="1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Mencegah ketidakkonsistenan putusan</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Dengan pedoman yang terstruktur, putusan-putusan pengadilan dapat mengikuti pola yang lebih seragam untuk perkara yang memiliki karakteristik yang sama.</w:t>
      </w:r>
    </w:p>
    <w:p w:rsidR="00D867B2" w:rsidRPr="00D867B2" w:rsidRDefault="00D867B2" w:rsidP="00D867B2">
      <w:pPr>
        <w:numPr>
          <w:ilvl w:val="0"/>
          <w:numId w:val="1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Mengurangi ruang penyalahgunaan diskresi</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Diskresi yang terlalu luas dapat membuka peluang ketidakadilan, bias, bahkan potensi penyimpangan. Pedoman bertindak sebagai pengendali agar diskresi tetap berada dalam batas kewajaran.</w:t>
      </w:r>
    </w:p>
    <w:p w:rsidR="00D867B2" w:rsidRPr="00D867B2" w:rsidRDefault="00D867B2" w:rsidP="00D867B2">
      <w:pPr>
        <w:numPr>
          <w:ilvl w:val="0"/>
          <w:numId w:val="1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Menjamin objektivitas dan proporsionalitas pidana</w:t>
      </w:r>
      <w:r>
        <w:rPr>
          <w:rFonts w:ascii="Times New Roman" w:eastAsia="Times New Roman" w:hAnsi="Times New Roman" w:cs="Times New Roman"/>
          <w:bCs/>
          <w:sz w:val="24"/>
          <w:szCs w:val="24"/>
          <w:lang w:val="id-ID" w:eastAsia="id-ID"/>
        </w:rPr>
        <w:t xml:space="preserve">. </w:t>
      </w:r>
      <w:r w:rsidRPr="00D867B2">
        <w:rPr>
          <w:rFonts w:ascii="Times New Roman" w:eastAsia="Times New Roman" w:hAnsi="Times New Roman" w:cs="Times New Roman"/>
          <w:sz w:val="24"/>
          <w:szCs w:val="24"/>
          <w:lang w:val="id-ID" w:eastAsia="id-ID"/>
        </w:rPr>
        <w:t>Pedoman pemidanaan mengatur parameter yang terukur seperti tingkat kesengajaan, ancaman delik, dampak kerugian, serta kondisi pelaku dan korban, sehingga pidana dapat dijatuhkan secara seimbang dan rasional.</w:t>
      </w:r>
    </w:p>
    <w:p w:rsidR="00D867B2" w:rsidRPr="00D867B2" w:rsidRDefault="00D867B2" w:rsidP="00D867B2">
      <w:pPr>
        <w:numPr>
          <w:ilvl w:val="0"/>
          <w:numId w:val="1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Memperkuat legitimasi dan akuntabilitas putusan</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Putusan yang didasarkan pada pedoman baku akan lebih mudah dipertanggungjawabkan secara hukum maupun ethically accountable kepada masyarakat.</w:t>
      </w:r>
    </w:p>
    <w:p w:rsidR="00D867B2" w:rsidRPr="00D867B2" w:rsidRDefault="00D867B2" w:rsidP="00D867B2">
      <w:pPr>
        <w:numPr>
          <w:ilvl w:val="0"/>
          <w:numId w:val="19"/>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bCs/>
          <w:sz w:val="24"/>
          <w:szCs w:val="24"/>
          <w:lang w:val="id-ID" w:eastAsia="id-ID"/>
        </w:rPr>
        <w:t>Melindungi prinsip keadilan substantif</w:t>
      </w:r>
      <w:r>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Dengan pedoman pemidanaan, keputusan hakim tidak hanya memenuhi aspek formal hukum, tetapi juga rasa keadilan masyarakat yang lebih luas.</w:t>
      </w:r>
    </w:p>
    <w:p w:rsidR="00D867B2" w:rsidRPr="00D867B2" w:rsidRDefault="00D867B2" w:rsidP="00D867B2">
      <w:pPr>
        <w:spacing w:before="100" w:beforeAutospacing="1" w:after="100" w:afterAutospacing="1" w:line="360" w:lineRule="auto"/>
        <w:ind w:firstLine="567"/>
        <w:jc w:val="both"/>
        <w:rPr>
          <w:rFonts w:ascii="Times New Roman" w:eastAsia="Times New Roman" w:hAnsi="Times New Roman" w:cs="Times New Roman"/>
          <w:sz w:val="24"/>
          <w:szCs w:val="24"/>
          <w:lang w:val="id-ID" w:eastAsia="id-ID"/>
        </w:rPr>
      </w:pPr>
      <w:r w:rsidRPr="00D867B2">
        <w:rPr>
          <w:rFonts w:ascii="Times New Roman" w:eastAsia="Times New Roman" w:hAnsi="Times New Roman" w:cs="Times New Roman"/>
          <w:sz w:val="24"/>
          <w:szCs w:val="24"/>
          <w:lang w:val="id-ID" w:eastAsia="id-ID"/>
        </w:rPr>
        <w:lastRenderedPageBreak/>
        <w:t>Dengan adanya pedoman pemidanaan nasional, Indonesia dapat bergerak menuju sistem peradilan pidana yang lebih modern, transparan, dan dapat diprediksi (predictable justice), sebagaimana praktik di banyak negara maju.</w:t>
      </w:r>
    </w:p>
    <w:p w:rsidR="00850F95" w:rsidRPr="00850F95" w:rsidRDefault="00850F95" w:rsidP="00D867B2">
      <w:pPr>
        <w:spacing w:before="100" w:beforeAutospacing="1" w:after="100" w:afterAutospacing="1" w:line="240" w:lineRule="auto"/>
        <w:ind w:firstLine="567"/>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Kebutuhan pedoman ini juga terkait dengan tingginya laporan pelanggaran etik terkait pemidanaan (314 laporan pada 2022).</w:t>
      </w:r>
      <w:r w:rsidRPr="00850F95">
        <w:rPr>
          <w:rFonts w:ascii="Times New Roman" w:eastAsia="Times New Roman" w:hAnsi="Times New Roman" w:cs="Times New Roman"/>
          <w:sz w:val="24"/>
          <w:szCs w:val="24"/>
          <w:lang w:val="id-ID" w:eastAsia="id-ID"/>
        </w:rPr>
        <w:br/>
      </w:r>
    </w:p>
    <w:p w:rsidR="00850F95" w:rsidRPr="00850F95" w:rsidRDefault="00850F95" w:rsidP="00D867B2">
      <w:pPr>
        <w:spacing w:before="100" w:beforeAutospacing="1" w:after="100" w:afterAutospacing="1" w:line="360" w:lineRule="auto"/>
        <w:jc w:val="both"/>
        <w:outlineLvl w:val="1"/>
        <w:rPr>
          <w:rFonts w:ascii="Times New Roman" w:eastAsia="Times New Roman" w:hAnsi="Times New Roman" w:cs="Times New Roman"/>
          <w:b/>
          <w:bCs/>
          <w:sz w:val="24"/>
          <w:szCs w:val="24"/>
          <w:lang w:val="id-ID" w:eastAsia="id-ID"/>
        </w:rPr>
      </w:pPr>
      <w:r w:rsidRPr="00D867B2">
        <w:rPr>
          <w:rFonts w:ascii="Times New Roman" w:eastAsia="Times New Roman" w:hAnsi="Times New Roman" w:cs="Times New Roman"/>
          <w:b/>
          <w:bCs/>
          <w:sz w:val="24"/>
          <w:szCs w:val="24"/>
          <w:lang w:val="id-ID" w:eastAsia="id-ID"/>
        </w:rPr>
        <w:t>Pedoman Pemidanaan dan Kebebasan Hakim</w:t>
      </w:r>
    </w:p>
    <w:p w:rsidR="00850F95" w:rsidRPr="00850F95" w:rsidRDefault="00850F95" w:rsidP="00D867B2">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 xml:space="preserve">Pedoman pemidanaan </w:t>
      </w:r>
      <w:r w:rsidRPr="00D867B2">
        <w:rPr>
          <w:rFonts w:ascii="Times New Roman" w:eastAsia="Times New Roman" w:hAnsi="Times New Roman" w:cs="Times New Roman"/>
          <w:bCs/>
          <w:sz w:val="24"/>
          <w:szCs w:val="24"/>
          <w:lang w:val="id-ID" w:eastAsia="id-ID"/>
        </w:rPr>
        <w:t>tidak mengurangi</w:t>
      </w:r>
      <w:r w:rsidRPr="00850F95">
        <w:rPr>
          <w:rFonts w:ascii="Times New Roman" w:eastAsia="Times New Roman" w:hAnsi="Times New Roman" w:cs="Times New Roman"/>
          <w:sz w:val="24"/>
          <w:szCs w:val="24"/>
          <w:lang w:val="id-ID" w:eastAsia="id-ID"/>
        </w:rPr>
        <w:t xml:space="preserve"> kebebasan hakim, tetapi:</w:t>
      </w:r>
    </w:p>
    <w:p w:rsidR="00850F95" w:rsidRPr="00850F95" w:rsidRDefault="00850F95" w:rsidP="00D867B2">
      <w:pPr>
        <w:numPr>
          <w:ilvl w:val="0"/>
          <w:numId w:val="2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memberikan batasan objektif,</w:t>
      </w:r>
    </w:p>
    <w:p w:rsidR="00850F95" w:rsidRPr="00850F95" w:rsidRDefault="00850F95" w:rsidP="00D867B2">
      <w:pPr>
        <w:numPr>
          <w:ilvl w:val="0"/>
          <w:numId w:val="2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mengarahkan diskresi agar bertanggung jawab,</w:t>
      </w:r>
    </w:p>
    <w:p w:rsidR="00850F95" w:rsidRPr="00850F95" w:rsidRDefault="00850F95" w:rsidP="00D867B2">
      <w:pPr>
        <w:numPr>
          <w:ilvl w:val="0"/>
          <w:numId w:val="2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mencegah penyimpangan,</w:t>
      </w:r>
    </w:p>
    <w:p w:rsidR="00850F95" w:rsidRPr="00850F95" w:rsidRDefault="00850F95" w:rsidP="00D867B2">
      <w:pPr>
        <w:numPr>
          <w:ilvl w:val="0"/>
          <w:numId w:val="2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dan menjaga integritas putusan.</w:t>
      </w:r>
    </w:p>
    <w:p w:rsidR="00850F95" w:rsidRPr="00850F95" w:rsidRDefault="00850F95" w:rsidP="00D867B2">
      <w:pPr>
        <w:spacing w:before="100" w:beforeAutospacing="1" w:after="100" w:afterAutospacing="1" w:line="360" w:lineRule="auto"/>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Diskresi yang digunakan tetap harus:</w:t>
      </w:r>
    </w:p>
    <w:p w:rsidR="00850F95" w:rsidRPr="00850F95" w:rsidRDefault="00850F95" w:rsidP="00D867B2">
      <w:pPr>
        <w:numPr>
          <w:ilvl w:val="0"/>
          <w:numId w:val="2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rasional,</w:t>
      </w:r>
    </w:p>
    <w:p w:rsidR="00850F95" w:rsidRPr="00850F95" w:rsidRDefault="00850F95" w:rsidP="00D867B2">
      <w:pPr>
        <w:numPr>
          <w:ilvl w:val="0"/>
          <w:numId w:val="2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proporsional,</w:t>
      </w:r>
    </w:p>
    <w:p w:rsidR="00D867B2" w:rsidRDefault="00850F95" w:rsidP="00D867B2">
      <w:pPr>
        <w:numPr>
          <w:ilvl w:val="0"/>
          <w:numId w:val="2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850F95">
        <w:rPr>
          <w:rFonts w:ascii="Times New Roman" w:eastAsia="Times New Roman" w:hAnsi="Times New Roman" w:cs="Times New Roman"/>
          <w:sz w:val="24"/>
          <w:szCs w:val="24"/>
          <w:lang w:val="id-ID" w:eastAsia="id-ID"/>
        </w:rPr>
        <w:t>argumentatif,</w:t>
      </w:r>
    </w:p>
    <w:p w:rsidR="006F2000" w:rsidRPr="006F2000" w:rsidRDefault="00850F95" w:rsidP="006F2000">
      <w:pPr>
        <w:numPr>
          <w:ilvl w:val="0"/>
          <w:numId w:val="22"/>
        </w:numPr>
        <w:tabs>
          <w:tab w:val="clear" w:pos="360"/>
        </w:tabs>
        <w:spacing w:before="100" w:beforeAutospacing="1" w:after="100" w:afterAutospacing="1" w:line="360" w:lineRule="auto"/>
        <w:ind w:left="0" w:firstLine="0"/>
        <w:jc w:val="both"/>
        <w:outlineLvl w:val="0"/>
        <w:rPr>
          <w:rFonts w:ascii="Times New Roman" w:eastAsia="Times New Roman" w:hAnsi="Times New Roman" w:cs="Times New Roman"/>
          <w:b/>
          <w:bCs/>
          <w:kern w:val="36"/>
          <w:sz w:val="24"/>
          <w:szCs w:val="24"/>
          <w:lang w:val="id-ID" w:eastAsia="id-ID"/>
        </w:rPr>
      </w:pPr>
      <w:r w:rsidRPr="00850F95">
        <w:rPr>
          <w:rFonts w:ascii="Times New Roman" w:eastAsia="Times New Roman" w:hAnsi="Times New Roman" w:cs="Times New Roman"/>
          <w:sz w:val="24"/>
          <w:szCs w:val="24"/>
          <w:lang w:val="id-ID" w:eastAsia="id-ID"/>
        </w:rPr>
        <w:t>dapat</w:t>
      </w:r>
      <w:r w:rsidR="00D867B2" w:rsidRPr="00D867B2">
        <w:rPr>
          <w:rFonts w:ascii="Times New Roman" w:eastAsia="Times New Roman" w:hAnsi="Times New Roman" w:cs="Times New Roman"/>
          <w:color w:val="FFFFFF" w:themeColor="background1"/>
          <w:sz w:val="24"/>
          <w:szCs w:val="24"/>
          <w:lang w:val="id-ID" w:eastAsia="id-ID"/>
        </w:rPr>
        <w:t>_</w:t>
      </w:r>
      <w:r w:rsidRPr="00850F95">
        <w:rPr>
          <w:rFonts w:ascii="Times New Roman" w:eastAsia="Times New Roman" w:hAnsi="Times New Roman" w:cs="Times New Roman"/>
          <w:sz w:val="24"/>
          <w:szCs w:val="24"/>
          <w:lang w:val="id-ID" w:eastAsia="id-ID"/>
        </w:rPr>
        <w:t>dipertanggungjawabkan.</w:t>
      </w:r>
    </w:p>
    <w:p w:rsidR="00850F95" w:rsidRPr="00850F95" w:rsidRDefault="00850F95" w:rsidP="006F200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id-ID" w:eastAsia="id-ID"/>
        </w:rPr>
      </w:pPr>
      <w:r w:rsidRPr="00D867B2">
        <w:rPr>
          <w:rFonts w:ascii="Times New Roman" w:eastAsia="Times New Roman" w:hAnsi="Times New Roman" w:cs="Times New Roman"/>
          <w:b/>
          <w:bCs/>
          <w:kern w:val="36"/>
          <w:sz w:val="24"/>
          <w:szCs w:val="24"/>
          <w:lang w:val="id-ID" w:eastAsia="id-ID"/>
        </w:rPr>
        <w:t>KESIMPULAN</w:t>
      </w:r>
    </w:p>
    <w:p w:rsidR="00D867B2" w:rsidRPr="00D867B2" w:rsidRDefault="00D867B2" w:rsidP="006F2000">
      <w:pPr>
        <w:numPr>
          <w:ilvl w:val="0"/>
          <w:numId w:val="23"/>
        </w:numPr>
        <w:tabs>
          <w:tab w:val="clear" w:pos="2421"/>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6F2000">
        <w:rPr>
          <w:rFonts w:ascii="Times New Roman" w:eastAsia="Times New Roman" w:hAnsi="Times New Roman" w:cs="Times New Roman"/>
          <w:bCs/>
          <w:sz w:val="24"/>
          <w:szCs w:val="24"/>
          <w:lang w:val="id-ID" w:eastAsia="id-ID"/>
        </w:rPr>
        <w:t>Pedoman pemidanaan memiliki urgensi yang sangat tinggi sebagai instrumen normatif maupun praktis dalam mencegah disparitas pemidanaan.</w:t>
      </w:r>
      <w:r w:rsidRPr="00D867B2">
        <w:rPr>
          <w:rFonts w:ascii="Times New Roman" w:eastAsia="Times New Roman" w:hAnsi="Times New Roman" w:cs="Times New Roman"/>
          <w:sz w:val="24"/>
          <w:szCs w:val="24"/>
          <w:lang w:val="id-ID" w:eastAsia="id-ID"/>
        </w:rPr>
        <w:br/>
        <w:t xml:space="preserve">Ketiadaan pedoman yang bersifat komprehensif dan mengikat telah menimbulkan ketidakteraturan dalam praktik pemidanaan di Indonesia. Disparitas pemidanaan yang terjadi tanpa dasar pembeda yang sah secara hukum (misalnya tingkat kesalahan, akibat yang ditimbulkan, atau keadaan yang meringankan/memberatkan) berpotensi mengabaikan asas </w:t>
      </w:r>
      <w:r w:rsidRPr="00D867B2">
        <w:rPr>
          <w:rFonts w:ascii="Times New Roman" w:eastAsia="Times New Roman" w:hAnsi="Times New Roman" w:cs="Times New Roman"/>
          <w:i/>
          <w:iCs/>
          <w:sz w:val="24"/>
          <w:szCs w:val="24"/>
          <w:lang w:val="id-ID" w:eastAsia="id-ID"/>
        </w:rPr>
        <w:t>equality before the law</w:t>
      </w:r>
      <w:r w:rsidRPr="00D867B2">
        <w:rPr>
          <w:rFonts w:ascii="Times New Roman" w:eastAsia="Times New Roman" w:hAnsi="Times New Roman" w:cs="Times New Roman"/>
          <w:sz w:val="24"/>
          <w:szCs w:val="24"/>
          <w:lang w:val="id-ID" w:eastAsia="id-ID"/>
        </w:rPr>
        <w:t xml:space="preserve"> dan asas proporsionalitas yang menjadi esensi dari keadilan substantif. Kondisi ini bukan hanya berdampak pada ketidakpastian hukum, tetapi juga melemahkan legitimasi putusan pengadilan serta menurunkan tingkat kepercayaan publik terhadap integritas lembaga peradilan. Dengan demikian, pedoman pemidanaan diperlukan untuk menciptakan keseragaman standar penjatuhan </w:t>
      </w:r>
      <w:r w:rsidRPr="00D867B2">
        <w:rPr>
          <w:rFonts w:ascii="Times New Roman" w:eastAsia="Times New Roman" w:hAnsi="Times New Roman" w:cs="Times New Roman"/>
          <w:sz w:val="24"/>
          <w:szCs w:val="24"/>
          <w:lang w:val="id-ID" w:eastAsia="id-ID"/>
        </w:rPr>
        <w:lastRenderedPageBreak/>
        <w:t>pidana, memperkuat akuntabilitas, dan mendorong konsistensi antarputusan dalam perkara-perkara yang memiliki karakteristik yang sama.</w:t>
      </w:r>
    </w:p>
    <w:p w:rsidR="00D867B2" w:rsidRPr="00D867B2" w:rsidRDefault="00D867B2" w:rsidP="006F2000">
      <w:pPr>
        <w:numPr>
          <w:ilvl w:val="0"/>
          <w:numId w:val="23"/>
        </w:numPr>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6F2000">
        <w:rPr>
          <w:rFonts w:ascii="Times New Roman" w:eastAsia="Times New Roman" w:hAnsi="Times New Roman" w:cs="Times New Roman"/>
          <w:bCs/>
          <w:sz w:val="24"/>
          <w:szCs w:val="24"/>
          <w:lang w:val="id-ID" w:eastAsia="id-ID"/>
        </w:rPr>
        <w:t>Pedoman pemidanaan tidak membatasi kebebasan hakim, tetapi justru menyelaraskan diskresi tersebut dengan tujuan hukum, yaitu keadilan, kepastian, dan kemanfaatan.</w:t>
      </w:r>
      <w:r w:rsidRPr="00D867B2">
        <w:rPr>
          <w:rFonts w:ascii="Times New Roman" w:eastAsia="Times New Roman" w:hAnsi="Times New Roman" w:cs="Times New Roman"/>
          <w:sz w:val="24"/>
          <w:szCs w:val="24"/>
          <w:lang w:val="id-ID" w:eastAsia="id-ID"/>
        </w:rPr>
        <w:br/>
        <w:t>Kebebasan hakim (</w:t>
      </w:r>
      <w:r w:rsidRPr="00D867B2">
        <w:rPr>
          <w:rFonts w:ascii="Times New Roman" w:eastAsia="Times New Roman" w:hAnsi="Times New Roman" w:cs="Times New Roman"/>
          <w:i/>
          <w:iCs/>
          <w:sz w:val="24"/>
          <w:szCs w:val="24"/>
          <w:lang w:val="id-ID" w:eastAsia="id-ID"/>
        </w:rPr>
        <w:t>judicial discretion</w:t>
      </w:r>
      <w:r w:rsidRPr="00D867B2">
        <w:rPr>
          <w:rFonts w:ascii="Times New Roman" w:eastAsia="Times New Roman" w:hAnsi="Times New Roman" w:cs="Times New Roman"/>
          <w:sz w:val="24"/>
          <w:szCs w:val="24"/>
          <w:lang w:val="id-ID" w:eastAsia="id-ID"/>
        </w:rPr>
        <w:t>) merupakan salah satu prinsip fundamental dalam sistem peradilan pidana. Namun kebebasan tersebut bukanlah kebebasan yang absolut melainkan harus dijalankan dalam batas-batas yang dapat dipertanggungjawabkan secara yuridis dan moral. Pedoman pemidanaan berfungsi memberikan koridor, parameter, dan struktur argumentatif sehingga keputusan yang dijatuhkan tetap memberikan ruang bagi hakim untuk menilai kasus secara individual, namun tetap berada dalam kerangka proporsionalitas dan rasionalitas pemidanaan. Dengan demikian, pedoman pemidanaan bukanlah bentuk intervensi terhadap independensi hakim, melainkan instrumen untuk menyeimbangkan kebebasan hakim dengan prinsip akuntabilitas serta menghindari subjektivitas atau bias yang dapat menghasilkan putusan yang tidak konsisten.</w:t>
      </w:r>
    </w:p>
    <w:p w:rsidR="00D867B2" w:rsidRPr="00D867B2" w:rsidRDefault="00D867B2" w:rsidP="00D867B2">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id-ID" w:eastAsia="id-ID"/>
        </w:rPr>
      </w:pPr>
      <w:r w:rsidRPr="00D867B2">
        <w:rPr>
          <w:rFonts w:ascii="Times New Roman" w:eastAsia="Times New Roman" w:hAnsi="Times New Roman" w:cs="Times New Roman"/>
          <w:b/>
          <w:bCs/>
          <w:kern w:val="36"/>
          <w:sz w:val="24"/>
          <w:szCs w:val="24"/>
          <w:lang w:val="id-ID" w:eastAsia="id-ID"/>
        </w:rPr>
        <w:t xml:space="preserve">SARAN </w:t>
      </w:r>
    </w:p>
    <w:p w:rsidR="00D867B2" w:rsidRPr="00D867B2" w:rsidRDefault="00D867B2" w:rsidP="006F2000">
      <w:pPr>
        <w:numPr>
          <w:ilvl w:val="0"/>
          <w:numId w:val="2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6F2000">
        <w:rPr>
          <w:rFonts w:ascii="Times New Roman" w:eastAsia="Times New Roman" w:hAnsi="Times New Roman" w:cs="Times New Roman"/>
          <w:bCs/>
          <w:sz w:val="24"/>
          <w:szCs w:val="24"/>
          <w:lang w:val="id-ID" w:eastAsia="id-ID"/>
        </w:rPr>
        <w:t>Mahkamah Agung perlu segera menyusun dan menetapkan pedoman pemidanaan nasional yang berlaku untuk seluruh jenis tindak pidana dan diterapkan secara seragam di seluruh tingkat peradilan.</w:t>
      </w:r>
      <w:r w:rsidR="006F2000">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Pedoman ini sebaiknya dibangun berdasarkan kajian empiris mengenai disparitas yang terjadi, teori pemidanaan modern, serta praktik negara lain yang telah memiliki guideline pemidanaan (seperti Sentencing Guidelines di Amerika Serikat atau Sentencing Council di Inggris). Penyusunan pedoman harus melibatkan akademisi, hakim, jaksa, advokat, dan pemangku kepentingan lainnya sehingga pedoman tersebut benar-benar merepresentasikan kebutuhan sistem hukum nasional. Pedoman yang jelas dan terukur akan membantu menciptakan keadilan yang lebih objektif dan konsisten.</w:t>
      </w:r>
    </w:p>
    <w:p w:rsidR="00D867B2" w:rsidRPr="00D867B2" w:rsidRDefault="00D867B2" w:rsidP="006F2000">
      <w:pPr>
        <w:numPr>
          <w:ilvl w:val="0"/>
          <w:numId w:val="2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6F2000">
        <w:rPr>
          <w:rFonts w:ascii="Times New Roman" w:eastAsia="Times New Roman" w:hAnsi="Times New Roman" w:cs="Times New Roman"/>
          <w:bCs/>
          <w:sz w:val="24"/>
          <w:szCs w:val="24"/>
          <w:lang w:val="id-ID" w:eastAsia="id-ID"/>
        </w:rPr>
        <w:t>Pedoman pemidanaan harus dirancang secara fleksibel, terstruktur, dan disertai ruang deviasi yang dapat dipertanggungjawabkan.</w:t>
      </w:r>
      <w:r w:rsidR="006F2000">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 xml:space="preserve">Fleksibilitas diperlukan agar pedoman tidak bersifat kaku seperti “rumus matematika”, tetapi tetap memungkinkan hakim mempertimbangkan fakta individual yang khas pada setiap perkara. Namun fleksibilitas tersebut harus diimbangi mekanisme pertanggungjawaban, yaitu bahwa setiap penyimpangan dari pedoman harus disertai alasan yang kuat, logis, dan ditulis secara </w:t>
      </w:r>
      <w:r w:rsidRPr="00D867B2">
        <w:rPr>
          <w:rFonts w:ascii="Times New Roman" w:eastAsia="Times New Roman" w:hAnsi="Times New Roman" w:cs="Times New Roman"/>
          <w:sz w:val="24"/>
          <w:szCs w:val="24"/>
          <w:lang w:val="id-ID" w:eastAsia="id-ID"/>
        </w:rPr>
        <w:lastRenderedPageBreak/>
        <w:t>eksplisit dalam pertimbangan hakim. Dengan demikian, pedoman tetap dapat melindungi kepastian hukum tanpa menghilangkan kemampuan hakim dalam menyesuaikan putusan dengan kondisi kasus konkret.</w:t>
      </w:r>
    </w:p>
    <w:p w:rsidR="00D867B2" w:rsidRPr="00D867B2" w:rsidRDefault="00D867B2" w:rsidP="006F2000">
      <w:pPr>
        <w:numPr>
          <w:ilvl w:val="0"/>
          <w:numId w:val="24"/>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val="id-ID" w:eastAsia="id-ID"/>
        </w:rPr>
      </w:pPr>
      <w:r w:rsidRPr="006F2000">
        <w:rPr>
          <w:rFonts w:ascii="Times New Roman" w:eastAsia="Times New Roman" w:hAnsi="Times New Roman" w:cs="Times New Roman"/>
          <w:bCs/>
          <w:sz w:val="24"/>
          <w:szCs w:val="24"/>
          <w:lang w:val="id-ID" w:eastAsia="id-ID"/>
        </w:rPr>
        <w:t>Peningkatan kapasitas hakim dan aparatur peradilan melalui pelatihan berkelanjutan terkait penerapan pedoman pemidanaan harus diprioritaskan.</w:t>
      </w:r>
      <w:r w:rsidR="006F2000">
        <w:rPr>
          <w:rFonts w:ascii="Times New Roman" w:eastAsia="Times New Roman" w:hAnsi="Times New Roman" w:cs="Times New Roman"/>
          <w:sz w:val="24"/>
          <w:szCs w:val="24"/>
          <w:lang w:val="id-ID" w:eastAsia="id-ID"/>
        </w:rPr>
        <w:t xml:space="preserve"> </w:t>
      </w:r>
      <w:r w:rsidRPr="00D867B2">
        <w:rPr>
          <w:rFonts w:ascii="Times New Roman" w:eastAsia="Times New Roman" w:hAnsi="Times New Roman" w:cs="Times New Roman"/>
          <w:sz w:val="24"/>
          <w:szCs w:val="24"/>
          <w:lang w:val="id-ID" w:eastAsia="id-ID"/>
        </w:rPr>
        <w:t>Implementasi pedoman pemidanaan tidak hanya membutuhkan regulasi yang baik tetapi juga kesiapan sumber daya manusia. Pelatihan perlu meliputi pemahaman teori pemidanaan, teknik analisis putusan, penggunaan parameter pemidanaan, sampai pada keterampilan menyusun pertimbangan hukum yang akuntabel dan transparan. Pendidikan berkelanjutan akan memperkuat kemampuan hakim dalam menerapkan pedoman secara konsisten serta mencegah terjadinya penyalahgunaan diskresi. Dengan demikian, pelatihan memiliki peran strategis dalam memastikan pedoman pemidanaan tidak hanya tersedia secara normatif, tetapi juga benar-benar efektif diimplementasikan dalam praktik peradilan.</w:t>
      </w:r>
    </w:p>
    <w:p w:rsidR="006F2000" w:rsidRPr="006F2000" w:rsidRDefault="006F2000" w:rsidP="006F2000">
      <w:pPr>
        <w:pStyle w:val="Heading1"/>
        <w:spacing w:line="360" w:lineRule="auto"/>
        <w:jc w:val="center"/>
        <w:rPr>
          <w:sz w:val="24"/>
          <w:szCs w:val="24"/>
        </w:rPr>
      </w:pPr>
      <w:r w:rsidRPr="006F2000">
        <w:rPr>
          <w:rStyle w:val="Strong"/>
          <w:rFonts w:eastAsiaTheme="minorEastAsia"/>
          <w:b/>
          <w:bCs/>
          <w:sz w:val="24"/>
          <w:szCs w:val="24"/>
        </w:rPr>
        <w:t>DAFTAR PUSTAKA</w:t>
      </w:r>
    </w:p>
    <w:p w:rsidR="006F2000" w:rsidRPr="006F2000" w:rsidRDefault="006F2000" w:rsidP="006F2000">
      <w:pPr>
        <w:pStyle w:val="Heading3"/>
        <w:spacing w:line="360" w:lineRule="auto"/>
        <w:ind w:left="567" w:hanging="567"/>
        <w:jc w:val="both"/>
        <w:rPr>
          <w:sz w:val="24"/>
          <w:szCs w:val="24"/>
        </w:rPr>
      </w:pPr>
      <w:r>
        <w:rPr>
          <w:rStyle w:val="Strong"/>
          <w:rFonts w:eastAsiaTheme="minorEastAsia"/>
          <w:b/>
          <w:bCs/>
          <w:sz w:val="24"/>
          <w:szCs w:val="24"/>
        </w:rPr>
        <w:t xml:space="preserve">A. </w:t>
      </w:r>
      <w:r>
        <w:rPr>
          <w:rStyle w:val="Strong"/>
          <w:rFonts w:eastAsiaTheme="minorEastAsia"/>
          <w:b/>
          <w:bCs/>
          <w:sz w:val="24"/>
          <w:szCs w:val="24"/>
        </w:rPr>
        <w:tab/>
      </w:r>
      <w:r w:rsidRPr="006F2000">
        <w:rPr>
          <w:rStyle w:val="Strong"/>
          <w:rFonts w:eastAsiaTheme="minorEastAsia"/>
          <w:b/>
          <w:bCs/>
          <w:sz w:val="24"/>
          <w:szCs w:val="24"/>
        </w:rPr>
        <w:t>Buku &amp; Literatur Hukum</w:t>
      </w:r>
    </w:p>
    <w:p w:rsidR="006F2000" w:rsidRPr="006F2000" w:rsidRDefault="006F2000" w:rsidP="006F2000">
      <w:pPr>
        <w:pStyle w:val="NormalWeb"/>
        <w:spacing w:line="360" w:lineRule="auto"/>
        <w:ind w:left="567" w:hanging="567"/>
        <w:jc w:val="both"/>
      </w:pPr>
      <w:r w:rsidRPr="006F2000">
        <w:t xml:space="preserve">Atmasasmita, R. (2019). </w:t>
      </w:r>
      <w:r w:rsidRPr="006F2000">
        <w:rPr>
          <w:rStyle w:val="Emphasis"/>
        </w:rPr>
        <w:t>Reformasi Hukum Pidana</w:t>
      </w:r>
      <w:r w:rsidRPr="006F2000">
        <w:t>. Jakarta: Prenadamedia Group.</w:t>
      </w:r>
    </w:p>
    <w:p w:rsidR="006F2000" w:rsidRPr="006F2000" w:rsidRDefault="006F2000" w:rsidP="006F2000">
      <w:pPr>
        <w:pStyle w:val="NormalWeb"/>
        <w:spacing w:line="360" w:lineRule="auto"/>
        <w:ind w:left="567" w:hanging="567"/>
        <w:jc w:val="both"/>
      </w:pPr>
      <w:r w:rsidRPr="006F2000">
        <w:t xml:space="preserve">Barda Nawawi Arief. (2010). </w:t>
      </w:r>
      <w:r w:rsidRPr="006F2000">
        <w:rPr>
          <w:rStyle w:val="Emphasis"/>
        </w:rPr>
        <w:t>Teori–Teori dan Kebijakan Pidana</w:t>
      </w:r>
      <w:r w:rsidRPr="006F2000">
        <w:t>. Bandung: PT Citra Aditya Bakti.</w:t>
      </w:r>
    </w:p>
    <w:p w:rsidR="006F2000" w:rsidRPr="006F2000" w:rsidRDefault="006F2000" w:rsidP="006F2000">
      <w:pPr>
        <w:pStyle w:val="NormalWeb"/>
        <w:spacing w:line="360" w:lineRule="auto"/>
        <w:ind w:left="567" w:hanging="567"/>
        <w:jc w:val="both"/>
      </w:pPr>
      <w:r w:rsidRPr="006F2000">
        <w:t xml:space="preserve">Friedman, L. M. (1975). </w:t>
      </w:r>
      <w:r w:rsidRPr="006F2000">
        <w:rPr>
          <w:rStyle w:val="Emphasis"/>
        </w:rPr>
        <w:t>The Legal System: A Social Science Perspective</w:t>
      </w:r>
      <w:r w:rsidRPr="006F2000">
        <w:t>. New York: Russell Sage Foundation.</w:t>
      </w:r>
    </w:p>
    <w:p w:rsidR="006F2000" w:rsidRPr="006F2000" w:rsidRDefault="006F2000" w:rsidP="006F2000">
      <w:pPr>
        <w:pStyle w:val="NormalWeb"/>
        <w:spacing w:line="360" w:lineRule="auto"/>
        <w:ind w:left="567" w:hanging="567"/>
        <w:jc w:val="both"/>
      </w:pPr>
      <w:r w:rsidRPr="006F2000">
        <w:t xml:space="preserve">Hamzah, A. (2018). </w:t>
      </w:r>
      <w:r w:rsidRPr="006F2000">
        <w:rPr>
          <w:rStyle w:val="Emphasis"/>
        </w:rPr>
        <w:t>Hukum Acara Pidana Indonesia</w:t>
      </w:r>
      <w:r w:rsidRPr="006F2000">
        <w:t>. Jakarta: Sinar Grafika.</w:t>
      </w:r>
    </w:p>
    <w:p w:rsidR="006F2000" w:rsidRPr="006F2000" w:rsidRDefault="006F2000" w:rsidP="006F2000">
      <w:pPr>
        <w:pStyle w:val="NormalWeb"/>
        <w:spacing w:line="360" w:lineRule="auto"/>
        <w:ind w:left="567" w:hanging="567"/>
        <w:jc w:val="both"/>
      </w:pPr>
      <w:r w:rsidRPr="006F2000">
        <w:t xml:space="preserve">Lilik Mulyadi. (2010). </w:t>
      </w:r>
      <w:r w:rsidRPr="006F2000">
        <w:rPr>
          <w:rStyle w:val="Emphasis"/>
        </w:rPr>
        <w:t>Hukum Pidana: Teori dan Praktik</w:t>
      </w:r>
      <w:r w:rsidRPr="006F2000">
        <w:t>. Bandung: PT Alumni.</w:t>
      </w:r>
    </w:p>
    <w:p w:rsidR="006F2000" w:rsidRPr="006F2000" w:rsidRDefault="006F2000" w:rsidP="006F2000">
      <w:pPr>
        <w:pStyle w:val="NormalWeb"/>
        <w:spacing w:line="360" w:lineRule="auto"/>
        <w:ind w:left="567" w:hanging="567"/>
        <w:jc w:val="both"/>
      </w:pPr>
      <w:r w:rsidRPr="006F2000">
        <w:t xml:space="preserve">Marzuki, P. M. (2016). </w:t>
      </w:r>
      <w:r w:rsidRPr="006F2000">
        <w:rPr>
          <w:rStyle w:val="Emphasis"/>
        </w:rPr>
        <w:t>Penelitian Hukum</w:t>
      </w:r>
      <w:r w:rsidRPr="006F2000">
        <w:t>. Jakarta: Kencana Prenada Media.</w:t>
      </w:r>
    </w:p>
    <w:p w:rsidR="006F2000" w:rsidRPr="006F2000" w:rsidRDefault="006F2000" w:rsidP="006F2000">
      <w:pPr>
        <w:pStyle w:val="NormalWeb"/>
        <w:spacing w:line="360" w:lineRule="auto"/>
        <w:ind w:left="567" w:hanging="567"/>
        <w:jc w:val="both"/>
      </w:pPr>
      <w:r w:rsidRPr="006F2000">
        <w:t xml:space="preserve">Radbruch, G. (2006). </w:t>
      </w:r>
      <w:r w:rsidRPr="006F2000">
        <w:rPr>
          <w:rStyle w:val="Emphasis"/>
        </w:rPr>
        <w:t>Legal Philosophy</w:t>
      </w:r>
      <w:r w:rsidRPr="006F2000">
        <w:t>. Oxford: Oxford University Press.</w:t>
      </w:r>
    </w:p>
    <w:p w:rsidR="006F2000" w:rsidRPr="006F2000" w:rsidRDefault="006F2000" w:rsidP="006F2000">
      <w:pPr>
        <w:pStyle w:val="NormalWeb"/>
        <w:spacing w:line="360" w:lineRule="auto"/>
        <w:ind w:left="567" w:hanging="567"/>
        <w:jc w:val="both"/>
      </w:pPr>
      <w:r w:rsidRPr="006F2000">
        <w:t xml:space="preserve">Rahardjo, S. (2009). </w:t>
      </w:r>
      <w:r w:rsidRPr="006F2000">
        <w:rPr>
          <w:rStyle w:val="Emphasis"/>
        </w:rPr>
        <w:t>Hukum Progresif</w:t>
      </w:r>
      <w:r w:rsidRPr="006F2000">
        <w:t>. Semarang: Genta Publishing.</w:t>
      </w:r>
    </w:p>
    <w:p w:rsidR="006F2000" w:rsidRPr="006F2000" w:rsidRDefault="006F2000" w:rsidP="006F2000">
      <w:pPr>
        <w:pStyle w:val="NormalWeb"/>
        <w:spacing w:line="360" w:lineRule="auto"/>
        <w:ind w:left="567" w:hanging="567"/>
        <w:jc w:val="both"/>
      </w:pPr>
      <w:r w:rsidRPr="006F2000">
        <w:lastRenderedPageBreak/>
        <w:t xml:space="preserve">Soekanto, S., &amp; Mamudji, S. (2011). </w:t>
      </w:r>
      <w:r w:rsidRPr="006F2000">
        <w:rPr>
          <w:rStyle w:val="Emphasis"/>
        </w:rPr>
        <w:t>Penelitian Hukum Normatif: Suatu Tinjauan Singkat</w:t>
      </w:r>
      <w:r w:rsidRPr="006F2000">
        <w:t>. Jakarta: RajaGrafindo Persada.</w:t>
      </w:r>
    </w:p>
    <w:p w:rsidR="006F2000" w:rsidRPr="006F2000" w:rsidRDefault="006F2000" w:rsidP="006F2000">
      <w:pPr>
        <w:pStyle w:val="NormalWeb"/>
        <w:spacing w:line="360" w:lineRule="auto"/>
        <w:ind w:left="567" w:hanging="567"/>
        <w:jc w:val="both"/>
      </w:pPr>
      <w:r w:rsidRPr="006F2000">
        <w:t xml:space="preserve">Sudarto. (1990). </w:t>
      </w:r>
      <w:r w:rsidRPr="006F2000">
        <w:rPr>
          <w:rStyle w:val="Emphasis"/>
        </w:rPr>
        <w:t>Kapita Selekta Hukum Pidana</w:t>
      </w:r>
      <w:r w:rsidRPr="006F2000">
        <w:t>. Bandung: Alumni.</w:t>
      </w:r>
    </w:p>
    <w:p w:rsidR="006F2000" w:rsidRPr="006F2000" w:rsidRDefault="006F2000" w:rsidP="006F2000">
      <w:pPr>
        <w:pStyle w:val="Heading3"/>
        <w:spacing w:line="360" w:lineRule="auto"/>
        <w:ind w:left="567" w:hanging="567"/>
        <w:jc w:val="both"/>
        <w:rPr>
          <w:sz w:val="24"/>
          <w:szCs w:val="24"/>
        </w:rPr>
      </w:pPr>
      <w:r>
        <w:rPr>
          <w:rStyle w:val="Strong"/>
          <w:rFonts w:eastAsiaTheme="minorEastAsia"/>
          <w:b/>
          <w:bCs/>
          <w:sz w:val="24"/>
          <w:szCs w:val="24"/>
        </w:rPr>
        <w:t xml:space="preserve">B. </w:t>
      </w:r>
      <w:r>
        <w:rPr>
          <w:rStyle w:val="Strong"/>
          <w:rFonts w:eastAsiaTheme="minorEastAsia"/>
          <w:b/>
          <w:bCs/>
          <w:sz w:val="24"/>
          <w:szCs w:val="24"/>
        </w:rPr>
        <w:tab/>
      </w:r>
      <w:r w:rsidRPr="006F2000">
        <w:rPr>
          <w:rStyle w:val="Strong"/>
          <w:rFonts w:eastAsiaTheme="minorEastAsia"/>
          <w:b/>
          <w:bCs/>
          <w:sz w:val="24"/>
          <w:szCs w:val="24"/>
        </w:rPr>
        <w:t>Jurnal &amp; Artikel Ilmiah</w:t>
      </w:r>
    </w:p>
    <w:p w:rsidR="006F2000" w:rsidRPr="006F2000" w:rsidRDefault="006F2000" w:rsidP="006F2000">
      <w:pPr>
        <w:pStyle w:val="NormalWeb"/>
        <w:spacing w:line="360" w:lineRule="auto"/>
        <w:ind w:left="567" w:hanging="567"/>
        <w:jc w:val="both"/>
      </w:pPr>
      <w:r w:rsidRPr="006F2000">
        <w:t xml:space="preserve">Ali, M. (2020). Disparitas Pemidanaan dalam Putusan Hakim. </w:t>
      </w:r>
      <w:r w:rsidRPr="006F2000">
        <w:rPr>
          <w:rStyle w:val="Emphasis"/>
        </w:rPr>
        <w:t>Jurnal Hukum dan Peradilan</w:t>
      </w:r>
      <w:r w:rsidRPr="006F2000">
        <w:t>, 9(2), 145–160.</w:t>
      </w:r>
    </w:p>
    <w:p w:rsidR="006F2000" w:rsidRPr="006F2000" w:rsidRDefault="006F2000" w:rsidP="006F2000">
      <w:pPr>
        <w:pStyle w:val="NormalWeb"/>
        <w:spacing w:line="360" w:lineRule="auto"/>
        <w:ind w:left="567" w:hanging="567"/>
        <w:jc w:val="both"/>
      </w:pPr>
      <w:r w:rsidRPr="006F2000">
        <w:t xml:space="preserve">Harahap, Y. (2017). Diskresi Hakim dalam Sistem Peradilan Indonesia. </w:t>
      </w:r>
      <w:r w:rsidRPr="006F2000">
        <w:rPr>
          <w:rStyle w:val="Emphasis"/>
        </w:rPr>
        <w:t>Jurnal Yudisial</w:t>
      </w:r>
      <w:r w:rsidRPr="006F2000">
        <w:t>, 12(3), 210–225.</w:t>
      </w:r>
    </w:p>
    <w:p w:rsidR="006F2000" w:rsidRPr="006F2000" w:rsidRDefault="006F2000" w:rsidP="006F2000">
      <w:pPr>
        <w:pStyle w:val="NormalWeb"/>
        <w:spacing w:line="360" w:lineRule="auto"/>
        <w:ind w:left="567" w:hanging="567"/>
        <w:jc w:val="both"/>
      </w:pPr>
      <w:r w:rsidRPr="006F2000">
        <w:t xml:space="preserve">Nasution, A. (2021). Pedoman Pemidanaan sebagai Upaya Mengurangi Disparitas Putusan. </w:t>
      </w:r>
      <w:r w:rsidRPr="006F2000">
        <w:rPr>
          <w:rStyle w:val="Emphasis"/>
        </w:rPr>
        <w:t>Jurnal Ilmu Hukum</w:t>
      </w:r>
      <w:r w:rsidRPr="006F2000">
        <w:t>, 8(1), 33–48.</w:t>
      </w:r>
    </w:p>
    <w:p w:rsidR="006F2000" w:rsidRPr="006F2000" w:rsidRDefault="006F2000" w:rsidP="006F2000">
      <w:pPr>
        <w:pStyle w:val="NormalWeb"/>
        <w:spacing w:line="360" w:lineRule="auto"/>
        <w:ind w:left="567" w:hanging="567"/>
        <w:jc w:val="both"/>
      </w:pPr>
      <w:r w:rsidRPr="006F2000">
        <w:t xml:space="preserve">Widayati, E. (2019). Asas Kepastian Hukum dalam Putusan Pidana. </w:t>
      </w:r>
      <w:r w:rsidRPr="006F2000">
        <w:rPr>
          <w:rStyle w:val="Emphasis"/>
        </w:rPr>
        <w:t>Jurnal Hukum IUS QUIA IUSTUM</w:t>
      </w:r>
      <w:r w:rsidRPr="006F2000">
        <w:t>, 26(1), 88–104.</w:t>
      </w:r>
    </w:p>
    <w:p w:rsidR="006F2000" w:rsidRPr="006F2000" w:rsidRDefault="006F2000" w:rsidP="006F2000">
      <w:pPr>
        <w:pStyle w:val="Heading3"/>
        <w:spacing w:line="360" w:lineRule="auto"/>
        <w:ind w:left="567" w:hanging="567"/>
        <w:jc w:val="both"/>
        <w:rPr>
          <w:sz w:val="24"/>
          <w:szCs w:val="24"/>
        </w:rPr>
      </w:pPr>
      <w:r>
        <w:rPr>
          <w:rStyle w:val="Strong"/>
          <w:rFonts w:eastAsiaTheme="minorEastAsia"/>
          <w:b/>
          <w:bCs/>
          <w:sz w:val="24"/>
          <w:szCs w:val="24"/>
        </w:rPr>
        <w:t>C.</w:t>
      </w:r>
      <w:r>
        <w:rPr>
          <w:rStyle w:val="Strong"/>
          <w:rFonts w:eastAsiaTheme="minorEastAsia"/>
          <w:b/>
          <w:bCs/>
          <w:sz w:val="24"/>
          <w:szCs w:val="24"/>
        </w:rPr>
        <w:tab/>
      </w:r>
      <w:r w:rsidRPr="006F2000">
        <w:rPr>
          <w:rStyle w:val="Strong"/>
          <w:rFonts w:eastAsiaTheme="minorEastAsia"/>
          <w:b/>
          <w:bCs/>
          <w:sz w:val="24"/>
          <w:szCs w:val="24"/>
        </w:rPr>
        <w:t>Peraturan Perundang-Undangan</w:t>
      </w:r>
    </w:p>
    <w:p w:rsidR="006F2000" w:rsidRPr="006F2000" w:rsidRDefault="006F2000" w:rsidP="006F2000">
      <w:pPr>
        <w:pStyle w:val="NormalWeb"/>
        <w:spacing w:line="360" w:lineRule="auto"/>
        <w:ind w:left="567" w:hanging="567"/>
        <w:jc w:val="both"/>
      </w:pPr>
      <w:r w:rsidRPr="006F2000">
        <w:t>Kitab Undang-Undang Hukum Acara Pidana (KUHAP).</w:t>
      </w:r>
    </w:p>
    <w:p w:rsidR="006F2000" w:rsidRPr="006F2000" w:rsidRDefault="006F2000" w:rsidP="006F2000">
      <w:pPr>
        <w:pStyle w:val="NormalWeb"/>
        <w:spacing w:line="360" w:lineRule="auto"/>
        <w:ind w:left="567" w:hanging="567"/>
        <w:jc w:val="both"/>
      </w:pPr>
      <w:r w:rsidRPr="006F2000">
        <w:t>Kitab Undang-Undang Hukum Pidana (KUHP).</w:t>
      </w:r>
    </w:p>
    <w:p w:rsidR="006F2000" w:rsidRPr="006F2000" w:rsidRDefault="006F2000" w:rsidP="006F2000">
      <w:pPr>
        <w:pStyle w:val="NormalWeb"/>
        <w:spacing w:line="360" w:lineRule="auto"/>
        <w:ind w:left="567" w:hanging="567"/>
        <w:jc w:val="both"/>
      </w:pPr>
      <w:r w:rsidRPr="006F2000">
        <w:t>PERMA Nomor 1 Tahun 2020 tentang Pedoman Pemidanaan Pasal 2 dan 3 UU Tipikor.</w:t>
      </w:r>
    </w:p>
    <w:p w:rsidR="006F2000" w:rsidRPr="006F2000" w:rsidRDefault="006F2000" w:rsidP="006F2000">
      <w:pPr>
        <w:pStyle w:val="NormalWeb"/>
        <w:spacing w:line="360" w:lineRule="auto"/>
        <w:ind w:left="567" w:hanging="567"/>
        <w:jc w:val="both"/>
      </w:pPr>
      <w:r w:rsidRPr="006F2000">
        <w:t>Undang-Undang Nomor 14 Tahun 1985 tentang Mahkamah Agung beserta perubahannya.</w:t>
      </w:r>
    </w:p>
    <w:p w:rsidR="006F2000" w:rsidRPr="006F2000" w:rsidRDefault="006F2000" w:rsidP="006F2000">
      <w:pPr>
        <w:pStyle w:val="NormalWeb"/>
        <w:spacing w:line="360" w:lineRule="auto"/>
        <w:ind w:left="567" w:hanging="567"/>
        <w:jc w:val="both"/>
      </w:pPr>
      <w:r w:rsidRPr="006F2000">
        <w:t>Undang-Undang Nomor 48 Tahun 2009 tentang Kekuasaan Kehakiman.</w:t>
      </w:r>
    </w:p>
    <w:p w:rsidR="006F2000" w:rsidRPr="006F2000" w:rsidRDefault="006F2000" w:rsidP="006F2000">
      <w:pPr>
        <w:pStyle w:val="Heading3"/>
        <w:spacing w:line="360" w:lineRule="auto"/>
        <w:ind w:left="567" w:hanging="567"/>
        <w:jc w:val="both"/>
        <w:rPr>
          <w:sz w:val="24"/>
          <w:szCs w:val="24"/>
        </w:rPr>
      </w:pPr>
      <w:r>
        <w:rPr>
          <w:rStyle w:val="Strong"/>
          <w:rFonts w:eastAsiaTheme="minorEastAsia"/>
          <w:b/>
          <w:bCs/>
          <w:sz w:val="24"/>
          <w:szCs w:val="24"/>
        </w:rPr>
        <w:t>D.</w:t>
      </w:r>
      <w:r>
        <w:rPr>
          <w:rStyle w:val="Strong"/>
          <w:rFonts w:eastAsiaTheme="minorEastAsia"/>
          <w:b/>
          <w:bCs/>
          <w:sz w:val="24"/>
          <w:szCs w:val="24"/>
        </w:rPr>
        <w:tab/>
      </w:r>
      <w:r w:rsidRPr="006F2000">
        <w:rPr>
          <w:rStyle w:val="Strong"/>
          <w:rFonts w:eastAsiaTheme="minorEastAsia"/>
          <w:b/>
          <w:bCs/>
          <w:sz w:val="24"/>
          <w:szCs w:val="24"/>
        </w:rPr>
        <w:t>Putusan Pengadilan</w:t>
      </w:r>
    </w:p>
    <w:p w:rsidR="006F2000" w:rsidRPr="006F2000" w:rsidRDefault="006F2000" w:rsidP="006F2000">
      <w:pPr>
        <w:pStyle w:val="NormalWeb"/>
        <w:spacing w:line="360" w:lineRule="auto"/>
        <w:ind w:left="567" w:hanging="567"/>
        <w:jc w:val="both"/>
      </w:pPr>
      <w:r w:rsidRPr="006F2000">
        <w:t>Mahkamah Agung Republik Indonesia. Berbagai Putusan Kasasi terkait disparitas pemidanaan.</w:t>
      </w:r>
      <w:bookmarkStart w:id="1" w:name="_GoBack"/>
      <w:bookmarkEnd w:id="1"/>
    </w:p>
    <w:p w:rsidR="006F2000" w:rsidRPr="006F2000" w:rsidRDefault="006F2000" w:rsidP="006F2000">
      <w:pPr>
        <w:pStyle w:val="NormalWeb"/>
        <w:spacing w:line="360" w:lineRule="auto"/>
        <w:ind w:left="567" w:hanging="567"/>
        <w:jc w:val="both"/>
      </w:pPr>
      <w:r w:rsidRPr="006F2000">
        <w:t>Pengadilan Tinggi dan Pengadilan Negeri dalam perkara tindak pidana umum dan korupsi (berbagai putusan relevan).</w:t>
      </w:r>
    </w:p>
    <w:p w:rsidR="006F2000" w:rsidRPr="006F2000" w:rsidRDefault="006F2000" w:rsidP="006F2000">
      <w:pPr>
        <w:pStyle w:val="Heading3"/>
        <w:spacing w:line="360" w:lineRule="auto"/>
        <w:ind w:left="567" w:hanging="567"/>
        <w:jc w:val="both"/>
        <w:rPr>
          <w:sz w:val="24"/>
          <w:szCs w:val="24"/>
        </w:rPr>
      </w:pPr>
      <w:r>
        <w:rPr>
          <w:rStyle w:val="Strong"/>
          <w:rFonts w:eastAsiaTheme="minorEastAsia"/>
          <w:b/>
          <w:bCs/>
          <w:sz w:val="24"/>
          <w:szCs w:val="24"/>
        </w:rPr>
        <w:lastRenderedPageBreak/>
        <w:t xml:space="preserve">E. </w:t>
      </w:r>
      <w:r>
        <w:rPr>
          <w:rStyle w:val="Strong"/>
          <w:rFonts w:eastAsiaTheme="minorEastAsia"/>
          <w:b/>
          <w:bCs/>
          <w:sz w:val="24"/>
          <w:szCs w:val="24"/>
        </w:rPr>
        <w:tab/>
      </w:r>
      <w:r w:rsidRPr="006F2000">
        <w:rPr>
          <w:rStyle w:val="Strong"/>
          <w:rFonts w:eastAsiaTheme="minorEastAsia"/>
          <w:b/>
          <w:bCs/>
          <w:sz w:val="24"/>
          <w:szCs w:val="24"/>
        </w:rPr>
        <w:t>Dokumen Resmi</w:t>
      </w:r>
    </w:p>
    <w:p w:rsidR="006F2000" w:rsidRPr="006F2000" w:rsidRDefault="006F2000" w:rsidP="006F2000">
      <w:pPr>
        <w:pStyle w:val="NormalWeb"/>
        <w:spacing w:line="360" w:lineRule="auto"/>
        <w:ind w:left="567" w:hanging="567"/>
        <w:jc w:val="both"/>
      </w:pPr>
      <w:r w:rsidRPr="006F2000">
        <w:t xml:space="preserve">Komisi Yudisial Republik Indonesia. (2022). </w:t>
      </w:r>
      <w:r w:rsidRPr="006F2000">
        <w:rPr>
          <w:rStyle w:val="Emphasis"/>
        </w:rPr>
        <w:t>Laporan Tahunan Pengawasan Hakim</w:t>
      </w:r>
      <w:r w:rsidRPr="006F2000">
        <w:t>.</w:t>
      </w:r>
    </w:p>
    <w:p w:rsidR="006F2000" w:rsidRPr="006F2000" w:rsidRDefault="006F2000" w:rsidP="006F2000">
      <w:pPr>
        <w:pStyle w:val="NormalWeb"/>
        <w:spacing w:line="360" w:lineRule="auto"/>
        <w:ind w:left="567" w:hanging="567"/>
        <w:jc w:val="both"/>
      </w:pPr>
      <w:r w:rsidRPr="006F2000">
        <w:t xml:space="preserve">Mahkamah Agung Republik Indonesia. (2023). </w:t>
      </w:r>
      <w:r w:rsidRPr="006F2000">
        <w:rPr>
          <w:rStyle w:val="Emphasis"/>
        </w:rPr>
        <w:t>Laporan Tahunan Mahkamah Agung</w:t>
      </w:r>
      <w:r w:rsidRPr="006F2000">
        <w:t>.</w:t>
      </w:r>
    </w:p>
    <w:p w:rsidR="00E77B10" w:rsidRPr="00E77B10" w:rsidRDefault="00E77B10" w:rsidP="00E77B10">
      <w:pPr>
        <w:spacing w:line="360" w:lineRule="auto"/>
        <w:jc w:val="center"/>
        <w:rPr>
          <w:sz w:val="24"/>
          <w:szCs w:val="24"/>
          <w:lang w:val="id-ID"/>
        </w:rPr>
      </w:pPr>
    </w:p>
    <w:sectPr w:rsidR="00E77B10" w:rsidRPr="00E77B10" w:rsidSect="00BF3B5D">
      <w:head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FFF" w:rsidRDefault="00701FFF" w:rsidP="00BF3B5D">
      <w:pPr>
        <w:spacing w:after="0" w:line="240" w:lineRule="auto"/>
      </w:pPr>
      <w:r>
        <w:separator/>
      </w:r>
    </w:p>
  </w:endnote>
  <w:endnote w:type="continuationSeparator" w:id="0">
    <w:p w:rsidR="00701FFF" w:rsidRDefault="00701FFF" w:rsidP="00BF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FFF" w:rsidRDefault="00701FFF" w:rsidP="00BF3B5D">
      <w:pPr>
        <w:spacing w:after="0" w:line="240" w:lineRule="auto"/>
      </w:pPr>
      <w:r>
        <w:separator/>
      </w:r>
    </w:p>
  </w:footnote>
  <w:footnote w:type="continuationSeparator" w:id="0">
    <w:p w:rsidR="00701FFF" w:rsidRDefault="00701FFF" w:rsidP="00BF3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728057"/>
      <w:docPartObj>
        <w:docPartGallery w:val="Page Numbers (Top of Page)"/>
        <w:docPartUnique/>
      </w:docPartObj>
    </w:sdtPr>
    <w:sdtEndPr>
      <w:rPr>
        <w:noProof/>
      </w:rPr>
    </w:sdtEndPr>
    <w:sdtContent>
      <w:p w:rsidR="00BF3B5D" w:rsidRDefault="00BF3B5D">
        <w:pPr>
          <w:pStyle w:val="Header"/>
          <w:jc w:val="right"/>
        </w:pPr>
        <w:r w:rsidRPr="00BF3B5D">
          <w:rPr>
            <w:rFonts w:ascii="Times New Roman" w:hAnsi="Times New Roman" w:cs="Times New Roman"/>
            <w:sz w:val="24"/>
          </w:rPr>
          <w:fldChar w:fldCharType="begin"/>
        </w:r>
        <w:r w:rsidRPr="00BF3B5D">
          <w:rPr>
            <w:rFonts w:ascii="Times New Roman" w:hAnsi="Times New Roman" w:cs="Times New Roman"/>
            <w:sz w:val="24"/>
          </w:rPr>
          <w:instrText xml:space="preserve"> PAGE   \* MERGEFORMAT </w:instrText>
        </w:r>
        <w:r w:rsidRPr="00BF3B5D">
          <w:rPr>
            <w:rFonts w:ascii="Times New Roman" w:hAnsi="Times New Roman" w:cs="Times New Roman"/>
            <w:sz w:val="24"/>
          </w:rPr>
          <w:fldChar w:fldCharType="separate"/>
        </w:r>
        <w:r w:rsidR="008D637D">
          <w:rPr>
            <w:rFonts w:ascii="Times New Roman" w:hAnsi="Times New Roman" w:cs="Times New Roman"/>
            <w:noProof/>
            <w:sz w:val="24"/>
          </w:rPr>
          <w:t>12</w:t>
        </w:r>
        <w:r w:rsidRPr="00BF3B5D">
          <w:rPr>
            <w:rFonts w:ascii="Times New Roman" w:hAnsi="Times New Roman" w:cs="Times New Roman"/>
            <w:noProof/>
            <w:sz w:val="24"/>
          </w:rPr>
          <w:fldChar w:fldCharType="end"/>
        </w:r>
      </w:p>
    </w:sdtContent>
  </w:sdt>
  <w:p w:rsidR="00BF3B5D" w:rsidRDefault="00BF3B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D25"/>
    <w:multiLevelType w:val="multilevel"/>
    <w:tmpl w:val="9530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765B6"/>
    <w:multiLevelType w:val="multilevel"/>
    <w:tmpl w:val="797E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B2C9C"/>
    <w:multiLevelType w:val="multilevel"/>
    <w:tmpl w:val="5368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24977"/>
    <w:multiLevelType w:val="multilevel"/>
    <w:tmpl w:val="5F001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2B96A49"/>
    <w:multiLevelType w:val="multilevel"/>
    <w:tmpl w:val="6B447D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3BD6A60"/>
    <w:multiLevelType w:val="multilevel"/>
    <w:tmpl w:val="657229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D6A2975"/>
    <w:multiLevelType w:val="multilevel"/>
    <w:tmpl w:val="4AB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6283D"/>
    <w:multiLevelType w:val="multilevel"/>
    <w:tmpl w:val="B10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65350"/>
    <w:multiLevelType w:val="multilevel"/>
    <w:tmpl w:val="E2C435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2196225"/>
    <w:multiLevelType w:val="multilevel"/>
    <w:tmpl w:val="F5AA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22E4E"/>
    <w:multiLevelType w:val="multilevel"/>
    <w:tmpl w:val="4008FD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E553962"/>
    <w:multiLevelType w:val="multilevel"/>
    <w:tmpl w:val="254E93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1AF3BF7"/>
    <w:multiLevelType w:val="multilevel"/>
    <w:tmpl w:val="5C6C1F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F302881"/>
    <w:multiLevelType w:val="multilevel"/>
    <w:tmpl w:val="2F1C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B079C"/>
    <w:multiLevelType w:val="multilevel"/>
    <w:tmpl w:val="23586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8AC0401"/>
    <w:multiLevelType w:val="multilevel"/>
    <w:tmpl w:val="7416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E4DA0"/>
    <w:multiLevelType w:val="multilevel"/>
    <w:tmpl w:val="849E1B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6CA013C6"/>
    <w:multiLevelType w:val="multilevel"/>
    <w:tmpl w:val="87928300"/>
    <w:lvl w:ilvl="0">
      <w:start w:val="1"/>
      <w:numFmt w:val="decimal"/>
      <w:lvlText w:val="%1."/>
      <w:lvlJc w:val="left"/>
      <w:pPr>
        <w:tabs>
          <w:tab w:val="num" w:pos="2421"/>
        </w:tabs>
        <w:ind w:left="2421" w:hanging="360"/>
      </w:pPr>
    </w:lvl>
    <w:lvl w:ilvl="1" w:tentative="1">
      <w:start w:val="1"/>
      <w:numFmt w:val="decimal"/>
      <w:lvlText w:val="%2."/>
      <w:lvlJc w:val="left"/>
      <w:pPr>
        <w:tabs>
          <w:tab w:val="num" w:pos="3141"/>
        </w:tabs>
        <w:ind w:left="3141" w:hanging="360"/>
      </w:pPr>
    </w:lvl>
    <w:lvl w:ilvl="2" w:tentative="1">
      <w:start w:val="1"/>
      <w:numFmt w:val="decimal"/>
      <w:lvlText w:val="%3."/>
      <w:lvlJc w:val="left"/>
      <w:pPr>
        <w:tabs>
          <w:tab w:val="num" w:pos="3861"/>
        </w:tabs>
        <w:ind w:left="3861" w:hanging="360"/>
      </w:pPr>
    </w:lvl>
    <w:lvl w:ilvl="3" w:tentative="1">
      <w:start w:val="1"/>
      <w:numFmt w:val="decimal"/>
      <w:lvlText w:val="%4."/>
      <w:lvlJc w:val="left"/>
      <w:pPr>
        <w:tabs>
          <w:tab w:val="num" w:pos="4581"/>
        </w:tabs>
        <w:ind w:left="4581" w:hanging="360"/>
      </w:pPr>
    </w:lvl>
    <w:lvl w:ilvl="4" w:tentative="1">
      <w:start w:val="1"/>
      <w:numFmt w:val="decimal"/>
      <w:lvlText w:val="%5."/>
      <w:lvlJc w:val="left"/>
      <w:pPr>
        <w:tabs>
          <w:tab w:val="num" w:pos="5301"/>
        </w:tabs>
        <w:ind w:left="5301" w:hanging="360"/>
      </w:pPr>
    </w:lvl>
    <w:lvl w:ilvl="5" w:tentative="1">
      <w:start w:val="1"/>
      <w:numFmt w:val="decimal"/>
      <w:lvlText w:val="%6."/>
      <w:lvlJc w:val="left"/>
      <w:pPr>
        <w:tabs>
          <w:tab w:val="num" w:pos="6021"/>
        </w:tabs>
        <w:ind w:left="6021" w:hanging="360"/>
      </w:pPr>
    </w:lvl>
    <w:lvl w:ilvl="6" w:tentative="1">
      <w:start w:val="1"/>
      <w:numFmt w:val="decimal"/>
      <w:lvlText w:val="%7."/>
      <w:lvlJc w:val="left"/>
      <w:pPr>
        <w:tabs>
          <w:tab w:val="num" w:pos="6741"/>
        </w:tabs>
        <w:ind w:left="6741" w:hanging="360"/>
      </w:pPr>
    </w:lvl>
    <w:lvl w:ilvl="7" w:tentative="1">
      <w:start w:val="1"/>
      <w:numFmt w:val="decimal"/>
      <w:lvlText w:val="%8."/>
      <w:lvlJc w:val="left"/>
      <w:pPr>
        <w:tabs>
          <w:tab w:val="num" w:pos="7461"/>
        </w:tabs>
        <w:ind w:left="7461" w:hanging="360"/>
      </w:pPr>
    </w:lvl>
    <w:lvl w:ilvl="8" w:tentative="1">
      <w:start w:val="1"/>
      <w:numFmt w:val="decimal"/>
      <w:lvlText w:val="%9."/>
      <w:lvlJc w:val="left"/>
      <w:pPr>
        <w:tabs>
          <w:tab w:val="num" w:pos="8181"/>
        </w:tabs>
        <w:ind w:left="8181" w:hanging="360"/>
      </w:pPr>
    </w:lvl>
  </w:abstractNum>
  <w:abstractNum w:abstractNumId="18">
    <w:nsid w:val="6D755E62"/>
    <w:multiLevelType w:val="multilevel"/>
    <w:tmpl w:val="59EE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4B68FC"/>
    <w:multiLevelType w:val="multilevel"/>
    <w:tmpl w:val="9C3C3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F611C67"/>
    <w:multiLevelType w:val="multilevel"/>
    <w:tmpl w:val="A3A0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EE279E"/>
    <w:multiLevelType w:val="multilevel"/>
    <w:tmpl w:val="06E6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AF45F2"/>
    <w:multiLevelType w:val="multilevel"/>
    <w:tmpl w:val="457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C44F3"/>
    <w:multiLevelType w:val="multilevel"/>
    <w:tmpl w:val="C758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8"/>
  </w:num>
  <w:num w:numId="3">
    <w:abstractNumId w:val="20"/>
  </w:num>
  <w:num w:numId="4">
    <w:abstractNumId w:val="23"/>
  </w:num>
  <w:num w:numId="5">
    <w:abstractNumId w:val="13"/>
  </w:num>
  <w:num w:numId="6">
    <w:abstractNumId w:val="7"/>
  </w:num>
  <w:num w:numId="7">
    <w:abstractNumId w:val="18"/>
  </w:num>
  <w:num w:numId="8">
    <w:abstractNumId w:val="9"/>
  </w:num>
  <w:num w:numId="9">
    <w:abstractNumId w:val="6"/>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19"/>
  </w:num>
  <w:num w:numId="17">
    <w:abstractNumId w:val="22"/>
  </w:num>
  <w:num w:numId="18">
    <w:abstractNumId w:val="12"/>
  </w:num>
  <w:num w:numId="19">
    <w:abstractNumId w:val="10"/>
  </w:num>
  <w:num w:numId="20">
    <w:abstractNumId w:val="14"/>
  </w:num>
  <w:num w:numId="21">
    <w:abstractNumId w:val="11"/>
  </w:num>
  <w:num w:numId="22">
    <w:abstractNumId w:val="16"/>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10"/>
    <w:rsid w:val="0003173C"/>
    <w:rsid w:val="004203DF"/>
    <w:rsid w:val="00524857"/>
    <w:rsid w:val="006A01DF"/>
    <w:rsid w:val="006F2000"/>
    <w:rsid w:val="00701FFF"/>
    <w:rsid w:val="00850F95"/>
    <w:rsid w:val="00856DCA"/>
    <w:rsid w:val="008D637D"/>
    <w:rsid w:val="00AA6FD2"/>
    <w:rsid w:val="00B02851"/>
    <w:rsid w:val="00BF3B5D"/>
    <w:rsid w:val="00C470CE"/>
    <w:rsid w:val="00D867B2"/>
    <w:rsid w:val="00E77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10"/>
    <w:rPr>
      <w:rFonts w:eastAsiaTheme="minorEastAsia"/>
      <w:lang w:val="en-US"/>
    </w:rPr>
  </w:style>
  <w:style w:type="paragraph" w:styleId="Heading1">
    <w:name w:val="heading 1"/>
    <w:basedOn w:val="Normal"/>
    <w:link w:val="Heading1Char"/>
    <w:uiPriority w:val="9"/>
    <w:qFormat/>
    <w:rsid w:val="00850F95"/>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850F95"/>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850F95"/>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10"/>
    <w:rPr>
      <w:rFonts w:ascii="Tahoma" w:eastAsiaTheme="minorEastAsia" w:hAnsi="Tahoma" w:cs="Tahoma"/>
      <w:sz w:val="16"/>
      <w:szCs w:val="16"/>
      <w:lang w:val="en-US"/>
    </w:rPr>
  </w:style>
  <w:style w:type="character" w:customStyle="1" w:styleId="Heading1Char">
    <w:name w:val="Heading 1 Char"/>
    <w:basedOn w:val="DefaultParagraphFont"/>
    <w:link w:val="Heading1"/>
    <w:uiPriority w:val="9"/>
    <w:rsid w:val="00850F95"/>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850F9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850F95"/>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850F95"/>
    <w:rPr>
      <w:b/>
      <w:bCs/>
    </w:rPr>
  </w:style>
  <w:style w:type="paragraph" w:styleId="NormalWeb">
    <w:name w:val="Normal (Web)"/>
    <w:basedOn w:val="Normal"/>
    <w:uiPriority w:val="99"/>
    <w:semiHidden/>
    <w:unhideWhenUsed/>
    <w:rsid w:val="00850F9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relative">
    <w:name w:val="relative"/>
    <w:basedOn w:val="DefaultParagraphFont"/>
    <w:rsid w:val="00850F95"/>
  </w:style>
  <w:style w:type="paragraph" w:customStyle="1" w:styleId="not-prose">
    <w:name w:val="not-prose"/>
    <w:basedOn w:val="Normal"/>
    <w:rsid w:val="00850F9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D867B2"/>
    <w:rPr>
      <w:i/>
      <w:iCs/>
    </w:rPr>
  </w:style>
  <w:style w:type="paragraph" w:styleId="Header">
    <w:name w:val="header"/>
    <w:basedOn w:val="Normal"/>
    <w:link w:val="HeaderChar"/>
    <w:uiPriority w:val="99"/>
    <w:unhideWhenUsed/>
    <w:rsid w:val="00BF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B5D"/>
    <w:rPr>
      <w:rFonts w:eastAsiaTheme="minorEastAsia"/>
      <w:lang w:val="en-US"/>
    </w:rPr>
  </w:style>
  <w:style w:type="paragraph" w:styleId="Footer">
    <w:name w:val="footer"/>
    <w:basedOn w:val="Normal"/>
    <w:link w:val="FooterChar"/>
    <w:uiPriority w:val="99"/>
    <w:unhideWhenUsed/>
    <w:rsid w:val="00BF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B5D"/>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B10"/>
    <w:rPr>
      <w:rFonts w:eastAsiaTheme="minorEastAsia"/>
      <w:lang w:val="en-US"/>
    </w:rPr>
  </w:style>
  <w:style w:type="paragraph" w:styleId="Heading1">
    <w:name w:val="heading 1"/>
    <w:basedOn w:val="Normal"/>
    <w:link w:val="Heading1Char"/>
    <w:uiPriority w:val="9"/>
    <w:qFormat/>
    <w:rsid w:val="00850F95"/>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850F95"/>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850F95"/>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10"/>
    <w:rPr>
      <w:rFonts w:ascii="Tahoma" w:eastAsiaTheme="minorEastAsia" w:hAnsi="Tahoma" w:cs="Tahoma"/>
      <w:sz w:val="16"/>
      <w:szCs w:val="16"/>
      <w:lang w:val="en-US"/>
    </w:rPr>
  </w:style>
  <w:style w:type="character" w:customStyle="1" w:styleId="Heading1Char">
    <w:name w:val="Heading 1 Char"/>
    <w:basedOn w:val="DefaultParagraphFont"/>
    <w:link w:val="Heading1"/>
    <w:uiPriority w:val="9"/>
    <w:rsid w:val="00850F95"/>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850F9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850F95"/>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850F95"/>
    <w:rPr>
      <w:b/>
      <w:bCs/>
    </w:rPr>
  </w:style>
  <w:style w:type="paragraph" w:styleId="NormalWeb">
    <w:name w:val="Normal (Web)"/>
    <w:basedOn w:val="Normal"/>
    <w:uiPriority w:val="99"/>
    <w:semiHidden/>
    <w:unhideWhenUsed/>
    <w:rsid w:val="00850F9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relative">
    <w:name w:val="relative"/>
    <w:basedOn w:val="DefaultParagraphFont"/>
    <w:rsid w:val="00850F95"/>
  </w:style>
  <w:style w:type="paragraph" w:customStyle="1" w:styleId="not-prose">
    <w:name w:val="not-prose"/>
    <w:basedOn w:val="Normal"/>
    <w:rsid w:val="00850F9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D867B2"/>
    <w:rPr>
      <w:i/>
      <w:iCs/>
    </w:rPr>
  </w:style>
  <w:style w:type="paragraph" w:styleId="Header">
    <w:name w:val="header"/>
    <w:basedOn w:val="Normal"/>
    <w:link w:val="HeaderChar"/>
    <w:uiPriority w:val="99"/>
    <w:unhideWhenUsed/>
    <w:rsid w:val="00BF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B5D"/>
    <w:rPr>
      <w:rFonts w:eastAsiaTheme="minorEastAsia"/>
      <w:lang w:val="en-US"/>
    </w:rPr>
  </w:style>
  <w:style w:type="paragraph" w:styleId="Footer">
    <w:name w:val="footer"/>
    <w:basedOn w:val="Normal"/>
    <w:link w:val="FooterChar"/>
    <w:uiPriority w:val="99"/>
    <w:unhideWhenUsed/>
    <w:rsid w:val="00BF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B5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4618">
      <w:bodyDiv w:val="1"/>
      <w:marLeft w:val="0"/>
      <w:marRight w:val="0"/>
      <w:marTop w:val="0"/>
      <w:marBottom w:val="0"/>
      <w:divBdr>
        <w:top w:val="none" w:sz="0" w:space="0" w:color="auto"/>
        <w:left w:val="none" w:sz="0" w:space="0" w:color="auto"/>
        <w:bottom w:val="none" w:sz="0" w:space="0" w:color="auto"/>
        <w:right w:val="none" w:sz="0" w:space="0" w:color="auto"/>
      </w:divBdr>
    </w:div>
    <w:div w:id="271866180">
      <w:bodyDiv w:val="1"/>
      <w:marLeft w:val="0"/>
      <w:marRight w:val="0"/>
      <w:marTop w:val="0"/>
      <w:marBottom w:val="0"/>
      <w:divBdr>
        <w:top w:val="none" w:sz="0" w:space="0" w:color="auto"/>
        <w:left w:val="none" w:sz="0" w:space="0" w:color="auto"/>
        <w:bottom w:val="none" w:sz="0" w:space="0" w:color="auto"/>
        <w:right w:val="none" w:sz="0" w:space="0" w:color="auto"/>
      </w:divBdr>
    </w:div>
    <w:div w:id="1482454925">
      <w:bodyDiv w:val="1"/>
      <w:marLeft w:val="0"/>
      <w:marRight w:val="0"/>
      <w:marTop w:val="0"/>
      <w:marBottom w:val="0"/>
      <w:divBdr>
        <w:top w:val="none" w:sz="0" w:space="0" w:color="auto"/>
        <w:left w:val="none" w:sz="0" w:space="0" w:color="auto"/>
        <w:bottom w:val="none" w:sz="0" w:space="0" w:color="auto"/>
        <w:right w:val="none" w:sz="0" w:space="0" w:color="auto"/>
      </w:divBdr>
      <w:divsChild>
        <w:div w:id="510220009">
          <w:marLeft w:val="0"/>
          <w:marRight w:val="0"/>
          <w:marTop w:val="0"/>
          <w:marBottom w:val="0"/>
          <w:divBdr>
            <w:top w:val="none" w:sz="0" w:space="0" w:color="auto"/>
            <w:left w:val="none" w:sz="0" w:space="0" w:color="auto"/>
            <w:bottom w:val="none" w:sz="0" w:space="0" w:color="auto"/>
            <w:right w:val="none" w:sz="0" w:space="0" w:color="auto"/>
          </w:divBdr>
          <w:divsChild>
            <w:div w:id="1499810498">
              <w:marLeft w:val="0"/>
              <w:marRight w:val="0"/>
              <w:marTop w:val="0"/>
              <w:marBottom w:val="0"/>
              <w:divBdr>
                <w:top w:val="none" w:sz="0" w:space="0" w:color="auto"/>
                <w:left w:val="none" w:sz="0" w:space="0" w:color="auto"/>
                <w:bottom w:val="none" w:sz="0" w:space="0" w:color="auto"/>
                <w:right w:val="none" w:sz="0" w:space="0" w:color="auto"/>
              </w:divBdr>
              <w:divsChild>
                <w:div w:id="425461873">
                  <w:marLeft w:val="0"/>
                  <w:marRight w:val="0"/>
                  <w:marTop w:val="0"/>
                  <w:marBottom w:val="0"/>
                  <w:divBdr>
                    <w:top w:val="none" w:sz="0" w:space="0" w:color="auto"/>
                    <w:left w:val="none" w:sz="0" w:space="0" w:color="auto"/>
                    <w:bottom w:val="none" w:sz="0" w:space="0" w:color="auto"/>
                    <w:right w:val="none" w:sz="0" w:space="0" w:color="auto"/>
                  </w:divBdr>
                  <w:divsChild>
                    <w:div w:id="1260411047">
                      <w:marLeft w:val="0"/>
                      <w:marRight w:val="0"/>
                      <w:marTop w:val="0"/>
                      <w:marBottom w:val="0"/>
                      <w:divBdr>
                        <w:top w:val="none" w:sz="0" w:space="0" w:color="auto"/>
                        <w:left w:val="none" w:sz="0" w:space="0" w:color="auto"/>
                        <w:bottom w:val="none" w:sz="0" w:space="0" w:color="auto"/>
                        <w:right w:val="none" w:sz="0" w:space="0" w:color="auto"/>
                      </w:divBdr>
                      <w:divsChild>
                        <w:div w:id="930285263">
                          <w:marLeft w:val="0"/>
                          <w:marRight w:val="0"/>
                          <w:marTop w:val="0"/>
                          <w:marBottom w:val="0"/>
                          <w:divBdr>
                            <w:top w:val="none" w:sz="0" w:space="0" w:color="auto"/>
                            <w:left w:val="none" w:sz="0" w:space="0" w:color="auto"/>
                            <w:bottom w:val="none" w:sz="0" w:space="0" w:color="auto"/>
                            <w:right w:val="none" w:sz="0" w:space="0" w:color="auto"/>
                          </w:divBdr>
                          <w:divsChild>
                            <w:div w:id="3768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 w:id="1894806962">
      <w:bodyDiv w:val="1"/>
      <w:marLeft w:val="0"/>
      <w:marRight w:val="0"/>
      <w:marTop w:val="0"/>
      <w:marBottom w:val="0"/>
      <w:divBdr>
        <w:top w:val="none" w:sz="0" w:space="0" w:color="auto"/>
        <w:left w:val="none" w:sz="0" w:space="0" w:color="auto"/>
        <w:bottom w:val="none" w:sz="0" w:space="0" w:color="auto"/>
        <w:right w:val="none" w:sz="0" w:space="0" w:color="auto"/>
      </w:divBdr>
    </w:div>
    <w:div w:id="2067489313">
      <w:bodyDiv w:val="1"/>
      <w:marLeft w:val="0"/>
      <w:marRight w:val="0"/>
      <w:marTop w:val="0"/>
      <w:marBottom w:val="0"/>
      <w:divBdr>
        <w:top w:val="none" w:sz="0" w:space="0" w:color="auto"/>
        <w:left w:val="none" w:sz="0" w:space="0" w:color="auto"/>
        <w:bottom w:val="none" w:sz="0" w:space="0" w:color="auto"/>
        <w:right w:val="none" w:sz="0" w:space="0" w:color="auto"/>
      </w:divBdr>
    </w:div>
    <w:div w:id="20799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2025-11-19T09:25:00Z</dcterms:created>
  <dcterms:modified xsi:type="dcterms:W3CDTF">2025-11-19T09:54:00Z</dcterms:modified>
</cp:coreProperties>
</file>