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72" w:rsidRDefault="00A90372" w:rsidP="00A90372">
      <w:pPr>
        <w:spacing w:line="360" w:lineRule="auto"/>
        <w:ind w:left="-567" w:right="-568"/>
        <w:jc w:val="center"/>
        <w:rPr>
          <w:rFonts w:ascii="Times New Roman" w:hAnsi="Times New Roman" w:cs="Times New Roman"/>
          <w:b/>
          <w:bCs/>
          <w:color w:val="000000" w:themeColor="text1"/>
          <w:sz w:val="24"/>
          <w:szCs w:val="24"/>
        </w:rPr>
      </w:pPr>
      <w:bookmarkStart w:id="0" w:name="_Hlk107223646"/>
      <w:bookmarkStart w:id="1" w:name="_Hlk107227615"/>
    </w:p>
    <w:p w:rsidR="00A90372" w:rsidRDefault="00A90372" w:rsidP="00A90372">
      <w:pPr>
        <w:spacing w:line="360" w:lineRule="auto"/>
        <w:ind w:left="-567" w:right="-568"/>
        <w:jc w:val="center"/>
        <w:rPr>
          <w:rFonts w:ascii="Times New Roman" w:hAnsi="Times New Roman" w:cs="Times New Roman"/>
          <w:b/>
          <w:bCs/>
          <w:color w:val="000000" w:themeColor="text1"/>
          <w:sz w:val="24"/>
          <w:szCs w:val="24"/>
        </w:rPr>
      </w:pPr>
    </w:p>
    <w:p w:rsidR="00A90372" w:rsidRPr="00A90372" w:rsidRDefault="00A90372" w:rsidP="00A90372">
      <w:pPr>
        <w:spacing w:line="360" w:lineRule="auto"/>
        <w:ind w:left="-567" w:right="-568"/>
        <w:jc w:val="center"/>
        <w:rPr>
          <w:rFonts w:ascii="Times New Roman" w:hAnsi="Times New Roman" w:cs="Times New Roman"/>
          <w:b/>
          <w:bCs/>
          <w:color w:val="000000" w:themeColor="text1"/>
          <w:sz w:val="24"/>
          <w:szCs w:val="24"/>
        </w:rPr>
      </w:pPr>
      <w:r w:rsidRPr="00A90372">
        <w:rPr>
          <w:rFonts w:ascii="Times New Roman" w:hAnsi="Times New Roman" w:cs="Times New Roman"/>
          <w:b/>
          <w:bCs/>
          <w:color w:val="000000" w:themeColor="text1"/>
          <w:sz w:val="24"/>
          <w:szCs w:val="24"/>
        </w:rPr>
        <w:t>JURNAL ILMIAH</w:t>
      </w:r>
    </w:p>
    <w:p w:rsidR="00A90372" w:rsidRPr="00A90372" w:rsidRDefault="00A90372" w:rsidP="00A90372">
      <w:pPr>
        <w:spacing w:line="360" w:lineRule="auto"/>
        <w:ind w:left="-567" w:right="-568"/>
        <w:jc w:val="center"/>
        <w:rPr>
          <w:rFonts w:ascii="Times New Roman" w:hAnsi="Times New Roman" w:cs="Times New Roman"/>
          <w:b/>
          <w:bCs/>
          <w:color w:val="000000" w:themeColor="text1"/>
          <w:sz w:val="24"/>
          <w:szCs w:val="24"/>
          <w:lang w:val="en-US"/>
        </w:rPr>
      </w:pPr>
      <w:r w:rsidRPr="00A90372">
        <w:rPr>
          <w:rFonts w:ascii="Times New Roman" w:hAnsi="Times New Roman" w:cs="Times New Roman"/>
          <w:b/>
          <w:bCs/>
          <w:color w:val="000000" w:themeColor="text1"/>
          <w:sz w:val="24"/>
          <w:szCs w:val="24"/>
          <w:lang w:val="en-US"/>
        </w:rPr>
        <w:t>PEMIDANAAN ANAK PELAKU PEMBUNUHAN TERHADAP ANGGOTA KELUARGA: ANALISIS YURIDIS KOMPARATIF DALAM PERSPEKTIF PERADILAN PIDANA ANAK DAN PENDEKATAN TRAUMA-</w:t>
      </w:r>
      <w:r w:rsidRPr="00A90372">
        <w:rPr>
          <w:rFonts w:ascii="Times New Roman" w:hAnsi="Times New Roman" w:cs="Times New Roman"/>
          <w:b/>
          <w:bCs/>
          <w:i/>
          <w:color w:val="000000" w:themeColor="text1"/>
          <w:sz w:val="24"/>
          <w:szCs w:val="24"/>
          <w:lang w:val="en-US"/>
        </w:rPr>
        <w:t>INFORMED</w:t>
      </w:r>
    </w:p>
    <w:p w:rsidR="00A90372" w:rsidRPr="00A90372" w:rsidRDefault="00A90372" w:rsidP="00A90372">
      <w:pPr>
        <w:spacing w:line="360" w:lineRule="auto"/>
        <w:ind w:left="-567" w:right="-568"/>
        <w:jc w:val="center"/>
        <w:rPr>
          <w:rFonts w:ascii="Times New Roman" w:hAnsi="Times New Roman" w:cs="Times New Roman"/>
          <w:b/>
          <w:bCs/>
          <w:color w:val="000000" w:themeColor="text1"/>
          <w:sz w:val="24"/>
          <w:szCs w:val="24"/>
          <w:lang w:val="pt-BR"/>
        </w:rPr>
      </w:pPr>
    </w:p>
    <w:p w:rsidR="00A90372" w:rsidRPr="00A90372" w:rsidRDefault="00A90372" w:rsidP="00A90372">
      <w:pPr>
        <w:spacing w:after="0" w:line="360" w:lineRule="auto"/>
        <w:ind w:left="-567" w:right="-568"/>
        <w:jc w:val="center"/>
        <w:rPr>
          <w:rFonts w:ascii="Times New Roman" w:eastAsia="Times New Roman" w:hAnsi="Times New Roman" w:cs="Times New Roman"/>
          <w:b/>
          <w:bCs/>
          <w:color w:val="000000" w:themeColor="text1"/>
          <w:sz w:val="24"/>
          <w:szCs w:val="24"/>
          <w:lang w:val="it-IT"/>
        </w:rPr>
      </w:pPr>
      <w:r w:rsidRPr="00A90372">
        <w:rPr>
          <w:rFonts w:ascii="Times New Roman" w:eastAsia="Times New Roman" w:hAnsi="Times New Roman" w:cs="Times New Roman"/>
          <w:b/>
          <w:bCs/>
          <w:color w:val="000000" w:themeColor="text1"/>
          <w:sz w:val="24"/>
          <w:szCs w:val="24"/>
          <w:lang w:val="it-IT"/>
        </w:rPr>
        <w:t>Disusun Oleh:</w:t>
      </w:r>
    </w:p>
    <w:p w:rsidR="00A90372" w:rsidRPr="00A90372" w:rsidRDefault="00A90372" w:rsidP="00A90372">
      <w:pPr>
        <w:spacing w:after="0" w:line="360" w:lineRule="auto"/>
        <w:ind w:left="-567" w:right="-568"/>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lang w:val="en-ID"/>
        </w:rPr>
        <w:t>GUSTI RAI ADRIANI</w:t>
      </w:r>
    </w:p>
    <w:p w:rsidR="00A90372" w:rsidRPr="00A90372" w:rsidRDefault="00A90372" w:rsidP="00A90372">
      <w:pPr>
        <w:spacing w:after="0" w:line="360" w:lineRule="auto"/>
        <w:ind w:left="-567" w:right="-568"/>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lang w:val="en-ID"/>
        </w:rPr>
        <w:t>238040025</w:t>
      </w:r>
    </w:p>
    <w:p w:rsidR="00A90372" w:rsidRPr="00A90372" w:rsidRDefault="00A90372" w:rsidP="00A90372">
      <w:pPr>
        <w:spacing w:line="360" w:lineRule="auto"/>
        <w:ind w:left="-567" w:right="-568"/>
        <w:jc w:val="center"/>
        <w:rPr>
          <w:rFonts w:ascii="Times New Roman" w:eastAsia="Times New Roman" w:hAnsi="Times New Roman" w:cs="Times New Roman"/>
          <w:b/>
          <w:bCs/>
          <w:color w:val="000000" w:themeColor="text1"/>
          <w:sz w:val="24"/>
          <w:szCs w:val="24"/>
          <w:lang w:val="en-ID"/>
        </w:rPr>
      </w:pPr>
    </w:p>
    <w:p w:rsidR="00A90372" w:rsidRPr="00A90372" w:rsidRDefault="00A90372" w:rsidP="00A90372">
      <w:pPr>
        <w:spacing w:line="360" w:lineRule="auto"/>
        <w:ind w:left="-567" w:right="-567"/>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rPr>
        <w:t>.</w:t>
      </w:r>
    </w:p>
    <w:p w:rsidR="00A90372" w:rsidRPr="00A90372" w:rsidRDefault="00A90372" w:rsidP="00A90372">
      <w:pPr>
        <w:spacing w:line="360" w:lineRule="auto"/>
        <w:ind w:left="-567" w:right="-567"/>
        <w:jc w:val="center"/>
        <w:rPr>
          <w:rFonts w:ascii="Times New Roman" w:eastAsia="Times New Roman" w:hAnsi="Times New Roman" w:cs="Times New Roman"/>
          <w:b/>
          <w:bCs/>
          <w:color w:val="000000" w:themeColor="text1"/>
          <w:sz w:val="24"/>
          <w:szCs w:val="24"/>
          <w:lang w:val="en-ID"/>
        </w:rPr>
      </w:pPr>
    </w:p>
    <w:p w:rsidR="00A90372" w:rsidRPr="00A90372" w:rsidRDefault="00A90372" w:rsidP="00A90372">
      <w:pPr>
        <w:spacing w:line="360" w:lineRule="auto"/>
        <w:ind w:left="-284" w:right="-285"/>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noProof/>
          <w:color w:val="000000" w:themeColor="text1"/>
          <w:sz w:val="24"/>
          <w:szCs w:val="24"/>
          <w:lang w:eastAsia="id-ID"/>
        </w:rPr>
        <w:drawing>
          <wp:inline distT="0" distB="0" distL="0" distR="0" wp14:anchorId="298A214D" wp14:editId="332C3CEC">
            <wp:extent cx="1635824" cy="179387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656" cy="1843038"/>
                    </a:xfrm>
                    <a:prstGeom prst="rect">
                      <a:avLst/>
                    </a:prstGeom>
                    <a:noFill/>
                  </pic:spPr>
                </pic:pic>
              </a:graphicData>
            </a:graphic>
          </wp:inline>
        </w:drawing>
      </w:r>
    </w:p>
    <w:p w:rsidR="00A90372" w:rsidRPr="00A90372" w:rsidRDefault="00A90372" w:rsidP="00A90372">
      <w:pPr>
        <w:spacing w:after="0" w:line="360" w:lineRule="auto"/>
        <w:ind w:right="-285"/>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lang w:val="en-ID"/>
        </w:rPr>
        <w:t>PROGRAM STUDI MAGISTER ILMU HUKUM</w:t>
      </w:r>
    </w:p>
    <w:p w:rsidR="00A90372" w:rsidRPr="00A90372" w:rsidRDefault="00A90372" w:rsidP="00A90372">
      <w:pPr>
        <w:spacing w:after="0" w:line="360" w:lineRule="auto"/>
        <w:ind w:right="-285"/>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lang w:val="en-ID"/>
        </w:rPr>
        <w:t>UNIVERSITAS PASUNDAN</w:t>
      </w:r>
    </w:p>
    <w:p w:rsidR="00A90372" w:rsidRDefault="00A90372" w:rsidP="00A90372">
      <w:pPr>
        <w:spacing w:after="0" w:line="360" w:lineRule="auto"/>
        <w:ind w:right="-285"/>
        <w:jc w:val="center"/>
        <w:rPr>
          <w:rFonts w:ascii="Times New Roman" w:eastAsia="Times New Roman" w:hAnsi="Times New Roman" w:cs="Times New Roman"/>
          <w:b/>
          <w:bCs/>
          <w:color w:val="000000" w:themeColor="text1"/>
          <w:sz w:val="24"/>
          <w:szCs w:val="24"/>
        </w:rPr>
      </w:pPr>
      <w:r w:rsidRPr="00A90372">
        <w:rPr>
          <w:rFonts w:ascii="Times New Roman" w:eastAsia="Times New Roman" w:hAnsi="Times New Roman" w:cs="Times New Roman"/>
          <w:b/>
          <w:bCs/>
          <w:color w:val="000000" w:themeColor="text1"/>
          <w:sz w:val="24"/>
          <w:szCs w:val="24"/>
          <w:lang w:val="en-ID"/>
        </w:rPr>
        <w:t>BANDUNG</w:t>
      </w:r>
    </w:p>
    <w:p w:rsidR="00A90372" w:rsidRPr="00A90372" w:rsidRDefault="00A90372" w:rsidP="00A90372">
      <w:pPr>
        <w:spacing w:after="0" w:line="360" w:lineRule="auto"/>
        <w:ind w:right="-285"/>
        <w:jc w:val="center"/>
        <w:rPr>
          <w:rFonts w:ascii="Times New Roman" w:eastAsia="Times New Roman" w:hAnsi="Times New Roman" w:cs="Times New Roman"/>
          <w:b/>
          <w:bCs/>
          <w:color w:val="000000" w:themeColor="text1"/>
          <w:sz w:val="24"/>
          <w:szCs w:val="24"/>
          <w:lang w:val="en-ID"/>
        </w:rPr>
      </w:pPr>
      <w:r w:rsidRPr="00A90372">
        <w:rPr>
          <w:rFonts w:ascii="Times New Roman" w:eastAsia="Times New Roman" w:hAnsi="Times New Roman" w:cs="Times New Roman"/>
          <w:b/>
          <w:bCs/>
          <w:color w:val="000000" w:themeColor="text1"/>
          <w:sz w:val="24"/>
          <w:szCs w:val="24"/>
          <w:lang w:val="en-ID"/>
        </w:rPr>
        <w:t>202</w:t>
      </w:r>
      <w:bookmarkEnd w:id="0"/>
      <w:bookmarkEnd w:id="1"/>
      <w:r w:rsidRPr="00A90372">
        <w:rPr>
          <w:rFonts w:ascii="Times New Roman" w:eastAsia="Times New Roman" w:hAnsi="Times New Roman" w:cs="Times New Roman"/>
          <w:b/>
          <w:bCs/>
          <w:color w:val="000000" w:themeColor="text1"/>
          <w:sz w:val="24"/>
          <w:szCs w:val="24"/>
          <w:lang w:val="en-ID"/>
        </w:rPr>
        <w:t>5</w:t>
      </w:r>
    </w:p>
    <w:p w:rsidR="00A90372" w:rsidRPr="00A90372" w:rsidRDefault="00FE1025" w:rsidP="0093767A">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r w:rsidRPr="00927A0C">
        <w:rPr>
          <w:rFonts w:ascii="Times New Roman" w:eastAsia="Times New Roman" w:hAnsi="Times New Roman" w:cs="Times New Roman"/>
          <w:b/>
          <w:bCs/>
          <w:sz w:val="24"/>
          <w:szCs w:val="24"/>
          <w:lang w:eastAsia="id-ID"/>
        </w:rPr>
        <w:lastRenderedPageBreak/>
        <w:t>ABSTRAK</w:t>
      </w:r>
    </w:p>
    <w:p w:rsidR="00A90372" w:rsidRPr="00A90372" w:rsidRDefault="00A90372"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 xml:space="preserve">Pembunuhan intra-keluarga oleh anak merupakan fenomena serius yang menggambarkan kerentanan struktur keluarga, dampak trauma, serta lemahnya fungsi pengawasan orang tua. Sistem peradilan pidana anak di Indonesia menekankan pada diversi, keadilan restoratif, dan pidana penjara sebagai </w:t>
      </w:r>
      <w:r w:rsidRPr="00927A0C">
        <w:rPr>
          <w:rFonts w:ascii="Times New Roman" w:eastAsia="Times New Roman" w:hAnsi="Times New Roman" w:cs="Times New Roman"/>
          <w:i/>
          <w:iCs/>
          <w:sz w:val="24"/>
          <w:szCs w:val="24"/>
          <w:lang w:eastAsia="id-ID"/>
        </w:rPr>
        <w:t>ultimum remedium</w:t>
      </w:r>
      <w:r w:rsidRPr="00A90372">
        <w:rPr>
          <w:rFonts w:ascii="Times New Roman" w:eastAsia="Times New Roman" w:hAnsi="Times New Roman" w:cs="Times New Roman"/>
          <w:sz w:val="24"/>
          <w:szCs w:val="24"/>
          <w:lang w:eastAsia="id-ID"/>
        </w:rPr>
        <w:t>, namun belum sepenuhnya mengakomodasi pendekatan trauma-informed yang mempertimbangkan kondisi psikologis anak. Penelitian ini menggunakan metode yuridis normatif melalui studi kepustakaan dan analisis komparatif terhadap sistem pemidanaan anak di Belanda, Australia, dan Korea Selatan. Hasil penelitian menunjukkan bahwa pengaturan pemidanaan anak pelaku pembunuhan di Indonesia telah mengatur secara komprehensif melalui UU SPPA, tetapi belum mengintegrasikan secara eksplisit prinsip trauma-informed. Perbandingan dengan negara lain memperlihatkan bahwa Belanda paling maju dalam menerapkan rehabilitasi dan trauma-informed secara sistematis. Temuan penelitian ini penting untuk mendorong pembaruan hukum pidana anak di Indonesia agar lebih humanis, responsif, dan sesuai perkembangan psikologis anak.</w:t>
      </w:r>
    </w:p>
    <w:p w:rsidR="00A90372" w:rsidRPr="00A90372" w:rsidRDefault="00A90372"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927A0C">
        <w:rPr>
          <w:rFonts w:ascii="Times New Roman" w:eastAsia="Times New Roman" w:hAnsi="Times New Roman" w:cs="Times New Roman"/>
          <w:b/>
          <w:bCs/>
          <w:sz w:val="24"/>
          <w:szCs w:val="24"/>
          <w:lang w:eastAsia="id-ID"/>
        </w:rPr>
        <w:t xml:space="preserve">Kata </w:t>
      </w:r>
      <w:r w:rsidR="00927A0C" w:rsidRPr="00927A0C">
        <w:rPr>
          <w:rFonts w:ascii="Times New Roman" w:eastAsia="Times New Roman" w:hAnsi="Times New Roman" w:cs="Times New Roman"/>
          <w:b/>
          <w:bCs/>
          <w:sz w:val="24"/>
          <w:szCs w:val="24"/>
          <w:lang w:eastAsia="id-ID"/>
        </w:rPr>
        <w:t>Kunci</w:t>
      </w:r>
      <w:r w:rsidRPr="00927A0C">
        <w:rPr>
          <w:rFonts w:ascii="Times New Roman" w:eastAsia="Times New Roman" w:hAnsi="Times New Roman" w:cs="Times New Roman"/>
          <w:b/>
          <w:bCs/>
          <w:sz w:val="24"/>
          <w:szCs w:val="24"/>
          <w:lang w:eastAsia="id-ID"/>
        </w:rPr>
        <w:t>:</w:t>
      </w:r>
      <w:r w:rsidRPr="00A90372">
        <w:rPr>
          <w:rFonts w:ascii="Times New Roman" w:eastAsia="Times New Roman" w:hAnsi="Times New Roman" w:cs="Times New Roman"/>
          <w:sz w:val="24"/>
          <w:szCs w:val="24"/>
          <w:lang w:eastAsia="id-ID"/>
        </w:rPr>
        <w:t xml:space="preserve"> </w:t>
      </w:r>
      <w:r w:rsidR="00927A0C" w:rsidRPr="00927A0C">
        <w:rPr>
          <w:rFonts w:ascii="Times New Roman" w:eastAsia="Times New Roman" w:hAnsi="Times New Roman" w:cs="Times New Roman"/>
          <w:b/>
          <w:sz w:val="24"/>
          <w:szCs w:val="24"/>
          <w:lang w:eastAsia="id-ID"/>
        </w:rPr>
        <w:t>Pemidanaan Anak, Pembunuhan Keluarga, Trauma-Informed, Peradilan Pidana Anak.</w:t>
      </w: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3767A" w:rsidRDefault="0093767A" w:rsidP="00927A0C">
      <w:pPr>
        <w:spacing w:before="100" w:beforeAutospacing="1" w:after="100" w:afterAutospacing="1" w:line="240" w:lineRule="auto"/>
        <w:jc w:val="center"/>
        <w:outlineLvl w:val="1"/>
        <w:rPr>
          <w:rStyle w:val="Strong"/>
          <w:rFonts w:ascii="Times New Roman" w:hAnsi="Times New Roman" w:cs="Times New Roman"/>
          <w:sz w:val="24"/>
        </w:rPr>
      </w:pPr>
    </w:p>
    <w:p w:rsidR="00927A0C" w:rsidRDefault="00FE1025" w:rsidP="0093767A">
      <w:pPr>
        <w:spacing w:before="100" w:beforeAutospacing="1" w:after="100" w:afterAutospacing="1" w:line="360" w:lineRule="auto"/>
        <w:jc w:val="center"/>
        <w:outlineLvl w:val="1"/>
        <w:rPr>
          <w:rStyle w:val="Strong"/>
          <w:rFonts w:ascii="Times New Roman" w:hAnsi="Times New Roman" w:cs="Times New Roman"/>
          <w:sz w:val="24"/>
        </w:rPr>
      </w:pPr>
      <w:r w:rsidRPr="00927A0C">
        <w:rPr>
          <w:rStyle w:val="Strong"/>
          <w:rFonts w:ascii="Times New Roman" w:hAnsi="Times New Roman" w:cs="Times New Roman"/>
          <w:sz w:val="24"/>
        </w:rPr>
        <w:lastRenderedPageBreak/>
        <w:t>ABSTRACT</w:t>
      </w:r>
    </w:p>
    <w:p w:rsidR="00927A0C" w:rsidRPr="00927A0C" w:rsidRDefault="00927A0C" w:rsidP="0093767A">
      <w:pPr>
        <w:spacing w:before="100" w:beforeAutospacing="1" w:after="100" w:afterAutospacing="1" w:line="360" w:lineRule="auto"/>
        <w:jc w:val="both"/>
        <w:outlineLvl w:val="1"/>
        <w:rPr>
          <w:rFonts w:ascii="Times New Roman" w:eastAsia="Times New Roman" w:hAnsi="Times New Roman" w:cs="Times New Roman"/>
          <w:b/>
          <w:bCs/>
          <w:sz w:val="40"/>
          <w:szCs w:val="36"/>
          <w:lang w:eastAsia="id-ID"/>
        </w:rPr>
      </w:pPr>
      <w:r w:rsidRPr="00927A0C">
        <w:rPr>
          <w:rFonts w:ascii="Times New Roman" w:hAnsi="Times New Roman" w:cs="Times New Roman"/>
          <w:sz w:val="24"/>
        </w:rPr>
        <w:t xml:space="preserve">Intra-family homicide committed by a child is a serious phenomenon that reflects the vulnerability of family structures, the impact of trauma, and the weakened supervisory function of parents. Indonesia’s juvenile criminal justice system emphasizes diversion, restorative justice, and imprisonment as </w:t>
      </w:r>
      <w:r w:rsidRPr="00927A0C">
        <w:rPr>
          <w:rStyle w:val="Emphasis"/>
          <w:rFonts w:ascii="Times New Roman" w:hAnsi="Times New Roman" w:cs="Times New Roman"/>
          <w:sz w:val="24"/>
        </w:rPr>
        <w:t>ultimum remedium</w:t>
      </w:r>
      <w:r w:rsidRPr="00927A0C">
        <w:rPr>
          <w:rFonts w:ascii="Times New Roman" w:hAnsi="Times New Roman" w:cs="Times New Roman"/>
          <w:sz w:val="24"/>
        </w:rPr>
        <w:t>, but it has not yet fully accommodated a trauma-informed approach that considers the child’s psychological condition. This research employs a normative juridical method through literature study and comparative analysis of juvenile sentencing systems in the Netherlands, Australia, and South Korea. The findings indicate that Indonesia’s regulation of juvenile homicide offenders is comprehensively governed under the Juvenile Criminal Justice System Law (UU SPPA), yet it has not explicitly integrated trauma-informed principles. Comparisons with other countries show that the Netherlands is the most advanced in systematically implementing rehabilitation and trauma-informed practices. These findings are essential for encouraging reforms in Indonesia’s juvenile criminal law to become more humane, responsive, and aligned with children's psychological development.</w:t>
      </w:r>
      <w:r w:rsidRPr="00927A0C">
        <w:rPr>
          <w:rFonts w:ascii="Times New Roman" w:hAnsi="Times New Roman" w:cs="Times New Roman"/>
          <w:sz w:val="24"/>
        </w:rPr>
        <w:br/>
      </w:r>
      <w:r w:rsidRPr="00927A0C">
        <w:rPr>
          <w:rStyle w:val="Strong"/>
          <w:rFonts w:ascii="Times New Roman" w:hAnsi="Times New Roman" w:cs="Times New Roman"/>
          <w:sz w:val="24"/>
        </w:rPr>
        <w:t>Keywords:</w:t>
      </w:r>
      <w:r w:rsidRPr="00927A0C">
        <w:rPr>
          <w:rFonts w:ascii="Times New Roman" w:hAnsi="Times New Roman" w:cs="Times New Roman"/>
          <w:sz w:val="24"/>
        </w:rPr>
        <w:t xml:space="preserve"> </w:t>
      </w:r>
      <w:r w:rsidRPr="00927A0C">
        <w:rPr>
          <w:rFonts w:ascii="Times New Roman" w:hAnsi="Times New Roman" w:cs="Times New Roman"/>
          <w:b/>
          <w:sz w:val="24"/>
        </w:rPr>
        <w:t>Juvenile Sentencing, Family Homicide, Trauma-Informed, Juvenile Criminal Justice.</w:t>
      </w:r>
    </w:p>
    <w:p w:rsidR="00455F75" w:rsidRDefault="00455F75" w:rsidP="00A90372">
      <w:pPr>
        <w:spacing w:before="100" w:beforeAutospacing="1" w:after="100" w:afterAutospacing="1" w:line="240" w:lineRule="auto"/>
        <w:outlineLvl w:val="1"/>
        <w:rPr>
          <w:rFonts w:ascii="Times New Roman" w:eastAsia="Times New Roman" w:hAnsi="Times New Roman" w:cs="Times New Roman"/>
          <w:b/>
          <w:bCs/>
          <w:sz w:val="36"/>
          <w:szCs w:val="36"/>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93767A" w:rsidRDefault="0093767A" w:rsidP="00455F75">
      <w:pPr>
        <w:spacing w:before="100" w:beforeAutospacing="1" w:after="100" w:afterAutospacing="1" w:line="240" w:lineRule="auto"/>
        <w:jc w:val="center"/>
        <w:rPr>
          <w:rFonts w:ascii="Times New Roman" w:eastAsia="Times New Roman" w:hAnsi="Times New Roman" w:cs="Times New Roman"/>
          <w:b/>
          <w:bCs/>
          <w:sz w:val="24"/>
          <w:szCs w:val="24"/>
          <w:lang w:eastAsia="id-ID"/>
        </w:rPr>
      </w:pPr>
    </w:p>
    <w:p w:rsidR="00455F75" w:rsidRPr="00455F75" w:rsidRDefault="00455F75" w:rsidP="00455F75">
      <w:pPr>
        <w:spacing w:before="100" w:beforeAutospacing="1" w:after="100" w:afterAutospacing="1"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lastRenderedPageBreak/>
        <w:t>ABSTRAK</w:t>
      </w:r>
    </w:p>
    <w:p w:rsidR="00455F75" w:rsidRPr="00455F75" w:rsidRDefault="00455F75"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455F75">
        <w:rPr>
          <w:rFonts w:ascii="Times New Roman" w:eastAsia="Times New Roman" w:hAnsi="Times New Roman" w:cs="Times New Roman"/>
          <w:sz w:val="24"/>
          <w:szCs w:val="24"/>
          <w:lang w:eastAsia="id-ID"/>
        </w:rPr>
        <w:t xml:space="preserve">Pamuluhan dina kulawarga anu dipilampah ku anak mangrupakeun fenomena serius anu nunjukkeun kerentanan struktur kulawarga, pangaruh trauma, ogé lemahna fungsi pangawasan kolot. Sistem peradilan pidana anak di Indonesia nenekankeun kana diversi, kaadilan restoratif, jeung hukuman panjara minangka </w:t>
      </w:r>
      <w:r w:rsidRPr="00455F75">
        <w:rPr>
          <w:rFonts w:ascii="Times New Roman" w:eastAsia="Times New Roman" w:hAnsi="Times New Roman" w:cs="Times New Roman"/>
          <w:i/>
          <w:iCs/>
          <w:sz w:val="24"/>
          <w:szCs w:val="24"/>
          <w:lang w:eastAsia="id-ID"/>
        </w:rPr>
        <w:t>ultimum remedium</w:t>
      </w:r>
      <w:r w:rsidRPr="00455F75">
        <w:rPr>
          <w:rFonts w:ascii="Times New Roman" w:eastAsia="Times New Roman" w:hAnsi="Times New Roman" w:cs="Times New Roman"/>
          <w:sz w:val="24"/>
          <w:szCs w:val="24"/>
          <w:lang w:eastAsia="id-ID"/>
        </w:rPr>
        <w:t xml:space="preserve">, nanging can sapinuhna nampung pendekatan </w:t>
      </w:r>
      <w:r w:rsidRPr="00455F75">
        <w:rPr>
          <w:rFonts w:ascii="Times New Roman" w:eastAsia="Times New Roman" w:hAnsi="Times New Roman" w:cs="Times New Roman"/>
          <w:i/>
          <w:iCs/>
          <w:sz w:val="24"/>
          <w:szCs w:val="24"/>
          <w:lang w:eastAsia="id-ID"/>
        </w:rPr>
        <w:t>trauma-informed</w:t>
      </w:r>
      <w:r w:rsidRPr="00455F75">
        <w:rPr>
          <w:rFonts w:ascii="Times New Roman" w:eastAsia="Times New Roman" w:hAnsi="Times New Roman" w:cs="Times New Roman"/>
          <w:sz w:val="24"/>
          <w:szCs w:val="24"/>
          <w:lang w:eastAsia="id-ID"/>
        </w:rPr>
        <w:t xml:space="preserve"> anu mertimbangkeun kaayaan psikologis anak.</w:t>
      </w:r>
    </w:p>
    <w:p w:rsidR="00455F75" w:rsidRPr="00455F75" w:rsidRDefault="00455F75"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455F75">
        <w:rPr>
          <w:rFonts w:ascii="Times New Roman" w:eastAsia="Times New Roman" w:hAnsi="Times New Roman" w:cs="Times New Roman"/>
          <w:sz w:val="24"/>
          <w:szCs w:val="24"/>
          <w:lang w:eastAsia="id-ID"/>
        </w:rPr>
        <w:t xml:space="preserve">Panilitian ieu migunakeun métode yuridis normatif liwat studi kapustakaan jeung analisis komparatif kana sistem pamidana anak di Walanda, Australia, jeung Korea Kidul. Hasil panilitian nunjukkeun yén pangaturan pamidana pikeun anak palaku pamuluhan di Indonesia geus diatur sacara komprehensif ngaliwatan UU SPPA, tapi can ngaintegrasikeun sacara écés prinsip </w:t>
      </w:r>
      <w:r w:rsidRPr="00455F75">
        <w:rPr>
          <w:rFonts w:ascii="Times New Roman" w:eastAsia="Times New Roman" w:hAnsi="Times New Roman" w:cs="Times New Roman"/>
          <w:i/>
          <w:iCs/>
          <w:sz w:val="24"/>
          <w:szCs w:val="24"/>
          <w:lang w:eastAsia="id-ID"/>
        </w:rPr>
        <w:t>trauma-informed</w:t>
      </w:r>
      <w:r w:rsidRPr="00455F75">
        <w:rPr>
          <w:rFonts w:ascii="Times New Roman" w:eastAsia="Times New Roman" w:hAnsi="Times New Roman" w:cs="Times New Roman"/>
          <w:sz w:val="24"/>
          <w:szCs w:val="24"/>
          <w:lang w:eastAsia="id-ID"/>
        </w:rPr>
        <w:t>.</w:t>
      </w:r>
    </w:p>
    <w:p w:rsidR="00455F75" w:rsidRPr="00455F75" w:rsidRDefault="00455F75"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455F75">
        <w:rPr>
          <w:rFonts w:ascii="Times New Roman" w:eastAsia="Times New Roman" w:hAnsi="Times New Roman" w:cs="Times New Roman"/>
          <w:sz w:val="24"/>
          <w:szCs w:val="24"/>
          <w:lang w:eastAsia="id-ID"/>
        </w:rPr>
        <w:t xml:space="preserve">Bandinganana jeung nagara séjén mintonkeun yén Walanda paling maju dina nerapkeun rehabilitasi jeung </w:t>
      </w:r>
      <w:r w:rsidRPr="00455F75">
        <w:rPr>
          <w:rFonts w:ascii="Times New Roman" w:eastAsia="Times New Roman" w:hAnsi="Times New Roman" w:cs="Times New Roman"/>
          <w:i/>
          <w:iCs/>
          <w:sz w:val="24"/>
          <w:szCs w:val="24"/>
          <w:lang w:eastAsia="id-ID"/>
        </w:rPr>
        <w:t>trauma-informed</w:t>
      </w:r>
      <w:r w:rsidRPr="00455F75">
        <w:rPr>
          <w:rFonts w:ascii="Times New Roman" w:eastAsia="Times New Roman" w:hAnsi="Times New Roman" w:cs="Times New Roman"/>
          <w:sz w:val="24"/>
          <w:szCs w:val="24"/>
          <w:lang w:eastAsia="id-ID"/>
        </w:rPr>
        <w:t xml:space="preserve"> sacara sistematis. Temuan ieu penting pikeun ngadorong pembaruan hukum pidana anak di Indonesia sangkan leuwih humanis, responsif, sarta saluyu jeung kamekaran psikologis anak.</w:t>
      </w:r>
    </w:p>
    <w:p w:rsidR="00455F75" w:rsidRPr="00455F75" w:rsidRDefault="00455F75" w:rsidP="0093767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455F75">
        <w:rPr>
          <w:rFonts w:ascii="Times New Roman" w:eastAsia="Times New Roman" w:hAnsi="Times New Roman" w:cs="Times New Roman"/>
          <w:b/>
          <w:bCs/>
          <w:sz w:val="24"/>
          <w:szCs w:val="24"/>
          <w:lang w:eastAsia="id-ID"/>
        </w:rPr>
        <w:t>Kecap Konci:</w:t>
      </w:r>
      <w:r w:rsidRPr="00455F75">
        <w:rPr>
          <w:rFonts w:ascii="Times New Roman" w:eastAsia="Times New Roman" w:hAnsi="Times New Roman" w:cs="Times New Roman"/>
          <w:sz w:val="24"/>
          <w:szCs w:val="24"/>
          <w:lang w:eastAsia="id-ID"/>
        </w:rPr>
        <w:t xml:space="preserve"> </w:t>
      </w:r>
      <w:r w:rsidRPr="00455F75">
        <w:rPr>
          <w:rFonts w:ascii="Times New Roman" w:eastAsia="Times New Roman" w:hAnsi="Times New Roman" w:cs="Times New Roman"/>
          <w:b/>
          <w:sz w:val="24"/>
          <w:szCs w:val="24"/>
          <w:lang w:eastAsia="id-ID"/>
        </w:rPr>
        <w:t>Pamidanaan Anak, Pamuluhan Kulawarga, Trauma-Informed, Peradilan Pidana Anak.</w:t>
      </w:r>
    </w:p>
    <w:p w:rsidR="00D5072A" w:rsidRPr="00D5072A" w:rsidRDefault="00D5072A" w:rsidP="00D5072A">
      <w:pPr>
        <w:pStyle w:val="NormalWeb"/>
        <w:spacing w:line="360" w:lineRule="auto"/>
        <w:jc w:val="both"/>
        <w:rPr>
          <w:b/>
        </w:rPr>
      </w:pPr>
      <w:r w:rsidRPr="00D5072A">
        <w:rPr>
          <w:b/>
        </w:rPr>
        <w:t>Pendahuluan</w:t>
      </w:r>
    </w:p>
    <w:p w:rsidR="00D5072A" w:rsidRDefault="00D5072A" w:rsidP="00D5072A">
      <w:pPr>
        <w:pStyle w:val="NormalWeb"/>
        <w:spacing w:line="360" w:lineRule="auto"/>
        <w:ind w:firstLine="567"/>
        <w:jc w:val="both"/>
      </w:pPr>
      <w:r>
        <w:t>Anak merupakan bagian yang tidak terpisahkan dari keberlangsungan suatu bangsa. Mereka bukan hanya generasi penerus, tetapi juga aset sosial yang harus dilindungi agar tumbuh dalam lingkungan yang aman, sehat, dan mendukung perkembangan fisik maupun psikologisnya. Pada prinsipnya, setiap anak memiliki hak untuk diasuh, dilindungi, serta dijauhkan dari berbagai bentuk kekerasan, baik yang terjadi di lingkungan keluarga maupun di lingkungan sosial yang lebih luas.</w:t>
      </w:r>
    </w:p>
    <w:p w:rsidR="00D5072A" w:rsidRDefault="00D5072A" w:rsidP="00D5072A">
      <w:pPr>
        <w:pStyle w:val="NormalWeb"/>
        <w:spacing w:line="360" w:lineRule="auto"/>
        <w:ind w:firstLine="567"/>
        <w:jc w:val="both"/>
      </w:pPr>
      <w:r>
        <w:lastRenderedPageBreak/>
        <w:t>Namun dalam beberapa tahun terakhir, muncul sejumlah kasus pembunuhan intra-keluarga yang dilakukan oleh anak sebagai pelaku utama. Contoh yang menonjol antara lain adalah kasus MAS (14 tahun) di Jakarta Selatan yang membunuh ayah dan nenek kandungnya, serta kasus DY di Kabupaten Nagan Raya yang menghabisi nyawa ayahnya sendiri. Kasus-kasus tersebut bukan sekadar peristiwa pidana, tetapi juga mencerminkan kerentanan struktur keluarga modern di Indonesia. Hal ini mengindikasikan adanya gangguan dalam relasi keluarga, pola asuh yang bermasalah, tekanan psikologis yang berat, serta minimnya deteksi dini terhadap kondisi emosional anak.</w:t>
      </w:r>
    </w:p>
    <w:p w:rsidR="00D5072A" w:rsidRDefault="00D5072A" w:rsidP="00D5072A">
      <w:pPr>
        <w:pStyle w:val="NormalWeb"/>
        <w:spacing w:line="360" w:lineRule="auto"/>
        <w:ind w:firstLine="567"/>
        <w:jc w:val="both"/>
      </w:pPr>
      <w:r>
        <w:t>Dari perspektif sosial, fenomena ini memperlihatkan bahwa keluarga sebagai unit terkecil dalam masyarakat tidak selalu berfungsi sebagai ruang perlindungan bagi anak. Konflik berkepanjangan, kekerasan domestik, pola komunikasi yang buruk, dan kurangnya kehadiran emosional dari orang tua sangat mungkin menjadi faktor yang memperburuk keadaan. Pada titik tertentu, anak yang mengalami tekanan atau trauma dalam jangka panjang dapat berada dalam situasi psikologis yang tidak stabil sehingga berpotensi melakukan tindakan ekstrem, termasuk pembunuhan anggota keluarganya sendiri.</w:t>
      </w:r>
    </w:p>
    <w:p w:rsidR="00D5072A" w:rsidRDefault="00D5072A" w:rsidP="00D5072A">
      <w:pPr>
        <w:pStyle w:val="NormalWeb"/>
        <w:spacing w:line="360" w:lineRule="auto"/>
        <w:ind w:firstLine="567"/>
        <w:jc w:val="both"/>
      </w:pPr>
      <w:r>
        <w:t xml:space="preserve">Dalam konteks hukum nasional, sistem penanganan perkara anak telah diatur melalui Undang-Undang Nomor 11 Tahun 2012 tentang Sistem Peradilan Pidana Anak (SPPA). Undang-undang ini lahir sebagai bentuk pembaruan sistem pemidanaan yang menempatkan anak sebagai subjek hukum yang harus dilindungi. Prinsip yang dijunjung tinggi dalam SPPA antara lain </w:t>
      </w:r>
      <w:r w:rsidRPr="000D4877">
        <w:rPr>
          <w:rStyle w:val="Strong"/>
          <w:b w:val="0"/>
        </w:rPr>
        <w:t>perlindungan anak</w:t>
      </w:r>
      <w:r w:rsidRPr="000D4877">
        <w:rPr>
          <w:b/>
        </w:rPr>
        <w:t xml:space="preserve">, </w:t>
      </w:r>
      <w:r w:rsidRPr="000D4877">
        <w:rPr>
          <w:rStyle w:val="Strong"/>
          <w:b w:val="0"/>
        </w:rPr>
        <w:t>kepentingan terbaik bagi anak (the best interest of the child)</w:t>
      </w:r>
      <w:r w:rsidRPr="000D4877">
        <w:rPr>
          <w:b/>
        </w:rPr>
        <w:t xml:space="preserve">, </w:t>
      </w:r>
      <w:r w:rsidRPr="000D4877">
        <w:rPr>
          <w:rStyle w:val="Strong"/>
          <w:b w:val="0"/>
        </w:rPr>
        <w:t>diversi</w:t>
      </w:r>
      <w:r w:rsidRPr="000D4877">
        <w:rPr>
          <w:b/>
        </w:rPr>
        <w:t>,</w:t>
      </w:r>
      <w:r>
        <w:t xml:space="preserve"> serta </w:t>
      </w:r>
      <w:r w:rsidRPr="000D4877">
        <w:rPr>
          <w:rStyle w:val="Strong"/>
          <w:b w:val="0"/>
        </w:rPr>
        <w:t>pemidanaan sebagai upaya terakhir (ultimum remedium)</w:t>
      </w:r>
      <w:r w:rsidRPr="000D4877">
        <w:rPr>
          <w:b/>
        </w:rPr>
        <w:t>.</w:t>
      </w:r>
      <w:r>
        <w:t xml:space="preserve"> Dengan demikian, orientasi SPPA seharusnya lebih menekankan pemulihan dan rehabilitasi, bukan pembalasan atau penghukuman.</w:t>
      </w:r>
    </w:p>
    <w:p w:rsidR="00D5072A" w:rsidRDefault="00D5072A" w:rsidP="00D5072A">
      <w:pPr>
        <w:pStyle w:val="NormalWeb"/>
        <w:spacing w:line="360" w:lineRule="auto"/>
        <w:ind w:firstLine="567"/>
        <w:jc w:val="both"/>
      </w:pPr>
      <w:r>
        <w:t xml:space="preserve">Meski demikian, praktik peradilan di lapangan menunjukkan masih adanya pendekatan represif terhadap anak pelaku tindak pidana, termasuk pelaku </w:t>
      </w:r>
      <w:r>
        <w:lastRenderedPageBreak/>
        <w:t xml:space="preserve">pembunuhan intra-keluarga. Aparat penegak hukum, seperti polisi, jaksa, maupun hakim, sering kali berfokus pada aspek yuridis formalistik tanpa menggali lebih dalam kondisi trauma, riwayat kekerasan domestik, atau masalah emosional yang dialami anak. Penerapan prinsip </w:t>
      </w:r>
      <w:r>
        <w:rPr>
          <w:rStyle w:val="Emphasis"/>
        </w:rPr>
        <w:t>trauma-informed</w:t>
      </w:r>
      <w:r>
        <w:t xml:space="preserve"> dalam penanganan perkara anak pun masih sangat terbatas. Padahal, banyak kasus yang secara jelas memperlihatkan bahwa tindakan pembunuhan oleh anak tidak berdiri sendiri tetapi berkaitan erat dengan pengalaman traumatis yang dialaminya.</w:t>
      </w:r>
    </w:p>
    <w:p w:rsidR="00D5072A" w:rsidRDefault="00D5072A" w:rsidP="00D5072A">
      <w:pPr>
        <w:pStyle w:val="NormalWeb"/>
        <w:spacing w:line="360" w:lineRule="auto"/>
        <w:ind w:firstLine="567"/>
        <w:jc w:val="both"/>
      </w:pPr>
      <w:r>
        <w:t>Di sisi lain, terdapat kesenjangan signifikan antara teori dan praktik pemidanaan anak. Secara normatif, SPPA telah memberikan perlindungan yang kuat. Namun pada kasus-kasus pembunuhan antar anggota keluarga, pendekatan hukum sering kali tidak mempertimbangkan kompleksitas hubungan emosional, dinamika kekerasan dalam rumah tangga, serta kondisi psikologis anak yang turut membentuk perilaku mereka. Hal ini menyebabkan putusan pengadilan terkadang tidak mencerminkan prinsip perlindungan yang ideal bagi anak.</w:t>
      </w:r>
    </w:p>
    <w:p w:rsidR="00D5072A" w:rsidRDefault="00D5072A" w:rsidP="00D5072A">
      <w:pPr>
        <w:pStyle w:val="NormalWeb"/>
        <w:spacing w:line="360" w:lineRule="auto"/>
        <w:ind w:firstLine="567"/>
        <w:jc w:val="both"/>
      </w:pPr>
      <w:r>
        <w:t>Oleh karena itu, penelitian mengenai pengaturan pemidanaan anak pelaku pembunuhan dalam sistem hukum Indonesia menjadi sangat penting dilakukan. Penelitian ini bertujuan untuk:</w:t>
      </w:r>
    </w:p>
    <w:p w:rsidR="00D5072A" w:rsidRDefault="00D5072A" w:rsidP="000D4877">
      <w:pPr>
        <w:pStyle w:val="NormalWeb"/>
        <w:numPr>
          <w:ilvl w:val="0"/>
          <w:numId w:val="4"/>
        </w:numPr>
        <w:tabs>
          <w:tab w:val="clear" w:pos="567"/>
        </w:tabs>
        <w:spacing w:line="360" w:lineRule="auto"/>
        <w:ind w:hanging="567"/>
        <w:jc w:val="both"/>
      </w:pPr>
      <w:r>
        <w:t>Menganalisis bagaimana pengaturan pemidanaan anak pelaku pembunuhan dalam kerangka hukum Indonesia, khususnya dalam UU SPPA.</w:t>
      </w:r>
    </w:p>
    <w:p w:rsidR="00D5072A" w:rsidRDefault="00D5072A" w:rsidP="000D4877">
      <w:pPr>
        <w:pStyle w:val="NormalWeb"/>
        <w:numPr>
          <w:ilvl w:val="0"/>
          <w:numId w:val="4"/>
        </w:numPr>
        <w:tabs>
          <w:tab w:val="clear" w:pos="567"/>
        </w:tabs>
        <w:spacing w:line="360" w:lineRule="auto"/>
        <w:ind w:hanging="567"/>
        <w:jc w:val="both"/>
      </w:pPr>
      <w:r>
        <w:t xml:space="preserve">Menggali sejauh mana prinsip </w:t>
      </w:r>
      <w:r>
        <w:rPr>
          <w:rStyle w:val="Emphasis"/>
        </w:rPr>
        <w:t>trauma-informed</w:t>
      </w:r>
      <w:r>
        <w:t xml:space="preserve"> telah diterapkan dalam proses peradilan pidana anak di Indonesia.</w:t>
      </w:r>
    </w:p>
    <w:p w:rsidR="00D5072A" w:rsidRDefault="00D5072A" w:rsidP="000D4877">
      <w:pPr>
        <w:pStyle w:val="NormalWeb"/>
        <w:numPr>
          <w:ilvl w:val="0"/>
          <w:numId w:val="4"/>
        </w:numPr>
        <w:tabs>
          <w:tab w:val="clear" w:pos="567"/>
        </w:tabs>
        <w:spacing w:line="360" w:lineRule="auto"/>
        <w:ind w:hanging="567"/>
        <w:jc w:val="both"/>
      </w:pPr>
      <w:r>
        <w:t>Melakukan studi komparatif dengan beberapa negara seperti Belanda, Australia, dan Korea Selatan untuk mendapatkan gambaran praktik terbaik (best practices) yang dapat menjadi rujukan pembaruan hukum di Indonesia.</w:t>
      </w:r>
    </w:p>
    <w:p w:rsidR="0093767A" w:rsidRDefault="0093767A" w:rsidP="000D4877">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93767A" w:rsidRDefault="0093767A" w:rsidP="000D4877">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A90372" w:rsidRPr="00A90372" w:rsidRDefault="00A90372" w:rsidP="000D4877">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0D4877">
        <w:rPr>
          <w:rFonts w:ascii="Times New Roman" w:eastAsia="Times New Roman" w:hAnsi="Times New Roman" w:cs="Times New Roman"/>
          <w:b/>
          <w:bCs/>
          <w:sz w:val="24"/>
          <w:szCs w:val="24"/>
          <w:lang w:eastAsia="id-ID"/>
        </w:rPr>
        <w:lastRenderedPageBreak/>
        <w:t>Tinjauan Pustaka</w:t>
      </w:r>
    </w:p>
    <w:p w:rsidR="00A90372" w:rsidRPr="00A90372" w:rsidRDefault="00A90372" w:rsidP="000D4877">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0D4877">
        <w:rPr>
          <w:rFonts w:ascii="Times New Roman" w:eastAsia="Times New Roman" w:hAnsi="Times New Roman" w:cs="Times New Roman"/>
          <w:b/>
          <w:bCs/>
          <w:sz w:val="24"/>
          <w:szCs w:val="24"/>
          <w:lang w:eastAsia="id-ID"/>
        </w:rPr>
        <w:t>Pemidanaan</w:t>
      </w:r>
    </w:p>
    <w:p w:rsidR="00A90372" w:rsidRPr="00A90372" w:rsidRDefault="00A90372" w:rsidP="000D4877">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Pemidanaan merupakan sarana negara memberikan respons terhadap tindak pidana. Tujuan pemidanaan tidak hanya hukuman, tetapi juga resosialisasi, rehabilitasi, dan pencegahan. Dalam konteks anak, sistem pemidanaan harus menempatkan rehabilitasi sebagai prioritas utama.</w:t>
      </w:r>
    </w:p>
    <w:p w:rsidR="00A90372" w:rsidRPr="00A90372" w:rsidRDefault="00A90372" w:rsidP="00A90372">
      <w:pPr>
        <w:spacing w:before="100" w:beforeAutospacing="1" w:after="100" w:afterAutospacing="1" w:line="240" w:lineRule="auto"/>
        <w:outlineLvl w:val="2"/>
        <w:rPr>
          <w:rFonts w:ascii="Times New Roman" w:eastAsia="Times New Roman" w:hAnsi="Times New Roman" w:cs="Times New Roman"/>
          <w:b/>
          <w:bCs/>
          <w:sz w:val="27"/>
          <w:szCs w:val="27"/>
          <w:lang w:eastAsia="id-ID"/>
        </w:rPr>
      </w:pPr>
      <w:r w:rsidRPr="00A90372">
        <w:rPr>
          <w:rFonts w:ascii="Times New Roman" w:eastAsia="Times New Roman" w:hAnsi="Times New Roman" w:cs="Times New Roman"/>
          <w:b/>
          <w:bCs/>
          <w:sz w:val="27"/>
          <w:szCs w:val="27"/>
          <w:lang w:eastAsia="id-ID"/>
        </w:rPr>
        <w:t>Tindak Pidana Pembunuhan</w:t>
      </w:r>
    </w:p>
    <w:p w:rsidR="00A90372" w:rsidRPr="00A90372" w:rsidRDefault="00A90372" w:rsidP="000D4877">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KUHP mengatur pembunuhan dalam Pasal 338–340, dengan klasifikasi pembunuhan biasa, pembunuhan berencana, dan pembunuhan dengan pemberatan. Pada kasus anak yang membunuh orang tua, ketentuan UU PKDRT Pasal 44 ayat (3) juga dapat menjadi dasar hukum karena korban merupakan anggota keluarga.</w:t>
      </w:r>
    </w:p>
    <w:p w:rsidR="00A90372" w:rsidRPr="00A90372" w:rsidRDefault="00A90372" w:rsidP="00A90372">
      <w:pPr>
        <w:spacing w:before="100" w:beforeAutospacing="1" w:after="100" w:afterAutospacing="1" w:line="240" w:lineRule="auto"/>
        <w:outlineLvl w:val="2"/>
        <w:rPr>
          <w:rFonts w:ascii="Times New Roman" w:eastAsia="Times New Roman" w:hAnsi="Times New Roman" w:cs="Times New Roman"/>
          <w:b/>
          <w:bCs/>
          <w:sz w:val="27"/>
          <w:szCs w:val="27"/>
          <w:lang w:eastAsia="id-ID"/>
        </w:rPr>
      </w:pPr>
      <w:r w:rsidRPr="00A90372">
        <w:rPr>
          <w:rFonts w:ascii="Times New Roman" w:eastAsia="Times New Roman" w:hAnsi="Times New Roman" w:cs="Times New Roman"/>
          <w:b/>
          <w:bCs/>
          <w:sz w:val="27"/>
          <w:szCs w:val="27"/>
          <w:lang w:eastAsia="id-ID"/>
        </w:rPr>
        <w:t>Peradilan Pidana Anak</w:t>
      </w:r>
    </w:p>
    <w:p w:rsidR="00A90372" w:rsidRPr="00A90372" w:rsidRDefault="00A90372" w:rsidP="000D4877">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UU SPPA menetapkan usia pertanggungjawaban pidana anak mulai dari 12 tahun hingga sebelum 18 tahun. Sanksi pidana diberikan maksimal setengah dari ancaman pidana dewasa. Sistem diversi wajib diupayakan, kecuali untuk tindak pidana berat seperti pembunuhan.</w:t>
      </w:r>
    </w:p>
    <w:p w:rsidR="00A90372" w:rsidRPr="00A90372" w:rsidRDefault="00A90372" w:rsidP="000D4877">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0D4877">
        <w:rPr>
          <w:rFonts w:ascii="Times New Roman" w:eastAsia="Times New Roman" w:hAnsi="Times New Roman" w:cs="Times New Roman"/>
          <w:b/>
          <w:bCs/>
          <w:sz w:val="24"/>
          <w:szCs w:val="24"/>
          <w:lang w:eastAsia="id-ID"/>
        </w:rPr>
        <w:t>Trauma-Informed Approach</w:t>
      </w:r>
    </w:p>
    <w:p w:rsidR="00A90372" w:rsidRPr="00A90372" w:rsidRDefault="00A90372" w:rsidP="000D4877">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Pendekatan trauma-informed menekankan pemahaman bahwa perilaku anak dapat dipengaruhi trauma, kekerasan dalam keluarga, atau kondisi psikososial. Pendekatan ini bertujuan menciptakan proses hukum yang aman, suportif, tidak menimbulkan trauma baru, serta relevan diterapkan dalam kasus pembunuhan intra-keluarga.</w:t>
      </w:r>
    </w:p>
    <w:p w:rsidR="0093767A" w:rsidRDefault="0093767A" w:rsidP="00F85ED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A90372" w:rsidRPr="00A90372" w:rsidRDefault="00A90372" w:rsidP="00F85ED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F85ED8">
        <w:rPr>
          <w:rFonts w:ascii="Times New Roman" w:eastAsia="Times New Roman" w:hAnsi="Times New Roman" w:cs="Times New Roman"/>
          <w:b/>
          <w:bCs/>
          <w:sz w:val="24"/>
          <w:szCs w:val="24"/>
          <w:lang w:eastAsia="id-ID"/>
        </w:rPr>
        <w:lastRenderedPageBreak/>
        <w:t>Metode Penelitian</w:t>
      </w:r>
    </w:p>
    <w:p w:rsidR="00A90372" w:rsidRPr="00A90372" w:rsidRDefault="00A90372" w:rsidP="00F85ED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Penelitian ini menggunakan metode yuridis normatif yang berbasis pada kajian peraturan perundang-undangan, doktrin, literatur, dan putusan pengadilan. Data diperoleh melalui studi kepustakaan (library research) serta analisis komparatif dengan sistem peradilan pidana anak di Belanda, Australia, dan Korea Selatan. Pendekatan penelitian bersifat deskriptif-analitis dan kualitatif.</w:t>
      </w:r>
    </w:p>
    <w:p w:rsidR="00A90372" w:rsidRPr="00A90372" w:rsidRDefault="00A90372" w:rsidP="00F85ED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F85ED8">
        <w:rPr>
          <w:rFonts w:ascii="Times New Roman" w:eastAsia="Times New Roman" w:hAnsi="Times New Roman" w:cs="Times New Roman"/>
          <w:b/>
          <w:bCs/>
          <w:sz w:val="24"/>
          <w:szCs w:val="24"/>
          <w:lang w:eastAsia="id-ID"/>
        </w:rPr>
        <w:t>Hasil dan Pembahasan</w:t>
      </w:r>
    </w:p>
    <w:p w:rsidR="00A90372" w:rsidRPr="00A90372" w:rsidRDefault="00A90372" w:rsidP="00F85ED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F85ED8">
        <w:rPr>
          <w:rFonts w:ascii="Times New Roman" w:eastAsia="Times New Roman" w:hAnsi="Times New Roman" w:cs="Times New Roman"/>
          <w:b/>
          <w:bCs/>
          <w:sz w:val="24"/>
          <w:szCs w:val="24"/>
          <w:lang w:eastAsia="id-ID"/>
        </w:rPr>
        <w:t>Pengaturan Pemidanaan Anak Pelaku Pembunuhan dalam Sistem Hukum Indonesia</w:t>
      </w:r>
    </w:p>
    <w:p w:rsidR="00A90372" w:rsidRPr="00A90372" w:rsidRDefault="00A90372" w:rsidP="00F85ED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UU SPPA mengatur bahwa anak tidak boleh dijatuhi pidana mati atau seumur hidup, serta pidana penjara dijatuhkan setengah dari ancaman pidana dewasa. Diversi menjadi instrumen penting untuk perkara tertentu, tetapi tidak berlaku pada kasus pembunuhan karena ancaman pidananya lebih dari 7 tahun.</w:t>
      </w:r>
    </w:p>
    <w:p w:rsidR="00A90372" w:rsidRPr="00A90372" w:rsidRDefault="00A90372" w:rsidP="00F85ED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Dalam putusan 8/Pid.Sus-Anak/2025/PN Jkt.Sel, hakim menjatuhkan pidana pembinaan dua tahun bagi MAS, menunjukkan pendekatan rehabilitatif. Sementara putusan 72/Pid.B/2019/PN Skm terhadap DY yang dijatuhi 20 tahun menunjukkan masih kuatnya pendekatan retributif, meskipun pelaku adalah anak.</w:t>
      </w:r>
    </w:p>
    <w:p w:rsidR="00A90372" w:rsidRPr="00A90372" w:rsidRDefault="00A90372" w:rsidP="00F85ED8">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Hal ini memperlihatkan inkonsistensi serta kurangnya integrasi pemidanaan yang mempertimbangkan kondisi psikologis dan trauma anak.</w:t>
      </w:r>
    </w:p>
    <w:p w:rsidR="00A90372" w:rsidRPr="00A90372" w:rsidRDefault="00A90372" w:rsidP="00A90372">
      <w:pPr>
        <w:spacing w:before="100" w:beforeAutospacing="1" w:after="100" w:afterAutospacing="1" w:line="240" w:lineRule="auto"/>
        <w:outlineLvl w:val="2"/>
        <w:rPr>
          <w:rFonts w:ascii="Times New Roman" w:eastAsia="Times New Roman" w:hAnsi="Times New Roman" w:cs="Times New Roman"/>
          <w:b/>
          <w:bCs/>
          <w:sz w:val="27"/>
          <w:szCs w:val="27"/>
          <w:lang w:eastAsia="id-ID"/>
        </w:rPr>
      </w:pPr>
      <w:r w:rsidRPr="00A90372">
        <w:rPr>
          <w:rFonts w:ascii="Times New Roman" w:eastAsia="Times New Roman" w:hAnsi="Times New Roman" w:cs="Times New Roman"/>
          <w:b/>
          <w:bCs/>
          <w:sz w:val="27"/>
          <w:szCs w:val="27"/>
          <w:lang w:eastAsia="id-ID"/>
        </w:rPr>
        <w:t>Penerapan Pendekatan Trauma-Informed dalam Proses Peradilan Pidana Anak</w:t>
      </w:r>
    </w:p>
    <w:p w:rsidR="00A90372" w:rsidRPr="00A90372" w:rsidRDefault="00A90372" w:rsidP="00993CE1">
      <w:pPr>
        <w:spacing w:before="100" w:beforeAutospacing="1" w:after="100" w:afterAutospacing="1" w:line="360" w:lineRule="auto"/>
        <w:jc w:val="both"/>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Trauma-informed approach (TIA) penting diterapkan dalam setiap tahap peradilan, termasuk:</w:t>
      </w:r>
    </w:p>
    <w:p w:rsidR="00A90372" w:rsidRPr="00A90372" w:rsidRDefault="00A90372" w:rsidP="00993CE1">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993CE1">
        <w:rPr>
          <w:rFonts w:ascii="Times New Roman" w:eastAsia="Times New Roman" w:hAnsi="Times New Roman" w:cs="Times New Roman"/>
          <w:bCs/>
          <w:sz w:val="24"/>
          <w:szCs w:val="24"/>
          <w:lang w:eastAsia="id-ID"/>
        </w:rPr>
        <w:lastRenderedPageBreak/>
        <w:t>Penyidikan</w:t>
      </w:r>
      <w:r w:rsidRPr="00A90372">
        <w:rPr>
          <w:rFonts w:ascii="Times New Roman" w:eastAsia="Times New Roman" w:hAnsi="Times New Roman" w:cs="Times New Roman"/>
          <w:sz w:val="24"/>
          <w:szCs w:val="24"/>
          <w:lang w:eastAsia="id-ID"/>
        </w:rPr>
        <w:t xml:space="preserve"> – pemeriksaan harus menghindari intimidasi, kekerasan verbal, dan tekanan psikologis.</w:t>
      </w:r>
    </w:p>
    <w:p w:rsidR="00A90372" w:rsidRPr="00A90372" w:rsidRDefault="00A90372" w:rsidP="00993CE1">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993CE1">
        <w:rPr>
          <w:rFonts w:ascii="Times New Roman" w:eastAsia="Times New Roman" w:hAnsi="Times New Roman" w:cs="Times New Roman"/>
          <w:bCs/>
          <w:sz w:val="24"/>
          <w:szCs w:val="24"/>
          <w:lang w:eastAsia="id-ID"/>
        </w:rPr>
        <w:t>Penuntutan</w:t>
      </w:r>
      <w:r w:rsidRPr="00A90372">
        <w:rPr>
          <w:rFonts w:ascii="Times New Roman" w:eastAsia="Times New Roman" w:hAnsi="Times New Roman" w:cs="Times New Roman"/>
          <w:sz w:val="24"/>
          <w:szCs w:val="24"/>
          <w:lang w:eastAsia="id-ID"/>
        </w:rPr>
        <w:t xml:space="preserve"> – jaksa wajib mempertimbangkan latar belakang trauma pelaku.</w:t>
      </w:r>
    </w:p>
    <w:p w:rsidR="00A90372" w:rsidRPr="00A90372" w:rsidRDefault="00A90372" w:rsidP="00993CE1">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993CE1">
        <w:rPr>
          <w:rFonts w:ascii="Times New Roman" w:eastAsia="Times New Roman" w:hAnsi="Times New Roman" w:cs="Times New Roman"/>
          <w:bCs/>
          <w:sz w:val="24"/>
          <w:szCs w:val="24"/>
          <w:lang w:eastAsia="id-ID"/>
        </w:rPr>
        <w:t>Persidangan</w:t>
      </w:r>
      <w:r w:rsidRPr="00A90372">
        <w:rPr>
          <w:rFonts w:ascii="Times New Roman" w:eastAsia="Times New Roman" w:hAnsi="Times New Roman" w:cs="Times New Roman"/>
          <w:sz w:val="24"/>
          <w:szCs w:val="24"/>
          <w:lang w:eastAsia="id-ID"/>
        </w:rPr>
        <w:t xml:space="preserve"> – persidangan tertutup, pendampingan psikolog wajib, dan perlindungan identitas.</w:t>
      </w:r>
    </w:p>
    <w:p w:rsidR="00A90372" w:rsidRPr="00A90372" w:rsidRDefault="00A90372" w:rsidP="00993CE1">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993CE1">
        <w:rPr>
          <w:rFonts w:ascii="Times New Roman" w:eastAsia="Times New Roman" w:hAnsi="Times New Roman" w:cs="Times New Roman"/>
          <w:bCs/>
          <w:sz w:val="24"/>
          <w:szCs w:val="24"/>
          <w:lang w:eastAsia="id-ID"/>
        </w:rPr>
        <w:t>Pemidanaan</w:t>
      </w:r>
      <w:r w:rsidRPr="00A90372">
        <w:rPr>
          <w:rFonts w:ascii="Times New Roman" w:eastAsia="Times New Roman" w:hAnsi="Times New Roman" w:cs="Times New Roman"/>
          <w:sz w:val="24"/>
          <w:szCs w:val="24"/>
          <w:lang w:eastAsia="id-ID"/>
        </w:rPr>
        <w:t xml:space="preserve"> – pemulihan, terapi, dan rehabilitasi lebih diutamakan daripada pemenjaraan.</w:t>
      </w:r>
    </w:p>
    <w:p w:rsidR="00A90372" w:rsidRPr="00A90372" w:rsidRDefault="00A90372" w:rsidP="00993CE1">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993CE1">
        <w:rPr>
          <w:rFonts w:ascii="Times New Roman" w:eastAsia="Times New Roman" w:hAnsi="Times New Roman" w:cs="Times New Roman"/>
          <w:b/>
          <w:bCs/>
          <w:sz w:val="24"/>
          <w:szCs w:val="24"/>
          <w:lang w:eastAsia="id-ID"/>
        </w:rPr>
        <w:t>Perbandingan Sistem Pemidanaan Anak di Belanda, Australia, dan Korea Selatan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2440"/>
        <w:gridCol w:w="2454"/>
        <w:gridCol w:w="1915"/>
      </w:tblGrid>
      <w:tr w:rsidR="00A90372" w:rsidRPr="00A90372" w:rsidTr="00993CE1">
        <w:trPr>
          <w:tblHeader/>
          <w:tblCellSpacing w:w="15" w:type="dxa"/>
          <w:jc w:val="center"/>
        </w:trPr>
        <w:tc>
          <w:tcPr>
            <w:tcW w:w="0" w:type="auto"/>
            <w:vAlign w:val="center"/>
            <w:hideMark/>
          </w:tcPr>
          <w:p w:rsidR="00A90372" w:rsidRPr="00A90372" w:rsidRDefault="00A90372" w:rsidP="00A90372">
            <w:pPr>
              <w:spacing w:after="0" w:line="240" w:lineRule="auto"/>
              <w:jc w:val="center"/>
              <w:rPr>
                <w:rFonts w:ascii="Times New Roman" w:eastAsia="Times New Roman" w:hAnsi="Times New Roman" w:cs="Times New Roman"/>
                <w:b/>
                <w:bCs/>
                <w:sz w:val="24"/>
                <w:szCs w:val="24"/>
                <w:lang w:eastAsia="id-ID"/>
              </w:rPr>
            </w:pPr>
            <w:r w:rsidRPr="00A90372">
              <w:rPr>
                <w:rFonts w:ascii="Times New Roman" w:eastAsia="Times New Roman" w:hAnsi="Times New Roman" w:cs="Times New Roman"/>
                <w:b/>
                <w:bCs/>
                <w:sz w:val="24"/>
                <w:szCs w:val="24"/>
                <w:lang w:eastAsia="id-ID"/>
              </w:rPr>
              <w:t>Negara</w:t>
            </w:r>
          </w:p>
        </w:tc>
        <w:tc>
          <w:tcPr>
            <w:tcW w:w="0" w:type="auto"/>
            <w:vAlign w:val="center"/>
            <w:hideMark/>
          </w:tcPr>
          <w:p w:rsidR="00A90372" w:rsidRPr="00A90372" w:rsidRDefault="00A90372" w:rsidP="00A90372">
            <w:pPr>
              <w:spacing w:after="0" w:line="240" w:lineRule="auto"/>
              <w:jc w:val="center"/>
              <w:rPr>
                <w:rFonts w:ascii="Times New Roman" w:eastAsia="Times New Roman" w:hAnsi="Times New Roman" w:cs="Times New Roman"/>
                <w:b/>
                <w:bCs/>
                <w:sz w:val="24"/>
                <w:szCs w:val="24"/>
                <w:lang w:eastAsia="id-ID"/>
              </w:rPr>
            </w:pPr>
            <w:r w:rsidRPr="00A90372">
              <w:rPr>
                <w:rFonts w:ascii="Times New Roman" w:eastAsia="Times New Roman" w:hAnsi="Times New Roman" w:cs="Times New Roman"/>
                <w:b/>
                <w:bCs/>
                <w:sz w:val="24"/>
                <w:szCs w:val="24"/>
                <w:lang w:eastAsia="id-ID"/>
              </w:rPr>
              <w:t>Usia Pertanggungjawaban</w:t>
            </w:r>
          </w:p>
        </w:tc>
        <w:tc>
          <w:tcPr>
            <w:tcW w:w="0" w:type="auto"/>
            <w:vAlign w:val="center"/>
            <w:hideMark/>
          </w:tcPr>
          <w:p w:rsidR="00A90372" w:rsidRPr="00A90372" w:rsidRDefault="00A90372" w:rsidP="00A90372">
            <w:pPr>
              <w:spacing w:after="0" w:line="240" w:lineRule="auto"/>
              <w:jc w:val="center"/>
              <w:rPr>
                <w:rFonts w:ascii="Times New Roman" w:eastAsia="Times New Roman" w:hAnsi="Times New Roman" w:cs="Times New Roman"/>
                <w:b/>
                <w:bCs/>
                <w:sz w:val="24"/>
                <w:szCs w:val="24"/>
                <w:lang w:eastAsia="id-ID"/>
              </w:rPr>
            </w:pPr>
            <w:r w:rsidRPr="00A90372">
              <w:rPr>
                <w:rFonts w:ascii="Times New Roman" w:eastAsia="Times New Roman" w:hAnsi="Times New Roman" w:cs="Times New Roman"/>
                <w:b/>
                <w:bCs/>
                <w:sz w:val="24"/>
                <w:szCs w:val="24"/>
                <w:lang w:eastAsia="id-ID"/>
              </w:rPr>
              <w:t>Penanganan Pembunuhan</w:t>
            </w:r>
          </w:p>
        </w:tc>
        <w:tc>
          <w:tcPr>
            <w:tcW w:w="0" w:type="auto"/>
            <w:vAlign w:val="center"/>
            <w:hideMark/>
          </w:tcPr>
          <w:p w:rsidR="00A90372" w:rsidRPr="00A90372" w:rsidRDefault="00A90372" w:rsidP="00A90372">
            <w:pPr>
              <w:spacing w:after="0" w:line="240" w:lineRule="auto"/>
              <w:jc w:val="center"/>
              <w:rPr>
                <w:rFonts w:ascii="Times New Roman" w:eastAsia="Times New Roman" w:hAnsi="Times New Roman" w:cs="Times New Roman"/>
                <w:b/>
                <w:bCs/>
                <w:sz w:val="24"/>
                <w:szCs w:val="24"/>
                <w:lang w:eastAsia="id-ID"/>
              </w:rPr>
            </w:pPr>
            <w:r w:rsidRPr="00A90372">
              <w:rPr>
                <w:rFonts w:ascii="Times New Roman" w:eastAsia="Times New Roman" w:hAnsi="Times New Roman" w:cs="Times New Roman"/>
                <w:b/>
                <w:bCs/>
                <w:sz w:val="24"/>
                <w:szCs w:val="24"/>
                <w:lang w:eastAsia="id-ID"/>
              </w:rPr>
              <w:t>Pendekatan Trauma-Informed</w:t>
            </w:r>
          </w:p>
        </w:tc>
      </w:tr>
      <w:tr w:rsidR="00A90372" w:rsidRPr="00A90372" w:rsidTr="00993CE1">
        <w:trPr>
          <w:tblCellSpacing w:w="15" w:type="dxa"/>
          <w:jc w:val="center"/>
        </w:trPr>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b/>
                <w:bCs/>
                <w:sz w:val="24"/>
                <w:szCs w:val="24"/>
                <w:lang w:eastAsia="id-ID"/>
              </w:rPr>
              <w:t>Belanda</w:t>
            </w:r>
          </w:p>
        </w:tc>
        <w:tc>
          <w:tcPr>
            <w:tcW w:w="0" w:type="auto"/>
            <w:vAlign w:val="center"/>
            <w:hideMark/>
          </w:tcPr>
          <w:p w:rsidR="00A90372" w:rsidRPr="00A90372" w:rsidRDefault="00A90372" w:rsidP="00993CE1">
            <w:pPr>
              <w:spacing w:after="0" w:line="240" w:lineRule="auto"/>
              <w:jc w:val="center"/>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12 tahun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Rehabilitasi dominan, restorative justice kuat</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Terintegrasi dalam sistem</w:t>
            </w:r>
          </w:p>
        </w:tc>
      </w:tr>
      <w:tr w:rsidR="00A90372" w:rsidRPr="00A90372" w:rsidTr="00993CE1">
        <w:trPr>
          <w:tblCellSpacing w:w="15" w:type="dxa"/>
          <w:jc w:val="center"/>
        </w:trPr>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b/>
                <w:bCs/>
                <w:sz w:val="24"/>
                <w:szCs w:val="24"/>
                <w:lang w:eastAsia="id-ID"/>
              </w:rPr>
              <w:t>Australia</w:t>
            </w:r>
          </w:p>
        </w:tc>
        <w:tc>
          <w:tcPr>
            <w:tcW w:w="0" w:type="auto"/>
            <w:vAlign w:val="center"/>
            <w:hideMark/>
          </w:tcPr>
          <w:p w:rsidR="00A90372" w:rsidRPr="00A90372" w:rsidRDefault="00A90372" w:rsidP="00993CE1">
            <w:pPr>
              <w:spacing w:after="0" w:line="240" w:lineRule="auto"/>
              <w:jc w:val="center"/>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10 tahun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Dual-track system (rehabilitasi + penahanan)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Banyak program psikososial</w:t>
            </w:r>
          </w:p>
        </w:tc>
      </w:tr>
      <w:tr w:rsidR="00A90372" w:rsidRPr="00A90372" w:rsidTr="00993CE1">
        <w:trPr>
          <w:tblCellSpacing w:w="15" w:type="dxa"/>
          <w:jc w:val="center"/>
        </w:trPr>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b/>
                <w:bCs/>
                <w:sz w:val="24"/>
                <w:szCs w:val="24"/>
                <w:lang w:eastAsia="id-ID"/>
              </w:rPr>
              <w:t>Korea Selatan</w:t>
            </w:r>
          </w:p>
        </w:tc>
        <w:tc>
          <w:tcPr>
            <w:tcW w:w="0" w:type="auto"/>
            <w:vAlign w:val="center"/>
            <w:hideMark/>
          </w:tcPr>
          <w:p w:rsidR="00A90372" w:rsidRPr="00A90372" w:rsidRDefault="00A90372" w:rsidP="00993CE1">
            <w:pPr>
              <w:spacing w:after="0" w:line="240" w:lineRule="auto"/>
              <w:jc w:val="center"/>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10 tahun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Cenderung represif, fokus pemenjaraan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Mulai berkembang</w:t>
            </w:r>
          </w:p>
        </w:tc>
      </w:tr>
      <w:tr w:rsidR="00A90372" w:rsidRPr="00A90372" w:rsidTr="00993CE1">
        <w:trPr>
          <w:tblCellSpacing w:w="15" w:type="dxa"/>
          <w:jc w:val="center"/>
        </w:trPr>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b/>
                <w:bCs/>
                <w:sz w:val="24"/>
                <w:szCs w:val="24"/>
                <w:lang w:eastAsia="id-ID"/>
              </w:rPr>
              <w:t>Indonesia</w:t>
            </w:r>
          </w:p>
        </w:tc>
        <w:tc>
          <w:tcPr>
            <w:tcW w:w="0" w:type="auto"/>
            <w:vAlign w:val="center"/>
            <w:hideMark/>
          </w:tcPr>
          <w:p w:rsidR="00A90372" w:rsidRPr="00A90372" w:rsidRDefault="00A90372" w:rsidP="00993CE1">
            <w:pPr>
              <w:spacing w:after="0" w:line="240" w:lineRule="auto"/>
              <w:jc w:val="center"/>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12 tahun</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Diversi terbatas, sanksi setengah pidana dewasa</w:t>
            </w:r>
          </w:p>
        </w:tc>
        <w:tc>
          <w:tcPr>
            <w:tcW w:w="0" w:type="auto"/>
            <w:vAlign w:val="center"/>
            <w:hideMark/>
          </w:tcPr>
          <w:p w:rsidR="00A90372" w:rsidRPr="00A90372" w:rsidRDefault="00A90372" w:rsidP="00A90372">
            <w:pPr>
              <w:spacing w:after="0" w:line="240" w:lineRule="auto"/>
              <w:rPr>
                <w:rFonts w:ascii="Times New Roman" w:eastAsia="Times New Roman" w:hAnsi="Times New Roman" w:cs="Times New Roman"/>
                <w:sz w:val="24"/>
                <w:szCs w:val="24"/>
                <w:lang w:eastAsia="id-ID"/>
              </w:rPr>
            </w:pPr>
            <w:r w:rsidRPr="00A90372">
              <w:rPr>
                <w:rFonts w:ascii="Times New Roman" w:eastAsia="Times New Roman" w:hAnsi="Times New Roman" w:cs="Times New Roman"/>
                <w:sz w:val="24"/>
                <w:szCs w:val="24"/>
                <w:lang w:eastAsia="id-ID"/>
              </w:rPr>
              <w:t>Belum eksplisit</w:t>
            </w:r>
          </w:p>
        </w:tc>
      </w:tr>
    </w:tbl>
    <w:p w:rsidR="00A90372" w:rsidRPr="00A90372" w:rsidRDefault="00A90372" w:rsidP="00993CE1">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993CE1">
        <w:rPr>
          <w:rFonts w:ascii="Times New Roman" w:eastAsia="Times New Roman" w:hAnsi="Times New Roman" w:cs="Times New Roman"/>
          <w:b/>
          <w:bCs/>
          <w:sz w:val="24"/>
          <w:szCs w:val="24"/>
          <w:lang w:eastAsia="id-ID"/>
        </w:rPr>
        <w:t>Kesimpulan</w:t>
      </w:r>
    </w:p>
    <w:p w:rsidR="00993CE1" w:rsidRPr="00993CE1" w:rsidRDefault="00993CE1" w:rsidP="00993CE1">
      <w:pPr>
        <w:pStyle w:val="NormalWeb"/>
        <w:numPr>
          <w:ilvl w:val="0"/>
          <w:numId w:val="5"/>
        </w:numPr>
        <w:tabs>
          <w:tab w:val="clear" w:pos="360"/>
        </w:tabs>
        <w:spacing w:line="360" w:lineRule="auto"/>
        <w:ind w:left="567" w:hanging="567"/>
        <w:jc w:val="both"/>
      </w:pPr>
      <w:r w:rsidRPr="00993CE1">
        <w:rPr>
          <w:rStyle w:val="Strong"/>
          <w:b w:val="0"/>
        </w:rPr>
        <w:t>Pengaturan pemidanaan anak pelaku pembunuhan dalam sistem hukum Indonesia sebenarnya telah memiliki landasan normatif yang kuat melalui Undang-Undang Nomor 11 Tahun 2012 tentang Sistem Peradilan Pidana Anak (SPPA), namun implementasinya masih belum konsisten, khususnya pada kasus pembunuhan intra-keluarga.</w:t>
      </w:r>
      <w:r>
        <w:t xml:space="preserve"> </w:t>
      </w:r>
      <w:r w:rsidRPr="00993CE1">
        <w:t xml:space="preserve">Secara konsep, UU SPPA bertujuan menciptakan sistem pemidanaan anak yang berorientasi pada perlindungan, pemulihan, dan pengembangan anak sebagai individu yang masih berada dalam fase perkembangan psikologis. Prinsip </w:t>
      </w:r>
      <w:r w:rsidRPr="00993CE1">
        <w:rPr>
          <w:rStyle w:val="Emphasis"/>
        </w:rPr>
        <w:t>best interest of the child</w:t>
      </w:r>
      <w:r w:rsidRPr="00993CE1">
        <w:t xml:space="preserve">, </w:t>
      </w:r>
      <w:r w:rsidRPr="00993CE1">
        <w:lastRenderedPageBreak/>
        <w:t>diversi, dan keadilan restoratif telah dirumuskan sebagai pilar utama dalam penanganan perkara anak. Meski demikian, praktik penegakan hukum kerap memperlihatkan ketidaksesuaian. Pada kasus pembunuhan yang melibatkan anggota keluarga, aparat penegak hukum sering lebih menekankan aspek legal-formal dan tuntutan pidana, daripada menggali latar belakang emosional, riwayat keluarga, dan kondisi psikis anak. Inkonsistensi ini menunjukkan bahwa substansi UU belum sepenuhnya dipahami dan diinternalisasi dalam budaya kerja lembaga penegak hukum. Selain itu, belum adanya pedoman teknis yang secara rinci mengatur prosedur asesmen psikologis mendalam menyebabkan penanganan kasus anak sering tidak mempertimbangkan dinamika trauma yang dialami anak. Dengan demikian, meskipun UU SPPA secara normatif sudah memadai, implementasinya tetap memerlukan pembaruan dan penguatan kelembagaan.</w:t>
      </w:r>
    </w:p>
    <w:p w:rsidR="00993CE1" w:rsidRPr="00993CE1" w:rsidRDefault="00993CE1" w:rsidP="00993CE1">
      <w:pPr>
        <w:pStyle w:val="NormalWeb"/>
        <w:numPr>
          <w:ilvl w:val="0"/>
          <w:numId w:val="5"/>
        </w:numPr>
        <w:tabs>
          <w:tab w:val="clear" w:pos="360"/>
        </w:tabs>
        <w:spacing w:line="360" w:lineRule="auto"/>
        <w:ind w:left="567" w:hanging="567"/>
        <w:jc w:val="both"/>
      </w:pPr>
      <w:r w:rsidRPr="00993CE1">
        <w:rPr>
          <w:rStyle w:val="Strong"/>
          <w:b w:val="0"/>
        </w:rPr>
        <w:t>Pendekatan trauma-informed merupakan kebutuhan mendesak dalam peradilan pidana anak, khususnya pada perkara pembunuhan intra-keluarga, namun hingga kini belum diintegrasikan secara sistematis dalam proses hukum di Indonesia.</w:t>
      </w:r>
      <w:r>
        <w:t xml:space="preserve"> </w:t>
      </w:r>
      <w:r w:rsidRPr="00993CE1">
        <w:t xml:space="preserve">Pendekatan trauma-informed bertujuan memahami bahwa perilaku anak, khususnya perilaku agresif atau ekstrem, sering berakar pada pengalaman traumatis seperti kekerasan fisik, kekerasan emosional, penelantaran, konflik berkepanjangan dalam keluarga, atau tekanan psikologis yang tidak tertangani. Pada banyak kasus pembunuhan intra-keluarga di Indonesia, muncul indikasi kuat bahwa pelaku anak telah melalui kondisi psikologis yang kompleks, seperti depresi, </w:t>
      </w:r>
      <w:r w:rsidRPr="00993CE1">
        <w:rPr>
          <w:rStyle w:val="Emphasis"/>
        </w:rPr>
        <w:t>learned helplessness</w:t>
      </w:r>
      <w:r w:rsidRPr="00993CE1">
        <w:t xml:space="preserve">, trauma kronis, atau paparan kekerasan dalam rumah tangga. Namun dalam praktik peradilan, kondisi tersebut jarang ditelusuri secara komprehensif. Keberadaan psikolog forensik tidak selalu dihadirkan, asesmen perkembangan anak tidak dilakukan secara mendalam, dan riwayat hubungan keluarga tidak digali secara sistematis. Ketidakhadiran pendekatan trauma-informed tidak hanya mengurangi keadilan substantif bagi anak, tetapi juga berpotensi menghasilkan putusan yang tidak </w:t>
      </w:r>
      <w:r w:rsidRPr="00993CE1">
        <w:lastRenderedPageBreak/>
        <w:t>proporsional dan tidak membantu proses rehabilitasi. Oleh karena itu, integrasi pendekatan trauma-informed perlu ditetapkan sebagai kewajiban hukum yang mencakup asesmen psikologis mendalam, keterlibatan profesional khusus, serta penyediaan program pemulihan trauma dalam lembaga pembinaan anak.</w:t>
      </w:r>
    </w:p>
    <w:p w:rsidR="00993CE1" w:rsidRPr="00993CE1" w:rsidRDefault="00993CE1" w:rsidP="00993CE1">
      <w:pPr>
        <w:pStyle w:val="NormalWeb"/>
        <w:numPr>
          <w:ilvl w:val="0"/>
          <w:numId w:val="5"/>
        </w:numPr>
        <w:tabs>
          <w:tab w:val="clear" w:pos="360"/>
        </w:tabs>
        <w:spacing w:line="360" w:lineRule="auto"/>
        <w:ind w:left="567" w:hanging="567"/>
        <w:jc w:val="both"/>
      </w:pPr>
      <w:r w:rsidRPr="00993CE1">
        <w:rPr>
          <w:rStyle w:val="Strong"/>
          <w:b w:val="0"/>
        </w:rPr>
        <w:t>Hasil perbandingan dengan Belanda, Australia, dan Korea Selatan menunjukkan urgensi pembaruan hukum pidana anak Indonesia menuju sistem yang lebih rehabilitatif, terpadu, dan responsif terhadap kondisi psikologis anak, terutama pada perkara pembunuhan intra-keluarga.</w:t>
      </w:r>
      <w:r w:rsidRPr="00993CE1">
        <w:rPr>
          <w:b/>
        </w:rPr>
        <w:br/>
      </w:r>
      <w:r w:rsidRPr="00993CE1">
        <w:t>Ketiga negara tersebut memberikan pembelajaran penting bagi Indonesia.</w:t>
      </w:r>
    </w:p>
    <w:p w:rsidR="00993CE1" w:rsidRPr="00993CE1" w:rsidRDefault="00993CE1" w:rsidP="00993CE1">
      <w:pPr>
        <w:pStyle w:val="NormalWeb"/>
        <w:numPr>
          <w:ilvl w:val="1"/>
          <w:numId w:val="6"/>
        </w:numPr>
        <w:tabs>
          <w:tab w:val="clear" w:pos="1080"/>
        </w:tabs>
        <w:spacing w:line="360" w:lineRule="auto"/>
        <w:ind w:left="1134" w:hanging="567"/>
        <w:jc w:val="both"/>
      </w:pPr>
      <w:r w:rsidRPr="00993CE1">
        <w:rPr>
          <w:rStyle w:val="Strong"/>
        </w:rPr>
        <w:t>Belanda</w:t>
      </w:r>
      <w:r w:rsidRPr="00993CE1">
        <w:t xml:space="preserve"> menempatkan rehabilitasi dan pemulihan mental sebagai prioritas utama. Sistemnya memungkinkan anak pelaku kejahatan berat untuk menjalani program intensif berbasis terapi psikologis, konseling keluarga, serta pendidikan karakter dalam lembaga tertutup yang berorientasi pemulihan. Pendekatan ini terbukti menurunkan angka residivisme dan meningkatkan kemampuan anak untuk kembali ke masyarakat.</w:t>
      </w:r>
    </w:p>
    <w:p w:rsidR="00993CE1" w:rsidRPr="00993CE1" w:rsidRDefault="00993CE1" w:rsidP="00993CE1">
      <w:pPr>
        <w:pStyle w:val="NormalWeb"/>
        <w:numPr>
          <w:ilvl w:val="1"/>
          <w:numId w:val="6"/>
        </w:numPr>
        <w:tabs>
          <w:tab w:val="clear" w:pos="1080"/>
        </w:tabs>
        <w:spacing w:line="360" w:lineRule="auto"/>
        <w:ind w:left="1134" w:hanging="567"/>
        <w:jc w:val="both"/>
      </w:pPr>
      <w:r w:rsidRPr="00993CE1">
        <w:rPr>
          <w:rStyle w:val="Strong"/>
        </w:rPr>
        <w:t>Australia</w:t>
      </w:r>
      <w:r w:rsidRPr="00993CE1">
        <w:t xml:space="preserve"> mengembangkan kerangka peradilan anak yang sangat kuat dalam asesmen risiko dan kebutuhan psikologis, termasuk keterlibatan ahli neuropsikologi, pekerja sosial, dan tenaga rehabilitasi komunitas. Pendekatan multiprofesi ini memastikan bahwa putusan pengadilan tidak hanya fokus pada kesalahan, tetapi juga pada kebutuhan terapeutik anak.</w:t>
      </w:r>
    </w:p>
    <w:p w:rsidR="00993CE1" w:rsidRPr="00993CE1" w:rsidRDefault="00993CE1" w:rsidP="00993CE1">
      <w:pPr>
        <w:pStyle w:val="NormalWeb"/>
        <w:numPr>
          <w:ilvl w:val="1"/>
          <w:numId w:val="6"/>
        </w:numPr>
        <w:tabs>
          <w:tab w:val="clear" w:pos="1080"/>
        </w:tabs>
        <w:spacing w:line="360" w:lineRule="auto"/>
        <w:ind w:left="1134" w:hanging="567"/>
        <w:jc w:val="both"/>
      </w:pPr>
      <w:r w:rsidRPr="00993CE1">
        <w:rPr>
          <w:rStyle w:val="Strong"/>
        </w:rPr>
        <w:t>Korea Selatan</w:t>
      </w:r>
      <w:r w:rsidRPr="00993CE1">
        <w:t xml:space="preserve"> menerapkan integrasi antara lembaga pemasyarakatan anak dengan lembaga pendidikan dan rehabilitasi khusus, sehingga anak tidak semata-mata menerima hukuman, tetapi juga memperoleh pembinaan moral, pendidikan formal, dan dukungan pemulihan psikologis.</w:t>
      </w:r>
    </w:p>
    <w:p w:rsidR="00E25109" w:rsidRPr="00E25109" w:rsidRDefault="00E25109" w:rsidP="00E25109">
      <w:pPr>
        <w:pStyle w:val="Heading2"/>
        <w:spacing w:line="360" w:lineRule="auto"/>
        <w:jc w:val="both"/>
        <w:rPr>
          <w:sz w:val="24"/>
          <w:szCs w:val="24"/>
        </w:rPr>
      </w:pPr>
      <w:r w:rsidRPr="00E25109">
        <w:rPr>
          <w:rStyle w:val="Strong"/>
          <w:b/>
          <w:bCs/>
          <w:sz w:val="24"/>
          <w:szCs w:val="24"/>
        </w:rPr>
        <w:lastRenderedPageBreak/>
        <w:t xml:space="preserve">Saran </w:t>
      </w:r>
    </w:p>
    <w:p w:rsidR="00E25109" w:rsidRPr="00E25109" w:rsidRDefault="00E25109" w:rsidP="00E25109">
      <w:pPr>
        <w:pStyle w:val="NormalWeb"/>
        <w:numPr>
          <w:ilvl w:val="0"/>
          <w:numId w:val="7"/>
        </w:numPr>
        <w:tabs>
          <w:tab w:val="clear" w:pos="360"/>
        </w:tabs>
        <w:spacing w:line="360" w:lineRule="auto"/>
        <w:ind w:left="567" w:hanging="567"/>
        <w:jc w:val="both"/>
      </w:pPr>
      <w:r w:rsidRPr="00E25109">
        <w:rPr>
          <w:rStyle w:val="Strong"/>
          <w:b w:val="0"/>
        </w:rPr>
        <w:t xml:space="preserve">Pemerintah perlu melakukan revisi substantif terhadap UU SPPA dengan memasukkan ketentuan eksplisit terkait kewajiban penerapan </w:t>
      </w:r>
      <w:r w:rsidRPr="00E25109">
        <w:rPr>
          <w:rStyle w:val="Emphasis"/>
          <w:bCs/>
        </w:rPr>
        <w:t>trauma-informed approach</w:t>
      </w:r>
      <w:r w:rsidRPr="00E25109">
        <w:rPr>
          <w:rStyle w:val="Strong"/>
        </w:rPr>
        <w:t xml:space="preserve"> </w:t>
      </w:r>
      <w:r w:rsidRPr="00E25109">
        <w:rPr>
          <w:rStyle w:val="Strong"/>
          <w:b w:val="0"/>
        </w:rPr>
        <w:t>dalam seluruh proses peradilan pidana anak, termasuk asesmen psikologis, penanganan perkara, dan pengambilan keputusan.</w:t>
      </w:r>
      <w:r w:rsidRPr="00E25109">
        <w:br/>
        <w:t>Revisi tersebut harus menekankan bahwa pendekatan trauma-informed bukan sekadar pilihan, tetapi merupakan standar minimum dalam penanganan anak yang berhadapan dengan hukum. Pengaturan ini seyogianya dilengkapi dengan pedoman pelaksanaan yang lebih teknis melalui peraturan turunan, seperti Peraturan Pemerintah atau Peraturan Menteri Hukum dan HAM, agar aparat memiliki acuan jelas tentang prosedur asesmen trauma, bentuk intervensi yang direkomendasikan, serta tanggung jawab masing-masing institusi. Selain itu, pemerintah perlu membangun mekanisme koordinasi lintas sektor antara Kemenkumham, Kementerian Sosial, Kementerian PPA, dan Kementerian Kesehatan untuk menyediakan layanan trauma yang holistik dan terintegrasi. Revisi ini juga perlu memastikan ketersediaan anggaran negara untuk mendukung pelatihan berkelanjutan, penyediaan tenaga profesional, dan pengembangan fasilitas rehabilitasi bagi anak.</w:t>
      </w:r>
    </w:p>
    <w:p w:rsidR="00E25109" w:rsidRPr="00E25109" w:rsidRDefault="00E25109" w:rsidP="00E25109">
      <w:pPr>
        <w:pStyle w:val="NormalWeb"/>
        <w:numPr>
          <w:ilvl w:val="0"/>
          <w:numId w:val="7"/>
        </w:numPr>
        <w:tabs>
          <w:tab w:val="clear" w:pos="360"/>
        </w:tabs>
        <w:spacing w:line="360" w:lineRule="auto"/>
        <w:ind w:left="567" w:hanging="567"/>
        <w:jc w:val="both"/>
      </w:pPr>
      <w:r w:rsidRPr="00E25109">
        <w:rPr>
          <w:rStyle w:val="Strong"/>
          <w:b w:val="0"/>
        </w:rPr>
        <w:t>Aparat penegak hukum, khususnya polisi, jaksa, hakim, advokat, pekerja sosial, dan petugas Bapas, perlu mendapatkan pendidikan dan pelatihan mendalam yang berorientasi pada pemahaman trauma anak dan respons yang tepat terhadap kondisi psikologis tersebut.</w:t>
      </w:r>
      <w:r w:rsidRPr="00E25109">
        <w:br/>
        <w:t xml:space="preserve">Pelatihan yang diberikan perlu dirancang secara multidisipliner dengan melibatkan psikolog klinis, pakar psikologi perkembangan, ahli neuropsikologi, dan praktisi perlindungan anak. Kurikulum pelatihan harus mencakup konsep dasar trauma, dampak trauma terhadap perilaku kekerasan, teknik komunikasi empatik, pendekatan penyidikan ramah anak, serta teknik wawancara yang tidak menimbulkan retraumatisasi. Pelatihan </w:t>
      </w:r>
      <w:r w:rsidRPr="00E25109">
        <w:lastRenderedPageBreak/>
        <w:t>ini juga harus mencakup manajemen kasus kekerasan intra-keluarga, pemahaman konteks sosial budaya keluarga, dan analisis risiko keselamatan anak. Agar efektif, pelatihan ini harus bersifat wajib, berjenjang, dan dievaluasi secara berkala. Dengan demikian, aparat penegak hukum akan mampu menjalankan perannya secara profesional, sensitif, dan sesuai prinsip perlindungan anak.</w:t>
      </w:r>
    </w:p>
    <w:p w:rsidR="00E25109" w:rsidRPr="00E25109" w:rsidRDefault="00E25109" w:rsidP="00E25109">
      <w:pPr>
        <w:pStyle w:val="NormalWeb"/>
        <w:numPr>
          <w:ilvl w:val="0"/>
          <w:numId w:val="7"/>
        </w:numPr>
        <w:tabs>
          <w:tab w:val="clear" w:pos="360"/>
        </w:tabs>
        <w:spacing w:line="360" w:lineRule="auto"/>
        <w:ind w:left="567" w:hanging="567"/>
        <w:jc w:val="both"/>
      </w:pPr>
      <w:r w:rsidRPr="00E25109">
        <w:rPr>
          <w:rStyle w:val="Strong"/>
          <w:b w:val="0"/>
        </w:rPr>
        <w:t>Hakim harus mengedepankan orientasi rehabilitatif, pemulihan psikologis, dan rekonstruksi relasi keluarga dalam proses pengambilan putusan terhadap anak pelaku pembunuhan intra-keluarga.</w:t>
      </w:r>
      <w:r>
        <w:rPr>
          <w:b/>
        </w:rPr>
        <w:t xml:space="preserve"> </w:t>
      </w:r>
      <w:r w:rsidRPr="00E25109">
        <w:t xml:space="preserve">Hakim sebagai aktor sentral dalam sistem peradilan memiliki kewenangan moral dan yuridis untuk memastikan bahwa putusan yang dijatuhkan tidak sekadar memenuhi aspek keadilan formal, tetapi juga mencerminkan keadilan substantif yang mempertimbangkan kondisi psikologis anak. Oleh karena itu, hakim perlu menggunakan asesmen psikologis dan rekomendasi profesional sebagai dasar pengambilan keputusan. Putusan yang dijatuhkan sebaiknya mempertimbangkan berbagai faktor seperti riwayat kekerasan dalam keluarga, tingkat trauma yang dialami anak, kapasitas regulasi emosi, serta tingkat dukungan sosial yang tersedia. Selain itu, hakim juga perlu mempertimbangkan penerapan </w:t>
      </w:r>
      <w:r w:rsidRPr="00E25109">
        <w:rPr>
          <w:rStyle w:val="Emphasis"/>
        </w:rPr>
        <w:t>family-based intervention</w:t>
      </w:r>
      <w:r w:rsidRPr="00E25109">
        <w:t>, program mediasi keluarga, dan keadilan restoratif yang memungkinkan terjadinya rekonsiliasi dan pencegahan kekerasan berulang. Dengan demikian, putusan tidak hanya menyelesaikan persoalan hukum, tetapi juga memperbaiki struktur relasi keluarga yang retak akibat konflik dan trauma.</w:t>
      </w:r>
    </w:p>
    <w:p w:rsidR="00E25109" w:rsidRPr="00E25109" w:rsidRDefault="00E25109" w:rsidP="00E25109">
      <w:pPr>
        <w:pStyle w:val="NormalWeb"/>
        <w:numPr>
          <w:ilvl w:val="0"/>
          <w:numId w:val="7"/>
        </w:numPr>
        <w:tabs>
          <w:tab w:val="clear" w:pos="360"/>
        </w:tabs>
        <w:spacing w:line="360" w:lineRule="auto"/>
        <w:ind w:left="567" w:hanging="567"/>
        <w:jc w:val="both"/>
      </w:pPr>
      <w:r w:rsidRPr="00E25109">
        <w:rPr>
          <w:rStyle w:val="Strong"/>
          <w:b w:val="0"/>
        </w:rPr>
        <w:t>Sistem pembinaan anak harus diperkuat melalui peningkatan kualitas dan ketersediaan layanan rehabilitatif, termasuk konseling psikologis, terapi trauma, pendidikan karakter, serta program reintegrasi sosial yang komprehensif dan berkelanjutan.</w:t>
      </w:r>
      <w:r>
        <w:t xml:space="preserve"> </w:t>
      </w:r>
      <w:r w:rsidRPr="00E25109">
        <w:t xml:space="preserve">Lembaga Pembinaan Khusus Anak (LPKA) perlu bertransformasi menjadi pusat rehabilitasi yang menempatkan pemulihan psikologis sebagai tujuan utama. Hal ini dapat dilakukan dengan menambah jumlah tenaga psikolog klinis, terapis trauma, konselor keluarga, </w:t>
      </w:r>
      <w:r w:rsidRPr="00E25109">
        <w:lastRenderedPageBreak/>
        <w:t xml:space="preserve">ahli terapi perilaku, dan pekerja sosial profesional. Layanan terapi harus diberikan secara terstruktur dengan metode ilmiah seperti </w:t>
      </w:r>
      <w:r w:rsidRPr="00E25109">
        <w:rPr>
          <w:rStyle w:val="Emphasis"/>
        </w:rPr>
        <w:t>trauma-focused cognitive behavioral therapy (TF-CBT)</w:t>
      </w:r>
      <w:r w:rsidRPr="00E25109">
        <w:t>, terapi regulasi emosi, serta konseling keluarga. Selain itu, program pendidikan karakter, pembinaan moral, dan pelatihan keterampilan hidup (</w:t>
      </w:r>
      <w:r w:rsidRPr="00E25109">
        <w:rPr>
          <w:rStyle w:val="Emphasis"/>
        </w:rPr>
        <w:t>life skills</w:t>
      </w:r>
      <w:r w:rsidRPr="00E25109">
        <w:t>) harus diintegrasikan dalam kurikulum pembinaan agar anak memiliki modal untuk kembali ke masyarakat.</w:t>
      </w:r>
      <w:r w:rsidRPr="00E25109">
        <w:br/>
        <w:t>Program reintegrasi sosial perlu diperkuat melalui kerja sama antara LPKA, pemerintah daerah, sekolah, serta lembaga masyarakat untuk memastikan bahwa anak tidak kembali ke lingkungan yang toksik atau situasi keluarga yang belum pulih. Pendampingan pasca-pembinaan (aftercare) seperti kunjungan rumah, konseling lanjutan, dan pemantauan perkembangan harus dilakukan secara berkala untuk memastikan keberlanjutan rehabilitasi.</w:t>
      </w:r>
    </w:p>
    <w:p w:rsidR="00E25109" w:rsidRPr="00E25109" w:rsidRDefault="00E25109" w:rsidP="00E25109">
      <w:pPr>
        <w:pStyle w:val="Heading1"/>
        <w:spacing w:line="360" w:lineRule="auto"/>
        <w:jc w:val="center"/>
        <w:rPr>
          <w:rFonts w:ascii="Times New Roman" w:hAnsi="Times New Roman" w:cs="Times New Roman"/>
          <w:color w:val="auto"/>
          <w:sz w:val="24"/>
        </w:rPr>
      </w:pPr>
      <w:r w:rsidRPr="00E25109">
        <w:rPr>
          <w:rStyle w:val="Strong"/>
          <w:rFonts w:ascii="Times New Roman" w:hAnsi="Times New Roman" w:cs="Times New Roman"/>
          <w:b/>
          <w:bCs/>
          <w:color w:val="auto"/>
          <w:sz w:val="24"/>
        </w:rPr>
        <w:t>Daftar Pustaka</w:t>
      </w:r>
    </w:p>
    <w:p w:rsidR="00E25109" w:rsidRDefault="00E25109" w:rsidP="00E25109">
      <w:pPr>
        <w:pStyle w:val="NormalWeb"/>
        <w:spacing w:line="360" w:lineRule="auto"/>
        <w:ind w:left="567" w:hanging="567"/>
      </w:pPr>
      <w:r>
        <w:rPr>
          <w:rStyle w:val="Strong"/>
        </w:rPr>
        <w:t xml:space="preserve">A. </w:t>
      </w:r>
      <w:r>
        <w:rPr>
          <w:rStyle w:val="Strong"/>
        </w:rPr>
        <w:tab/>
      </w:r>
      <w:r>
        <w:rPr>
          <w:rStyle w:val="Strong"/>
        </w:rPr>
        <w:t>Buku dan Jurnal</w:t>
      </w:r>
    </w:p>
    <w:p w:rsidR="00E25109" w:rsidRDefault="00E25109" w:rsidP="00E25109">
      <w:pPr>
        <w:pStyle w:val="NormalWeb"/>
        <w:spacing w:line="360" w:lineRule="auto"/>
        <w:ind w:left="567" w:hanging="567"/>
      </w:pPr>
      <w:r>
        <w:t xml:space="preserve">Abrams, L. S., &amp; Snyder, S. M. (2010). </w:t>
      </w:r>
      <w:r>
        <w:rPr>
          <w:rStyle w:val="Emphasis"/>
        </w:rPr>
        <w:t>Youth offender reentry: Models for success</w:t>
      </w:r>
      <w:r>
        <w:t>. Springer.</w:t>
      </w:r>
    </w:p>
    <w:p w:rsidR="00E25109" w:rsidRDefault="00E25109" w:rsidP="00E25109">
      <w:pPr>
        <w:pStyle w:val="NormalWeb"/>
        <w:spacing w:line="360" w:lineRule="auto"/>
        <w:ind w:left="567" w:hanging="567"/>
      </w:pPr>
      <w:r>
        <w:t xml:space="preserve">Anderson, M. (2018). Trauma-informed juvenile justice systems: A systematic review. </w:t>
      </w:r>
      <w:r>
        <w:rPr>
          <w:rStyle w:val="Emphasis"/>
        </w:rPr>
        <w:t>Journal of Child &amp; Adolescent Trauma</w:t>
      </w:r>
      <w:r>
        <w:t>, 11(3), 289–303.</w:t>
      </w:r>
    </w:p>
    <w:p w:rsidR="00E25109" w:rsidRDefault="00E25109" w:rsidP="00E25109">
      <w:pPr>
        <w:pStyle w:val="NormalWeb"/>
        <w:spacing w:line="360" w:lineRule="auto"/>
        <w:ind w:left="567" w:hanging="567"/>
      </w:pPr>
      <w:r>
        <w:t xml:space="preserve">Baglivio, M. T., &amp; Epps, N. (2016). The relationship between trauma, adverse childhood experiences, and violent juvenile offending. </w:t>
      </w:r>
      <w:r>
        <w:rPr>
          <w:rStyle w:val="Emphasis"/>
        </w:rPr>
        <w:t>Youth Violence and Juvenile Justice</w:t>
      </w:r>
      <w:r>
        <w:t>, 14(4), 369–390.</w:t>
      </w:r>
    </w:p>
    <w:p w:rsidR="00E25109" w:rsidRDefault="00E25109" w:rsidP="00E25109">
      <w:pPr>
        <w:pStyle w:val="NormalWeb"/>
        <w:spacing w:line="360" w:lineRule="auto"/>
        <w:ind w:left="567" w:hanging="567"/>
      </w:pPr>
      <w:r>
        <w:t xml:space="preserve">Cavadino, M., &amp; Dignan, J. (2006). </w:t>
      </w:r>
      <w:r>
        <w:rPr>
          <w:rStyle w:val="Emphasis"/>
        </w:rPr>
        <w:t>Penal Systems: A Comparative Approach</w:t>
      </w:r>
      <w:r>
        <w:t>. SAGE Publications.</w:t>
      </w:r>
    </w:p>
    <w:p w:rsidR="00E25109" w:rsidRDefault="00E25109" w:rsidP="00E25109">
      <w:pPr>
        <w:pStyle w:val="NormalWeb"/>
        <w:spacing w:line="360" w:lineRule="auto"/>
        <w:ind w:left="567" w:hanging="567"/>
      </w:pPr>
      <w:r>
        <w:lastRenderedPageBreak/>
        <w:t xml:space="preserve">Fisher, C., &amp; Balfanz, B. (2020). Trauma-informed practices in juvenile legal systems. </w:t>
      </w:r>
      <w:r>
        <w:rPr>
          <w:rStyle w:val="Emphasis"/>
        </w:rPr>
        <w:t>Child Welfare Review</w:t>
      </w:r>
      <w:r>
        <w:t>, 98(2), 45–62.</w:t>
      </w:r>
    </w:p>
    <w:p w:rsidR="00E25109" w:rsidRDefault="00E25109" w:rsidP="00E25109">
      <w:pPr>
        <w:pStyle w:val="NormalWeb"/>
        <w:spacing w:line="360" w:lineRule="auto"/>
        <w:ind w:left="567" w:hanging="567"/>
      </w:pPr>
      <w:r>
        <w:t xml:space="preserve">Holt, S., Buckley, H., &amp; Whelan, S. (2008). The impact of exposure to domestic violence on children. </w:t>
      </w:r>
      <w:r>
        <w:rPr>
          <w:rStyle w:val="Emphasis"/>
        </w:rPr>
        <w:t>Child Abuse &amp; Neglect</w:t>
      </w:r>
      <w:r>
        <w:t>, 32(8), 797–810.</w:t>
      </w:r>
    </w:p>
    <w:p w:rsidR="00E25109" w:rsidRDefault="00E25109" w:rsidP="00E25109">
      <w:pPr>
        <w:pStyle w:val="NormalWeb"/>
        <w:spacing w:line="360" w:lineRule="auto"/>
        <w:ind w:left="567" w:hanging="567"/>
      </w:pPr>
      <w:r>
        <w:t xml:space="preserve">Kim, S. (2017). Juvenile justice reform in South Korea: Between rehabilitation and punishment. </w:t>
      </w:r>
      <w:r>
        <w:rPr>
          <w:rStyle w:val="Emphasis"/>
        </w:rPr>
        <w:t>Asian Journal of Criminology</w:t>
      </w:r>
      <w:r>
        <w:t>, 12(2), 155–173.</w:t>
      </w:r>
    </w:p>
    <w:p w:rsidR="00E25109" w:rsidRDefault="00E25109" w:rsidP="00E25109">
      <w:pPr>
        <w:pStyle w:val="NormalWeb"/>
        <w:spacing w:line="360" w:lineRule="auto"/>
        <w:ind w:left="567" w:hanging="567"/>
      </w:pPr>
      <w:r>
        <w:t xml:space="preserve">Klein, J., &amp; van der Laan, P. (2019). Juvenile justice in the Netherlands: Reforms, innovations, and challenges. </w:t>
      </w:r>
      <w:r>
        <w:rPr>
          <w:rStyle w:val="Emphasis"/>
        </w:rPr>
        <w:t>European Journal of Criminology</w:t>
      </w:r>
      <w:r>
        <w:t>, 16(1), 32–50.</w:t>
      </w:r>
    </w:p>
    <w:p w:rsidR="00E25109" w:rsidRDefault="00E25109" w:rsidP="00E25109">
      <w:pPr>
        <w:pStyle w:val="NormalWeb"/>
        <w:spacing w:line="360" w:lineRule="auto"/>
        <w:ind w:left="567" w:hanging="567"/>
      </w:pPr>
      <w:r>
        <w:t xml:space="preserve">Mendel, R. (2015). </w:t>
      </w:r>
      <w:r>
        <w:rPr>
          <w:rStyle w:val="Emphasis"/>
        </w:rPr>
        <w:t>No place for kids: The case for reducing juvenile incarceration</w:t>
      </w:r>
      <w:r>
        <w:t>. Annie E. Casey Foundation.</w:t>
      </w:r>
    </w:p>
    <w:p w:rsidR="00E25109" w:rsidRDefault="00E25109" w:rsidP="00E25109">
      <w:pPr>
        <w:pStyle w:val="NormalWeb"/>
        <w:spacing w:line="360" w:lineRule="auto"/>
        <w:ind w:left="567" w:hanging="567"/>
      </w:pPr>
      <w:r>
        <w:t xml:space="preserve">Parker, R. (2021). Trauma-informed courts: Principles and practices in modern juvenile justice. </w:t>
      </w:r>
      <w:r>
        <w:rPr>
          <w:rStyle w:val="Emphasis"/>
        </w:rPr>
        <w:t>Youth Justice Review</w:t>
      </w:r>
      <w:r>
        <w:t>, 14(1), 77–93.</w:t>
      </w:r>
    </w:p>
    <w:p w:rsidR="00E25109" w:rsidRDefault="00E25109" w:rsidP="00E25109">
      <w:pPr>
        <w:pStyle w:val="NormalWeb"/>
        <w:spacing w:line="360" w:lineRule="auto"/>
        <w:ind w:left="567" w:hanging="567"/>
      </w:pPr>
      <w:r>
        <w:t xml:space="preserve">Smith, P., &amp; Wilson, R. J. (2017). </w:t>
      </w:r>
      <w:r>
        <w:rPr>
          <w:rStyle w:val="Emphasis"/>
        </w:rPr>
        <w:t>Understanding child development in legal settings</w:t>
      </w:r>
      <w:r>
        <w:t>. Routledge.</w:t>
      </w:r>
    </w:p>
    <w:p w:rsidR="00E25109" w:rsidRDefault="00E25109" w:rsidP="00E25109">
      <w:pPr>
        <w:pStyle w:val="NormalWeb"/>
        <w:spacing w:line="360" w:lineRule="auto"/>
        <w:ind w:left="567" w:hanging="567"/>
      </w:pPr>
      <w:r>
        <w:t xml:space="preserve">Widodo, J. (2020). Penerapan keadilan restoratif dalam Sistem Peradilan Pidana Anak di Indonesia. </w:t>
      </w:r>
      <w:r>
        <w:rPr>
          <w:rStyle w:val="Emphasis"/>
        </w:rPr>
        <w:t>Jurnal Hukum dan Peradilan</w:t>
      </w:r>
      <w:r>
        <w:t>, 9(1), 1–21.</w:t>
      </w:r>
    </w:p>
    <w:p w:rsidR="00E25109" w:rsidRDefault="00E25109" w:rsidP="00E25109">
      <w:pPr>
        <w:pStyle w:val="NormalWeb"/>
        <w:spacing w:line="360" w:lineRule="auto"/>
        <w:ind w:left="567" w:hanging="567"/>
      </w:pPr>
      <w:r>
        <w:rPr>
          <w:rStyle w:val="Strong"/>
        </w:rPr>
        <w:t>B.</w:t>
      </w:r>
      <w:r>
        <w:rPr>
          <w:rStyle w:val="Strong"/>
        </w:rPr>
        <w:tab/>
      </w:r>
      <w:r>
        <w:rPr>
          <w:rStyle w:val="Strong"/>
        </w:rPr>
        <w:t>Peraturan Perundang-Undangan</w:t>
      </w:r>
    </w:p>
    <w:p w:rsidR="00E25109" w:rsidRDefault="00E25109" w:rsidP="00E25109">
      <w:pPr>
        <w:pStyle w:val="NormalWeb"/>
        <w:spacing w:line="360" w:lineRule="auto"/>
        <w:ind w:left="567" w:hanging="567"/>
      </w:pPr>
      <w:r>
        <w:t xml:space="preserve">Indonesia. (2012). </w:t>
      </w:r>
      <w:r>
        <w:rPr>
          <w:rStyle w:val="Emphasis"/>
        </w:rPr>
        <w:t>Undang-Undang Nomor 11 Tahun 2012 tentang Sistem Peradilan Pidana Anak (SPPA)</w:t>
      </w:r>
      <w:r>
        <w:t>. Lembaran Negara Republik Indonesia Tahun 2012 Nomor 153.</w:t>
      </w:r>
    </w:p>
    <w:p w:rsidR="00E25109" w:rsidRDefault="00E25109" w:rsidP="00E25109">
      <w:pPr>
        <w:pStyle w:val="NormalWeb"/>
        <w:spacing w:line="360" w:lineRule="auto"/>
        <w:ind w:left="567" w:hanging="567"/>
      </w:pPr>
      <w:r>
        <w:t xml:space="preserve">Indonesia. (2022). </w:t>
      </w:r>
      <w:r>
        <w:rPr>
          <w:rStyle w:val="Emphasis"/>
        </w:rPr>
        <w:t>Peraturan Pemerintah Nomor 43 Tahun 2017 tentang Pelaksanaan Diversi</w:t>
      </w:r>
      <w:r>
        <w:t>.</w:t>
      </w:r>
    </w:p>
    <w:p w:rsidR="00E25109" w:rsidRDefault="00E25109" w:rsidP="00E25109">
      <w:pPr>
        <w:pStyle w:val="NormalWeb"/>
        <w:spacing w:line="360" w:lineRule="auto"/>
        <w:ind w:left="567" w:hanging="567"/>
      </w:pPr>
      <w:r>
        <w:rPr>
          <w:rStyle w:val="Strong"/>
        </w:rPr>
        <w:lastRenderedPageBreak/>
        <w:t xml:space="preserve">C. </w:t>
      </w:r>
      <w:r>
        <w:rPr>
          <w:rStyle w:val="Strong"/>
        </w:rPr>
        <w:tab/>
      </w:r>
      <w:r>
        <w:rPr>
          <w:rStyle w:val="Strong"/>
        </w:rPr>
        <w:t>Laporan dan Dokumen Resmi</w:t>
      </w:r>
    </w:p>
    <w:p w:rsidR="00E25109" w:rsidRDefault="00E25109" w:rsidP="00E25109">
      <w:pPr>
        <w:pStyle w:val="NormalWeb"/>
        <w:spacing w:line="360" w:lineRule="auto"/>
        <w:ind w:left="567" w:hanging="567"/>
        <w:jc w:val="both"/>
      </w:pPr>
      <w:r>
        <w:t xml:space="preserve">Australian Institute of Criminology. (2019). </w:t>
      </w:r>
      <w:r>
        <w:rPr>
          <w:rStyle w:val="Emphasis"/>
        </w:rPr>
        <w:t>Juvenile justice in Australia: 2018–2019 report</w:t>
      </w:r>
      <w:r>
        <w:t>. Canberra: AIC.</w:t>
      </w:r>
    </w:p>
    <w:p w:rsidR="00E25109" w:rsidRDefault="00E25109" w:rsidP="00E25109">
      <w:pPr>
        <w:pStyle w:val="NormalWeb"/>
        <w:spacing w:line="360" w:lineRule="auto"/>
        <w:ind w:left="567" w:hanging="567"/>
        <w:jc w:val="both"/>
      </w:pPr>
      <w:r>
        <w:t xml:space="preserve">Child Welfare Information Gateway. (2017). </w:t>
      </w:r>
      <w:r>
        <w:rPr>
          <w:rStyle w:val="Emphasis"/>
        </w:rPr>
        <w:t>Trauma-informed practice with children and families</w:t>
      </w:r>
      <w:r>
        <w:t>. U.S. Department of Health &amp; Human Services.</w:t>
      </w:r>
    </w:p>
    <w:p w:rsidR="00E25109" w:rsidRDefault="00E25109" w:rsidP="00E25109">
      <w:pPr>
        <w:pStyle w:val="NormalWeb"/>
        <w:spacing w:line="360" w:lineRule="auto"/>
        <w:ind w:left="567" w:hanging="567"/>
        <w:jc w:val="both"/>
      </w:pPr>
      <w:r>
        <w:t xml:space="preserve">Council of Europe. (2016). </w:t>
      </w:r>
      <w:r>
        <w:rPr>
          <w:rStyle w:val="Emphasis"/>
        </w:rPr>
        <w:t>Guidelines on child-friendly justice</w:t>
      </w:r>
      <w:r>
        <w:t>. Strasbourg: Council of Europe Publishing.</w:t>
      </w:r>
    </w:p>
    <w:p w:rsidR="00E25109" w:rsidRDefault="00E25109" w:rsidP="00E25109">
      <w:pPr>
        <w:pStyle w:val="NormalWeb"/>
        <w:spacing w:line="360" w:lineRule="auto"/>
        <w:ind w:left="567" w:hanging="567"/>
        <w:jc w:val="both"/>
      </w:pPr>
      <w:r>
        <w:t xml:space="preserve">United Nations Office on Drugs and Crime. (2009). </w:t>
      </w:r>
      <w:r>
        <w:rPr>
          <w:rStyle w:val="Emphasis"/>
        </w:rPr>
        <w:t>Justice in Matters involving Child Victims and Witnesses of Crime</w:t>
      </w:r>
      <w:r>
        <w:t>. UNODC.</w:t>
      </w:r>
    </w:p>
    <w:p w:rsidR="00E25109" w:rsidRDefault="00E25109" w:rsidP="00E25109">
      <w:pPr>
        <w:pStyle w:val="NormalWeb"/>
        <w:spacing w:line="360" w:lineRule="auto"/>
        <w:ind w:left="567" w:hanging="567"/>
        <w:jc w:val="both"/>
      </w:pPr>
      <w:r>
        <w:t xml:space="preserve">UNICEF. (2021). </w:t>
      </w:r>
      <w:r>
        <w:rPr>
          <w:rStyle w:val="Emphasis"/>
        </w:rPr>
        <w:t>Reforming juvenile justice systems: Global perspectives and practices</w:t>
      </w:r>
      <w:r>
        <w:t>. New York: UNICEF.</w:t>
      </w:r>
    </w:p>
    <w:p w:rsidR="00E25109" w:rsidRDefault="00E25109" w:rsidP="00E25109">
      <w:pPr>
        <w:pStyle w:val="NormalWeb"/>
        <w:spacing w:line="360" w:lineRule="auto"/>
        <w:ind w:left="567" w:hanging="567"/>
      </w:pPr>
      <w:r>
        <w:rPr>
          <w:rStyle w:val="Strong"/>
        </w:rPr>
        <w:t xml:space="preserve">D. </w:t>
      </w:r>
      <w:r>
        <w:rPr>
          <w:rStyle w:val="Strong"/>
        </w:rPr>
        <w:tab/>
      </w:r>
      <w:r>
        <w:rPr>
          <w:rStyle w:val="Strong"/>
        </w:rPr>
        <w:t>Sumber Relevan Tambahan (Komparatif Internasional)</w:t>
      </w:r>
    </w:p>
    <w:p w:rsidR="00E25109" w:rsidRDefault="00E25109" w:rsidP="00E25109">
      <w:pPr>
        <w:pStyle w:val="NormalWeb"/>
        <w:spacing w:line="360" w:lineRule="auto"/>
        <w:ind w:left="567" w:hanging="567"/>
        <w:jc w:val="both"/>
      </w:pPr>
      <w:r>
        <w:t xml:space="preserve">Bala, N., &amp; Shoemaker, D. (2018). Youth criminal justice in Canada and Australia: A comparative analysis. </w:t>
      </w:r>
      <w:r>
        <w:rPr>
          <w:rStyle w:val="Emphasis"/>
        </w:rPr>
        <w:t>International Journal of Comparative Criminology</w:t>
      </w:r>
      <w:r>
        <w:t>, 22(3), 201–219.</w:t>
      </w:r>
    </w:p>
    <w:p w:rsidR="00E25109" w:rsidRDefault="00E25109" w:rsidP="00E25109">
      <w:pPr>
        <w:pStyle w:val="NormalWeb"/>
        <w:spacing w:line="360" w:lineRule="auto"/>
        <w:ind w:left="567" w:hanging="567"/>
        <w:jc w:val="both"/>
      </w:pPr>
      <w:r>
        <w:t xml:space="preserve">Dunkel, F. (2014). Juvenile justice systems in Europe: From welfare to rights-based approaches. </w:t>
      </w:r>
      <w:r>
        <w:rPr>
          <w:rStyle w:val="Emphasis"/>
        </w:rPr>
        <w:t>European Journal of Criminology</w:t>
      </w:r>
      <w:r>
        <w:t>, 11(3), 421–435.</w:t>
      </w:r>
    </w:p>
    <w:p w:rsidR="00E25109" w:rsidRDefault="00E25109" w:rsidP="00E25109">
      <w:pPr>
        <w:pStyle w:val="NormalWeb"/>
        <w:spacing w:line="360" w:lineRule="auto"/>
        <w:ind w:left="567" w:hanging="567"/>
        <w:jc w:val="both"/>
      </w:pPr>
      <w:r>
        <w:t xml:space="preserve">Lee, K. (2019). The role of education and rehabilitation in South Korea’s juvenile reformatory schools. </w:t>
      </w:r>
      <w:r>
        <w:rPr>
          <w:rStyle w:val="Emphasis"/>
        </w:rPr>
        <w:t>Asian Education Studies</w:t>
      </w:r>
      <w:r>
        <w:t>, 7(2), 14–25.</w:t>
      </w:r>
    </w:p>
    <w:p w:rsidR="00E25109" w:rsidRDefault="00E25109" w:rsidP="00E25109">
      <w:pPr>
        <w:pStyle w:val="NormalWeb"/>
        <w:spacing w:line="360" w:lineRule="auto"/>
        <w:ind w:left="567" w:hanging="567"/>
        <w:jc w:val="both"/>
      </w:pPr>
      <w:r>
        <w:t xml:space="preserve">Mulder, E., &amp; Vermeiren, R. (2010). Forensic youth care in the Netherlands: Developments and challenges. </w:t>
      </w:r>
      <w:r>
        <w:rPr>
          <w:rStyle w:val="Emphasis"/>
        </w:rPr>
        <w:t>Child and Adolescent Psychiatry and Mental Health</w:t>
      </w:r>
      <w:r>
        <w:t>, 4(1), 35–47.</w:t>
      </w:r>
      <w:bookmarkStart w:id="2" w:name="_GoBack"/>
      <w:bookmarkEnd w:id="2"/>
    </w:p>
    <w:sectPr w:rsidR="00E25109" w:rsidSect="00FE1025">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8F2" w:rsidRDefault="002F58F2" w:rsidP="00FE1025">
      <w:pPr>
        <w:spacing w:after="0" w:line="240" w:lineRule="auto"/>
      </w:pPr>
      <w:r>
        <w:separator/>
      </w:r>
    </w:p>
  </w:endnote>
  <w:endnote w:type="continuationSeparator" w:id="0">
    <w:p w:rsidR="002F58F2" w:rsidRDefault="002F58F2" w:rsidP="00FE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8F2" w:rsidRDefault="002F58F2" w:rsidP="00FE1025">
      <w:pPr>
        <w:spacing w:after="0" w:line="240" w:lineRule="auto"/>
      </w:pPr>
      <w:r>
        <w:separator/>
      </w:r>
    </w:p>
  </w:footnote>
  <w:footnote w:type="continuationSeparator" w:id="0">
    <w:p w:rsidR="002F58F2" w:rsidRDefault="002F58F2" w:rsidP="00FE1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156984"/>
      <w:docPartObj>
        <w:docPartGallery w:val="Page Numbers (Top of Page)"/>
        <w:docPartUnique/>
      </w:docPartObj>
    </w:sdtPr>
    <w:sdtEndPr>
      <w:rPr>
        <w:noProof/>
      </w:rPr>
    </w:sdtEndPr>
    <w:sdtContent>
      <w:p w:rsidR="00FE1025" w:rsidRDefault="00FE1025">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rsidR="00FE1025" w:rsidRDefault="00FE1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772"/>
    <w:multiLevelType w:val="multilevel"/>
    <w:tmpl w:val="17208F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8401E26"/>
    <w:multiLevelType w:val="multilevel"/>
    <w:tmpl w:val="9ED2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44820"/>
    <w:multiLevelType w:val="multilevel"/>
    <w:tmpl w:val="74E624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FD32BC0"/>
    <w:multiLevelType w:val="multilevel"/>
    <w:tmpl w:val="645CA6A6"/>
    <w:lvl w:ilvl="0">
      <w:start w:val="1"/>
      <w:numFmt w:val="decimal"/>
      <w:lvlText w:val="%1."/>
      <w:lvlJc w:val="left"/>
      <w:pPr>
        <w:tabs>
          <w:tab w:val="num" w:pos="567"/>
        </w:tabs>
        <w:ind w:left="567" w:hanging="360"/>
      </w:pPr>
    </w:lvl>
    <w:lvl w:ilvl="1" w:tentative="1">
      <w:start w:val="1"/>
      <w:numFmt w:val="decimal"/>
      <w:lvlText w:val="%2."/>
      <w:lvlJc w:val="left"/>
      <w:pPr>
        <w:tabs>
          <w:tab w:val="num" w:pos="1287"/>
        </w:tabs>
        <w:ind w:left="1287" w:hanging="360"/>
      </w:pPr>
    </w:lvl>
    <w:lvl w:ilvl="2" w:tentative="1">
      <w:start w:val="1"/>
      <w:numFmt w:val="decimal"/>
      <w:lvlText w:val="%3."/>
      <w:lvlJc w:val="left"/>
      <w:pPr>
        <w:tabs>
          <w:tab w:val="num" w:pos="2007"/>
        </w:tabs>
        <w:ind w:left="2007" w:hanging="360"/>
      </w:pPr>
    </w:lvl>
    <w:lvl w:ilvl="3" w:tentative="1">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4">
    <w:nsid w:val="30A60CA2"/>
    <w:multiLevelType w:val="multilevel"/>
    <w:tmpl w:val="8CC855B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5402D13"/>
    <w:multiLevelType w:val="multilevel"/>
    <w:tmpl w:val="DDD8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800D59"/>
    <w:multiLevelType w:val="multilevel"/>
    <w:tmpl w:val="9DD8FC4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72"/>
    <w:rsid w:val="000D4877"/>
    <w:rsid w:val="002F58F2"/>
    <w:rsid w:val="00455F75"/>
    <w:rsid w:val="006A01DF"/>
    <w:rsid w:val="00927A0C"/>
    <w:rsid w:val="0093767A"/>
    <w:rsid w:val="00993CE1"/>
    <w:rsid w:val="00A90372"/>
    <w:rsid w:val="00B02851"/>
    <w:rsid w:val="00D5072A"/>
    <w:rsid w:val="00E25109"/>
    <w:rsid w:val="00F85ED8"/>
    <w:rsid w:val="00FE10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037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A9037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37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A90372"/>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A90372"/>
    <w:rPr>
      <w:b/>
      <w:bCs/>
    </w:rPr>
  </w:style>
  <w:style w:type="paragraph" w:styleId="NormalWeb">
    <w:name w:val="Normal (Web)"/>
    <w:basedOn w:val="Normal"/>
    <w:uiPriority w:val="99"/>
    <w:semiHidden/>
    <w:unhideWhenUsed/>
    <w:rsid w:val="00A9037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90372"/>
    <w:rPr>
      <w:i/>
      <w:iCs/>
    </w:rPr>
  </w:style>
  <w:style w:type="paragraph" w:styleId="BodyText">
    <w:name w:val="Body Text"/>
    <w:basedOn w:val="Normal"/>
    <w:link w:val="BodyTextChar"/>
    <w:uiPriority w:val="99"/>
    <w:unhideWhenUsed/>
    <w:qFormat/>
    <w:rsid w:val="00A90372"/>
    <w:pPr>
      <w:spacing w:after="120" w:line="360" w:lineRule="auto"/>
      <w:jc w:val="both"/>
    </w:pPr>
    <w:rPr>
      <w:rFonts w:ascii="Times New Roman" w:hAnsi="Times New Roman"/>
      <w:sz w:val="24"/>
      <w:lang w:val="en-GB"/>
    </w:rPr>
  </w:style>
  <w:style w:type="character" w:customStyle="1" w:styleId="BodyTextChar">
    <w:name w:val="Body Text Char"/>
    <w:basedOn w:val="DefaultParagraphFont"/>
    <w:link w:val="BodyText"/>
    <w:uiPriority w:val="99"/>
    <w:rsid w:val="00A90372"/>
    <w:rPr>
      <w:rFonts w:ascii="Times New Roman" w:hAnsi="Times New Roman"/>
      <w:sz w:val="24"/>
      <w:lang w:val="en-GB"/>
    </w:rPr>
  </w:style>
  <w:style w:type="paragraph" w:styleId="BalloonText">
    <w:name w:val="Balloon Text"/>
    <w:basedOn w:val="Normal"/>
    <w:link w:val="BalloonTextChar"/>
    <w:uiPriority w:val="99"/>
    <w:semiHidden/>
    <w:unhideWhenUsed/>
    <w:rsid w:val="00A9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2"/>
    <w:rPr>
      <w:rFonts w:ascii="Tahoma" w:hAnsi="Tahoma" w:cs="Tahoma"/>
      <w:sz w:val="16"/>
      <w:szCs w:val="16"/>
    </w:rPr>
  </w:style>
  <w:style w:type="character" w:customStyle="1" w:styleId="Heading1Char">
    <w:name w:val="Heading 1 Char"/>
    <w:basedOn w:val="DefaultParagraphFont"/>
    <w:link w:val="Heading1"/>
    <w:uiPriority w:val="9"/>
    <w:rsid w:val="00E2510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E1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25"/>
  </w:style>
  <w:style w:type="paragraph" w:styleId="Footer">
    <w:name w:val="footer"/>
    <w:basedOn w:val="Normal"/>
    <w:link w:val="FooterChar"/>
    <w:uiPriority w:val="99"/>
    <w:unhideWhenUsed/>
    <w:rsid w:val="00FE1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037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A9037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37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A90372"/>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A90372"/>
    <w:rPr>
      <w:b/>
      <w:bCs/>
    </w:rPr>
  </w:style>
  <w:style w:type="paragraph" w:styleId="NormalWeb">
    <w:name w:val="Normal (Web)"/>
    <w:basedOn w:val="Normal"/>
    <w:uiPriority w:val="99"/>
    <w:semiHidden/>
    <w:unhideWhenUsed/>
    <w:rsid w:val="00A9037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90372"/>
    <w:rPr>
      <w:i/>
      <w:iCs/>
    </w:rPr>
  </w:style>
  <w:style w:type="paragraph" w:styleId="BodyText">
    <w:name w:val="Body Text"/>
    <w:basedOn w:val="Normal"/>
    <w:link w:val="BodyTextChar"/>
    <w:uiPriority w:val="99"/>
    <w:unhideWhenUsed/>
    <w:qFormat/>
    <w:rsid w:val="00A90372"/>
    <w:pPr>
      <w:spacing w:after="120" w:line="360" w:lineRule="auto"/>
      <w:jc w:val="both"/>
    </w:pPr>
    <w:rPr>
      <w:rFonts w:ascii="Times New Roman" w:hAnsi="Times New Roman"/>
      <w:sz w:val="24"/>
      <w:lang w:val="en-GB"/>
    </w:rPr>
  </w:style>
  <w:style w:type="character" w:customStyle="1" w:styleId="BodyTextChar">
    <w:name w:val="Body Text Char"/>
    <w:basedOn w:val="DefaultParagraphFont"/>
    <w:link w:val="BodyText"/>
    <w:uiPriority w:val="99"/>
    <w:rsid w:val="00A90372"/>
    <w:rPr>
      <w:rFonts w:ascii="Times New Roman" w:hAnsi="Times New Roman"/>
      <w:sz w:val="24"/>
      <w:lang w:val="en-GB"/>
    </w:rPr>
  </w:style>
  <w:style w:type="paragraph" w:styleId="BalloonText">
    <w:name w:val="Balloon Text"/>
    <w:basedOn w:val="Normal"/>
    <w:link w:val="BalloonTextChar"/>
    <w:uiPriority w:val="99"/>
    <w:semiHidden/>
    <w:unhideWhenUsed/>
    <w:rsid w:val="00A9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2"/>
    <w:rPr>
      <w:rFonts w:ascii="Tahoma" w:hAnsi="Tahoma" w:cs="Tahoma"/>
      <w:sz w:val="16"/>
      <w:szCs w:val="16"/>
    </w:rPr>
  </w:style>
  <w:style w:type="character" w:customStyle="1" w:styleId="Heading1Char">
    <w:name w:val="Heading 1 Char"/>
    <w:basedOn w:val="DefaultParagraphFont"/>
    <w:link w:val="Heading1"/>
    <w:uiPriority w:val="9"/>
    <w:rsid w:val="00E2510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E1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25"/>
  </w:style>
  <w:style w:type="paragraph" w:styleId="Footer">
    <w:name w:val="footer"/>
    <w:basedOn w:val="Normal"/>
    <w:link w:val="FooterChar"/>
    <w:uiPriority w:val="99"/>
    <w:unhideWhenUsed/>
    <w:rsid w:val="00FE1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1279">
      <w:bodyDiv w:val="1"/>
      <w:marLeft w:val="0"/>
      <w:marRight w:val="0"/>
      <w:marTop w:val="0"/>
      <w:marBottom w:val="0"/>
      <w:divBdr>
        <w:top w:val="none" w:sz="0" w:space="0" w:color="auto"/>
        <w:left w:val="none" w:sz="0" w:space="0" w:color="auto"/>
        <w:bottom w:val="none" w:sz="0" w:space="0" w:color="auto"/>
        <w:right w:val="none" w:sz="0" w:space="0" w:color="auto"/>
      </w:divBdr>
    </w:div>
    <w:div w:id="373313166">
      <w:bodyDiv w:val="1"/>
      <w:marLeft w:val="0"/>
      <w:marRight w:val="0"/>
      <w:marTop w:val="0"/>
      <w:marBottom w:val="0"/>
      <w:divBdr>
        <w:top w:val="none" w:sz="0" w:space="0" w:color="auto"/>
        <w:left w:val="none" w:sz="0" w:space="0" w:color="auto"/>
        <w:bottom w:val="none" w:sz="0" w:space="0" w:color="auto"/>
        <w:right w:val="none" w:sz="0" w:space="0" w:color="auto"/>
      </w:divBdr>
    </w:div>
    <w:div w:id="386414331">
      <w:bodyDiv w:val="1"/>
      <w:marLeft w:val="0"/>
      <w:marRight w:val="0"/>
      <w:marTop w:val="0"/>
      <w:marBottom w:val="0"/>
      <w:divBdr>
        <w:top w:val="none" w:sz="0" w:space="0" w:color="auto"/>
        <w:left w:val="none" w:sz="0" w:space="0" w:color="auto"/>
        <w:bottom w:val="none" w:sz="0" w:space="0" w:color="auto"/>
        <w:right w:val="none" w:sz="0" w:space="0" w:color="auto"/>
      </w:divBdr>
    </w:div>
    <w:div w:id="867642643">
      <w:bodyDiv w:val="1"/>
      <w:marLeft w:val="0"/>
      <w:marRight w:val="0"/>
      <w:marTop w:val="0"/>
      <w:marBottom w:val="0"/>
      <w:divBdr>
        <w:top w:val="none" w:sz="0" w:space="0" w:color="auto"/>
        <w:left w:val="none" w:sz="0" w:space="0" w:color="auto"/>
        <w:bottom w:val="none" w:sz="0" w:space="0" w:color="auto"/>
        <w:right w:val="none" w:sz="0" w:space="0" w:color="auto"/>
      </w:divBdr>
    </w:div>
    <w:div w:id="1597976632">
      <w:bodyDiv w:val="1"/>
      <w:marLeft w:val="0"/>
      <w:marRight w:val="0"/>
      <w:marTop w:val="0"/>
      <w:marBottom w:val="0"/>
      <w:divBdr>
        <w:top w:val="none" w:sz="0" w:space="0" w:color="auto"/>
        <w:left w:val="none" w:sz="0" w:space="0" w:color="auto"/>
        <w:bottom w:val="none" w:sz="0" w:space="0" w:color="auto"/>
        <w:right w:val="none" w:sz="0" w:space="0" w:color="auto"/>
      </w:divBdr>
      <w:divsChild>
        <w:div w:id="888414767">
          <w:marLeft w:val="0"/>
          <w:marRight w:val="0"/>
          <w:marTop w:val="0"/>
          <w:marBottom w:val="0"/>
          <w:divBdr>
            <w:top w:val="none" w:sz="0" w:space="0" w:color="auto"/>
            <w:left w:val="none" w:sz="0" w:space="0" w:color="auto"/>
            <w:bottom w:val="none" w:sz="0" w:space="0" w:color="auto"/>
            <w:right w:val="none" w:sz="0" w:space="0" w:color="auto"/>
          </w:divBdr>
          <w:divsChild>
            <w:div w:id="5128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2025-11-19T08:10:00Z</dcterms:created>
  <dcterms:modified xsi:type="dcterms:W3CDTF">2025-11-19T08:36:00Z</dcterms:modified>
</cp:coreProperties>
</file>