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81C" w:rsidRDefault="005F781C" w:rsidP="00F67E0F">
      <w:pPr>
        <w:ind w:left="360" w:hanging="360"/>
        <w:jc w:val="center"/>
        <w:rPr>
          <w:rFonts w:ascii="Times New Roman" w:hAnsi="Times New Roman" w:cs="Times New Roman"/>
          <w:b/>
          <w:bCs/>
          <w:sz w:val="28"/>
          <w:szCs w:val="28"/>
          <w:lang w:val="id-ID"/>
        </w:rPr>
      </w:pPr>
      <w:bookmarkStart w:id="0" w:name="_Hlk207105762"/>
    </w:p>
    <w:p w:rsidR="005F781C" w:rsidRDefault="005F781C" w:rsidP="00F67E0F">
      <w:pPr>
        <w:ind w:left="360" w:hanging="360"/>
        <w:jc w:val="center"/>
        <w:rPr>
          <w:rFonts w:ascii="Times New Roman" w:hAnsi="Times New Roman" w:cs="Times New Roman"/>
          <w:b/>
          <w:bCs/>
          <w:sz w:val="28"/>
          <w:szCs w:val="28"/>
          <w:lang w:val="id-ID"/>
        </w:rPr>
      </w:pPr>
    </w:p>
    <w:p w:rsidR="006B60C6" w:rsidRDefault="006B60C6" w:rsidP="00F67E0F">
      <w:pPr>
        <w:ind w:left="360" w:hanging="360"/>
        <w:jc w:val="center"/>
        <w:rPr>
          <w:rFonts w:ascii="Times New Roman" w:hAnsi="Times New Roman" w:cs="Times New Roman"/>
          <w:b/>
          <w:bCs/>
          <w:sz w:val="28"/>
          <w:szCs w:val="28"/>
          <w:lang w:val="id-ID"/>
        </w:rPr>
      </w:pPr>
    </w:p>
    <w:p w:rsidR="006B60C6" w:rsidRDefault="006B60C6" w:rsidP="00F67E0F">
      <w:pPr>
        <w:ind w:left="360" w:hanging="360"/>
        <w:jc w:val="center"/>
        <w:rPr>
          <w:rFonts w:ascii="Times New Roman" w:hAnsi="Times New Roman" w:cs="Times New Roman"/>
          <w:b/>
          <w:bCs/>
          <w:sz w:val="28"/>
          <w:szCs w:val="28"/>
          <w:lang w:val="id-ID"/>
        </w:rPr>
      </w:pPr>
    </w:p>
    <w:p w:rsidR="006B60C6" w:rsidRDefault="006B60C6" w:rsidP="00F67E0F">
      <w:pPr>
        <w:ind w:left="360" w:hanging="360"/>
        <w:jc w:val="center"/>
        <w:rPr>
          <w:rFonts w:ascii="Times New Roman" w:hAnsi="Times New Roman" w:cs="Times New Roman"/>
          <w:b/>
          <w:bCs/>
          <w:sz w:val="28"/>
          <w:szCs w:val="28"/>
          <w:lang w:val="id-ID"/>
        </w:rPr>
      </w:pPr>
    </w:p>
    <w:p w:rsidR="00F67E0F" w:rsidRDefault="00F67E0F" w:rsidP="00F67E0F">
      <w:pPr>
        <w:ind w:left="360" w:hanging="360"/>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JURNAL ILMIAH</w:t>
      </w:r>
    </w:p>
    <w:p w:rsidR="00F67E0F" w:rsidRDefault="00F67E0F" w:rsidP="00F67E0F">
      <w:pPr>
        <w:ind w:left="360" w:hanging="360"/>
        <w:jc w:val="center"/>
        <w:rPr>
          <w:rFonts w:ascii="Times New Roman" w:hAnsi="Times New Roman" w:cs="Times New Roman"/>
          <w:b/>
          <w:bCs/>
          <w:sz w:val="28"/>
          <w:szCs w:val="28"/>
          <w:lang w:val="id-ID"/>
        </w:rPr>
      </w:pPr>
      <w:r>
        <w:rPr>
          <w:rFonts w:ascii="Times New Roman" w:hAnsi="Times New Roman" w:cs="Times New Roman"/>
          <w:b/>
          <w:bCs/>
          <w:sz w:val="28"/>
          <w:szCs w:val="28"/>
        </w:rPr>
        <w:t>ANALISIS DISHARMONI ANTARA ASAS KEBERLANJUTAN LINGKUNGAN HIDUP DAN UNDANG-UNDANG CIPTA KERJA DALAM PROSES PERIZINAN DAN INVESTASI DALAM PERSPEKTIF PERATURAN PERUNDANG-UNDANGAN</w:t>
      </w:r>
    </w:p>
    <w:p w:rsidR="00F912EC" w:rsidRPr="00F912EC" w:rsidRDefault="00F912EC" w:rsidP="00F67E0F">
      <w:pPr>
        <w:ind w:left="360" w:hanging="360"/>
        <w:jc w:val="center"/>
        <w:rPr>
          <w:rFonts w:ascii="Times New Roman" w:hAnsi="Times New Roman" w:cs="Times New Roman"/>
          <w:b/>
          <w:bCs/>
          <w:sz w:val="28"/>
          <w:szCs w:val="28"/>
          <w:lang w:val="id-ID"/>
        </w:rPr>
      </w:pPr>
    </w:p>
    <w:bookmarkEnd w:id="0"/>
    <w:p w:rsidR="00F67E0F" w:rsidRDefault="00F67E0F" w:rsidP="00F67E0F">
      <w:pPr>
        <w:ind w:left="360" w:hanging="360"/>
        <w:jc w:val="center"/>
        <w:rPr>
          <w:rFonts w:ascii="Times New Roman" w:hAnsi="Times New Roman" w:cs="Times New Roman"/>
          <w:i/>
          <w:iCs/>
          <w:sz w:val="24"/>
          <w:szCs w:val="24"/>
        </w:rPr>
      </w:pPr>
      <w:r>
        <w:rPr>
          <w:rFonts w:ascii="Times New Roman" w:hAnsi="Times New Roman" w:cs="Times New Roman"/>
          <w:i/>
          <w:iCs/>
          <w:sz w:val="24"/>
          <w:szCs w:val="24"/>
          <w:lang w:val="en-US"/>
        </w:rPr>
        <w:t xml:space="preserve">ANALYSIS </w:t>
      </w:r>
      <w:r>
        <w:rPr>
          <w:rFonts w:ascii="Times New Roman" w:hAnsi="Times New Roman" w:cs="Times New Roman"/>
          <w:i/>
          <w:iCs/>
          <w:sz w:val="24"/>
          <w:szCs w:val="24"/>
        </w:rPr>
        <w:t>DISHARMONY BETWEEN THE PRINCIPLE OF ENVIRONMENTAL SUSTAINABILITY AND THE JOB CREATION LAW IN THE LICENSING AND INVESTMENT PROCESS FROM THE PERSPECTIVE OF LEGISLATION</w:t>
      </w:r>
    </w:p>
    <w:p w:rsidR="00F67E0F" w:rsidRDefault="00F67E0F" w:rsidP="00F67E0F">
      <w:pPr>
        <w:ind w:left="360" w:hanging="360"/>
        <w:jc w:val="center"/>
        <w:rPr>
          <w:rFonts w:ascii="Times New Roman" w:hAnsi="Times New Roman" w:cs="Times New Roman"/>
          <w:b/>
          <w:bCs/>
          <w:i/>
          <w:iCs/>
          <w:sz w:val="32"/>
          <w:szCs w:val="32"/>
        </w:rPr>
      </w:pPr>
    </w:p>
    <w:p w:rsidR="00F67E0F" w:rsidRDefault="00F67E0F" w:rsidP="00F67E0F"/>
    <w:p w:rsidR="00F67E0F" w:rsidRPr="0060552F" w:rsidRDefault="00F67E0F" w:rsidP="00E60F2B">
      <w:pPr>
        <w:jc w:val="center"/>
        <w:rPr>
          <w:rFonts w:ascii="Times New Roman" w:hAnsi="Times New Roman" w:cs="Times New Roman"/>
          <w:b/>
          <w:bCs/>
          <w:sz w:val="24"/>
          <w:szCs w:val="24"/>
        </w:rPr>
      </w:pPr>
      <w:r w:rsidRPr="0060552F">
        <w:rPr>
          <w:rFonts w:ascii="Times New Roman" w:hAnsi="Times New Roman" w:cs="Times New Roman"/>
          <w:b/>
          <w:bCs/>
          <w:sz w:val="24"/>
          <w:szCs w:val="24"/>
          <w:lang w:val="id-ID"/>
        </w:rPr>
        <w:t>Disusun o</w:t>
      </w:r>
      <w:r w:rsidRPr="0060552F">
        <w:rPr>
          <w:rFonts w:ascii="Times New Roman" w:hAnsi="Times New Roman" w:cs="Times New Roman"/>
          <w:b/>
          <w:bCs/>
          <w:sz w:val="24"/>
          <w:szCs w:val="24"/>
        </w:rPr>
        <w:t>leh:</w:t>
      </w:r>
    </w:p>
    <w:p w:rsidR="00F67E0F" w:rsidRPr="00E60F2B" w:rsidRDefault="00E60F2B" w:rsidP="00E60F2B">
      <w:pPr>
        <w:jc w:val="center"/>
        <w:rPr>
          <w:rFonts w:ascii="Times New Roman" w:hAnsi="Times New Roman" w:cs="Times New Roman"/>
          <w:b/>
          <w:bCs/>
          <w:sz w:val="24"/>
          <w:szCs w:val="24"/>
          <w:lang w:val="id-ID"/>
        </w:rPr>
      </w:pPr>
      <w:r w:rsidRPr="00E60F2B">
        <w:rPr>
          <w:rFonts w:ascii="Times New Roman" w:hAnsi="Times New Roman" w:cs="Times New Roman"/>
          <w:b/>
          <w:sz w:val="24"/>
        </w:rPr>
        <w:t>Asri Yashintha</w:t>
      </w:r>
    </w:p>
    <w:p w:rsidR="00F67E0F" w:rsidRDefault="00F67E0F" w:rsidP="00E60F2B">
      <w:pPr>
        <w:jc w:val="center"/>
        <w:rPr>
          <w:rFonts w:ascii="Times New Roman" w:hAnsi="Times New Roman" w:cs="Times New Roman"/>
          <w:b/>
          <w:bCs/>
          <w:sz w:val="24"/>
          <w:szCs w:val="24"/>
        </w:rPr>
      </w:pPr>
      <w:r>
        <w:rPr>
          <w:rFonts w:ascii="Times New Roman" w:hAnsi="Times New Roman" w:cs="Times New Roman"/>
          <w:b/>
          <w:bCs/>
          <w:sz w:val="24"/>
          <w:szCs w:val="24"/>
        </w:rPr>
        <w:t>238040053</w:t>
      </w:r>
    </w:p>
    <w:p w:rsidR="00F67E0F" w:rsidRDefault="00F67E0F" w:rsidP="00E60F2B">
      <w:pPr>
        <w:jc w:val="center"/>
      </w:pPr>
    </w:p>
    <w:p w:rsidR="00F67E0F" w:rsidRDefault="00F67E0F" w:rsidP="00F67E0F">
      <w:pPr>
        <w:jc w:val="center"/>
      </w:pPr>
    </w:p>
    <w:p w:rsidR="00F67E0F" w:rsidRDefault="00F67E0F" w:rsidP="00F67E0F">
      <w:pPr>
        <w:jc w:val="center"/>
      </w:pPr>
    </w:p>
    <w:p w:rsidR="00F67E0F" w:rsidRDefault="00F67E0F" w:rsidP="00F67E0F">
      <w:pPr>
        <w:jc w:val="center"/>
      </w:pPr>
      <w:r>
        <w:rPr>
          <w:noProof/>
          <w:lang w:val="id-ID" w:eastAsia="id-ID"/>
        </w:rPr>
        <w:drawing>
          <wp:inline distT="0" distB="0" distL="0" distR="0" wp14:anchorId="17648F0D" wp14:editId="07D0AE8F">
            <wp:extent cx="1345565" cy="1371600"/>
            <wp:effectExtent l="0" t="0" r="6985" b="0"/>
            <wp:docPr id="1" name="Picture 1" descr="Universitas Pasundan - Wikipedia bahasa Indones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as Pasundan - Wikipedia bahasa Indonesi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57385" cy="1383182"/>
                    </a:xfrm>
                    <a:prstGeom prst="rect">
                      <a:avLst/>
                    </a:prstGeom>
                    <a:noFill/>
                    <a:ln>
                      <a:noFill/>
                    </a:ln>
                  </pic:spPr>
                </pic:pic>
              </a:graphicData>
            </a:graphic>
          </wp:inline>
        </w:drawing>
      </w:r>
    </w:p>
    <w:p w:rsidR="00F67E0F" w:rsidRDefault="00F67E0F" w:rsidP="00F67E0F">
      <w:pPr>
        <w:jc w:val="center"/>
      </w:pPr>
    </w:p>
    <w:p w:rsidR="00F67E0F" w:rsidRDefault="00F67E0F" w:rsidP="00F67E0F">
      <w:pPr>
        <w:jc w:val="center"/>
      </w:pPr>
    </w:p>
    <w:p w:rsidR="00F67E0F" w:rsidRDefault="00F67E0F" w:rsidP="00F67E0F">
      <w:pPr>
        <w:jc w:val="center"/>
      </w:pPr>
    </w:p>
    <w:p w:rsidR="00F67E0F" w:rsidRDefault="00F67E0F" w:rsidP="00F67E0F">
      <w:pPr>
        <w:jc w:val="center"/>
        <w:rPr>
          <w:rFonts w:ascii="Times New Roman" w:hAnsi="Times New Roman" w:cs="Times New Roman"/>
          <w:b/>
          <w:bCs/>
          <w:sz w:val="24"/>
          <w:szCs w:val="24"/>
        </w:rPr>
      </w:pPr>
      <w:r>
        <w:rPr>
          <w:rFonts w:ascii="Times New Roman" w:hAnsi="Times New Roman" w:cs="Times New Roman"/>
          <w:b/>
          <w:bCs/>
          <w:sz w:val="24"/>
          <w:szCs w:val="24"/>
        </w:rPr>
        <w:t>PROGRAM STUDI MAGISTER ILMU HUKUM</w:t>
      </w:r>
    </w:p>
    <w:p w:rsidR="00F67E0F" w:rsidRDefault="00F67E0F" w:rsidP="00F67E0F">
      <w:pPr>
        <w:jc w:val="center"/>
        <w:rPr>
          <w:rFonts w:ascii="Times New Roman" w:hAnsi="Times New Roman" w:cs="Times New Roman"/>
          <w:b/>
          <w:bCs/>
          <w:sz w:val="24"/>
          <w:szCs w:val="24"/>
        </w:rPr>
      </w:pPr>
      <w:r>
        <w:rPr>
          <w:rFonts w:ascii="Times New Roman" w:hAnsi="Times New Roman" w:cs="Times New Roman"/>
          <w:b/>
          <w:bCs/>
          <w:sz w:val="24"/>
          <w:szCs w:val="24"/>
        </w:rPr>
        <w:t>PASCASARJANA</w:t>
      </w:r>
    </w:p>
    <w:p w:rsidR="00F67E0F" w:rsidRDefault="00F67E0F" w:rsidP="00F67E0F">
      <w:pPr>
        <w:jc w:val="center"/>
        <w:rPr>
          <w:rFonts w:ascii="Times New Roman" w:hAnsi="Times New Roman" w:cs="Times New Roman"/>
          <w:b/>
          <w:bCs/>
          <w:sz w:val="24"/>
          <w:szCs w:val="24"/>
        </w:rPr>
      </w:pPr>
      <w:r>
        <w:rPr>
          <w:rFonts w:ascii="Times New Roman" w:hAnsi="Times New Roman" w:cs="Times New Roman"/>
          <w:b/>
          <w:bCs/>
          <w:sz w:val="24"/>
          <w:szCs w:val="24"/>
        </w:rPr>
        <w:t>UNIVERSITAS PASUNDAN BANDUNG</w:t>
      </w:r>
    </w:p>
    <w:p w:rsidR="00F67E0F" w:rsidRDefault="00F67E0F" w:rsidP="00F67E0F">
      <w:pPr>
        <w:jc w:val="center"/>
        <w:rPr>
          <w:rFonts w:ascii="Times New Roman" w:hAnsi="Times New Roman" w:cs="Times New Roman"/>
          <w:b/>
          <w:bCs/>
          <w:sz w:val="24"/>
          <w:szCs w:val="24"/>
          <w:lang w:val="id-ID"/>
        </w:rPr>
      </w:pPr>
      <w:r>
        <w:rPr>
          <w:rFonts w:ascii="Times New Roman" w:hAnsi="Times New Roman" w:cs="Times New Roman"/>
          <w:b/>
          <w:bCs/>
          <w:sz w:val="24"/>
          <w:szCs w:val="24"/>
        </w:rPr>
        <w:t>TAHUN 2025</w:t>
      </w:r>
    </w:p>
    <w:p w:rsidR="006B60C6" w:rsidRDefault="006B60C6" w:rsidP="00F67E0F">
      <w:pPr>
        <w:jc w:val="center"/>
        <w:rPr>
          <w:rFonts w:ascii="Times New Roman" w:hAnsi="Times New Roman" w:cs="Times New Roman"/>
          <w:b/>
          <w:bCs/>
          <w:sz w:val="24"/>
          <w:szCs w:val="24"/>
          <w:lang w:val="id-ID"/>
        </w:rPr>
      </w:pPr>
    </w:p>
    <w:p w:rsidR="006B60C6" w:rsidRDefault="006B60C6" w:rsidP="00F67E0F">
      <w:pPr>
        <w:jc w:val="center"/>
        <w:rPr>
          <w:rFonts w:ascii="Times New Roman" w:hAnsi="Times New Roman" w:cs="Times New Roman"/>
          <w:b/>
          <w:bCs/>
          <w:sz w:val="24"/>
          <w:szCs w:val="24"/>
          <w:lang w:val="id-ID"/>
        </w:rPr>
      </w:pPr>
    </w:p>
    <w:p w:rsidR="006B60C6" w:rsidRDefault="006B60C6" w:rsidP="00F67E0F">
      <w:pPr>
        <w:jc w:val="center"/>
        <w:rPr>
          <w:rFonts w:ascii="Times New Roman" w:hAnsi="Times New Roman" w:cs="Times New Roman"/>
          <w:b/>
          <w:bCs/>
          <w:sz w:val="24"/>
          <w:szCs w:val="24"/>
          <w:lang w:val="id-ID"/>
        </w:rPr>
      </w:pPr>
    </w:p>
    <w:p w:rsidR="006B60C6" w:rsidRDefault="006B60C6" w:rsidP="00F67E0F">
      <w:pPr>
        <w:jc w:val="center"/>
        <w:rPr>
          <w:rFonts w:ascii="Times New Roman" w:hAnsi="Times New Roman" w:cs="Times New Roman"/>
          <w:b/>
          <w:bCs/>
          <w:sz w:val="24"/>
          <w:szCs w:val="24"/>
          <w:lang w:val="id-ID"/>
        </w:rPr>
      </w:pPr>
    </w:p>
    <w:p w:rsidR="006B60C6" w:rsidRDefault="006B60C6" w:rsidP="00F67E0F">
      <w:pPr>
        <w:jc w:val="center"/>
        <w:rPr>
          <w:rFonts w:ascii="Times New Roman" w:hAnsi="Times New Roman" w:cs="Times New Roman"/>
          <w:b/>
          <w:bCs/>
          <w:sz w:val="24"/>
          <w:szCs w:val="24"/>
          <w:lang w:val="id-ID"/>
        </w:rPr>
      </w:pPr>
    </w:p>
    <w:p w:rsidR="006B60C6" w:rsidRDefault="006B60C6" w:rsidP="00F67E0F">
      <w:pPr>
        <w:jc w:val="center"/>
        <w:rPr>
          <w:rFonts w:ascii="Times New Roman" w:hAnsi="Times New Roman" w:cs="Times New Roman"/>
          <w:b/>
          <w:bCs/>
          <w:sz w:val="24"/>
          <w:szCs w:val="24"/>
          <w:lang w:val="id-ID"/>
        </w:rPr>
      </w:pPr>
    </w:p>
    <w:p w:rsidR="006B60C6" w:rsidRDefault="006B60C6" w:rsidP="00F67E0F">
      <w:pPr>
        <w:jc w:val="center"/>
        <w:rPr>
          <w:rFonts w:ascii="Times New Roman" w:hAnsi="Times New Roman" w:cs="Times New Roman"/>
          <w:b/>
          <w:bCs/>
          <w:sz w:val="24"/>
          <w:szCs w:val="24"/>
          <w:lang w:val="id-ID"/>
        </w:rPr>
      </w:pPr>
    </w:p>
    <w:p w:rsidR="00BC6514" w:rsidRPr="00BC6514" w:rsidRDefault="00BC6514" w:rsidP="00A636DA">
      <w:pPr>
        <w:spacing w:before="100" w:beforeAutospacing="1" w:after="100" w:afterAutospacing="1"/>
        <w:jc w:val="center"/>
        <w:outlineLvl w:val="1"/>
        <w:rPr>
          <w:rFonts w:ascii="Times New Roman" w:eastAsia="Times New Roman" w:hAnsi="Times New Roman" w:cs="Times New Roman"/>
          <w:b/>
          <w:bCs/>
          <w:sz w:val="24"/>
          <w:szCs w:val="24"/>
          <w:lang w:val="id-ID" w:eastAsia="id-ID"/>
        </w:rPr>
      </w:pPr>
      <w:r w:rsidRPr="00BC6514">
        <w:rPr>
          <w:rFonts w:ascii="Times New Roman" w:eastAsia="Times New Roman" w:hAnsi="Times New Roman" w:cs="Times New Roman"/>
          <w:b/>
          <w:bCs/>
          <w:sz w:val="24"/>
          <w:szCs w:val="24"/>
          <w:lang w:val="id-ID" w:eastAsia="id-ID"/>
        </w:rPr>
        <w:t>ABSTRAK</w:t>
      </w:r>
    </w:p>
    <w:p w:rsidR="00BC6514" w:rsidRPr="00A636DA" w:rsidRDefault="00BC6514" w:rsidP="00A636DA">
      <w:pPr>
        <w:spacing w:before="100" w:beforeAutospacing="1" w:after="100" w:afterAutospacing="1"/>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 xml:space="preserve">Undang-Undang Cipta Kerja membawa perubahan mendasar dalam rezim perizinan dan tata kelola investasi di Indonesia, termasuk perubahan konsep </w:t>
      </w:r>
      <w:r w:rsidRPr="00A636DA">
        <w:rPr>
          <w:rFonts w:ascii="Times New Roman" w:eastAsia="Times New Roman" w:hAnsi="Times New Roman" w:cs="Times New Roman"/>
          <w:i/>
          <w:iCs/>
          <w:sz w:val="24"/>
          <w:szCs w:val="24"/>
          <w:lang w:val="id-ID" w:eastAsia="id-ID"/>
        </w:rPr>
        <w:t>izin lingkungan</w:t>
      </w:r>
      <w:r w:rsidRPr="00BC6514">
        <w:rPr>
          <w:rFonts w:ascii="Times New Roman" w:eastAsia="Times New Roman" w:hAnsi="Times New Roman" w:cs="Times New Roman"/>
          <w:sz w:val="24"/>
          <w:szCs w:val="24"/>
          <w:lang w:val="id-ID" w:eastAsia="id-ID"/>
        </w:rPr>
        <w:t xml:space="preserve"> menjadi </w:t>
      </w:r>
      <w:r w:rsidRPr="00A636DA">
        <w:rPr>
          <w:rFonts w:ascii="Times New Roman" w:eastAsia="Times New Roman" w:hAnsi="Times New Roman" w:cs="Times New Roman"/>
          <w:i/>
          <w:iCs/>
          <w:sz w:val="24"/>
          <w:szCs w:val="24"/>
          <w:lang w:val="id-ID" w:eastAsia="id-ID"/>
        </w:rPr>
        <w:t>persetujuan lingkungan</w:t>
      </w:r>
      <w:r w:rsidRPr="00BC6514">
        <w:rPr>
          <w:rFonts w:ascii="Times New Roman" w:eastAsia="Times New Roman" w:hAnsi="Times New Roman" w:cs="Times New Roman"/>
          <w:sz w:val="24"/>
          <w:szCs w:val="24"/>
          <w:lang w:val="id-ID" w:eastAsia="id-ID"/>
        </w:rPr>
        <w:t>, penyederhanaan mekanisme AMDAL, dan pergeseran kewenangan dari daerah ke pusat. Perubahan ini menimbulkan potensi disharmoni normatif dan implementatif dengan asas keberlanjutan lingkungan hidup yang diamanatkan oleh UUD 1945. Penelitian menggunakan metode yuridis normatif</w:t>
      </w:r>
      <w:r w:rsidR="00E21712">
        <w:rPr>
          <w:rFonts w:ascii="Times New Roman" w:eastAsia="Times New Roman" w:hAnsi="Times New Roman" w:cs="Times New Roman"/>
          <w:sz w:val="24"/>
          <w:szCs w:val="24"/>
          <w:lang w:val="id-ID" w:eastAsia="id-ID"/>
        </w:rPr>
        <w:t xml:space="preserve"> </w:t>
      </w:r>
      <w:r w:rsidRPr="00BC6514">
        <w:rPr>
          <w:rFonts w:ascii="Times New Roman" w:eastAsia="Times New Roman" w:hAnsi="Times New Roman" w:cs="Times New Roman"/>
          <w:sz w:val="24"/>
          <w:szCs w:val="24"/>
          <w:lang w:val="id-ID" w:eastAsia="id-ID"/>
        </w:rPr>
        <w:t>pendekatan perundang-undangan dan konseptual</w:t>
      </w:r>
      <w:r w:rsidR="00E21712">
        <w:rPr>
          <w:rFonts w:ascii="Times New Roman" w:eastAsia="Times New Roman" w:hAnsi="Times New Roman" w:cs="Times New Roman"/>
          <w:sz w:val="24"/>
          <w:szCs w:val="24"/>
          <w:lang w:val="id-ID" w:eastAsia="id-ID"/>
        </w:rPr>
        <w:t xml:space="preserve"> </w:t>
      </w:r>
      <w:r w:rsidRPr="00BC6514">
        <w:rPr>
          <w:rFonts w:ascii="Times New Roman" w:eastAsia="Times New Roman" w:hAnsi="Times New Roman" w:cs="Times New Roman"/>
          <w:sz w:val="24"/>
          <w:szCs w:val="24"/>
          <w:lang w:val="id-ID" w:eastAsia="id-ID"/>
        </w:rPr>
        <w:t xml:space="preserve">mengombinasikan analisis dokumen hukum dengan verifikasi data primer (wawancara dan observasi). Hasil menunjukkan adanya pelemahan instrumen proteksi lingkungan (normatif dan prosedural), reduksi ruang partisipasi publik, serta risiko pengabaian isu lingkungan lokal karena sentralisasi kewenangan. Artikel merekomendasikan harmonisasi regulasi, penguatan mekanisme partisipasi bermakna, model co-governance pusat-daerah, dan penguatan sanksi administratif serta mekanisme evaluasi berkala terhadap peraturan turunannya. </w:t>
      </w:r>
    </w:p>
    <w:p w:rsidR="00BC6514" w:rsidRPr="00E21712" w:rsidRDefault="00BC6514" w:rsidP="00A636DA">
      <w:pPr>
        <w:spacing w:before="100" w:beforeAutospacing="1" w:after="100" w:afterAutospacing="1"/>
        <w:jc w:val="both"/>
        <w:rPr>
          <w:rFonts w:ascii="Times New Roman" w:eastAsia="Times New Roman" w:hAnsi="Times New Roman" w:cs="Times New Roman"/>
          <w:b/>
          <w:sz w:val="24"/>
          <w:szCs w:val="24"/>
          <w:lang w:val="id-ID" w:eastAsia="id-ID"/>
        </w:rPr>
      </w:pPr>
      <w:r w:rsidRPr="00E21712">
        <w:rPr>
          <w:rFonts w:ascii="Times New Roman" w:eastAsia="Times New Roman" w:hAnsi="Times New Roman" w:cs="Times New Roman"/>
          <w:b/>
          <w:bCs/>
          <w:sz w:val="24"/>
          <w:szCs w:val="24"/>
          <w:lang w:val="id-ID" w:eastAsia="id-ID"/>
        </w:rPr>
        <w:t>Kata kunci:</w:t>
      </w:r>
      <w:r w:rsidRPr="00BC6514">
        <w:rPr>
          <w:rFonts w:ascii="Times New Roman" w:eastAsia="Times New Roman" w:hAnsi="Times New Roman" w:cs="Times New Roman"/>
          <w:b/>
          <w:sz w:val="24"/>
          <w:szCs w:val="24"/>
          <w:lang w:val="id-ID" w:eastAsia="id-ID"/>
        </w:rPr>
        <w:t xml:space="preserve"> Disharmoni hukum, keberlanjutan lingkungan, UU Cipta Kerja, perizinan, AMDAL. </w:t>
      </w: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F912EC" w:rsidRDefault="00F912EC" w:rsidP="00E21712">
      <w:pPr>
        <w:spacing w:before="100" w:beforeAutospacing="1" w:after="100" w:afterAutospacing="1"/>
        <w:jc w:val="center"/>
        <w:outlineLvl w:val="1"/>
        <w:rPr>
          <w:rStyle w:val="Strong"/>
          <w:rFonts w:ascii="Times New Roman" w:hAnsi="Times New Roman" w:cs="Times New Roman"/>
          <w:sz w:val="24"/>
          <w:lang w:val="id-ID"/>
        </w:rPr>
      </w:pPr>
    </w:p>
    <w:p w:rsidR="00E21712" w:rsidRDefault="00E21712" w:rsidP="00E21712">
      <w:pPr>
        <w:spacing w:before="100" w:beforeAutospacing="1" w:after="100" w:afterAutospacing="1"/>
        <w:jc w:val="center"/>
        <w:outlineLvl w:val="1"/>
        <w:rPr>
          <w:rStyle w:val="Strong"/>
          <w:rFonts w:ascii="Times New Roman" w:hAnsi="Times New Roman" w:cs="Times New Roman"/>
          <w:sz w:val="24"/>
          <w:lang w:val="id-ID"/>
        </w:rPr>
      </w:pPr>
      <w:r w:rsidRPr="00E21712">
        <w:rPr>
          <w:rStyle w:val="Strong"/>
          <w:rFonts w:ascii="Times New Roman" w:hAnsi="Times New Roman" w:cs="Times New Roman"/>
          <w:sz w:val="24"/>
        </w:rPr>
        <w:t xml:space="preserve">ABSTRACT </w:t>
      </w:r>
    </w:p>
    <w:p w:rsidR="00E21712" w:rsidRDefault="00E21712" w:rsidP="00E21712">
      <w:pPr>
        <w:spacing w:after="240"/>
        <w:jc w:val="both"/>
        <w:outlineLvl w:val="1"/>
        <w:rPr>
          <w:rFonts w:ascii="Times New Roman" w:hAnsi="Times New Roman" w:cs="Times New Roman"/>
          <w:sz w:val="24"/>
          <w:lang w:val="id-ID"/>
        </w:rPr>
      </w:pPr>
      <w:r w:rsidRPr="00E21712">
        <w:rPr>
          <w:rFonts w:ascii="Times New Roman" w:hAnsi="Times New Roman" w:cs="Times New Roman"/>
          <w:sz w:val="24"/>
        </w:rPr>
        <w:t>The Job Creation Law introduces fundamental changes to Indonesia’s licensing regime and investment governance, including the transformation of environmental permits into environmental approvals, the simplification of the Environmental Impact Assessment (AMDAL) mechanism, and the shift of authority from regional to central government. These changes create potential normative and implementational disharmony with the principle of environmental sustainability mandated by the 1945 Constitution. This study employs a normative juridical method using statutory and conceptual approaches, combining legal document analysis with primary data verification (interviews and observations). The findings indicate a weakening of environmental protection instruments (both normative and procedural), a reduction in public participation spaces, and the risk of neglecting local environmental issues due to centralized authority. This article recommends regulatory harmonization, strengthening meaningful participation mechanisms, developing a central–regional co-governance model, and enhancing administrative sanctions as well as periodic evaluation mechanisms for its implementing regulations.</w:t>
      </w:r>
    </w:p>
    <w:p w:rsidR="00E21712" w:rsidRPr="00E21712" w:rsidRDefault="00E21712" w:rsidP="00E21712">
      <w:pPr>
        <w:spacing w:after="240"/>
        <w:jc w:val="both"/>
        <w:outlineLvl w:val="1"/>
        <w:rPr>
          <w:rFonts w:ascii="Times New Roman" w:hAnsi="Times New Roman" w:cs="Times New Roman"/>
          <w:b/>
          <w:bCs/>
          <w:sz w:val="24"/>
          <w:lang w:val="id-ID"/>
        </w:rPr>
      </w:pPr>
      <w:r w:rsidRPr="00E21712">
        <w:rPr>
          <w:rStyle w:val="Strong"/>
          <w:rFonts w:ascii="Times New Roman" w:hAnsi="Times New Roman" w:cs="Times New Roman"/>
          <w:sz w:val="24"/>
        </w:rPr>
        <w:t>Keywords:</w:t>
      </w:r>
      <w:r w:rsidRPr="00E21712">
        <w:rPr>
          <w:rFonts w:ascii="Times New Roman" w:hAnsi="Times New Roman" w:cs="Times New Roman"/>
          <w:b/>
          <w:sz w:val="24"/>
        </w:rPr>
        <w:t xml:space="preserve"> Legal disharmony, environmental sustainability, Job Creation Law, licensing, AMDAL.</w:t>
      </w: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F912EC" w:rsidRDefault="00F912EC" w:rsidP="00E21712">
      <w:pPr>
        <w:spacing w:before="100" w:beforeAutospacing="1"/>
        <w:jc w:val="center"/>
        <w:rPr>
          <w:rFonts w:ascii="Times New Roman" w:eastAsia="Times New Roman" w:hAnsi="Times New Roman" w:cs="Times New Roman"/>
          <w:b/>
          <w:bCs/>
          <w:sz w:val="24"/>
          <w:szCs w:val="24"/>
          <w:lang w:val="id-ID" w:eastAsia="id-ID"/>
        </w:rPr>
      </w:pPr>
    </w:p>
    <w:p w:rsidR="00E21712" w:rsidRDefault="00E21712" w:rsidP="00E21712">
      <w:pPr>
        <w:spacing w:before="100" w:beforeAutospacing="1"/>
        <w:jc w:val="center"/>
        <w:rPr>
          <w:rFonts w:ascii="Times New Roman" w:eastAsia="Times New Roman" w:hAnsi="Times New Roman" w:cs="Times New Roman"/>
          <w:b/>
          <w:bCs/>
          <w:sz w:val="24"/>
          <w:szCs w:val="24"/>
          <w:lang w:val="id-ID" w:eastAsia="id-ID"/>
        </w:rPr>
      </w:pPr>
      <w:r w:rsidRPr="00E21712">
        <w:rPr>
          <w:rFonts w:ascii="Times New Roman" w:eastAsia="Times New Roman" w:hAnsi="Times New Roman" w:cs="Times New Roman"/>
          <w:b/>
          <w:bCs/>
          <w:sz w:val="24"/>
          <w:szCs w:val="24"/>
          <w:lang w:val="id-ID" w:eastAsia="id-ID"/>
        </w:rPr>
        <w:t>ABSTRAK</w:t>
      </w:r>
    </w:p>
    <w:p w:rsidR="00E21712" w:rsidRDefault="00E21712" w:rsidP="00E21712">
      <w:pPr>
        <w:spacing w:before="100" w:beforeAutospacing="1"/>
        <w:jc w:val="both"/>
        <w:rPr>
          <w:rFonts w:ascii="Times New Roman" w:eastAsia="Times New Roman" w:hAnsi="Times New Roman" w:cs="Times New Roman"/>
          <w:sz w:val="24"/>
          <w:szCs w:val="24"/>
          <w:lang w:val="id-ID" w:eastAsia="id-ID"/>
        </w:rPr>
      </w:pPr>
      <w:r w:rsidRPr="00E21712">
        <w:rPr>
          <w:rFonts w:ascii="Times New Roman" w:eastAsia="Times New Roman" w:hAnsi="Times New Roman" w:cs="Times New Roman"/>
          <w:sz w:val="24"/>
          <w:szCs w:val="24"/>
          <w:lang w:val="id-ID" w:eastAsia="id-ID"/>
        </w:rPr>
        <w:t>Undang-Undang Cipta Kerja mawa parobahan anu dasar dina rézim perizinan jeung tata kelola investasi di Indonesia, kaasup parobahan konsép izin lingkungan jadi persetujuan lingkungan, panyederhanaan mékanisme AMDAL, sarta pergeseran kawenangan ti daerah ka pusat. Parobahan ieu nimbulkeun poténsi disharmoni normatif jeung implementatif jeung asas kamekaran lingkungan hirup anu diamanatkeun ku UUD 1945. Panalungtikan ieu migunakeun métode yuridis normatif kalayan pendekatan perundang-undangan jeung konseptual, ngahijikeun analisis dokumén hukum jeung verifikasi data primér (wawancara jeung observasi). Hasilna nunjukkeun ayana panelemah instrumén panyalindungan lingkungan (normatif jeung prosedural), ngurangan rohangan partisipasi publik, ogé résiko teu kaurusna isu lingkungan lokal lantaran sentralisasi kawenangan. Artikel ieu nyarankeun harmonisasi régulasi, penguatan mékanisme partisipasi anu bermakna, modél co-governance pusat-daerah, sarta penguatan sanksi administratif ogé mék</w:t>
      </w:r>
      <w:r>
        <w:rPr>
          <w:rFonts w:ascii="Times New Roman" w:eastAsia="Times New Roman" w:hAnsi="Times New Roman" w:cs="Times New Roman"/>
          <w:sz w:val="24"/>
          <w:szCs w:val="24"/>
          <w:lang w:val="id-ID" w:eastAsia="id-ID"/>
        </w:rPr>
        <w:t xml:space="preserve">anisme évaluasi berkala kana </w:t>
      </w:r>
      <w:r w:rsidRPr="00E21712">
        <w:rPr>
          <w:rFonts w:ascii="Times New Roman" w:eastAsia="Times New Roman" w:hAnsi="Times New Roman" w:cs="Times New Roman"/>
          <w:sz w:val="24"/>
          <w:szCs w:val="24"/>
          <w:lang w:val="id-ID" w:eastAsia="id-ID"/>
        </w:rPr>
        <w:t>aturan</w:t>
      </w:r>
      <w:r>
        <w:rPr>
          <w:rFonts w:ascii="Times New Roman" w:eastAsia="Times New Roman" w:hAnsi="Times New Roman" w:cs="Times New Roman"/>
          <w:sz w:val="24"/>
          <w:szCs w:val="24"/>
          <w:lang w:val="id-ID" w:eastAsia="id-ID"/>
        </w:rPr>
        <w:t xml:space="preserve"> turunanna.</w:t>
      </w:r>
    </w:p>
    <w:p w:rsidR="00E21712" w:rsidRPr="00E21712" w:rsidRDefault="00E21712" w:rsidP="00E21712">
      <w:pPr>
        <w:spacing w:before="100" w:beforeAutospacing="1"/>
        <w:jc w:val="both"/>
        <w:rPr>
          <w:rFonts w:ascii="Times New Roman" w:eastAsia="Times New Roman" w:hAnsi="Times New Roman" w:cs="Times New Roman"/>
          <w:b/>
          <w:sz w:val="24"/>
          <w:szCs w:val="24"/>
          <w:lang w:val="id-ID" w:eastAsia="id-ID"/>
        </w:rPr>
      </w:pPr>
      <w:r w:rsidRPr="00E21712">
        <w:rPr>
          <w:rFonts w:ascii="Times New Roman" w:eastAsia="Times New Roman" w:hAnsi="Times New Roman" w:cs="Times New Roman"/>
          <w:b/>
          <w:bCs/>
          <w:sz w:val="24"/>
          <w:szCs w:val="24"/>
          <w:lang w:val="id-ID" w:eastAsia="id-ID"/>
        </w:rPr>
        <w:t>Kecap konci:</w:t>
      </w:r>
      <w:r w:rsidRPr="00E21712">
        <w:rPr>
          <w:rFonts w:ascii="Times New Roman" w:eastAsia="Times New Roman" w:hAnsi="Times New Roman" w:cs="Times New Roman"/>
          <w:sz w:val="24"/>
          <w:szCs w:val="24"/>
          <w:lang w:val="id-ID" w:eastAsia="id-ID"/>
        </w:rPr>
        <w:t xml:space="preserve"> </w:t>
      </w:r>
      <w:r w:rsidRPr="00E21712">
        <w:rPr>
          <w:rFonts w:ascii="Times New Roman" w:eastAsia="Times New Roman" w:hAnsi="Times New Roman" w:cs="Times New Roman"/>
          <w:b/>
          <w:sz w:val="24"/>
          <w:szCs w:val="24"/>
          <w:lang w:val="id-ID" w:eastAsia="id-ID"/>
        </w:rPr>
        <w:t>Disharmoni hukum, kamekaran lingkungan, UU Cipta Kerja, perizinan, AMDAL.</w:t>
      </w:r>
    </w:p>
    <w:p w:rsidR="00E21712" w:rsidRDefault="00E21712"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4E13D8" w:rsidRDefault="004E13D8"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p>
    <w:p w:rsidR="00BC6514" w:rsidRPr="00BC6514" w:rsidRDefault="00BC6514"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r w:rsidRPr="00BC6514">
        <w:rPr>
          <w:rFonts w:ascii="Times New Roman" w:eastAsia="Times New Roman" w:hAnsi="Times New Roman" w:cs="Times New Roman"/>
          <w:b/>
          <w:bCs/>
          <w:sz w:val="24"/>
          <w:szCs w:val="36"/>
          <w:lang w:val="id-ID" w:eastAsia="id-ID"/>
        </w:rPr>
        <w:lastRenderedPageBreak/>
        <w:t>PENDAHULUAN</w:t>
      </w:r>
    </w:p>
    <w:p w:rsidR="00FC3515" w:rsidRDefault="00FC3515" w:rsidP="00FC3515">
      <w:pPr>
        <w:pStyle w:val="NormalWeb"/>
        <w:spacing w:line="360" w:lineRule="auto"/>
        <w:ind w:firstLine="567"/>
        <w:jc w:val="both"/>
      </w:pPr>
      <w:r>
        <w:t>Indonesia secara tegas menempatkan hak atas lingkungan hidup yang baik dan sehat sebagai bagian dari hak konstitusional warga negara. Ketentuan ini tertuang dalam Pasal 28H UUD 1945 yang menjamin bahwa setiap orang berhak mendapatkan lingkungan hidup yang layak, aman, dan mendukung kesejahteraan. Selain itu, Pasal 33 UUD 1945 menegaskan bahwa bumi, air, dan kekayaan alam yang terkandung di dalamnya dikuasai oleh negara dan dipergunakan sebesar-besarnya untuk kemakmuran rakyat. Dua landasan konstitusional ini menunjukkan bahwa perlindungan lingkungan dan pengelolaan sumber daya alam bukan hanya urusan teknis administratif, tetapi memiliki dimensi hak asasi dan kewajiban negara dalam mewujudkan pembangunan berkelanjutan.</w:t>
      </w:r>
    </w:p>
    <w:p w:rsidR="00FC3515" w:rsidRDefault="00FC3515" w:rsidP="00FC3515">
      <w:pPr>
        <w:pStyle w:val="NormalWeb"/>
        <w:spacing w:line="360" w:lineRule="auto"/>
        <w:ind w:firstLine="567"/>
        <w:jc w:val="both"/>
      </w:pPr>
      <w:r>
        <w:t>UU No. 32 Tahun 2009 tentang Perlindungan dan Pengelolaan Lingkungan Hidup (UU PPLH) hadir sebagai pedoman utama dalam menjaga keberlanjutan ekologi melalui penerapan asas kehati-hatian, tanggung jawab negara, partisipasi masyarakat, serta good environmental governance. Instrumen-instrumen seperti AMDAL, UKL-UPL, dan izin lingkungan dibangun sebagai sistem pengendalian dampak untuk mencegah kerusakan lingkungan sebelum terjadi. Namun, kerangka regulasi ini mengalami perubahan signifikan setelah disahkannya Undang-Undang Nomor 11 Tahun 2020 tentang Cipta Kerja (UU Cipta Kerja), yang kemudian diperkuat dengan Peraturan Pemerintah (PP) turunan seperti PP 22/2021.</w:t>
      </w:r>
    </w:p>
    <w:p w:rsidR="00FC3515" w:rsidRDefault="00FC3515" w:rsidP="00FC3515">
      <w:pPr>
        <w:pStyle w:val="NormalWeb"/>
        <w:spacing w:line="360" w:lineRule="auto"/>
        <w:ind w:firstLine="567"/>
        <w:jc w:val="both"/>
      </w:pPr>
      <w:r>
        <w:t>Perombakan melalui UU Cipta Kerja bertujuan untuk menyederhanakan birokrasi, meningkatkan kemudahan berusaha, dan mempercepat investasi. Dalam konteks pengelolaan lingkungan, terdapat tiga perubahan besar yang berdampak langsung pada tata kelola perizinan, yaitu:</w:t>
      </w:r>
    </w:p>
    <w:p w:rsidR="00FC3515" w:rsidRDefault="00FC3515" w:rsidP="00FC3515">
      <w:pPr>
        <w:pStyle w:val="NormalWeb"/>
        <w:numPr>
          <w:ilvl w:val="0"/>
          <w:numId w:val="24"/>
        </w:numPr>
        <w:tabs>
          <w:tab w:val="clear" w:pos="0"/>
        </w:tabs>
        <w:spacing w:line="360" w:lineRule="auto"/>
        <w:ind w:left="567" w:hanging="567"/>
        <w:jc w:val="both"/>
      </w:pPr>
      <w:r w:rsidRPr="00FC3515">
        <w:rPr>
          <w:rStyle w:val="Strong"/>
          <w:b w:val="0"/>
        </w:rPr>
        <w:t>Perubahan terminologi dan konsep dari izin lingkungan menjadi persetujuan lingkungan</w:t>
      </w:r>
      <w:r>
        <w:t>, yang memindahkan titik fokus dari mekanisme perlindungan lingkungan ke mekanisme administrasi dalam proses perizinan berusaha.</w:t>
      </w:r>
    </w:p>
    <w:p w:rsidR="00FC3515" w:rsidRDefault="00FC3515" w:rsidP="00FC3515">
      <w:pPr>
        <w:pStyle w:val="NormalWeb"/>
        <w:numPr>
          <w:ilvl w:val="0"/>
          <w:numId w:val="24"/>
        </w:numPr>
        <w:tabs>
          <w:tab w:val="clear" w:pos="0"/>
        </w:tabs>
        <w:spacing w:line="360" w:lineRule="auto"/>
        <w:ind w:left="567" w:hanging="567"/>
        <w:jc w:val="both"/>
      </w:pPr>
      <w:r w:rsidRPr="00FC3515">
        <w:rPr>
          <w:rStyle w:val="Strong"/>
          <w:b w:val="0"/>
        </w:rPr>
        <w:t>Penyederhanaan instrumen pengendalian dampak lingkungan</w:t>
      </w:r>
      <w:r>
        <w:t xml:space="preserve"> seperti AMDAL, UKL-UPL, dan SPPL yang kini disesuaikan dengan kategori risiko usaha.</w:t>
      </w:r>
    </w:p>
    <w:p w:rsidR="00FC3515" w:rsidRDefault="00FC3515" w:rsidP="00FC3515">
      <w:pPr>
        <w:pStyle w:val="NormalWeb"/>
        <w:numPr>
          <w:ilvl w:val="0"/>
          <w:numId w:val="24"/>
        </w:numPr>
        <w:tabs>
          <w:tab w:val="clear" w:pos="0"/>
        </w:tabs>
        <w:spacing w:line="360" w:lineRule="auto"/>
        <w:ind w:left="567" w:hanging="567"/>
        <w:jc w:val="both"/>
      </w:pPr>
      <w:r w:rsidRPr="00FC3515">
        <w:rPr>
          <w:rStyle w:val="Strong"/>
          <w:b w:val="0"/>
        </w:rPr>
        <w:t>Sentralisasi kewenangan perizinan dari daerah ke pusat</w:t>
      </w:r>
      <w:r w:rsidRPr="00FC3515">
        <w:t>,</w:t>
      </w:r>
      <w:r>
        <w:t xml:space="preserve"> yang berdampak pada pengurangan ruang diskresi pemerintah daerah dalam mengendalikan dampak lingkungan sesuai karakteristik ekologis dan sosial lokal.</w:t>
      </w:r>
    </w:p>
    <w:p w:rsidR="00FC3515" w:rsidRDefault="00FC3515" w:rsidP="00FC3515">
      <w:pPr>
        <w:pStyle w:val="NormalWeb"/>
        <w:spacing w:line="360" w:lineRule="auto"/>
        <w:ind w:firstLine="567"/>
        <w:jc w:val="both"/>
      </w:pPr>
      <w:r>
        <w:lastRenderedPageBreak/>
        <w:t>Perubahan-perubahan tersebut menimbulkan kekhawatiran mengenai potensi disharmoni antara tujuan percepatan investasi jangka pendek dengan prinsip keberlanjutan lingkungan jangka panjang. Pada satu sisi, penyederhanaan prosedur dianggap dapat meningkatkan efisiensi birokrasi; namun pada saat yang sama dikhawatirkan melemahkan instrumen pengawasan dan perlindungan lingkungan, terutama pada wilayah yang memiliki kerentanan ekologis tinggi.</w:t>
      </w:r>
    </w:p>
    <w:p w:rsidR="00FC3515" w:rsidRDefault="00FC3515" w:rsidP="00FC3515">
      <w:pPr>
        <w:pStyle w:val="NormalWeb"/>
        <w:spacing w:line="360" w:lineRule="auto"/>
        <w:ind w:firstLine="567"/>
        <w:jc w:val="both"/>
      </w:pPr>
      <w:r>
        <w:t>Latar belakang penelitian ini diperkuat oleh temuan awal dari kajian dokumen hukum, analisis regulasi, serta hasil observasi lapangan dan wawancara. Indikasi awal menunjukkan adanya ketegangan antara orientasi pembangunan ekonomi dengan komitmen konstitusional terhadap perlindungan lingkungan hidup. Selain itu, perubahan struktur kewenangan yang semakin tersentralisasi berpotensi menimbulkan pengabaian terhadap informasi lokal yang bersifat ekologis maupun sosial, yang pada praktiknya sangat penting dalam proses perencanaan pembangunan.</w:t>
      </w:r>
    </w:p>
    <w:p w:rsidR="00FC3515" w:rsidRDefault="00FC3515" w:rsidP="00FC3515">
      <w:pPr>
        <w:pStyle w:val="NormalWeb"/>
        <w:spacing w:line="360" w:lineRule="auto"/>
        <w:ind w:firstLine="567"/>
        <w:jc w:val="both"/>
      </w:pPr>
      <w:r>
        <w:t xml:space="preserve">Berdasarkan konteks tersebut, penelitian ini diarahkan untuk menjawab permasalahan pokok berikut: </w:t>
      </w:r>
      <w:r w:rsidRPr="00FC3515">
        <w:rPr>
          <w:rStyle w:val="Strong"/>
          <w:b w:val="0"/>
        </w:rPr>
        <w:t>sejauh mana UU Cipta Kerja menciptakan disharmoni terhadap asas keberlanjutan lingkungan, dan bagaimana implikasinya terhadap mekanisme AMDAL, partisipasi publik, serta pengelolaan lingkungan hidup di tingkat lokal?</w:t>
      </w:r>
      <w:r>
        <w:t xml:space="preserve"> Pertanyaan ini penting mengingat bahwa keberlanjutan lingkungan tidak hanya bergantung pada ada tidaknya regulasi, tetapi juga pada konsistensi, harmonisasi, dan efektivitas implementasinya di lapangan.</w:t>
      </w:r>
    </w:p>
    <w:p w:rsidR="00BC6514" w:rsidRPr="00BC6514" w:rsidRDefault="00BC6514"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r w:rsidRPr="00BC6514">
        <w:rPr>
          <w:rFonts w:ascii="Times New Roman" w:eastAsia="Times New Roman" w:hAnsi="Times New Roman" w:cs="Times New Roman"/>
          <w:b/>
          <w:bCs/>
          <w:sz w:val="24"/>
          <w:szCs w:val="36"/>
          <w:lang w:val="id-ID" w:eastAsia="id-ID"/>
        </w:rPr>
        <w:t xml:space="preserve">TINJAUAN PUSTAKA </w:t>
      </w:r>
    </w:p>
    <w:p w:rsidR="00BC6514" w:rsidRPr="00BC6514" w:rsidRDefault="00BC6514" w:rsidP="00E21712">
      <w:pPr>
        <w:spacing w:before="100" w:beforeAutospacing="1" w:line="360" w:lineRule="auto"/>
        <w:ind w:left="567" w:hanging="567"/>
        <w:jc w:val="both"/>
        <w:outlineLvl w:val="2"/>
        <w:rPr>
          <w:rFonts w:ascii="Times New Roman" w:eastAsia="Times New Roman" w:hAnsi="Times New Roman" w:cs="Times New Roman"/>
          <w:b/>
          <w:bCs/>
          <w:sz w:val="24"/>
          <w:szCs w:val="24"/>
          <w:lang w:val="id-ID" w:eastAsia="id-ID"/>
        </w:rPr>
      </w:pPr>
      <w:r w:rsidRPr="00BC6514">
        <w:rPr>
          <w:rFonts w:ascii="Times New Roman" w:eastAsia="Times New Roman" w:hAnsi="Times New Roman" w:cs="Times New Roman"/>
          <w:b/>
          <w:bCs/>
          <w:sz w:val="24"/>
          <w:szCs w:val="24"/>
          <w:lang w:val="id-ID" w:eastAsia="id-ID"/>
        </w:rPr>
        <w:t>Asas Keberlanjutan dan Prinsip Hukum Lingkungan</w:t>
      </w:r>
    </w:p>
    <w:p w:rsidR="00BC6514" w:rsidRPr="00BC6514" w:rsidRDefault="00BC6514" w:rsidP="00E21712">
      <w:pPr>
        <w:spacing w:after="100" w:afterAutospacing="1" w:line="360" w:lineRule="auto"/>
        <w:ind w:firstLine="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Asas keberlanjutan menuntut keseimbangan antara pembangunan ekonomi, keadilan sosial, dan kelestarian ekologis, termasuk keadilan antargenerasi. Prinsip kehati-hatian (precautionary principle), integritas ekosistem, dan batas ekologis menjadi landasan teori keadilan lingkungan (environmental justice) yang menekankan dimensi distributif, prosedural, dan pengakuan. Literatur dasar yang relevan termasuk Rawls (keadilan antargenerasi), literatur welfare-state dalam konteks ekologis, dan kajian keadilan lingkungan. (Sumber pustaka dari tesis: Rawls, Kranenburg, Satjipto Raharjo, dll.).</w:t>
      </w:r>
    </w:p>
    <w:p w:rsidR="009A5A48" w:rsidRDefault="009A5A48" w:rsidP="005E7642">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p>
    <w:p w:rsidR="00BC6514" w:rsidRPr="00BC6514" w:rsidRDefault="00BC6514" w:rsidP="005E7642">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BC6514">
        <w:rPr>
          <w:rFonts w:ascii="Times New Roman" w:eastAsia="Times New Roman" w:hAnsi="Times New Roman" w:cs="Times New Roman"/>
          <w:b/>
          <w:bCs/>
          <w:sz w:val="24"/>
          <w:szCs w:val="24"/>
          <w:lang w:val="id-ID" w:eastAsia="id-ID"/>
        </w:rPr>
        <w:lastRenderedPageBreak/>
        <w:t>Hukum Perizinan dan Deregulasi</w:t>
      </w:r>
    </w:p>
    <w:p w:rsidR="00BC6514" w:rsidRPr="00BC6514" w:rsidRDefault="00BC6514" w:rsidP="005E7642">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 xml:space="preserve">Teori kepastian hukum, prinsip good governance (transparansi, akuntabilitas), dan teori regulasi menjelaskan fungsi perizinan sebagai kontrol </w:t>
      </w:r>
      <w:r w:rsidRPr="00E21712">
        <w:rPr>
          <w:rFonts w:ascii="Times New Roman" w:eastAsia="Times New Roman" w:hAnsi="Times New Roman" w:cs="Times New Roman"/>
          <w:i/>
          <w:iCs/>
          <w:sz w:val="24"/>
          <w:szCs w:val="24"/>
          <w:lang w:val="id-ID" w:eastAsia="id-ID"/>
        </w:rPr>
        <w:t>ex-ante</w:t>
      </w:r>
      <w:r w:rsidRPr="00BC6514">
        <w:rPr>
          <w:rFonts w:ascii="Times New Roman" w:eastAsia="Times New Roman" w:hAnsi="Times New Roman" w:cs="Times New Roman"/>
          <w:sz w:val="24"/>
          <w:szCs w:val="24"/>
          <w:lang w:val="id-ID" w:eastAsia="id-ID"/>
        </w:rPr>
        <w:t>. Reformasi deregulasi sering mengadopsi prinsip efisiensi dan kemudahan berusaha namun dapat menimbulkan trade-off terhadap perlindungan lingkungan jika instrumen kontrol dilemahkan.</w:t>
      </w:r>
    </w:p>
    <w:p w:rsidR="00BC6514" w:rsidRPr="00BC6514" w:rsidRDefault="00BC6514" w:rsidP="005E7642">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BC6514">
        <w:rPr>
          <w:rFonts w:ascii="Times New Roman" w:eastAsia="Times New Roman" w:hAnsi="Times New Roman" w:cs="Times New Roman"/>
          <w:b/>
          <w:bCs/>
          <w:sz w:val="24"/>
          <w:szCs w:val="24"/>
          <w:lang w:val="id-ID" w:eastAsia="id-ID"/>
        </w:rPr>
        <w:t>Studi Empiris terkait UU Cipta Kerja dan Lingkungan</w:t>
      </w:r>
    </w:p>
    <w:p w:rsidR="00BC6514" w:rsidRPr="00BC6514" w:rsidRDefault="00BC6514" w:rsidP="005E7642">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Beberapa studi dan putusan MK (No. 91/PUU-XIX/2021) menilai aspek konstitusional UU Cipta Kerja; literatur empiris menunjukkan masalah implementasi OSS (Online Single Submission), kurangnya kapasitas daerah, dan hambatan partisipasi publik. Hasil wawancara di tesis memperkuat bukti empiris tersebut.</w:t>
      </w:r>
    </w:p>
    <w:p w:rsidR="00BC6514" w:rsidRPr="00BC6514" w:rsidRDefault="00BC6514" w:rsidP="00CA6A49">
      <w:pPr>
        <w:spacing w:before="100" w:beforeAutospacing="1" w:after="100" w:afterAutospacing="1" w:line="240" w:lineRule="auto"/>
        <w:jc w:val="both"/>
        <w:outlineLvl w:val="1"/>
        <w:rPr>
          <w:rFonts w:ascii="Times New Roman" w:eastAsia="Times New Roman" w:hAnsi="Times New Roman" w:cs="Times New Roman"/>
          <w:b/>
          <w:bCs/>
          <w:sz w:val="24"/>
          <w:szCs w:val="36"/>
          <w:lang w:val="id-ID" w:eastAsia="id-ID"/>
        </w:rPr>
      </w:pPr>
      <w:r w:rsidRPr="00BC6514">
        <w:rPr>
          <w:rFonts w:ascii="Times New Roman" w:eastAsia="Times New Roman" w:hAnsi="Times New Roman" w:cs="Times New Roman"/>
          <w:b/>
          <w:bCs/>
          <w:sz w:val="24"/>
          <w:szCs w:val="36"/>
          <w:lang w:val="id-ID" w:eastAsia="id-ID"/>
        </w:rPr>
        <w:t xml:space="preserve">METODE PENELITIAN </w:t>
      </w:r>
    </w:p>
    <w:p w:rsidR="00BC6514" w:rsidRPr="00BC6514" w:rsidRDefault="00BC6514" w:rsidP="00BC6514">
      <w:pPr>
        <w:spacing w:before="100" w:beforeAutospacing="1" w:after="100" w:afterAutospacing="1" w:line="240" w:lineRule="auto"/>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 xml:space="preserve">Pendekatan: </w:t>
      </w:r>
      <w:r w:rsidRPr="00CA6A49">
        <w:rPr>
          <w:rFonts w:ascii="Times New Roman" w:eastAsia="Times New Roman" w:hAnsi="Times New Roman" w:cs="Times New Roman"/>
          <w:bCs/>
          <w:sz w:val="24"/>
          <w:szCs w:val="24"/>
          <w:lang w:val="id-ID" w:eastAsia="id-ID"/>
        </w:rPr>
        <w:t>yuridis normatif</w:t>
      </w:r>
      <w:r w:rsidRPr="00BC6514">
        <w:rPr>
          <w:rFonts w:ascii="Times New Roman" w:eastAsia="Times New Roman" w:hAnsi="Times New Roman" w:cs="Times New Roman"/>
          <w:sz w:val="24"/>
          <w:szCs w:val="24"/>
          <w:lang w:val="id-ID" w:eastAsia="id-ID"/>
        </w:rPr>
        <w:t xml:space="preserve"> dengan pengayaan data primer.</w:t>
      </w:r>
    </w:p>
    <w:p w:rsidR="00BC6514" w:rsidRPr="00BC6514" w:rsidRDefault="00BC6514" w:rsidP="00CA6A49">
      <w:pPr>
        <w:numPr>
          <w:ilvl w:val="0"/>
          <w:numId w:val="6"/>
        </w:numPr>
        <w:tabs>
          <w:tab w:val="clear" w:pos="720"/>
        </w:tabs>
        <w:spacing w:before="100" w:beforeAutospacing="1" w:after="100" w:afterAutospacing="1" w:line="360" w:lineRule="auto"/>
        <w:ind w:left="1134" w:hanging="567"/>
        <w:jc w:val="both"/>
        <w:rPr>
          <w:rFonts w:ascii="Times New Roman" w:eastAsia="Times New Roman" w:hAnsi="Times New Roman" w:cs="Times New Roman"/>
          <w:sz w:val="24"/>
          <w:szCs w:val="24"/>
          <w:lang w:val="id-ID" w:eastAsia="id-ID"/>
        </w:rPr>
      </w:pPr>
      <w:r w:rsidRPr="00CA6A49">
        <w:rPr>
          <w:rFonts w:ascii="Times New Roman" w:eastAsia="Times New Roman" w:hAnsi="Times New Roman" w:cs="Times New Roman"/>
          <w:bCs/>
          <w:sz w:val="24"/>
          <w:szCs w:val="24"/>
          <w:lang w:val="id-ID" w:eastAsia="id-ID"/>
        </w:rPr>
        <w:t>Bahan hukum primer:</w:t>
      </w:r>
      <w:r w:rsidRPr="00BC6514">
        <w:rPr>
          <w:rFonts w:ascii="Times New Roman" w:eastAsia="Times New Roman" w:hAnsi="Times New Roman" w:cs="Times New Roman"/>
          <w:sz w:val="24"/>
          <w:szCs w:val="24"/>
          <w:lang w:val="id-ID" w:eastAsia="id-ID"/>
        </w:rPr>
        <w:t xml:space="preserve"> UUD 1945, UU No. 32/2009 (UU PPLH), UU Cipta Kerja (Perppu No.2/2022 ditetapkan jadi UU No.6/2023), PP No.22/2021, peraturan pelaksana. </w:t>
      </w:r>
    </w:p>
    <w:p w:rsidR="00BC6514" w:rsidRPr="00BC6514" w:rsidRDefault="00BC6514" w:rsidP="00CA6A49">
      <w:pPr>
        <w:numPr>
          <w:ilvl w:val="0"/>
          <w:numId w:val="6"/>
        </w:numPr>
        <w:tabs>
          <w:tab w:val="clear" w:pos="720"/>
        </w:tabs>
        <w:spacing w:before="100" w:beforeAutospacing="1" w:after="100" w:afterAutospacing="1" w:line="360" w:lineRule="auto"/>
        <w:ind w:left="1134" w:hanging="567"/>
        <w:jc w:val="both"/>
        <w:rPr>
          <w:rFonts w:ascii="Times New Roman" w:eastAsia="Times New Roman" w:hAnsi="Times New Roman" w:cs="Times New Roman"/>
          <w:sz w:val="24"/>
          <w:szCs w:val="24"/>
          <w:lang w:val="id-ID" w:eastAsia="id-ID"/>
        </w:rPr>
      </w:pPr>
      <w:r w:rsidRPr="00CA6A49">
        <w:rPr>
          <w:rFonts w:ascii="Times New Roman" w:eastAsia="Times New Roman" w:hAnsi="Times New Roman" w:cs="Times New Roman"/>
          <w:bCs/>
          <w:sz w:val="24"/>
          <w:szCs w:val="24"/>
          <w:lang w:val="id-ID" w:eastAsia="id-ID"/>
        </w:rPr>
        <w:t>Bahan sekunder:</w:t>
      </w:r>
      <w:r w:rsidRPr="00BC6514">
        <w:rPr>
          <w:rFonts w:ascii="Times New Roman" w:eastAsia="Times New Roman" w:hAnsi="Times New Roman" w:cs="Times New Roman"/>
          <w:sz w:val="24"/>
          <w:szCs w:val="24"/>
          <w:lang w:val="id-ID" w:eastAsia="id-ID"/>
        </w:rPr>
        <w:t xml:space="preserve"> buku, jurnal, artikel kebijakan, analisis putusan MK. </w:t>
      </w:r>
    </w:p>
    <w:p w:rsidR="00BC6514" w:rsidRPr="00BC6514" w:rsidRDefault="00BC6514" w:rsidP="00CA6A49">
      <w:pPr>
        <w:numPr>
          <w:ilvl w:val="0"/>
          <w:numId w:val="6"/>
        </w:numPr>
        <w:tabs>
          <w:tab w:val="clear" w:pos="720"/>
        </w:tabs>
        <w:spacing w:before="100" w:beforeAutospacing="1" w:after="100" w:afterAutospacing="1" w:line="360" w:lineRule="auto"/>
        <w:ind w:left="1134" w:hanging="567"/>
        <w:jc w:val="both"/>
        <w:rPr>
          <w:rFonts w:ascii="Times New Roman" w:eastAsia="Times New Roman" w:hAnsi="Times New Roman" w:cs="Times New Roman"/>
          <w:sz w:val="24"/>
          <w:szCs w:val="24"/>
          <w:lang w:val="id-ID" w:eastAsia="id-ID"/>
        </w:rPr>
      </w:pPr>
      <w:r w:rsidRPr="00CA6A49">
        <w:rPr>
          <w:rFonts w:ascii="Times New Roman" w:eastAsia="Times New Roman" w:hAnsi="Times New Roman" w:cs="Times New Roman"/>
          <w:bCs/>
          <w:sz w:val="24"/>
          <w:szCs w:val="24"/>
          <w:lang w:val="id-ID" w:eastAsia="id-ID"/>
        </w:rPr>
        <w:t>Data primer:</w:t>
      </w:r>
      <w:r w:rsidRPr="00BC6514">
        <w:rPr>
          <w:rFonts w:ascii="Times New Roman" w:eastAsia="Times New Roman" w:hAnsi="Times New Roman" w:cs="Times New Roman"/>
          <w:sz w:val="24"/>
          <w:szCs w:val="24"/>
          <w:lang w:val="id-ID" w:eastAsia="id-ID"/>
        </w:rPr>
        <w:t xml:space="preserve"> wawancara semi-terstruktur dengan narasumber (DPMPTSP, DLHK daerah, aktivis lingkungan, pelaku usaha), observasi implementasi OSS-RBA, dan dokumentasi lokal (studi kasus Kabupaten Pangandaran). Temuan wawancara yang relevan diintegrasikan ke pembahasan.</w:t>
      </w:r>
    </w:p>
    <w:p w:rsidR="00BC6514" w:rsidRPr="00BC6514" w:rsidRDefault="00BC6514" w:rsidP="00CA6A49">
      <w:pPr>
        <w:spacing w:before="100" w:beforeAutospacing="1" w:after="100" w:afterAutospacing="1" w:line="240" w:lineRule="auto"/>
        <w:jc w:val="both"/>
        <w:outlineLvl w:val="1"/>
        <w:rPr>
          <w:rFonts w:ascii="Times New Roman" w:eastAsia="Times New Roman" w:hAnsi="Times New Roman" w:cs="Times New Roman"/>
          <w:b/>
          <w:bCs/>
          <w:sz w:val="24"/>
          <w:szCs w:val="36"/>
          <w:lang w:val="id-ID" w:eastAsia="id-ID"/>
        </w:rPr>
      </w:pPr>
      <w:r w:rsidRPr="00BC6514">
        <w:rPr>
          <w:rFonts w:ascii="Times New Roman" w:eastAsia="Times New Roman" w:hAnsi="Times New Roman" w:cs="Times New Roman"/>
          <w:b/>
          <w:bCs/>
          <w:sz w:val="24"/>
          <w:szCs w:val="36"/>
          <w:lang w:val="id-ID" w:eastAsia="id-ID"/>
        </w:rPr>
        <w:t>HASIL PENELITIAN</w:t>
      </w:r>
    </w:p>
    <w:p w:rsidR="00BC6514" w:rsidRPr="00BC6514" w:rsidRDefault="00BC6514" w:rsidP="00933A42">
      <w:pPr>
        <w:spacing w:before="100" w:beforeAutospacing="1" w:after="100" w:afterAutospacing="1" w:line="360" w:lineRule="auto"/>
        <w:jc w:val="both"/>
        <w:outlineLvl w:val="2"/>
        <w:rPr>
          <w:rFonts w:ascii="Times New Roman" w:eastAsia="Times New Roman" w:hAnsi="Times New Roman" w:cs="Times New Roman"/>
          <w:b/>
          <w:bCs/>
          <w:sz w:val="24"/>
          <w:szCs w:val="27"/>
          <w:lang w:val="id-ID" w:eastAsia="id-ID"/>
        </w:rPr>
      </w:pPr>
      <w:r w:rsidRPr="00BC6514">
        <w:rPr>
          <w:rFonts w:ascii="Times New Roman" w:eastAsia="Times New Roman" w:hAnsi="Times New Roman" w:cs="Times New Roman"/>
          <w:b/>
          <w:bCs/>
          <w:sz w:val="24"/>
          <w:szCs w:val="27"/>
          <w:lang w:val="id-ID" w:eastAsia="id-ID"/>
        </w:rPr>
        <w:t>Perubahan Terminologi: Izin → Persetujuan Lingkungan (dampak normatif &amp; prosedural)</w:t>
      </w:r>
    </w:p>
    <w:p w:rsidR="00BC6514" w:rsidRPr="00BC6514" w:rsidRDefault="00BC6514" w:rsidP="00933A42">
      <w:pPr>
        <w:numPr>
          <w:ilvl w:val="0"/>
          <w:numId w:val="1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933A42">
        <w:rPr>
          <w:rFonts w:ascii="Times New Roman" w:eastAsia="Times New Roman" w:hAnsi="Times New Roman" w:cs="Times New Roman"/>
          <w:bCs/>
          <w:sz w:val="24"/>
          <w:szCs w:val="24"/>
          <w:lang w:val="id-ID" w:eastAsia="id-ID"/>
        </w:rPr>
        <w:t>Perubahan istilah</w:t>
      </w:r>
      <w:r w:rsidRPr="00BC6514">
        <w:rPr>
          <w:rFonts w:ascii="Times New Roman" w:eastAsia="Times New Roman" w:hAnsi="Times New Roman" w:cs="Times New Roman"/>
          <w:sz w:val="24"/>
          <w:szCs w:val="24"/>
          <w:lang w:val="id-ID" w:eastAsia="id-ID"/>
        </w:rPr>
        <w:t xml:space="preserve"> tidak sekadar semantik: persetujuan lingkungan diintegrasikan dalam perizinan berusaha dan diasosiasikan dengan OSS, sedangkan izin lingkungan bersifat instrumen pengendalian independen yang memiliki kekuatan </w:t>
      </w:r>
      <w:r w:rsidRPr="00BC6514">
        <w:rPr>
          <w:rFonts w:ascii="Times New Roman" w:eastAsia="Times New Roman" w:hAnsi="Times New Roman" w:cs="Times New Roman"/>
          <w:i/>
          <w:iCs/>
          <w:sz w:val="24"/>
          <w:szCs w:val="24"/>
          <w:lang w:val="id-ID" w:eastAsia="id-ID"/>
        </w:rPr>
        <w:t>ex-ante</w:t>
      </w:r>
      <w:r w:rsidRPr="00BC6514">
        <w:rPr>
          <w:rFonts w:ascii="Times New Roman" w:eastAsia="Times New Roman" w:hAnsi="Times New Roman" w:cs="Times New Roman"/>
          <w:sz w:val="24"/>
          <w:szCs w:val="24"/>
          <w:lang w:val="id-ID" w:eastAsia="id-ID"/>
        </w:rPr>
        <w:t>. Perubahan ini mengurangi mekanisme verifikasi dan kepastian ketentuan teknis pada tahap awal.</w:t>
      </w:r>
    </w:p>
    <w:p w:rsidR="00BC6514" w:rsidRPr="00BC6514" w:rsidRDefault="00BC6514" w:rsidP="00933A42">
      <w:pPr>
        <w:numPr>
          <w:ilvl w:val="0"/>
          <w:numId w:val="1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933A42">
        <w:rPr>
          <w:rFonts w:ascii="Times New Roman" w:eastAsia="Times New Roman" w:hAnsi="Times New Roman" w:cs="Times New Roman"/>
          <w:bCs/>
          <w:sz w:val="24"/>
          <w:szCs w:val="24"/>
          <w:lang w:val="id-ID" w:eastAsia="id-ID"/>
        </w:rPr>
        <w:lastRenderedPageBreak/>
        <w:t>AKIBAT (a)</w:t>
      </w:r>
      <w:r w:rsidRPr="00BC6514">
        <w:rPr>
          <w:rFonts w:ascii="Times New Roman" w:eastAsia="Times New Roman" w:hAnsi="Times New Roman" w:cs="Times New Roman"/>
          <w:sz w:val="24"/>
          <w:szCs w:val="24"/>
          <w:lang w:val="id-ID" w:eastAsia="id-ID"/>
        </w:rPr>
        <w:t xml:space="preserve"> proyek yang sesuai rencana tata ruang dapat dibebaskan dari AMDAL masalah karena banyak daerah belum mempunyai RTRW yang rinci; </w:t>
      </w:r>
      <w:r w:rsidRPr="00933A42">
        <w:rPr>
          <w:rFonts w:ascii="Times New Roman" w:eastAsia="Times New Roman" w:hAnsi="Times New Roman" w:cs="Times New Roman"/>
          <w:bCs/>
          <w:sz w:val="24"/>
          <w:szCs w:val="24"/>
          <w:lang w:val="id-ID" w:eastAsia="id-ID"/>
        </w:rPr>
        <w:t>(b)</w:t>
      </w:r>
      <w:r w:rsidRPr="00BC6514">
        <w:rPr>
          <w:rFonts w:ascii="Times New Roman" w:eastAsia="Times New Roman" w:hAnsi="Times New Roman" w:cs="Times New Roman"/>
          <w:sz w:val="24"/>
          <w:szCs w:val="24"/>
          <w:lang w:val="id-ID" w:eastAsia="id-ID"/>
        </w:rPr>
        <w:t xml:space="preserve"> peningkatan ruang bagi UKL-UPL dan SPPL sehingga beberapa proyek yang seharusnya Amdal menjadi tidak melalui kajian dampak penuh. </w:t>
      </w:r>
    </w:p>
    <w:p w:rsidR="00BC6514" w:rsidRPr="00BC6514" w:rsidRDefault="00BC6514" w:rsidP="00BC6514">
      <w:pPr>
        <w:spacing w:before="100" w:beforeAutospacing="1" w:after="100" w:afterAutospacing="1" w:line="240" w:lineRule="auto"/>
        <w:outlineLvl w:val="2"/>
        <w:rPr>
          <w:rFonts w:ascii="Times New Roman" w:eastAsia="Times New Roman" w:hAnsi="Times New Roman" w:cs="Times New Roman"/>
          <w:b/>
          <w:bCs/>
          <w:sz w:val="27"/>
          <w:szCs w:val="27"/>
          <w:lang w:val="id-ID" w:eastAsia="id-ID"/>
        </w:rPr>
      </w:pPr>
      <w:r w:rsidRPr="00BC6514">
        <w:rPr>
          <w:rFonts w:ascii="Times New Roman" w:eastAsia="Times New Roman" w:hAnsi="Times New Roman" w:cs="Times New Roman"/>
          <w:b/>
          <w:bCs/>
          <w:sz w:val="27"/>
          <w:szCs w:val="27"/>
          <w:lang w:val="id-ID" w:eastAsia="id-ID"/>
        </w:rPr>
        <w:t>Reduksi Peran AMDAL dan Partisipasi Publik</w:t>
      </w:r>
    </w:p>
    <w:p w:rsidR="00BC6514" w:rsidRPr="00BC6514" w:rsidRDefault="00BC6514" w:rsidP="00933A42">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AMDAL sebelumnya berfungsi sebagai instrumen demokrasi lingkungan (mencakup aspek teknis dan partisipatif). Dalam skema baru, partisipasi publik dibatasi pada masyarakat terdampak langsung; Komisi Penilai AMDAL dilemahkan atau berubah mekanisme pelaksanaannya. Hal ini mengurangi keadilan prosedural dan kontrol sosial. Narasumber mengonfirmasi terbatasnya ruang dialog akibat mekanisme OSS.</w:t>
      </w:r>
    </w:p>
    <w:p w:rsidR="00BC6514" w:rsidRPr="00BC6514" w:rsidRDefault="00BC6514" w:rsidP="00BC6514">
      <w:pPr>
        <w:spacing w:before="100" w:beforeAutospacing="1" w:after="100" w:afterAutospacing="1" w:line="240" w:lineRule="auto"/>
        <w:outlineLvl w:val="2"/>
        <w:rPr>
          <w:rFonts w:ascii="Times New Roman" w:eastAsia="Times New Roman" w:hAnsi="Times New Roman" w:cs="Times New Roman"/>
          <w:b/>
          <w:bCs/>
          <w:sz w:val="27"/>
          <w:szCs w:val="27"/>
          <w:lang w:val="id-ID" w:eastAsia="id-ID"/>
        </w:rPr>
      </w:pPr>
      <w:r w:rsidRPr="00BC6514">
        <w:rPr>
          <w:rFonts w:ascii="Times New Roman" w:eastAsia="Times New Roman" w:hAnsi="Times New Roman" w:cs="Times New Roman"/>
          <w:b/>
          <w:bCs/>
          <w:sz w:val="27"/>
          <w:szCs w:val="27"/>
          <w:lang w:val="id-ID" w:eastAsia="id-ID"/>
        </w:rPr>
        <w:t>Sentralisasi Kewenangan dan Dampak Lokal</w:t>
      </w:r>
    </w:p>
    <w:p w:rsidR="00BC6514" w:rsidRPr="00BC6514" w:rsidRDefault="00BC6514" w:rsidP="00933A42">
      <w:pPr>
        <w:numPr>
          <w:ilvl w:val="0"/>
          <w:numId w:val="17"/>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 xml:space="preserve">Sentralisasi menyebabkan </w:t>
      </w:r>
      <w:r w:rsidRPr="00BC6514">
        <w:rPr>
          <w:rFonts w:ascii="Times New Roman" w:eastAsia="Times New Roman" w:hAnsi="Times New Roman" w:cs="Times New Roman"/>
          <w:i/>
          <w:iCs/>
          <w:sz w:val="24"/>
          <w:szCs w:val="24"/>
          <w:lang w:val="id-ID" w:eastAsia="id-ID"/>
        </w:rPr>
        <w:t>resentralisasi</w:t>
      </w:r>
      <w:r w:rsidRPr="00BC6514">
        <w:rPr>
          <w:rFonts w:ascii="Times New Roman" w:eastAsia="Times New Roman" w:hAnsi="Times New Roman" w:cs="Times New Roman"/>
          <w:sz w:val="24"/>
          <w:szCs w:val="24"/>
          <w:lang w:val="id-ID" w:eastAsia="id-ID"/>
        </w:rPr>
        <w:t xml:space="preserve"> kewenangan perizinan, mengurangi otoritas daerah dan kapasitas respon lokal terhadap isu ekologis spesifik (mis. ekosistem pesisir, terumbu karang, kerentanan banjir). Wawancara mengungkap kendala teknis OSS-RBA dan keterbatasan data real-time yang menghambat pengawasan daerah.</w:t>
      </w:r>
    </w:p>
    <w:p w:rsidR="00BC6514" w:rsidRPr="00BC6514" w:rsidRDefault="00BC6514" w:rsidP="00BC6514">
      <w:pPr>
        <w:spacing w:before="100" w:beforeAutospacing="1" w:after="100" w:afterAutospacing="1" w:line="240" w:lineRule="auto"/>
        <w:outlineLvl w:val="2"/>
        <w:rPr>
          <w:rFonts w:ascii="Times New Roman" w:eastAsia="Times New Roman" w:hAnsi="Times New Roman" w:cs="Times New Roman"/>
          <w:b/>
          <w:bCs/>
          <w:sz w:val="27"/>
          <w:szCs w:val="27"/>
          <w:lang w:val="id-ID" w:eastAsia="id-ID"/>
        </w:rPr>
      </w:pPr>
      <w:r w:rsidRPr="00BC6514">
        <w:rPr>
          <w:rFonts w:ascii="Times New Roman" w:eastAsia="Times New Roman" w:hAnsi="Times New Roman" w:cs="Times New Roman"/>
          <w:b/>
          <w:bCs/>
          <w:sz w:val="27"/>
          <w:szCs w:val="27"/>
          <w:lang w:val="id-ID" w:eastAsia="id-ID"/>
        </w:rPr>
        <w:t>Implikasi Implementatif (kasus dan bukti empiris)</w:t>
      </w:r>
    </w:p>
    <w:p w:rsidR="00BC6514" w:rsidRPr="00BC6514" w:rsidRDefault="00BC6514" w:rsidP="00933A42">
      <w:pPr>
        <w:numPr>
          <w:ilvl w:val="0"/>
          <w:numId w:val="1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 xml:space="preserve">Observasi kasus Kabupaten Pangandaran: daerah menerbitkan regulasi lokal (Perda) sebagai upaya kompensasi, namun keterbatasan kewenangan menyulitkan pengawasan dan penegakan. Terdapat indikasi konflik kewenangan dan potensi pengabaian karakteristik ekologis setempat. </w:t>
      </w:r>
    </w:p>
    <w:p w:rsidR="00BC6514" w:rsidRPr="00BC6514" w:rsidRDefault="00BC6514" w:rsidP="00BC6514">
      <w:pPr>
        <w:spacing w:before="100" w:beforeAutospacing="1" w:after="100" w:afterAutospacing="1" w:line="240" w:lineRule="auto"/>
        <w:outlineLvl w:val="1"/>
        <w:rPr>
          <w:rFonts w:ascii="Times New Roman" w:eastAsia="Times New Roman" w:hAnsi="Times New Roman" w:cs="Times New Roman"/>
          <w:b/>
          <w:bCs/>
          <w:sz w:val="24"/>
          <w:szCs w:val="36"/>
          <w:lang w:val="id-ID" w:eastAsia="id-ID"/>
        </w:rPr>
      </w:pPr>
      <w:r w:rsidRPr="00BC6514">
        <w:rPr>
          <w:rFonts w:ascii="Times New Roman" w:eastAsia="Times New Roman" w:hAnsi="Times New Roman" w:cs="Times New Roman"/>
          <w:b/>
          <w:bCs/>
          <w:sz w:val="24"/>
          <w:szCs w:val="36"/>
          <w:lang w:val="id-ID" w:eastAsia="id-ID"/>
        </w:rPr>
        <w:t>PEMBAHASAN (Kritis &amp; TEORETIS)</w:t>
      </w:r>
    </w:p>
    <w:p w:rsidR="007715C5" w:rsidRPr="007715C5" w:rsidRDefault="007715C5" w:rsidP="007715C5">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7715C5">
        <w:rPr>
          <w:rFonts w:ascii="Times New Roman" w:eastAsia="Times New Roman" w:hAnsi="Times New Roman" w:cs="Times New Roman"/>
          <w:b/>
          <w:bCs/>
          <w:sz w:val="24"/>
          <w:szCs w:val="24"/>
          <w:lang w:val="id-ID" w:eastAsia="id-ID"/>
        </w:rPr>
        <w:t xml:space="preserve">1. </w:t>
      </w:r>
      <w:r>
        <w:rPr>
          <w:rFonts w:ascii="Times New Roman" w:eastAsia="Times New Roman" w:hAnsi="Times New Roman" w:cs="Times New Roman"/>
          <w:b/>
          <w:bCs/>
          <w:sz w:val="24"/>
          <w:szCs w:val="24"/>
          <w:lang w:val="id-ID" w:eastAsia="id-ID"/>
        </w:rPr>
        <w:tab/>
      </w:r>
      <w:r w:rsidRPr="007715C5">
        <w:rPr>
          <w:rFonts w:ascii="Times New Roman" w:eastAsia="Times New Roman" w:hAnsi="Times New Roman" w:cs="Times New Roman"/>
          <w:b/>
          <w:bCs/>
          <w:sz w:val="24"/>
          <w:szCs w:val="24"/>
          <w:lang w:val="id-ID" w:eastAsia="id-ID"/>
        </w:rPr>
        <w:t>Disharmoni Normatif: Konstitusi vs Regulasi Implementatif</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 xml:space="preserve">Secara hierarkis, UUD 1945 menempatkan hak atas lingkungan hidup yang baik dan sehat sebagai </w:t>
      </w:r>
      <w:r w:rsidRPr="007715C5">
        <w:rPr>
          <w:rFonts w:ascii="Times New Roman" w:eastAsia="Times New Roman" w:hAnsi="Times New Roman" w:cs="Times New Roman"/>
          <w:bCs/>
          <w:sz w:val="24"/>
          <w:szCs w:val="24"/>
          <w:lang w:val="id-ID" w:eastAsia="id-ID"/>
        </w:rPr>
        <w:t>hak fundamental</w:t>
      </w:r>
      <w:r w:rsidRPr="007715C5">
        <w:rPr>
          <w:rFonts w:ascii="Times New Roman" w:eastAsia="Times New Roman" w:hAnsi="Times New Roman" w:cs="Times New Roman"/>
          <w:sz w:val="24"/>
          <w:szCs w:val="24"/>
          <w:lang w:val="id-ID" w:eastAsia="id-ID"/>
        </w:rPr>
        <w:t xml:space="preserve"> dan bagian dari tujuan negara dalam menyelenggarakan pembangunan berkelanjutan. Dalam konstruksi ini, negara berkewajiban memastikan bahwa seluruh kebijakan sektoral, termasuk kebijakan ekonomi dan investasi, tidak bertentangan dengan mandat konstitusional tersebut. UU PPLH tahun 2009 sebenarnya sudah membangun instrumen protektif yang berorientasi pada pencegahan pencemaran dan kerusakan lingkungan.</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lastRenderedPageBreak/>
        <w:t xml:space="preserve">Namun transformasi regulasi melalui UU Cipta Kerja menggeser fokus dari perlindungan lingkungan ke aspek kemudahan berusaha. Penyederhanaan mekanisme AMDAL, perubahan izin menjadi persetujuan lingkungan, serta pemangkasan prosedur teknis menciptakan </w:t>
      </w:r>
      <w:r w:rsidRPr="00723213">
        <w:rPr>
          <w:rFonts w:ascii="Times New Roman" w:eastAsia="Times New Roman" w:hAnsi="Times New Roman" w:cs="Times New Roman"/>
          <w:bCs/>
          <w:sz w:val="24"/>
          <w:szCs w:val="24"/>
          <w:lang w:val="id-ID" w:eastAsia="id-ID"/>
        </w:rPr>
        <w:t>ketidakseimbangan antara kepentingan ekonomi jangka pendek dan keberlanjutan ekologis jangka panjang</w:t>
      </w:r>
      <w:r w:rsidRPr="007715C5">
        <w:rPr>
          <w:rFonts w:ascii="Times New Roman" w:eastAsia="Times New Roman" w:hAnsi="Times New Roman" w:cs="Times New Roman"/>
          <w:sz w:val="24"/>
          <w:szCs w:val="24"/>
          <w:lang w:val="id-ID" w:eastAsia="id-ID"/>
        </w:rPr>
        <w:t>. Ketika prinsip kehati-hatian (precautionary principle) dilemahkan, maka orientasi pembangunan menjadi rentan bertentangan dengan nilai konstitusional.</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 xml:space="preserve">Dari perspektif </w:t>
      </w:r>
      <w:r w:rsidRPr="00723213">
        <w:rPr>
          <w:rFonts w:ascii="Times New Roman" w:eastAsia="Times New Roman" w:hAnsi="Times New Roman" w:cs="Times New Roman"/>
          <w:bCs/>
          <w:sz w:val="24"/>
          <w:szCs w:val="24"/>
          <w:lang w:val="id-ID" w:eastAsia="id-ID"/>
        </w:rPr>
        <w:t>teori keadilan Rawls</w:t>
      </w:r>
      <w:r w:rsidRPr="007715C5">
        <w:rPr>
          <w:rFonts w:ascii="Times New Roman" w:eastAsia="Times New Roman" w:hAnsi="Times New Roman" w:cs="Times New Roman"/>
          <w:sz w:val="24"/>
          <w:szCs w:val="24"/>
          <w:lang w:val="id-ID" w:eastAsia="id-ID"/>
        </w:rPr>
        <w:t xml:space="preserve">, khususnya prinsip </w:t>
      </w:r>
      <w:r w:rsidRPr="007715C5">
        <w:rPr>
          <w:rFonts w:ascii="Times New Roman" w:eastAsia="Times New Roman" w:hAnsi="Times New Roman" w:cs="Times New Roman"/>
          <w:i/>
          <w:iCs/>
          <w:sz w:val="24"/>
          <w:szCs w:val="24"/>
          <w:lang w:val="id-ID" w:eastAsia="id-ID"/>
        </w:rPr>
        <w:t>just savings</w:t>
      </w:r>
      <w:r w:rsidRPr="007715C5">
        <w:rPr>
          <w:rFonts w:ascii="Times New Roman" w:eastAsia="Times New Roman" w:hAnsi="Times New Roman" w:cs="Times New Roman"/>
          <w:sz w:val="24"/>
          <w:szCs w:val="24"/>
          <w:lang w:val="id-ID" w:eastAsia="id-ID"/>
        </w:rPr>
        <w:t xml:space="preserve">, kebijakan lingkungan tidak boleh mengurangi kemampuan generasi mendatang untuk menikmati sumber daya yang sama seperti generasi sekarang. Penyederhanaan AMDAL demi kecepatan birokrasi dapat dikategorikan sebagai </w:t>
      </w:r>
      <w:r w:rsidRPr="00723213">
        <w:rPr>
          <w:rFonts w:ascii="Times New Roman" w:eastAsia="Times New Roman" w:hAnsi="Times New Roman" w:cs="Times New Roman"/>
          <w:bCs/>
          <w:sz w:val="24"/>
          <w:szCs w:val="24"/>
          <w:lang w:val="id-ID" w:eastAsia="id-ID"/>
        </w:rPr>
        <w:t>ketidakadilan antargenerasi</w:t>
      </w:r>
      <w:r w:rsidRPr="007715C5">
        <w:rPr>
          <w:rFonts w:ascii="Times New Roman" w:eastAsia="Times New Roman" w:hAnsi="Times New Roman" w:cs="Times New Roman"/>
          <w:sz w:val="24"/>
          <w:szCs w:val="24"/>
          <w:lang w:val="id-ID" w:eastAsia="id-ID"/>
        </w:rPr>
        <w:t>, karena risiko degradasi lingkungan ditanggung oleh generasi yang tidak ikut mengambil keputusan saat ini.</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 xml:space="preserve">Dengan demikian, terdapat </w:t>
      </w:r>
      <w:r w:rsidRPr="00723213">
        <w:rPr>
          <w:rFonts w:ascii="Times New Roman" w:eastAsia="Times New Roman" w:hAnsi="Times New Roman" w:cs="Times New Roman"/>
          <w:bCs/>
          <w:sz w:val="24"/>
          <w:szCs w:val="24"/>
          <w:lang w:val="id-ID" w:eastAsia="id-ID"/>
        </w:rPr>
        <w:t>disharmoni normatif</w:t>
      </w:r>
      <w:r w:rsidRPr="007715C5">
        <w:rPr>
          <w:rFonts w:ascii="Times New Roman" w:eastAsia="Times New Roman" w:hAnsi="Times New Roman" w:cs="Times New Roman"/>
          <w:sz w:val="24"/>
          <w:szCs w:val="24"/>
          <w:lang w:val="id-ID" w:eastAsia="id-ID"/>
        </w:rPr>
        <w:t xml:space="preserve"> antara norma konstitusional yang berorientasi jangka panjang dan regulasi implementatif UU Cipta Kerja yang lebih menitikberatkan pada percepatan investasi. Harmonisasi normatif diperlukan agar arah kebijakan tidak menyimpang dari tujuan konstitusi.</w:t>
      </w:r>
    </w:p>
    <w:p w:rsidR="007715C5" w:rsidRPr="007715C5" w:rsidRDefault="007715C5" w:rsidP="00723213">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7715C5">
        <w:rPr>
          <w:rFonts w:ascii="Times New Roman" w:eastAsia="Times New Roman" w:hAnsi="Times New Roman" w:cs="Times New Roman"/>
          <w:b/>
          <w:bCs/>
          <w:sz w:val="24"/>
          <w:szCs w:val="24"/>
          <w:lang w:val="id-ID" w:eastAsia="id-ID"/>
        </w:rPr>
        <w:t xml:space="preserve">2. </w:t>
      </w:r>
      <w:r w:rsidR="00723213">
        <w:rPr>
          <w:rFonts w:ascii="Times New Roman" w:eastAsia="Times New Roman" w:hAnsi="Times New Roman" w:cs="Times New Roman"/>
          <w:b/>
          <w:bCs/>
          <w:sz w:val="24"/>
          <w:szCs w:val="24"/>
          <w:lang w:val="id-ID" w:eastAsia="id-ID"/>
        </w:rPr>
        <w:tab/>
      </w:r>
      <w:r w:rsidRPr="007715C5">
        <w:rPr>
          <w:rFonts w:ascii="Times New Roman" w:eastAsia="Times New Roman" w:hAnsi="Times New Roman" w:cs="Times New Roman"/>
          <w:b/>
          <w:bCs/>
          <w:sz w:val="24"/>
          <w:szCs w:val="24"/>
          <w:lang w:val="id-ID" w:eastAsia="id-ID"/>
        </w:rPr>
        <w:t>Kepastian Hukum vs Fleksibilitas Investasi: Tegangan Konseptual</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 xml:space="preserve">Dalam teori hukum (Kelsen dan Hart), </w:t>
      </w:r>
      <w:r w:rsidRPr="00723213">
        <w:rPr>
          <w:rFonts w:ascii="Times New Roman" w:eastAsia="Times New Roman" w:hAnsi="Times New Roman" w:cs="Times New Roman"/>
          <w:bCs/>
          <w:sz w:val="24"/>
          <w:szCs w:val="24"/>
          <w:lang w:val="id-ID" w:eastAsia="id-ID"/>
        </w:rPr>
        <w:t>kepastian hukum</w:t>
      </w:r>
      <w:r w:rsidRPr="007715C5">
        <w:rPr>
          <w:rFonts w:ascii="Times New Roman" w:eastAsia="Times New Roman" w:hAnsi="Times New Roman" w:cs="Times New Roman"/>
          <w:sz w:val="24"/>
          <w:szCs w:val="24"/>
          <w:lang w:val="id-ID" w:eastAsia="id-ID"/>
        </w:rPr>
        <w:t xml:space="preserve"> merupakan syarat utama agar sebuah regulasi dapat dipatuhi dan dijalankan secara efektif. Investor membutuhkan prediktabilitas, kejelasan prosedur, dan jaminan bahwa aturan tidak berubah-ubah. UU Cipta Kerja berupaya memenuhi hal itu melalui deregulasi, simplifikasi, dan digitalisasi perizinan.</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 xml:space="preserve">Namun, upaya mengejar fleksibilitas investasi sering kali menyebabkan pengurangan substansi mutu perlindungan lingkungan. Transformasi </w:t>
      </w:r>
      <w:r w:rsidRPr="00723213">
        <w:rPr>
          <w:rFonts w:ascii="Times New Roman" w:eastAsia="Times New Roman" w:hAnsi="Times New Roman" w:cs="Times New Roman"/>
          <w:bCs/>
          <w:sz w:val="24"/>
          <w:szCs w:val="24"/>
          <w:lang w:val="id-ID" w:eastAsia="id-ID"/>
        </w:rPr>
        <w:t>izin lingkungan menjadi persetujuan lingkungan</w:t>
      </w:r>
      <w:r w:rsidRPr="007715C5">
        <w:rPr>
          <w:rFonts w:ascii="Times New Roman" w:eastAsia="Times New Roman" w:hAnsi="Times New Roman" w:cs="Times New Roman"/>
          <w:sz w:val="24"/>
          <w:szCs w:val="24"/>
          <w:lang w:val="id-ID" w:eastAsia="id-ID"/>
        </w:rPr>
        <w:t xml:space="preserve"> menimbulkan risiko dua arah:</w:t>
      </w:r>
    </w:p>
    <w:p w:rsidR="007715C5" w:rsidRPr="007715C5" w:rsidRDefault="007715C5" w:rsidP="00723213">
      <w:pPr>
        <w:numPr>
          <w:ilvl w:val="0"/>
          <w:numId w:val="25"/>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23213">
        <w:rPr>
          <w:rFonts w:ascii="Times New Roman" w:eastAsia="Times New Roman" w:hAnsi="Times New Roman" w:cs="Times New Roman"/>
          <w:bCs/>
          <w:sz w:val="24"/>
          <w:szCs w:val="24"/>
          <w:lang w:val="id-ID" w:eastAsia="id-ID"/>
        </w:rPr>
        <w:t>Kepastian administratif semu</w:t>
      </w:r>
      <w:r w:rsidRPr="007715C5">
        <w:rPr>
          <w:rFonts w:ascii="Times New Roman" w:eastAsia="Times New Roman" w:hAnsi="Times New Roman" w:cs="Times New Roman"/>
          <w:sz w:val="24"/>
          <w:szCs w:val="24"/>
          <w:lang w:val="id-ID" w:eastAsia="id-ID"/>
        </w:rPr>
        <w:t>, ketika proses menjadi cepat tetapi standar teknis menjadi kabur atau minim pengawasan; dan</w:t>
      </w:r>
    </w:p>
    <w:p w:rsidR="007715C5" w:rsidRPr="007715C5" w:rsidRDefault="007715C5" w:rsidP="00723213">
      <w:pPr>
        <w:numPr>
          <w:ilvl w:val="0"/>
          <w:numId w:val="25"/>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23213">
        <w:rPr>
          <w:rFonts w:ascii="Times New Roman" w:eastAsia="Times New Roman" w:hAnsi="Times New Roman" w:cs="Times New Roman"/>
          <w:bCs/>
          <w:sz w:val="24"/>
          <w:szCs w:val="24"/>
          <w:lang w:val="id-ID" w:eastAsia="id-ID"/>
        </w:rPr>
        <w:t>Ketidakpastian substantif</w:t>
      </w:r>
      <w:r w:rsidRPr="007715C5">
        <w:rPr>
          <w:rFonts w:ascii="Times New Roman" w:eastAsia="Times New Roman" w:hAnsi="Times New Roman" w:cs="Times New Roman"/>
          <w:sz w:val="24"/>
          <w:szCs w:val="24"/>
          <w:lang w:val="id-ID" w:eastAsia="id-ID"/>
        </w:rPr>
        <w:t>, ketika ketidaktegasan norma membuat masyarakat dan pemerintah daerah sulit memastikan bahwa kegiatan usaha telah benar-benar aman bagi lingkungan.</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lastRenderedPageBreak/>
        <w:t xml:space="preserve">Menurut doktrin </w:t>
      </w:r>
      <w:r w:rsidRPr="00723213">
        <w:rPr>
          <w:rFonts w:ascii="Times New Roman" w:eastAsia="Times New Roman" w:hAnsi="Times New Roman" w:cs="Times New Roman"/>
          <w:bCs/>
          <w:sz w:val="24"/>
          <w:szCs w:val="24"/>
          <w:lang w:val="id-ID" w:eastAsia="id-ID"/>
        </w:rPr>
        <w:t>legal certainty</w:t>
      </w:r>
      <w:r w:rsidRPr="007715C5">
        <w:rPr>
          <w:rFonts w:ascii="Times New Roman" w:eastAsia="Times New Roman" w:hAnsi="Times New Roman" w:cs="Times New Roman"/>
          <w:sz w:val="24"/>
          <w:szCs w:val="24"/>
          <w:lang w:val="id-ID" w:eastAsia="id-ID"/>
        </w:rPr>
        <w:t>, kepastian hukum tidak cukup hanya pada “waktu terbit izin”, melainkan harus mencakup:</w:t>
      </w:r>
    </w:p>
    <w:p w:rsidR="007715C5" w:rsidRPr="007715C5" w:rsidRDefault="007715C5" w:rsidP="00723213">
      <w:pPr>
        <w:numPr>
          <w:ilvl w:val="0"/>
          <w:numId w:val="2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kejelasan standar teknis,</w:t>
      </w:r>
    </w:p>
    <w:p w:rsidR="007715C5" w:rsidRPr="007715C5" w:rsidRDefault="007715C5" w:rsidP="00723213">
      <w:pPr>
        <w:numPr>
          <w:ilvl w:val="0"/>
          <w:numId w:val="2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prosedur evaluasi,</w:t>
      </w:r>
    </w:p>
    <w:p w:rsidR="007715C5" w:rsidRPr="007715C5" w:rsidRDefault="007715C5" w:rsidP="00723213">
      <w:pPr>
        <w:numPr>
          <w:ilvl w:val="0"/>
          <w:numId w:val="2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penegakan sanksi,</w:t>
      </w:r>
    </w:p>
    <w:p w:rsidR="007715C5" w:rsidRPr="007715C5" w:rsidRDefault="007715C5" w:rsidP="00723213">
      <w:pPr>
        <w:numPr>
          <w:ilvl w:val="0"/>
          <w:numId w:val="2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keterbukaan informasi lingkungan, dan</w:t>
      </w:r>
    </w:p>
    <w:p w:rsidR="007715C5" w:rsidRPr="007715C5" w:rsidRDefault="007715C5" w:rsidP="00723213">
      <w:pPr>
        <w:numPr>
          <w:ilvl w:val="0"/>
          <w:numId w:val="2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mekanisme keberatan publik.</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 xml:space="preserve">Jika aspek ini melemah, maka kepastian hukum bergeser menjadi </w:t>
      </w:r>
      <w:r w:rsidRPr="00FB46D1">
        <w:rPr>
          <w:rFonts w:ascii="Times New Roman" w:eastAsia="Times New Roman" w:hAnsi="Times New Roman" w:cs="Times New Roman"/>
          <w:bCs/>
          <w:sz w:val="24"/>
          <w:szCs w:val="24"/>
          <w:lang w:val="id-ID" w:eastAsia="id-ID"/>
        </w:rPr>
        <w:t>sekadar kepastian administratif</w:t>
      </w:r>
      <w:r w:rsidRPr="007715C5">
        <w:rPr>
          <w:rFonts w:ascii="Times New Roman" w:eastAsia="Times New Roman" w:hAnsi="Times New Roman" w:cs="Times New Roman"/>
          <w:sz w:val="24"/>
          <w:szCs w:val="24"/>
          <w:lang w:val="id-ID" w:eastAsia="id-ID"/>
        </w:rPr>
        <w:t xml:space="preserve">, bukan kepastian perlindungan lingkungan. Kondisi ini ditafsirkan sebagai bentuk </w:t>
      </w:r>
      <w:r w:rsidRPr="00FB46D1">
        <w:rPr>
          <w:rFonts w:ascii="Times New Roman" w:eastAsia="Times New Roman" w:hAnsi="Times New Roman" w:cs="Times New Roman"/>
          <w:bCs/>
          <w:sz w:val="24"/>
          <w:szCs w:val="24"/>
          <w:lang w:val="id-ID" w:eastAsia="id-ID"/>
        </w:rPr>
        <w:t>rule weakening</w:t>
      </w:r>
      <w:r w:rsidRPr="007715C5">
        <w:rPr>
          <w:rFonts w:ascii="Times New Roman" w:eastAsia="Times New Roman" w:hAnsi="Times New Roman" w:cs="Times New Roman"/>
          <w:sz w:val="24"/>
          <w:szCs w:val="24"/>
          <w:lang w:val="id-ID" w:eastAsia="id-ID"/>
        </w:rPr>
        <w:t>, di mana regulasi tampak mengatur namun secara substantif tidak memberikan perlindungan memadai.</w:t>
      </w:r>
    </w:p>
    <w:p w:rsidR="007715C5" w:rsidRPr="007715C5" w:rsidRDefault="007715C5" w:rsidP="00EC36DC">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7715C5">
        <w:rPr>
          <w:rFonts w:ascii="Times New Roman" w:eastAsia="Times New Roman" w:hAnsi="Times New Roman" w:cs="Times New Roman"/>
          <w:b/>
          <w:bCs/>
          <w:sz w:val="24"/>
          <w:szCs w:val="24"/>
          <w:lang w:val="id-ID" w:eastAsia="id-ID"/>
        </w:rPr>
        <w:t xml:space="preserve">3. </w:t>
      </w:r>
      <w:r w:rsidR="00EC36DC">
        <w:rPr>
          <w:rFonts w:ascii="Times New Roman" w:eastAsia="Times New Roman" w:hAnsi="Times New Roman" w:cs="Times New Roman"/>
          <w:b/>
          <w:bCs/>
          <w:sz w:val="24"/>
          <w:szCs w:val="24"/>
          <w:lang w:val="id-ID" w:eastAsia="id-ID"/>
        </w:rPr>
        <w:tab/>
      </w:r>
      <w:r w:rsidRPr="007715C5">
        <w:rPr>
          <w:rFonts w:ascii="Times New Roman" w:eastAsia="Times New Roman" w:hAnsi="Times New Roman" w:cs="Times New Roman"/>
          <w:b/>
          <w:bCs/>
          <w:sz w:val="24"/>
          <w:szCs w:val="24"/>
          <w:lang w:val="id-ID" w:eastAsia="id-ID"/>
        </w:rPr>
        <w:t>Sentralisasi, Subsidiaritas, dan Tantangan Pengelolaan Lingkungan Lokal</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 xml:space="preserve">UU Cipta Kerja melakukan sentralisasi kewenangan perizinan melalui OSS (Online Single Submission) dan penguatan peran pemerintah pusat. Di satu sisi, ini dimaksudkan untuk menghapus hambatan birokrasi daerah dan menghindari ketidaksinkronan antarwilayah. Namun, dari perspektif teori </w:t>
      </w:r>
      <w:r w:rsidRPr="00EC36DC">
        <w:rPr>
          <w:rFonts w:ascii="Times New Roman" w:eastAsia="Times New Roman" w:hAnsi="Times New Roman" w:cs="Times New Roman"/>
          <w:bCs/>
          <w:sz w:val="24"/>
          <w:szCs w:val="24"/>
          <w:lang w:val="id-ID" w:eastAsia="id-ID"/>
        </w:rPr>
        <w:t>subsidiaritas</w:t>
      </w:r>
      <w:r w:rsidRPr="007715C5">
        <w:rPr>
          <w:rFonts w:ascii="Times New Roman" w:eastAsia="Times New Roman" w:hAnsi="Times New Roman" w:cs="Times New Roman"/>
          <w:sz w:val="24"/>
          <w:szCs w:val="24"/>
          <w:lang w:val="id-ID" w:eastAsia="id-ID"/>
        </w:rPr>
        <w:t>, kewenangan seharusnya berada di tingkatan pemerintahan yang paling dekat dengan isu yang diatur.</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 xml:space="preserve">Lingkungan hidup adalah domain yang sangat </w:t>
      </w:r>
      <w:r w:rsidRPr="00EC36DC">
        <w:rPr>
          <w:rFonts w:ascii="Times New Roman" w:eastAsia="Times New Roman" w:hAnsi="Times New Roman" w:cs="Times New Roman"/>
          <w:bCs/>
          <w:sz w:val="24"/>
          <w:szCs w:val="24"/>
          <w:lang w:val="id-ID" w:eastAsia="id-ID"/>
        </w:rPr>
        <w:t>lokal dan kontekstual</w:t>
      </w:r>
      <w:r w:rsidRPr="007715C5">
        <w:rPr>
          <w:rFonts w:ascii="Times New Roman" w:eastAsia="Times New Roman" w:hAnsi="Times New Roman" w:cs="Times New Roman"/>
          <w:sz w:val="24"/>
          <w:szCs w:val="24"/>
          <w:lang w:val="id-ID" w:eastAsia="id-ID"/>
        </w:rPr>
        <w:t>:</w:t>
      </w:r>
    </w:p>
    <w:p w:rsidR="007715C5" w:rsidRPr="007715C5" w:rsidRDefault="007715C5" w:rsidP="00EC36DC">
      <w:pPr>
        <w:numPr>
          <w:ilvl w:val="0"/>
          <w:numId w:val="3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karakter geologis,</w:t>
      </w:r>
    </w:p>
    <w:p w:rsidR="007715C5" w:rsidRPr="007715C5" w:rsidRDefault="007715C5" w:rsidP="00EC36DC">
      <w:pPr>
        <w:numPr>
          <w:ilvl w:val="0"/>
          <w:numId w:val="3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pola pemanfaatan ruang,</w:t>
      </w:r>
    </w:p>
    <w:p w:rsidR="007715C5" w:rsidRPr="007715C5" w:rsidRDefault="007715C5" w:rsidP="00EC36DC">
      <w:pPr>
        <w:numPr>
          <w:ilvl w:val="0"/>
          <w:numId w:val="3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risiko bencana,</w:t>
      </w:r>
    </w:p>
    <w:p w:rsidR="007715C5" w:rsidRPr="007715C5" w:rsidRDefault="007715C5" w:rsidP="00EC36DC">
      <w:pPr>
        <w:numPr>
          <w:ilvl w:val="0"/>
          <w:numId w:val="3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nilai budaya lokal, dan</w:t>
      </w:r>
    </w:p>
    <w:p w:rsidR="007715C5" w:rsidRPr="007715C5" w:rsidRDefault="007715C5" w:rsidP="00EC36DC">
      <w:pPr>
        <w:numPr>
          <w:ilvl w:val="0"/>
          <w:numId w:val="3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sensitivitas ekologi antarwilayah sangat berbeda-beda.</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Sentralisasi berpotensi melemahkan responsivitas kebijakan karena pemerintah pusat tidak selalu memiliki informasi detail mengenai kondisi lapangan. Kapasitas daerah untuk menyampaikan keberatan atau rekomendasi sering kali terbatas, dan hal ini diperburuk oleh minimnya ruang diskresi daerah dalam memberikan pertimbangan AMDAL.</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lastRenderedPageBreak/>
        <w:t xml:space="preserve">Dalam teori </w:t>
      </w:r>
      <w:r w:rsidRPr="00EC36DC">
        <w:rPr>
          <w:rFonts w:ascii="Times New Roman" w:eastAsia="Times New Roman" w:hAnsi="Times New Roman" w:cs="Times New Roman"/>
          <w:bCs/>
          <w:sz w:val="24"/>
          <w:szCs w:val="24"/>
          <w:lang w:val="id-ID" w:eastAsia="id-ID"/>
        </w:rPr>
        <w:t>governance</w:t>
      </w:r>
      <w:r w:rsidRPr="007715C5">
        <w:rPr>
          <w:rFonts w:ascii="Times New Roman" w:eastAsia="Times New Roman" w:hAnsi="Times New Roman" w:cs="Times New Roman"/>
          <w:sz w:val="24"/>
          <w:szCs w:val="24"/>
          <w:lang w:val="id-ID" w:eastAsia="id-ID"/>
        </w:rPr>
        <w:t xml:space="preserve">, solusi yang lebih seimbang adalah model </w:t>
      </w:r>
      <w:r w:rsidRPr="00EC36DC">
        <w:rPr>
          <w:rFonts w:ascii="Times New Roman" w:eastAsia="Times New Roman" w:hAnsi="Times New Roman" w:cs="Times New Roman"/>
          <w:bCs/>
          <w:sz w:val="24"/>
          <w:szCs w:val="24"/>
          <w:lang w:val="id-ID" w:eastAsia="id-ID"/>
        </w:rPr>
        <w:t>co-governance</w:t>
      </w:r>
      <w:r w:rsidRPr="007715C5">
        <w:rPr>
          <w:rFonts w:ascii="Times New Roman" w:eastAsia="Times New Roman" w:hAnsi="Times New Roman" w:cs="Times New Roman"/>
          <w:sz w:val="24"/>
          <w:szCs w:val="24"/>
          <w:lang w:val="id-ID" w:eastAsia="id-ID"/>
        </w:rPr>
        <w:t>, yaitu pembagian peran antara pusat dan daerah:</w:t>
      </w:r>
    </w:p>
    <w:p w:rsidR="007715C5" w:rsidRPr="007715C5" w:rsidRDefault="007715C5" w:rsidP="00EC36DC">
      <w:pPr>
        <w:numPr>
          <w:ilvl w:val="0"/>
          <w:numId w:val="3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pusat menetapkan standar nasional lingkungan,</w:t>
      </w:r>
    </w:p>
    <w:p w:rsidR="007715C5" w:rsidRPr="007715C5" w:rsidRDefault="007715C5" w:rsidP="00EC36DC">
      <w:pPr>
        <w:numPr>
          <w:ilvl w:val="0"/>
          <w:numId w:val="3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daerah memegang kendali operasional serta melakukan pengawasan berbasis kearifan lokal dan data lapangan.</w:t>
      </w:r>
    </w:p>
    <w:p w:rsidR="007715C5" w:rsidRPr="007715C5" w:rsidRDefault="007715C5" w:rsidP="007715C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7715C5">
        <w:rPr>
          <w:rFonts w:ascii="Times New Roman" w:eastAsia="Times New Roman" w:hAnsi="Times New Roman" w:cs="Times New Roman"/>
          <w:sz w:val="24"/>
          <w:szCs w:val="24"/>
          <w:lang w:val="id-ID" w:eastAsia="id-ID"/>
        </w:rPr>
        <w:t xml:space="preserve">Hasil wawancara lapangan menunjukkan bahwa beberapa daerah mencoba melakukan </w:t>
      </w:r>
      <w:r w:rsidRPr="00EC36DC">
        <w:rPr>
          <w:rFonts w:ascii="Times New Roman" w:eastAsia="Times New Roman" w:hAnsi="Times New Roman" w:cs="Times New Roman"/>
          <w:bCs/>
          <w:sz w:val="24"/>
          <w:szCs w:val="24"/>
          <w:lang w:val="id-ID" w:eastAsia="id-ID"/>
        </w:rPr>
        <w:t>kompensasi melalui Perda</w:t>
      </w:r>
      <w:r w:rsidRPr="007715C5">
        <w:rPr>
          <w:rFonts w:ascii="Times New Roman" w:eastAsia="Times New Roman" w:hAnsi="Times New Roman" w:cs="Times New Roman"/>
          <w:sz w:val="24"/>
          <w:szCs w:val="24"/>
          <w:lang w:val="id-ID" w:eastAsia="id-ID"/>
        </w:rPr>
        <w:t xml:space="preserve"> atau kebijakan teknis lokal, namun kapasitas teknis, pendanaan, dan kewenangan mereka sering tidak memadai. Akibatnya, terdapat jarak antara kebijakan pusat dan realitas lokal, yang memicu disharmoni implementatif.</w:t>
      </w:r>
    </w:p>
    <w:p w:rsidR="00BC6514" w:rsidRPr="00BC6514" w:rsidRDefault="00BC6514" w:rsidP="00C61B99">
      <w:pPr>
        <w:spacing w:before="100" w:beforeAutospacing="1" w:after="100" w:afterAutospacing="1" w:line="360" w:lineRule="auto"/>
        <w:jc w:val="both"/>
        <w:outlineLvl w:val="1"/>
        <w:rPr>
          <w:rFonts w:ascii="Times New Roman" w:eastAsia="Times New Roman" w:hAnsi="Times New Roman" w:cs="Times New Roman"/>
          <w:b/>
          <w:bCs/>
          <w:sz w:val="24"/>
          <w:szCs w:val="24"/>
          <w:lang w:val="id-ID" w:eastAsia="id-ID"/>
        </w:rPr>
      </w:pPr>
      <w:r w:rsidRPr="00BC6514">
        <w:rPr>
          <w:rFonts w:ascii="Times New Roman" w:eastAsia="Times New Roman" w:hAnsi="Times New Roman" w:cs="Times New Roman"/>
          <w:b/>
          <w:bCs/>
          <w:sz w:val="24"/>
          <w:szCs w:val="24"/>
          <w:lang w:val="id-ID" w:eastAsia="id-ID"/>
        </w:rPr>
        <w:t>REKOMENDASI KEBIJAKAN (Konkret &amp; Prioritas)</w:t>
      </w:r>
    </w:p>
    <w:p w:rsidR="00BC6514" w:rsidRPr="00BC6514" w:rsidRDefault="00BC6514" w:rsidP="00C61B99">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Berdasarkan temuan, direkomendasikan:</w:t>
      </w:r>
    </w:p>
    <w:p w:rsidR="00BC6514" w:rsidRPr="00BC6514" w:rsidRDefault="00BC6514" w:rsidP="00C61B99">
      <w:pPr>
        <w:numPr>
          <w:ilvl w:val="0"/>
          <w:numId w:val="1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C61B99">
        <w:rPr>
          <w:rFonts w:ascii="Times New Roman" w:eastAsia="Times New Roman" w:hAnsi="Times New Roman" w:cs="Times New Roman"/>
          <w:b/>
          <w:bCs/>
          <w:sz w:val="24"/>
          <w:szCs w:val="24"/>
          <w:lang w:val="id-ID" w:eastAsia="id-ID"/>
        </w:rPr>
        <w:t>Harmonisasi UU dan Peraturan Turunan</w:t>
      </w:r>
    </w:p>
    <w:p w:rsidR="00BC6514" w:rsidRPr="00C61B99" w:rsidRDefault="00BC6514" w:rsidP="00C61B99">
      <w:pPr>
        <w:numPr>
          <w:ilvl w:val="1"/>
          <w:numId w:val="19"/>
        </w:numPr>
        <w:tabs>
          <w:tab w:val="clear" w:pos="1080"/>
        </w:tabs>
        <w:spacing w:before="100" w:beforeAutospacing="1" w:after="100" w:afterAutospacing="1" w:line="360" w:lineRule="auto"/>
        <w:ind w:left="1134" w:hanging="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 xml:space="preserve">Lakukan revisi teknis pada ketentuan persetujuan lingkungan agar fungsi </w:t>
      </w:r>
      <w:r w:rsidRPr="00C61B99">
        <w:rPr>
          <w:rFonts w:ascii="Times New Roman" w:eastAsia="Times New Roman" w:hAnsi="Times New Roman" w:cs="Times New Roman"/>
          <w:i/>
          <w:iCs/>
          <w:sz w:val="24"/>
          <w:szCs w:val="24"/>
          <w:lang w:val="id-ID" w:eastAsia="id-ID"/>
        </w:rPr>
        <w:t>ex-ante</w:t>
      </w:r>
      <w:r w:rsidRPr="00BC6514">
        <w:rPr>
          <w:rFonts w:ascii="Times New Roman" w:eastAsia="Times New Roman" w:hAnsi="Times New Roman" w:cs="Times New Roman"/>
          <w:sz w:val="24"/>
          <w:szCs w:val="24"/>
          <w:lang w:val="id-ID" w:eastAsia="id-ID"/>
        </w:rPr>
        <w:t xml:space="preserve"> dan substansi teknis AMDAL tetap terjaga; pastikan keberadaan standar teknis yang mengikat pada tahap persetujuan. (Prioritas tinggi). </w:t>
      </w:r>
    </w:p>
    <w:p w:rsidR="00BC6514" w:rsidRPr="00BC6514" w:rsidRDefault="00BC6514" w:rsidP="00C61B99">
      <w:pPr>
        <w:numPr>
          <w:ilvl w:val="0"/>
          <w:numId w:val="1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C61B99">
        <w:rPr>
          <w:rFonts w:ascii="Times New Roman" w:eastAsia="Times New Roman" w:hAnsi="Times New Roman" w:cs="Times New Roman"/>
          <w:b/>
          <w:bCs/>
          <w:sz w:val="24"/>
          <w:szCs w:val="24"/>
          <w:lang w:val="id-ID" w:eastAsia="id-ID"/>
        </w:rPr>
        <w:t>Penguatan Partisipasi Publik</w:t>
      </w:r>
    </w:p>
    <w:p w:rsidR="00BC6514" w:rsidRPr="00C61B99" w:rsidRDefault="00BC6514" w:rsidP="00C61B99">
      <w:pPr>
        <w:numPr>
          <w:ilvl w:val="1"/>
          <w:numId w:val="20"/>
        </w:numPr>
        <w:tabs>
          <w:tab w:val="clear" w:pos="1080"/>
        </w:tabs>
        <w:spacing w:before="100" w:beforeAutospacing="1" w:after="100" w:afterAutospacing="1" w:line="360" w:lineRule="auto"/>
        <w:ind w:left="1134" w:hanging="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 xml:space="preserve">Kembalikan/memperkuat mekanisme partisipasi bermakna (akses informasi, konsultasi publik yang memadai, keberatan yang terstruktur). Perkuat peran organisasi masyarakat sipil dan mekanisme kualifikasi kelayakan partisipasi. </w:t>
      </w:r>
    </w:p>
    <w:p w:rsidR="00BC6514" w:rsidRPr="00BC6514" w:rsidRDefault="00BC6514" w:rsidP="003C2FFA">
      <w:pPr>
        <w:numPr>
          <w:ilvl w:val="0"/>
          <w:numId w:val="1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C61B99">
        <w:rPr>
          <w:rFonts w:ascii="Times New Roman" w:eastAsia="Times New Roman" w:hAnsi="Times New Roman" w:cs="Times New Roman"/>
          <w:b/>
          <w:bCs/>
          <w:sz w:val="24"/>
          <w:szCs w:val="24"/>
          <w:lang w:val="id-ID" w:eastAsia="id-ID"/>
        </w:rPr>
        <w:t>Model Co-Governance Pusat-Daerah</w:t>
      </w:r>
    </w:p>
    <w:p w:rsidR="00BC6514" w:rsidRDefault="00BC6514" w:rsidP="00C61B99">
      <w:pPr>
        <w:numPr>
          <w:ilvl w:val="1"/>
          <w:numId w:val="21"/>
        </w:numPr>
        <w:tabs>
          <w:tab w:val="clear" w:pos="1080"/>
        </w:tabs>
        <w:spacing w:before="100" w:beforeAutospacing="1" w:after="100" w:afterAutospacing="1" w:line="360" w:lineRule="auto"/>
        <w:ind w:left="1134" w:hanging="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 xml:space="preserve">Terapkan pembagian kewenangan: standar nasional (penerbitan kriteria, batas ambang teknis) oleh pusat; kewenangan implementasi, monitoring, dan penegakan administratif oleh daerah. Skema ini menjaga integritas teknis dan responsivitas lokal. </w:t>
      </w:r>
    </w:p>
    <w:p w:rsidR="009A5A48" w:rsidRPr="00C61B99" w:rsidRDefault="009A5A48" w:rsidP="009A5A48">
      <w:pPr>
        <w:spacing w:before="100" w:beforeAutospacing="1" w:after="100" w:afterAutospacing="1" w:line="360" w:lineRule="auto"/>
        <w:jc w:val="both"/>
        <w:rPr>
          <w:rFonts w:ascii="Times New Roman" w:eastAsia="Times New Roman" w:hAnsi="Times New Roman" w:cs="Times New Roman"/>
          <w:sz w:val="24"/>
          <w:szCs w:val="24"/>
          <w:lang w:val="id-ID" w:eastAsia="id-ID"/>
        </w:rPr>
      </w:pPr>
    </w:p>
    <w:p w:rsidR="00BC6514" w:rsidRPr="00BC6514" w:rsidRDefault="00BC6514" w:rsidP="003C2FFA">
      <w:pPr>
        <w:numPr>
          <w:ilvl w:val="0"/>
          <w:numId w:val="1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C61B99">
        <w:rPr>
          <w:rFonts w:ascii="Times New Roman" w:eastAsia="Times New Roman" w:hAnsi="Times New Roman" w:cs="Times New Roman"/>
          <w:b/>
          <w:bCs/>
          <w:sz w:val="24"/>
          <w:szCs w:val="24"/>
          <w:lang w:val="id-ID" w:eastAsia="id-ID"/>
        </w:rPr>
        <w:lastRenderedPageBreak/>
        <w:t>Perbaikan OSS &amp; Sistem Informasi (transparansi)</w:t>
      </w:r>
    </w:p>
    <w:p w:rsidR="00BC6514" w:rsidRPr="00C61B99" w:rsidRDefault="00BC6514" w:rsidP="003C2FFA">
      <w:pPr>
        <w:numPr>
          <w:ilvl w:val="1"/>
          <w:numId w:val="22"/>
        </w:numPr>
        <w:tabs>
          <w:tab w:val="clear" w:pos="1080"/>
        </w:tabs>
        <w:spacing w:before="100" w:beforeAutospacing="1" w:after="100" w:afterAutospacing="1" w:line="360" w:lineRule="auto"/>
        <w:ind w:left="1134" w:hanging="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 xml:space="preserve">Integrasikan data lingkungan real-time dan kewenangan notifikasi perizinan antara pusat dan daerah (OSS-RBA upgrade) sehingga daerah dapat melakukan pengawasan efektif. </w:t>
      </w:r>
    </w:p>
    <w:p w:rsidR="00BC6514" w:rsidRPr="00BC6514" w:rsidRDefault="00BC6514" w:rsidP="003C2FFA">
      <w:pPr>
        <w:numPr>
          <w:ilvl w:val="0"/>
          <w:numId w:val="1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C61B99">
        <w:rPr>
          <w:rFonts w:ascii="Times New Roman" w:eastAsia="Times New Roman" w:hAnsi="Times New Roman" w:cs="Times New Roman"/>
          <w:b/>
          <w:bCs/>
          <w:sz w:val="24"/>
          <w:szCs w:val="24"/>
          <w:lang w:val="id-ID" w:eastAsia="id-ID"/>
        </w:rPr>
        <w:t>Penguatan Sanksi dan Mekanisme Evaluasi</w:t>
      </w:r>
    </w:p>
    <w:p w:rsidR="00BC6514" w:rsidRPr="00C61B99" w:rsidRDefault="00BC6514" w:rsidP="003C2FFA">
      <w:pPr>
        <w:numPr>
          <w:ilvl w:val="1"/>
          <w:numId w:val="23"/>
        </w:numPr>
        <w:tabs>
          <w:tab w:val="clear" w:pos="1080"/>
        </w:tabs>
        <w:spacing w:before="100" w:beforeAutospacing="1" w:after="100" w:afterAutospacing="1" w:line="360" w:lineRule="auto"/>
        <w:ind w:left="1134" w:hanging="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 xml:space="preserve">Perkuat sanksi administratif dan mekanisme evaluasi berkala terhadap peraturan pelaksana untuk menutup celah maladministrasi. Evaluasi dampak lingkungan pasca-izin harus diwajibkan dan dipublikasikan. </w:t>
      </w:r>
    </w:p>
    <w:p w:rsidR="00BC6514" w:rsidRPr="00BC6514" w:rsidRDefault="00BC6514" w:rsidP="002F7E6F">
      <w:pPr>
        <w:spacing w:before="100" w:beforeAutospacing="1" w:after="100" w:afterAutospacing="1" w:line="360" w:lineRule="auto"/>
        <w:jc w:val="both"/>
        <w:outlineLvl w:val="1"/>
        <w:rPr>
          <w:rFonts w:ascii="Times New Roman" w:eastAsia="Times New Roman" w:hAnsi="Times New Roman" w:cs="Times New Roman"/>
          <w:b/>
          <w:bCs/>
          <w:sz w:val="24"/>
          <w:szCs w:val="36"/>
          <w:lang w:val="id-ID" w:eastAsia="id-ID"/>
        </w:rPr>
      </w:pPr>
      <w:r w:rsidRPr="00BC6514">
        <w:rPr>
          <w:rFonts w:ascii="Times New Roman" w:eastAsia="Times New Roman" w:hAnsi="Times New Roman" w:cs="Times New Roman"/>
          <w:b/>
          <w:bCs/>
          <w:sz w:val="24"/>
          <w:szCs w:val="36"/>
          <w:lang w:val="id-ID" w:eastAsia="id-ID"/>
        </w:rPr>
        <w:t>KETERBATASAN PENELITIAN</w:t>
      </w:r>
    </w:p>
    <w:p w:rsidR="00BC6514" w:rsidRPr="00BC6514" w:rsidRDefault="00BC6514" w:rsidP="002F7E6F">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BC6514">
        <w:rPr>
          <w:rFonts w:ascii="Times New Roman" w:eastAsia="Times New Roman" w:hAnsi="Times New Roman" w:cs="Times New Roman"/>
          <w:sz w:val="24"/>
          <w:szCs w:val="24"/>
          <w:lang w:val="id-ID" w:eastAsia="id-ID"/>
        </w:rPr>
        <w:t>Penelitian berbasis yuridis normatif dengan pendalaman data primer lokal (studi kasus terbatas ke beberapa instansi daerah se</w:t>
      </w:r>
      <w:r w:rsidR="002B622F">
        <w:rPr>
          <w:rFonts w:ascii="Times New Roman" w:eastAsia="Times New Roman" w:hAnsi="Times New Roman" w:cs="Times New Roman"/>
          <w:sz w:val="24"/>
          <w:szCs w:val="24"/>
          <w:lang w:val="id-ID" w:eastAsia="id-ID"/>
        </w:rPr>
        <w:t xml:space="preserve">perti Pangandaran) </w:t>
      </w:r>
      <w:r w:rsidRPr="00BC6514">
        <w:rPr>
          <w:rFonts w:ascii="Times New Roman" w:eastAsia="Times New Roman" w:hAnsi="Times New Roman" w:cs="Times New Roman"/>
          <w:sz w:val="24"/>
          <w:szCs w:val="24"/>
          <w:lang w:val="id-ID" w:eastAsia="id-ID"/>
        </w:rPr>
        <w:t xml:space="preserve">sehingga temuan bersifat kuat secara normatif dan kontekstual, namun perlu uji komparatif lebih luas untuk generalisasi nasional (multi-case). Data OSS-RBA terus berkembang sehingga penelitian lanjutan disarankan untuk memonitor perubahan implementasi. </w:t>
      </w:r>
    </w:p>
    <w:p w:rsidR="00BC6514" w:rsidRPr="00BC6514" w:rsidRDefault="00BC6514" w:rsidP="002B622F">
      <w:pPr>
        <w:spacing w:before="100" w:beforeAutospacing="1" w:after="100" w:afterAutospacing="1" w:line="360" w:lineRule="auto"/>
        <w:jc w:val="both"/>
        <w:outlineLvl w:val="1"/>
        <w:rPr>
          <w:rFonts w:ascii="Times New Roman" w:eastAsia="Times New Roman" w:hAnsi="Times New Roman" w:cs="Times New Roman"/>
          <w:b/>
          <w:bCs/>
          <w:sz w:val="24"/>
          <w:szCs w:val="36"/>
          <w:lang w:val="id-ID" w:eastAsia="id-ID"/>
        </w:rPr>
      </w:pPr>
      <w:r w:rsidRPr="00BC6514">
        <w:rPr>
          <w:rFonts w:ascii="Times New Roman" w:eastAsia="Times New Roman" w:hAnsi="Times New Roman" w:cs="Times New Roman"/>
          <w:b/>
          <w:bCs/>
          <w:sz w:val="24"/>
          <w:szCs w:val="36"/>
          <w:lang w:val="id-ID" w:eastAsia="id-ID"/>
        </w:rPr>
        <w:t>KESIMPULAN</w:t>
      </w:r>
    </w:p>
    <w:p w:rsidR="002B622F" w:rsidRPr="002B622F" w:rsidRDefault="002B622F" w:rsidP="002B622F">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 xml:space="preserve">Hasil analisis menunjukkan bahwa terdapat </w:t>
      </w:r>
      <w:r w:rsidRPr="002B622F">
        <w:rPr>
          <w:rFonts w:ascii="Times New Roman" w:eastAsia="Times New Roman" w:hAnsi="Times New Roman" w:cs="Times New Roman"/>
          <w:bCs/>
          <w:sz w:val="24"/>
          <w:szCs w:val="24"/>
          <w:lang w:val="id-ID" w:eastAsia="id-ID"/>
        </w:rPr>
        <w:t>disharmoni mendasar</w:t>
      </w:r>
      <w:r w:rsidRPr="002B622F">
        <w:rPr>
          <w:rFonts w:ascii="Times New Roman" w:eastAsia="Times New Roman" w:hAnsi="Times New Roman" w:cs="Times New Roman"/>
          <w:sz w:val="24"/>
          <w:szCs w:val="24"/>
          <w:lang w:val="id-ID" w:eastAsia="id-ID"/>
        </w:rPr>
        <w:t xml:space="preserve"> antara asas keberlanjutan lingkungan hidup yang dijamin dalam UUD 1945 dan diatur lebih lanjut dalam UU PPLH, dengan ketentuan implementatif yang diperkenalkan melalui UU Cipta Kerja beserta regulasi turunannya. Secara normatif, konstitusi menempatkan perlindungan lingkungan sebagai prasyarat pembangunan berkelanjutan, namun UU Cipta Kerja mengedepankan orientasi percepatan investasi yang cenderung meminggirkan prinsip kehati-hatian ekologis.</w:t>
      </w:r>
    </w:p>
    <w:p w:rsidR="002B622F" w:rsidRPr="002B622F" w:rsidRDefault="002B622F" w:rsidP="002B622F">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Perubahan mendasar pada arsitektur perizinan lingkungan</w:t>
      </w:r>
      <w:r>
        <w:rPr>
          <w:rFonts w:ascii="Times New Roman" w:eastAsia="Times New Roman" w:hAnsi="Times New Roman" w:cs="Times New Roman"/>
          <w:sz w:val="24"/>
          <w:szCs w:val="24"/>
          <w:lang w:val="id-ID" w:eastAsia="id-ID"/>
        </w:rPr>
        <w:t xml:space="preserve"> </w:t>
      </w:r>
      <w:r w:rsidRPr="002B622F">
        <w:rPr>
          <w:rFonts w:ascii="Times New Roman" w:eastAsia="Times New Roman" w:hAnsi="Times New Roman" w:cs="Times New Roman"/>
          <w:sz w:val="24"/>
          <w:szCs w:val="24"/>
          <w:lang w:val="id-ID" w:eastAsia="id-ID"/>
        </w:rPr>
        <w:t>termasuk transformasi izin lingkungan menjadi persetujuan lingkungan, penyederhanaan instrumen AMDAL/UKL-UPL, serta sentralisasi kewenangan perizinan dari daerah ke pusat</w:t>
      </w:r>
      <w:r>
        <w:rPr>
          <w:rFonts w:ascii="Times New Roman" w:eastAsia="Times New Roman" w:hAnsi="Times New Roman" w:cs="Times New Roman"/>
          <w:sz w:val="24"/>
          <w:szCs w:val="24"/>
          <w:lang w:val="id-ID" w:eastAsia="id-ID"/>
        </w:rPr>
        <w:t xml:space="preserve"> </w:t>
      </w:r>
      <w:r w:rsidRPr="002B622F">
        <w:rPr>
          <w:rFonts w:ascii="Times New Roman" w:eastAsia="Times New Roman" w:hAnsi="Times New Roman" w:cs="Times New Roman"/>
          <w:sz w:val="24"/>
          <w:szCs w:val="24"/>
          <w:lang w:val="id-ID" w:eastAsia="id-ID"/>
        </w:rPr>
        <w:t xml:space="preserve">menghasilkan implikasi yang signifikan. Reformasi tersebut mempercepat proses administratif tetapi secara bersamaan </w:t>
      </w:r>
      <w:r w:rsidRPr="002B622F">
        <w:rPr>
          <w:rFonts w:ascii="Times New Roman" w:eastAsia="Times New Roman" w:hAnsi="Times New Roman" w:cs="Times New Roman"/>
          <w:bCs/>
          <w:sz w:val="24"/>
          <w:szCs w:val="24"/>
          <w:lang w:val="id-ID" w:eastAsia="id-ID"/>
        </w:rPr>
        <w:t>melemahkan instrumen proteksi lingkungan</w:t>
      </w:r>
      <w:r w:rsidRPr="002B622F">
        <w:rPr>
          <w:rFonts w:ascii="Times New Roman" w:eastAsia="Times New Roman" w:hAnsi="Times New Roman" w:cs="Times New Roman"/>
          <w:sz w:val="24"/>
          <w:szCs w:val="24"/>
          <w:lang w:val="id-ID" w:eastAsia="id-ID"/>
        </w:rPr>
        <w:t xml:space="preserve">, khususnya dalam aspek kualitas kajian dampak, mekanisme pengawasan, dan kemampuan daerah dalam mengelola isu ekologis berbasis </w:t>
      </w:r>
      <w:r w:rsidRPr="002B622F">
        <w:rPr>
          <w:rFonts w:ascii="Times New Roman" w:eastAsia="Times New Roman" w:hAnsi="Times New Roman" w:cs="Times New Roman"/>
          <w:sz w:val="24"/>
          <w:szCs w:val="24"/>
          <w:lang w:val="id-ID" w:eastAsia="id-ID"/>
        </w:rPr>
        <w:lastRenderedPageBreak/>
        <w:t>karakter lokal. Selain itu, pengetatan ruang partisipasi publik mengurangi legitimasi prosedural dan berpotensi meningkatkan konflik sosial serta resistensi masyarakat terdampak.</w:t>
      </w:r>
    </w:p>
    <w:p w:rsidR="002B622F" w:rsidRPr="002B622F" w:rsidRDefault="002B622F" w:rsidP="002B622F">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Dari perspektif teori keadilan antargenerasi dan prinsip subsidiaritas, struktur regulasi baru ini berisiko menciptakan keputusan yang mengorbankan kepentingan ekologis jangka panjang demi efisiensi ekonomi jangka pendek. Sentralisasi kewenangan juga menurunkan sensitivitas regulasi terhadap kondisi ekologis lokal yang sering kali unik dan membutuhkan respons kelembagaan yang dekat dengan masyarakat.</w:t>
      </w:r>
    </w:p>
    <w:p w:rsidR="002B622F" w:rsidRPr="002B622F" w:rsidRDefault="002B622F" w:rsidP="002B622F">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 xml:space="preserve">Dengan demikian, diperlukan langkah kebijakan yang bersifat korektif dan harmonis. Upaya tersebut meliputi: (1) </w:t>
      </w:r>
      <w:r w:rsidRPr="002B622F">
        <w:rPr>
          <w:rFonts w:ascii="Times New Roman" w:eastAsia="Times New Roman" w:hAnsi="Times New Roman" w:cs="Times New Roman"/>
          <w:b/>
          <w:bCs/>
          <w:sz w:val="24"/>
          <w:szCs w:val="24"/>
          <w:lang w:val="id-ID" w:eastAsia="id-ID"/>
        </w:rPr>
        <w:t>harmonisasi regulasi</w:t>
      </w:r>
      <w:r w:rsidRPr="002B622F">
        <w:rPr>
          <w:rFonts w:ascii="Times New Roman" w:eastAsia="Times New Roman" w:hAnsi="Times New Roman" w:cs="Times New Roman"/>
          <w:sz w:val="24"/>
          <w:szCs w:val="24"/>
          <w:lang w:val="id-ID" w:eastAsia="id-ID"/>
        </w:rPr>
        <w:t xml:space="preserve"> agar norma pelaksanaan kembali selaras dengan asas keberlanjutan lingkungan; (2) </w:t>
      </w:r>
      <w:r w:rsidRPr="002B622F">
        <w:rPr>
          <w:rFonts w:ascii="Times New Roman" w:eastAsia="Times New Roman" w:hAnsi="Times New Roman" w:cs="Times New Roman"/>
          <w:b/>
          <w:bCs/>
          <w:sz w:val="24"/>
          <w:szCs w:val="24"/>
          <w:lang w:val="id-ID" w:eastAsia="id-ID"/>
        </w:rPr>
        <w:t>penguatan partisipasi publik</w:t>
      </w:r>
      <w:r w:rsidRPr="002B622F">
        <w:rPr>
          <w:rFonts w:ascii="Times New Roman" w:eastAsia="Times New Roman" w:hAnsi="Times New Roman" w:cs="Times New Roman"/>
          <w:sz w:val="24"/>
          <w:szCs w:val="24"/>
          <w:lang w:val="id-ID" w:eastAsia="id-ID"/>
        </w:rPr>
        <w:t xml:space="preserve"> berbasis prinsip meaningful participation; (3) </w:t>
      </w:r>
      <w:r w:rsidRPr="002B622F">
        <w:rPr>
          <w:rFonts w:ascii="Times New Roman" w:eastAsia="Times New Roman" w:hAnsi="Times New Roman" w:cs="Times New Roman"/>
          <w:b/>
          <w:bCs/>
          <w:sz w:val="24"/>
          <w:szCs w:val="24"/>
          <w:lang w:val="id-ID" w:eastAsia="id-ID"/>
        </w:rPr>
        <w:t>pengembangan sistem informasi lingkungan yang transparan dan terintegrasi</w:t>
      </w:r>
      <w:r w:rsidRPr="002B622F">
        <w:rPr>
          <w:rFonts w:ascii="Times New Roman" w:eastAsia="Times New Roman" w:hAnsi="Times New Roman" w:cs="Times New Roman"/>
          <w:sz w:val="24"/>
          <w:szCs w:val="24"/>
          <w:lang w:val="id-ID" w:eastAsia="id-ID"/>
        </w:rPr>
        <w:t xml:space="preserve">, sehingga pengawasan menjadi lebih akurat dan berbasis data; serta (4) </w:t>
      </w:r>
      <w:r w:rsidRPr="002B622F">
        <w:rPr>
          <w:rFonts w:ascii="Times New Roman" w:eastAsia="Times New Roman" w:hAnsi="Times New Roman" w:cs="Times New Roman"/>
          <w:b/>
          <w:bCs/>
          <w:sz w:val="24"/>
          <w:szCs w:val="24"/>
          <w:lang w:val="id-ID" w:eastAsia="id-ID"/>
        </w:rPr>
        <w:t>penguatan model pembagian kewenangan pusat-daerah</w:t>
      </w:r>
      <w:r w:rsidRPr="002B622F">
        <w:rPr>
          <w:rFonts w:ascii="Times New Roman" w:eastAsia="Times New Roman" w:hAnsi="Times New Roman" w:cs="Times New Roman"/>
          <w:sz w:val="24"/>
          <w:szCs w:val="24"/>
          <w:lang w:val="id-ID" w:eastAsia="id-ID"/>
        </w:rPr>
        <w:t xml:space="preserve"> berbasis co-governance untuk menjamin responsivitas terhadap isu lingkungan yang bersifat lokal.</w:t>
      </w:r>
    </w:p>
    <w:p w:rsidR="002B622F" w:rsidRPr="002B622F" w:rsidRDefault="002B622F" w:rsidP="002B622F">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 xml:space="preserve">Keseluruhan rekomendasi tersebut diperlukan untuk memastikan bahwa percepatan investasi dan kemudahan berusaha tetap berjalan dalam koridor </w:t>
      </w:r>
      <w:r w:rsidRPr="002B622F">
        <w:rPr>
          <w:rFonts w:ascii="Times New Roman" w:eastAsia="Times New Roman" w:hAnsi="Times New Roman" w:cs="Times New Roman"/>
          <w:bCs/>
          <w:sz w:val="24"/>
          <w:szCs w:val="24"/>
          <w:lang w:val="id-ID" w:eastAsia="id-ID"/>
        </w:rPr>
        <w:t>pembangunan berkelanjutan</w:t>
      </w:r>
      <w:r w:rsidRPr="002B622F">
        <w:rPr>
          <w:rFonts w:ascii="Times New Roman" w:eastAsia="Times New Roman" w:hAnsi="Times New Roman" w:cs="Times New Roman"/>
          <w:sz w:val="24"/>
          <w:szCs w:val="24"/>
          <w:lang w:val="id-ID" w:eastAsia="id-ID"/>
        </w:rPr>
        <w:t>, sehingga hak konstitusional atas lingkungan hidup yang baik dan sehat tetap terjaga bagi generasi sekarang maupun generasi mendatang.</w:t>
      </w:r>
    </w:p>
    <w:p w:rsidR="002B622F" w:rsidRPr="002B622F" w:rsidRDefault="002B622F" w:rsidP="002B622F">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id-ID" w:eastAsia="id-ID"/>
        </w:rPr>
      </w:pPr>
      <w:r w:rsidRPr="002B622F">
        <w:rPr>
          <w:rFonts w:ascii="Times New Roman" w:eastAsia="Times New Roman" w:hAnsi="Times New Roman" w:cs="Times New Roman"/>
          <w:b/>
          <w:bCs/>
          <w:kern w:val="36"/>
          <w:sz w:val="24"/>
          <w:szCs w:val="24"/>
          <w:lang w:val="id-ID" w:eastAsia="id-ID"/>
        </w:rPr>
        <w:t>IMPLIKASI TEORITIS</w:t>
      </w:r>
    </w:p>
    <w:p w:rsidR="002B622F" w:rsidRPr="002B622F" w:rsidRDefault="002B622F" w:rsidP="002B622F">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2B622F">
        <w:rPr>
          <w:rFonts w:ascii="Times New Roman" w:eastAsia="Times New Roman" w:hAnsi="Times New Roman" w:cs="Times New Roman"/>
          <w:b/>
          <w:bCs/>
          <w:sz w:val="24"/>
          <w:szCs w:val="24"/>
          <w:lang w:val="id-ID" w:eastAsia="id-ID"/>
        </w:rPr>
        <w:t xml:space="preserve">1. </w:t>
      </w:r>
      <w:r>
        <w:rPr>
          <w:rFonts w:ascii="Times New Roman" w:eastAsia="Times New Roman" w:hAnsi="Times New Roman" w:cs="Times New Roman"/>
          <w:b/>
          <w:bCs/>
          <w:sz w:val="24"/>
          <w:szCs w:val="24"/>
          <w:lang w:val="id-ID" w:eastAsia="id-ID"/>
        </w:rPr>
        <w:tab/>
      </w:r>
      <w:r w:rsidRPr="002B622F">
        <w:rPr>
          <w:rFonts w:ascii="Times New Roman" w:eastAsia="Times New Roman" w:hAnsi="Times New Roman" w:cs="Times New Roman"/>
          <w:b/>
          <w:bCs/>
          <w:sz w:val="24"/>
          <w:szCs w:val="24"/>
          <w:lang w:val="id-ID" w:eastAsia="id-ID"/>
        </w:rPr>
        <w:t>Penguatan Teori Hierarki Norma dan Konstitusionalisme Lingkungan</w:t>
      </w:r>
    </w:p>
    <w:p w:rsidR="002B622F" w:rsidRPr="002B622F" w:rsidRDefault="002B622F" w:rsidP="002B622F">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 xml:space="preserve">Temuan penelitian mempertegas bahwa </w:t>
      </w:r>
      <w:r w:rsidRPr="002B622F">
        <w:rPr>
          <w:rFonts w:ascii="Times New Roman" w:eastAsia="Times New Roman" w:hAnsi="Times New Roman" w:cs="Times New Roman"/>
          <w:bCs/>
          <w:sz w:val="24"/>
          <w:szCs w:val="24"/>
          <w:lang w:val="id-ID" w:eastAsia="id-ID"/>
        </w:rPr>
        <w:t>konstitusi lingkungan (environmental constitutionalism)</w:t>
      </w:r>
      <w:r w:rsidRPr="002B622F">
        <w:rPr>
          <w:rFonts w:ascii="Times New Roman" w:eastAsia="Times New Roman" w:hAnsi="Times New Roman" w:cs="Times New Roman"/>
          <w:sz w:val="24"/>
          <w:szCs w:val="24"/>
          <w:lang w:val="id-ID" w:eastAsia="id-ID"/>
        </w:rPr>
        <w:t xml:space="preserve"> memiliki daya ikat yang kuat sebagai pedoman tertinggi dalam formulasi kebijakan. Namun ketika regulasi turunan</w:t>
      </w:r>
      <w:r>
        <w:rPr>
          <w:rFonts w:ascii="Times New Roman" w:eastAsia="Times New Roman" w:hAnsi="Times New Roman" w:cs="Times New Roman"/>
          <w:sz w:val="24"/>
          <w:szCs w:val="24"/>
          <w:lang w:val="id-ID" w:eastAsia="id-ID"/>
        </w:rPr>
        <w:t xml:space="preserve"> </w:t>
      </w:r>
      <w:r w:rsidRPr="002B622F">
        <w:rPr>
          <w:rFonts w:ascii="Times New Roman" w:eastAsia="Times New Roman" w:hAnsi="Times New Roman" w:cs="Times New Roman"/>
          <w:sz w:val="24"/>
          <w:szCs w:val="24"/>
          <w:lang w:val="id-ID" w:eastAsia="id-ID"/>
        </w:rPr>
        <w:t>seperti UU Cipta Kerja</w:t>
      </w:r>
      <w:r>
        <w:rPr>
          <w:rFonts w:ascii="Times New Roman" w:eastAsia="Times New Roman" w:hAnsi="Times New Roman" w:cs="Times New Roman"/>
          <w:sz w:val="24"/>
          <w:szCs w:val="24"/>
          <w:lang w:val="id-ID" w:eastAsia="id-ID"/>
        </w:rPr>
        <w:t xml:space="preserve"> </w:t>
      </w:r>
      <w:r w:rsidRPr="002B622F">
        <w:rPr>
          <w:rFonts w:ascii="Times New Roman" w:eastAsia="Times New Roman" w:hAnsi="Times New Roman" w:cs="Times New Roman"/>
          <w:sz w:val="24"/>
          <w:szCs w:val="24"/>
          <w:lang w:val="id-ID" w:eastAsia="id-ID"/>
        </w:rPr>
        <w:t xml:space="preserve">mengabaikan prinsip kehati-hatian, partisipasi publik, serta perlindungan kualitas hidup, terjadi </w:t>
      </w:r>
      <w:r w:rsidRPr="002B622F">
        <w:rPr>
          <w:rFonts w:ascii="Times New Roman" w:eastAsia="Times New Roman" w:hAnsi="Times New Roman" w:cs="Times New Roman"/>
          <w:bCs/>
          <w:sz w:val="24"/>
          <w:szCs w:val="24"/>
          <w:lang w:val="id-ID" w:eastAsia="id-ID"/>
        </w:rPr>
        <w:t>ketidakharmonisan vertikal</w:t>
      </w:r>
      <w:r>
        <w:rPr>
          <w:rFonts w:ascii="Times New Roman" w:eastAsia="Times New Roman" w:hAnsi="Times New Roman" w:cs="Times New Roman"/>
          <w:sz w:val="24"/>
          <w:szCs w:val="24"/>
          <w:lang w:val="id-ID" w:eastAsia="id-ID"/>
        </w:rPr>
        <w:t xml:space="preserve"> dalam sistem hukum. </w:t>
      </w:r>
      <w:r w:rsidRPr="002B622F">
        <w:rPr>
          <w:rFonts w:ascii="Times New Roman" w:eastAsia="Times New Roman" w:hAnsi="Times New Roman" w:cs="Times New Roman"/>
          <w:sz w:val="24"/>
          <w:szCs w:val="24"/>
          <w:lang w:val="id-ID" w:eastAsia="id-ID"/>
        </w:rPr>
        <w:t xml:space="preserve">Implikasi teoretisnya adalah perlunya pengayaan teori </w:t>
      </w:r>
      <w:r w:rsidRPr="002B622F">
        <w:rPr>
          <w:rFonts w:ascii="Times New Roman" w:eastAsia="Times New Roman" w:hAnsi="Times New Roman" w:cs="Times New Roman"/>
          <w:bCs/>
          <w:sz w:val="24"/>
          <w:szCs w:val="24"/>
          <w:lang w:val="id-ID" w:eastAsia="id-ID"/>
        </w:rPr>
        <w:t>hierarki norma</w:t>
      </w:r>
      <w:r w:rsidRPr="002B622F">
        <w:rPr>
          <w:rFonts w:ascii="Times New Roman" w:eastAsia="Times New Roman" w:hAnsi="Times New Roman" w:cs="Times New Roman"/>
          <w:sz w:val="24"/>
          <w:szCs w:val="24"/>
          <w:lang w:val="id-ID" w:eastAsia="id-ID"/>
        </w:rPr>
        <w:t xml:space="preserve"> (Hans Kelsen) dengan memasukkan aspek </w:t>
      </w:r>
      <w:r w:rsidRPr="002B622F">
        <w:rPr>
          <w:rFonts w:ascii="Times New Roman" w:eastAsia="Times New Roman" w:hAnsi="Times New Roman" w:cs="Times New Roman"/>
          <w:i/>
          <w:iCs/>
          <w:sz w:val="24"/>
          <w:szCs w:val="24"/>
          <w:lang w:val="id-ID" w:eastAsia="id-ID"/>
        </w:rPr>
        <w:t>substantive constitutional values</w:t>
      </w:r>
      <w:r w:rsidRPr="002B622F">
        <w:rPr>
          <w:rFonts w:ascii="Times New Roman" w:eastAsia="Times New Roman" w:hAnsi="Times New Roman" w:cs="Times New Roman"/>
          <w:sz w:val="24"/>
          <w:szCs w:val="24"/>
          <w:lang w:val="id-ID" w:eastAsia="id-ID"/>
        </w:rPr>
        <w:t xml:space="preserve"> yaitu nilai keberlanjutan, keadilan ekologis, dan intergenerational justice sebagai instrumen uji materi yang lebih tegas.</w:t>
      </w:r>
    </w:p>
    <w:p w:rsidR="002B622F" w:rsidRPr="002B622F" w:rsidRDefault="002B622F" w:rsidP="002B622F">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2B622F">
        <w:rPr>
          <w:rFonts w:ascii="Times New Roman" w:eastAsia="Times New Roman" w:hAnsi="Times New Roman" w:cs="Times New Roman"/>
          <w:b/>
          <w:bCs/>
          <w:sz w:val="24"/>
          <w:szCs w:val="24"/>
          <w:lang w:val="id-ID" w:eastAsia="id-ID"/>
        </w:rPr>
        <w:t xml:space="preserve">2. </w:t>
      </w:r>
      <w:r>
        <w:rPr>
          <w:rFonts w:ascii="Times New Roman" w:eastAsia="Times New Roman" w:hAnsi="Times New Roman" w:cs="Times New Roman"/>
          <w:b/>
          <w:bCs/>
          <w:sz w:val="24"/>
          <w:szCs w:val="24"/>
          <w:lang w:val="id-ID" w:eastAsia="id-ID"/>
        </w:rPr>
        <w:tab/>
      </w:r>
      <w:r w:rsidRPr="002B622F">
        <w:rPr>
          <w:rFonts w:ascii="Times New Roman" w:eastAsia="Times New Roman" w:hAnsi="Times New Roman" w:cs="Times New Roman"/>
          <w:b/>
          <w:bCs/>
          <w:sz w:val="24"/>
          <w:szCs w:val="24"/>
          <w:lang w:val="id-ID" w:eastAsia="id-ID"/>
        </w:rPr>
        <w:t>Revisi Pemahaman tentang Good Regulatory Governance</w:t>
      </w:r>
    </w:p>
    <w:p w:rsidR="002B622F" w:rsidRDefault="002B622F" w:rsidP="002B622F">
      <w:pPr>
        <w:spacing w:before="100" w:before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lastRenderedPageBreak/>
        <w:t xml:space="preserve">Penelitian menunjukkan bahwa deregulasi tidak selalu identik dengan efektivitas. Ketika </w:t>
      </w:r>
      <w:r w:rsidRPr="002B622F">
        <w:rPr>
          <w:rFonts w:ascii="Times New Roman" w:eastAsia="Times New Roman" w:hAnsi="Times New Roman" w:cs="Times New Roman"/>
          <w:i/>
          <w:iCs/>
          <w:sz w:val="24"/>
          <w:szCs w:val="24"/>
          <w:lang w:val="id-ID" w:eastAsia="id-ID"/>
        </w:rPr>
        <w:t>rule-making</w:t>
      </w:r>
      <w:r w:rsidRPr="002B622F">
        <w:rPr>
          <w:rFonts w:ascii="Times New Roman" w:eastAsia="Times New Roman" w:hAnsi="Times New Roman" w:cs="Times New Roman"/>
          <w:sz w:val="24"/>
          <w:szCs w:val="24"/>
          <w:lang w:val="id-ID" w:eastAsia="id-ID"/>
        </w:rPr>
        <w:t xml:space="preserve"> mengedepankan efisiensi ekonomi tanpa memperhitungkan </w:t>
      </w:r>
      <w:r w:rsidRPr="002B622F">
        <w:rPr>
          <w:rFonts w:ascii="Times New Roman" w:eastAsia="Times New Roman" w:hAnsi="Times New Roman" w:cs="Times New Roman"/>
          <w:i/>
          <w:iCs/>
          <w:sz w:val="24"/>
          <w:szCs w:val="24"/>
          <w:lang w:val="id-ID" w:eastAsia="id-ID"/>
        </w:rPr>
        <w:t>regulatory impact</w:t>
      </w:r>
      <w:r w:rsidRPr="002B622F">
        <w:rPr>
          <w:rFonts w:ascii="Times New Roman" w:eastAsia="Times New Roman" w:hAnsi="Times New Roman" w:cs="Times New Roman"/>
          <w:sz w:val="24"/>
          <w:szCs w:val="24"/>
          <w:lang w:val="id-ID" w:eastAsia="id-ID"/>
        </w:rPr>
        <w:t xml:space="preserve">, muncul </w:t>
      </w:r>
      <w:r w:rsidRPr="002B622F">
        <w:rPr>
          <w:rFonts w:ascii="Times New Roman" w:eastAsia="Times New Roman" w:hAnsi="Times New Roman" w:cs="Times New Roman"/>
          <w:i/>
          <w:iCs/>
          <w:sz w:val="24"/>
          <w:szCs w:val="24"/>
          <w:lang w:val="id-ID" w:eastAsia="id-ID"/>
        </w:rPr>
        <w:t>governance gap</w:t>
      </w:r>
      <w:r>
        <w:rPr>
          <w:rFonts w:ascii="Times New Roman" w:eastAsia="Times New Roman" w:hAnsi="Times New Roman" w:cs="Times New Roman"/>
          <w:sz w:val="24"/>
          <w:szCs w:val="24"/>
          <w:lang w:val="id-ID" w:eastAsia="id-ID"/>
        </w:rPr>
        <w:t xml:space="preserve">. </w:t>
      </w:r>
      <w:r w:rsidRPr="002B622F">
        <w:rPr>
          <w:rFonts w:ascii="Times New Roman" w:eastAsia="Times New Roman" w:hAnsi="Times New Roman" w:cs="Times New Roman"/>
          <w:sz w:val="24"/>
          <w:szCs w:val="24"/>
          <w:lang w:val="id-ID" w:eastAsia="id-ID"/>
        </w:rPr>
        <w:t xml:space="preserve">Hal ini menantang teori </w:t>
      </w:r>
      <w:r w:rsidRPr="002B622F">
        <w:rPr>
          <w:rFonts w:ascii="Times New Roman" w:eastAsia="Times New Roman" w:hAnsi="Times New Roman" w:cs="Times New Roman"/>
          <w:bCs/>
          <w:sz w:val="24"/>
          <w:szCs w:val="24"/>
          <w:lang w:val="id-ID" w:eastAsia="id-ID"/>
        </w:rPr>
        <w:t>Good Regulatory Governance</w:t>
      </w:r>
      <w:r w:rsidRPr="002B622F">
        <w:rPr>
          <w:rFonts w:ascii="Times New Roman" w:eastAsia="Times New Roman" w:hAnsi="Times New Roman" w:cs="Times New Roman"/>
          <w:sz w:val="24"/>
          <w:szCs w:val="24"/>
          <w:lang w:val="id-ID" w:eastAsia="id-ID"/>
        </w:rPr>
        <w:t xml:space="preserve"> yang mensyaratkan </w:t>
      </w:r>
      <w:r w:rsidRPr="002B622F">
        <w:rPr>
          <w:rFonts w:ascii="Times New Roman" w:eastAsia="Times New Roman" w:hAnsi="Times New Roman" w:cs="Times New Roman"/>
          <w:i/>
          <w:iCs/>
          <w:sz w:val="24"/>
          <w:szCs w:val="24"/>
          <w:lang w:val="id-ID" w:eastAsia="id-ID"/>
        </w:rPr>
        <w:t>transparency</w:t>
      </w:r>
      <w:r w:rsidRPr="002B622F">
        <w:rPr>
          <w:rFonts w:ascii="Times New Roman" w:eastAsia="Times New Roman" w:hAnsi="Times New Roman" w:cs="Times New Roman"/>
          <w:sz w:val="24"/>
          <w:szCs w:val="24"/>
          <w:lang w:val="id-ID" w:eastAsia="id-ID"/>
        </w:rPr>
        <w:t xml:space="preserve">, </w:t>
      </w:r>
      <w:r w:rsidRPr="002B622F">
        <w:rPr>
          <w:rFonts w:ascii="Times New Roman" w:eastAsia="Times New Roman" w:hAnsi="Times New Roman" w:cs="Times New Roman"/>
          <w:i/>
          <w:iCs/>
          <w:sz w:val="24"/>
          <w:szCs w:val="24"/>
          <w:lang w:val="id-ID" w:eastAsia="id-ID"/>
        </w:rPr>
        <w:t>consistency</w:t>
      </w:r>
      <w:r w:rsidRPr="002B622F">
        <w:rPr>
          <w:rFonts w:ascii="Times New Roman" w:eastAsia="Times New Roman" w:hAnsi="Times New Roman" w:cs="Times New Roman"/>
          <w:sz w:val="24"/>
          <w:szCs w:val="24"/>
          <w:lang w:val="id-ID" w:eastAsia="id-ID"/>
        </w:rPr>
        <w:t xml:space="preserve">, </w:t>
      </w:r>
      <w:r w:rsidRPr="002B622F">
        <w:rPr>
          <w:rFonts w:ascii="Times New Roman" w:eastAsia="Times New Roman" w:hAnsi="Times New Roman" w:cs="Times New Roman"/>
          <w:i/>
          <w:iCs/>
          <w:sz w:val="24"/>
          <w:szCs w:val="24"/>
          <w:lang w:val="id-ID" w:eastAsia="id-ID"/>
        </w:rPr>
        <w:t>predictability</w:t>
      </w:r>
      <w:r w:rsidRPr="002B622F">
        <w:rPr>
          <w:rFonts w:ascii="Times New Roman" w:eastAsia="Times New Roman" w:hAnsi="Times New Roman" w:cs="Times New Roman"/>
          <w:sz w:val="24"/>
          <w:szCs w:val="24"/>
          <w:lang w:val="id-ID" w:eastAsia="id-ID"/>
        </w:rPr>
        <w:t xml:space="preserve">, serta </w:t>
      </w:r>
      <w:r w:rsidRPr="002B622F">
        <w:rPr>
          <w:rFonts w:ascii="Times New Roman" w:eastAsia="Times New Roman" w:hAnsi="Times New Roman" w:cs="Times New Roman"/>
          <w:i/>
          <w:iCs/>
          <w:sz w:val="24"/>
          <w:szCs w:val="24"/>
          <w:lang w:val="id-ID" w:eastAsia="id-ID"/>
        </w:rPr>
        <w:t>participation</w:t>
      </w:r>
      <w:r w:rsidRPr="002B622F">
        <w:rPr>
          <w:rFonts w:ascii="Times New Roman" w:eastAsia="Times New Roman" w:hAnsi="Times New Roman" w:cs="Times New Roman"/>
          <w:sz w:val="24"/>
          <w:szCs w:val="24"/>
          <w:lang w:val="id-ID" w:eastAsia="id-ID"/>
        </w:rPr>
        <w:t xml:space="preserve"> sebagai fondasi legitimasi.</w:t>
      </w:r>
    </w:p>
    <w:p w:rsidR="002B622F" w:rsidRPr="002B622F" w:rsidRDefault="002B622F" w:rsidP="002B622F">
      <w:pPr>
        <w:spacing w:before="100" w:before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 xml:space="preserve">Dari sini lahir implikasi teoretis bahwa model tata kelola perizinan investasi perlu menambahkan dimensi </w:t>
      </w:r>
      <w:r w:rsidRPr="002B622F">
        <w:rPr>
          <w:rFonts w:ascii="Times New Roman" w:eastAsia="Times New Roman" w:hAnsi="Times New Roman" w:cs="Times New Roman"/>
          <w:bCs/>
          <w:sz w:val="24"/>
          <w:szCs w:val="24"/>
          <w:lang w:val="id-ID" w:eastAsia="id-ID"/>
        </w:rPr>
        <w:t>ecological accountability</w:t>
      </w:r>
      <w:r w:rsidRPr="002B622F">
        <w:rPr>
          <w:rFonts w:ascii="Times New Roman" w:eastAsia="Times New Roman" w:hAnsi="Times New Roman" w:cs="Times New Roman"/>
          <w:sz w:val="24"/>
          <w:szCs w:val="24"/>
          <w:lang w:val="id-ID" w:eastAsia="id-ID"/>
        </w:rPr>
        <w:t xml:space="preserve"> sebagai prinsip inti.</w:t>
      </w:r>
    </w:p>
    <w:p w:rsidR="002B622F" w:rsidRPr="002B622F" w:rsidRDefault="002B622F" w:rsidP="00D6092A">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2B622F">
        <w:rPr>
          <w:rFonts w:ascii="Times New Roman" w:eastAsia="Times New Roman" w:hAnsi="Times New Roman" w:cs="Times New Roman"/>
          <w:b/>
          <w:bCs/>
          <w:sz w:val="24"/>
          <w:szCs w:val="24"/>
          <w:lang w:val="id-ID" w:eastAsia="id-ID"/>
        </w:rPr>
        <w:t xml:space="preserve">3. </w:t>
      </w:r>
      <w:r w:rsidR="00D6092A">
        <w:rPr>
          <w:rFonts w:ascii="Times New Roman" w:eastAsia="Times New Roman" w:hAnsi="Times New Roman" w:cs="Times New Roman"/>
          <w:b/>
          <w:bCs/>
          <w:sz w:val="24"/>
          <w:szCs w:val="24"/>
          <w:lang w:val="id-ID" w:eastAsia="id-ID"/>
        </w:rPr>
        <w:tab/>
      </w:r>
      <w:r w:rsidRPr="002B622F">
        <w:rPr>
          <w:rFonts w:ascii="Times New Roman" w:eastAsia="Times New Roman" w:hAnsi="Times New Roman" w:cs="Times New Roman"/>
          <w:b/>
          <w:bCs/>
          <w:sz w:val="24"/>
          <w:szCs w:val="24"/>
          <w:lang w:val="id-ID" w:eastAsia="id-ID"/>
        </w:rPr>
        <w:t>Penguatan Teori Partisipasi Publik dalam Pengelolaan Lingkungan</w:t>
      </w:r>
    </w:p>
    <w:p w:rsidR="002B622F" w:rsidRDefault="002B622F" w:rsidP="00D6092A">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Hasil penelitian menunjukkan bahwa pembatasan partisipasi publik melalui penyederhanaan AMDAL berakibat pada melemahnya legitimasi sosial dan potensi meningkatnya konflik sumber daya alam.</w:t>
      </w:r>
      <w:r w:rsidRPr="002B622F">
        <w:rPr>
          <w:rFonts w:ascii="Times New Roman" w:eastAsia="Times New Roman" w:hAnsi="Times New Roman" w:cs="Times New Roman"/>
          <w:sz w:val="24"/>
          <w:szCs w:val="24"/>
          <w:lang w:val="id-ID" w:eastAsia="id-ID"/>
        </w:rPr>
        <w:br/>
        <w:t xml:space="preserve">Secara teoretis, ini memperkuat konsep bahwa partisipasi publik bukan sekadar aspek prosedural, tetapi </w:t>
      </w:r>
      <w:r w:rsidRPr="00D6092A">
        <w:rPr>
          <w:rFonts w:ascii="Times New Roman" w:eastAsia="Times New Roman" w:hAnsi="Times New Roman" w:cs="Times New Roman"/>
          <w:bCs/>
          <w:sz w:val="24"/>
          <w:szCs w:val="24"/>
          <w:lang w:val="id-ID" w:eastAsia="id-ID"/>
        </w:rPr>
        <w:t>komponen epistemik</w:t>
      </w:r>
      <w:r w:rsidR="00D6092A">
        <w:rPr>
          <w:rFonts w:ascii="Times New Roman" w:eastAsia="Times New Roman" w:hAnsi="Times New Roman" w:cs="Times New Roman"/>
          <w:bCs/>
          <w:sz w:val="24"/>
          <w:szCs w:val="24"/>
          <w:lang w:val="id-ID" w:eastAsia="id-ID"/>
        </w:rPr>
        <w:t xml:space="preserve"> </w:t>
      </w:r>
      <w:r w:rsidRPr="002B622F">
        <w:rPr>
          <w:rFonts w:ascii="Times New Roman" w:eastAsia="Times New Roman" w:hAnsi="Times New Roman" w:cs="Times New Roman"/>
          <w:sz w:val="24"/>
          <w:szCs w:val="24"/>
          <w:lang w:val="id-ID" w:eastAsia="id-ID"/>
        </w:rPr>
        <w:t>sumber pengetahuan lokal yang krusial untuk meng</w:t>
      </w:r>
      <w:r w:rsidR="00D6092A">
        <w:rPr>
          <w:rFonts w:ascii="Times New Roman" w:eastAsia="Times New Roman" w:hAnsi="Times New Roman" w:cs="Times New Roman"/>
          <w:sz w:val="24"/>
          <w:szCs w:val="24"/>
          <w:lang w:val="id-ID" w:eastAsia="id-ID"/>
        </w:rPr>
        <w:t xml:space="preserve">identifikasi risiko lingkungan. </w:t>
      </w:r>
      <w:r w:rsidRPr="002B622F">
        <w:rPr>
          <w:rFonts w:ascii="Times New Roman" w:eastAsia="Times New Roman" w:hAnsi="Times New Roman" w:cs="Times New Roman"/>
          <w:sz w:val="24"/>
          <w:szCs w:val="24"/>
          <w:lang w:val="id-ID" w:eastAsia="id-ID"/>
        </w:rPr>
        <w:t xml:space="preserve">Teori </w:t>
      </w:r>
      <w:r w:rsidRPr="002B622F">
        <w:rPr>
          <w:rFonts w:ascii="Times New Roman" w:eastAsia="Times New Roman" w:hAnsi="Times New Roman" w:cs="Times New Roman"/>
          <w:i/>
          <w:iCs/>
          <w:sz w:val="24"/>
          <w:szCs w:val="24"/>
          <w:lang w:val="id-ID" w:eastAsia="id-ID"/>
        </w:rPr>
        <w:t>deliberative environmental governance</w:t>
      </w:r>
      <w:r w:rsidRPr="002B622F">
        <w:rPr>
          <w:rFonts w:ascii="Times New Roman" w:eastAsia="Times New Roman" w:hAnsi="Times New Roman" w:cs="Times New Roman"/>
          <w:sz w:val="24"/>
          <w:szCs w:val="24"/>
          <w:lang w:val="id-ID" w:eastAsia="id-ID"/>
        </w:rPr>
        <w:t xml:space="preserve"> perlu memasukkan partisipasi sebagai variabel kinerja kebijakan, bukan hanya sebagai syarat formalitas.</w:t>
      </w:r>
    </w:p>
    <w:p w:rsidR="000024E4" w:rsidRPr="002B622F" w:rsidRDefault="000024E4" w:rsidP="00D6092A">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p>
    <w:p w:rsidR="002B622F" w:rsidRPr="002B622F" w:rsidRDefault="002B622F" w:rsidP="00D6092A">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2B622F">
        <w:rPr>
          <w:rFonts w:ascii="Times New Roman" w:eastAsia="Times New Roman" w:hAnsi="Times New Roman" w:cs="Times New Roman"/>
          <w:b/>
          <w:bCs/>
          <w:sz w:val="24"/>
          <w:szCs w:val="24"/>
          <w:lang w:val="id-ID" w:eastAsia="id-ID"/>
        </w:rPr>
        <w:t xml:space="preserve">4. </w:t>
      </w:r>
      <w:r w:rsidR="00D6092A">
        <w:rPr>
          <w:rFonts w:ascii="Times New Roman" w:eastAsia="Times New Roman" w:hAnsi="Times New Roman" w:cs="Times New Roman"/>
          <w:b/>
          <w:bCs/>
          <w:sz w:val="24"/>
          <w:szCs w:val="24"/>
          <w:lang w:val="id-ID" w:eastAsia="id-ID"/>
        </w:rPr>
        <w:tab/>
      </w:r>
      <w:r w:rsidRPr="002B622F">
        <w:rPr>
          <w:rFonts w:ascii="Times New Roman" w:eastAsia="Times New Roman" w:hAnsi="Times New Roman" w:cs="Times New Roman"/>
          <w:b/>
          <w:bCs/>
          <w:sz w:val="24"/>
          <w:szCs w:val="24"/>
          <w:lang w:val="id-ID" w:eastAsia="id-ID"/>
        </w:rPr>
        <w:t>Reinterpretasi Teori Desentralisasi dan Subsidiaritas</w:t>
      </w:r>
    </w:p>
    <w:p w:rsidR="002B622F" w:rsidRPr="002B622F" w:rsidRDefault="002B622F" w:rsidP="00935036">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Temuan mengenai sentralisasi kewenangan memperlihatkan bahwa prinsip subsidiaritas tereduksi.</w:t>
      </w:r>
      <w:r w:rsidRPr="002B622F">
        <w:rPr>
          <w:rFonts w:ascii="Times New Roman" w:eastAsia="Times New Roman" w:hAnsi="Times New Roman" w:cs="Times New Roman"/>
          <w:sz w:val="24"/>
          <w:szCs w:val="24"/>
          <w:lang w:val="id-ID" w:eastAsia="id-ID"/>
        </w:rPr>
        <w:br/>
        <w:t>Implikasi teoretisnya:</w:t>
      </w:r>
    </w:p>
    <w:p w:rsidR="002B622F" w:rsidRPr="002B622F" w:rsidRDefault="002B622F" w:rsidP="00935036">
      <w:pPr>
        <w:numPr>
          <w:ilvl w:val="0"/>
          <w:numId w:val="3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 xml:space="preserve">Teori desentralisasi perlu diperkaya dengan konsep </w:t>
      </w:r>
      <w:r w:rsidRPr="00935036">
        <w:rPr>
          <w:rFonts w:ascii="Times New Roman" w:eastAsia="Times New Roman" w:hAnsi="Times New Roman" w:cs="Times New Roman"/>
          <w:bCs/>
          <w:sz w:val="24"/>
          <w:szCs w:val="24"/>
          <w:lang w:val="id-ID" w:eastAsia="id-ID"/>
        </w:rPr>
        <w:t>polycentric governance</w:t>
      </w:r>
      <w:r w:rsidRPr="002B622F">
        <w:rPr>
          <w:rFonts w:ascii="Times New Roman" w:eastAsia="Times New Roman" w:hAnsi="Times New Roman" w:cs="Times New Roman"/>
          <w:sz w:val="24"/>
          <w:szCs w:val="24"/>
          <w:lang w:val="id-ID" w:eastAsia="id-ID"/>
        </w:rPr>
        <w:t xml:space="preserve"> (Ostrom), di mana pengelolaan lingkungan efektif apabila kewenangan tersebar pada banyak pusat keputusan yang saling mengawasi.</w:t>
      </w:r>
    </w:p>
    <w:p w:rsidR="002B622F" w:rsidRPr="002B622F" w:rsidRDefault="002B622F" w:rsidP="00935036">
      <w:pPr>
        <w:numPr>
          <w:ilvl w:val="0"/>
          <w:numId w:val="3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Model co-governance dapat menjadi paradigma teoretis baru untuk menyeimbangkan standar nasional dan dinamika lokal.</w:t>
      </w:r>
    </w:p>
    <w:p w:rsidR="009A5A48" w:rsidRDefault="009A5A48" w:rsidP="002B622F">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id-ID" w:eastAsia="id-ID"/>
        </w:rPr>
      </w:pPr>
    </w:p>
    <w:p w:rsidR="002B622F" w:rsidRPr="002B622F" w:rsidRDefault="002B622F" w:rsidP="002B622F">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id-ID" w:eastAsia="id-ID"/>
        </w:rPr>
      </w:pPr>
      <w:r w:rsidRPr="002B622F">
        <w:rPr>
          <w:rFonts w:ascii="Times New Roman" w:eastAsia="Times New Roman" w:hAnsi="Times New Roman" w:cs="Times New Roman"/>
          <w:b/>
          <w:bCs/>
          <w:kern w:val="36"/>
          <w:sz w:val="24"/>
          <w:szCs w:val="24"/>
          <w:lang w:val="id-ID" w:eastAsia="id-ID"/>
        </w:rPr>
        <w:lastRenderedPageBreak/>
        <w:t>MPLIKASI PRAKTIS</w:t>
      </w:r>
    </w:p>
    <w:p w:rsidR="002B622F" w:rsidRPr="002B622F" w:rsidRDefault="002B622F" w:rsidP="00393319">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2B622F">
        <w:rPr>
          <w:rFonts w:ascii="Times New Roman" w:eastAsia="Times New Roman" w:hAnsi="Times New Roman" w:cs="Times New Roman"/>
          <w:b/>
          <w:bCs/>
          <w:sz w:val="24"/>
          <w:szCs w:val="24"/>
          <w:lang w:val="id-ID" w:eastAsia="id-ID"/>
        </w:rPr>
        <w:t xml:space="preserve">1. </w:t>
      </w:r>
      <w:r w:rsidR="00393319">
        <w:rPr>
          <w:rFonts w:ascii="Times New Roman" w:eastAsia="Times New Roman" w:hAnsi="Times New Roman" w:cs="Times New Roman"/>
          <w:b/>
          <w:bCs/>
          <w:sz w:val="24"/>
          <w:szCs w:val="24"/>
          <w:lang w:val="id-ID" w:eastAsia="id-ID"/>
        </w:rPr>
        <w:tab/>
      </w:r>
      <w:r w:rsidRPr="002B622F">
        <w:rPr>
          <w:rFonts w:ascii="Times New Roman" w:eastAsia="Times New Roman" w:hAnsi="Times New Roman" w:cs="Times New Roman"/>
          <w:b/>
          <w:bCs/>
          <w:sz w:val="24"/>
          <w:szCs w:val="24"/>
          <w:lang w:val="id-ID" w:eastAsia="id-ID"/>
        </w:rPr>
        <w:t>Perlu Harmonisasi Regulasi dan SOP Pelaksanaan Perizinan</w:t>
      </w:r>
    </w:p>
    <w:p w:rsidR="002B622F" w:rsidRPr="002B622F" w:rsidRDefault="002B622F" w:rsidP="002B622F">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Temuan mengenai disharmoni antara UUD 1945, UU PPLH, dan UU Cipta Kerja memiliki implikasi praktis berupa kebutuhan mendesak untuk:</w:t>
      </w:r>
    </w:p>
    <w:p w:rsidR="002B622F" w:rsidRPr="002B622F" w:rsidRDefault="002B622F" w:rsidP="00006E18">
      <w:pPr>
        <w:numPr>
          <w:ilvl w:val="0"/>
          <w:numId w:val="3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Mendesain ulang Peraturan Pemerintah dan Peraturan Menteri agar konsisten dengan asas kehati-hatian dan asas keberlanjutan.</w:t>
      </w:r>
    </w:p>
    <w:p w:rsidR="002B622F" w:rsidRPr="002B622F" w:rsidRDefault="002B622F" w:rsidP="00006E18">
      <w:pPr>
        <w:numPr>
          <w:ilvl w:val="0"/>
          <w:numId w:val="3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Memperkuat standar teknis AMDAL sehingga penyederhanaan prosedural tidak mengorbankan perlindungan ekologis.</w:t>
      </w:r>
    </w:p>
    <w:p w:rsidR="002B622F" w:rsidRPr="002B622F" w:rsidRDefault="002B622F" w:rsidP="00006E18">
      <w:pPr>
        <w:numPr>
          <w:ilvl w:val="0"/>
          <w:numId w:val="3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Menyusun SOP baru mengenai persetujuan berusaha berbasis risiko yang transparan dan terukur.</w:t>
      </w:r>
    </w:p>
    <w:p w:rsidR="002B622F" w:rsidRPr="002B622F" w:rsidRDefault="002B622F" w:rsidP="00006E18">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2B622F">
        <w:rPr>
          <w:rFonts w:ascii="Times New Roman" w:eastAsia="Times New Roman" w:hAnsi="Times New Roman" w:cs="Times New Roman"/>
          <w:b/>
          <w:bCs/>
          <w:sz w:val="24"/>
          <w:szCs w:val="24"/>
          <w:lang w:val="id-ID" w:eastAsia="id-ID"/>
        </w:rPr>
        <w:t xml:space="preserve">2. </w:t>
      </w:r>
      <w:r w:rsidR="00006E18">
        <w:rPr>
          <w:rFonts w:ascii="Times New Roman" w:eastAsia="Times New Roman" w:hAnsi="Times New Roman" w:cs="Times New Roman"/>
          <w:b/>
          <w:bCs/>
          <w:sz w:val="24"/>
          <w:szCs w:val="24"/>
          <w:lang w:val="id-ID" w:eastAsia="id-ID"/>
        </w:rPr>
        <w:tab/>
      </w:r>
      <w:r w:rsidRPr="002B622F">
        <w:rPr>
          <w:rFonts w:ascii="Times New Roman" w:eastAsia="Times New Roman" w:hAnsi="Times New Roman" w:cs="Times New Roman"/>
          <w:b/>
          <w:bCs/>
          <w:sz w:val="24"/>
          <w:szCs w:val="24"/>
          <w:lang w:val="id-ID" w:eastAsia="id-ID"/>
        </w:rPr>
        <w:t>Penguatan Kapasitas Pemerintah Daerah dan Mekanisme Co-Governance</w:t>
      </w:r>
    </w:p>
    <w:p w:rsidR="002B622F" w:rsidRPr="002B622F" w:rsidRDefault="002B622F" w:rsidP="00006E18">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Kewenangan daerah yang semakin terbatas berdampak pada lemahnya responsivitas terhadap</w:t>
      </w:r>
      <w:r w:rsidR="00006E18" w:rsidRPr="00006E18">
        <w:rPr>
          <w:rFonts w:ascii="Times New Roman" w:eastAsia="Times New Roman" w:hAnsi="Times New Roman" w:cs="Times New Roman"/>
          <w:color w:val="FFFFFF" w:themeColor="background1"/>
          <w:sz w:val="24"/>
          <w:szCs w:val="24"/>
          <w:lang w:val="id-ID" w:eastAsia="id-ID"/>
        </w:rPr>
        <w:t>_</w:t>
      </w:r>
      <w:r w:rsidRPr="002B622F">
        <w:rPr>
          <w:rFonts w:ascii="Times New Roman" w:eastAsia="Times New Roman" w:hAnsi="Times New Roman" w:cs="Times New Roman"/>
          <w:sz w:val="24"/>
          <w:szCs w:val="24"/>
          <w:lang w:val="id-ID" w:eastAsia="id-ID"/>
        </w:rPr>
        <w:t>isu</w:t>
      </w:r>
      <w:r w:rsidR="00006E18" w:rsidRPr="00006E18">
        <w:rPr>
          <w:rFonts w:ascii="Times New Roman" w:eastAsia="Times New Roman" w:hAnsi="Times New Roman" w:cs="Times New Roman"/>
          <w:color w:val="FFFFFF" w:themeColor="background1"/>
          <w:sz w:val="24"/>
          <w:szCs w:val="24"/>
          <w:lang w:val="id-ID" w:eastAsia="id-ID"/>
        </w:rPr>
        <w:t>_</w:t>
      </w:r>
      <w:r w:rsidRPr="002B622F">
        <w:rPr>
          <w:rFonts w:ascii="Times New Roman" w:eastAsia="Times New Roman" w:hAnsi="Times New Roman" w:cs="Times New Roman"/>
          <w:sz w:val="24"/>
          <w:szCs w:val="24"/>
          <w:lang w:val="id-ID" w:eastAsia="id-ID"/>
        </w:rPr>
        <w:t>lingkungan</w:t>
      </w:r>
      <w:r w:rsidR="00006E18" w:rsidRPr="00006E18">
        <w:rPr>
          <w:rFonts w:ascii="Times New Roman" w:eastAsia="Times New Roman" w:hAnsi="Times New Roman" w:cs="Times New Roman"/>
          <w:color w:val="FFFFFF" w:themeColor="background1"/>
          <w:sz w:val="24"/>
          <w:szCs w:val="24"/>
          <w:lang w:val="id-ID" w:eastAsia="id-ID"/>
        </w:rPr>
        <w:t>_</w:t>
      </w:r>
      <w:r w:rsidRPr="002B622F">
        <w:rPr>
          <w:rFonts w:ascii="Times New Roman" w:eastAsia="Times New Roman" w:hAnsi="Times New Roman" w:cs="Times New Roman"/>
          <w:sz w:val="24"/>
          <w:szCs w:val="24"/>
          <w:lang w:val="id-ID" w:eastAsia="id-ID"/>
        </w:rPr>
        <w:t>lokal.</w:t>
      </w:r>
      <w:r w:rsidRPr="002B622F">
        <w:rPr>
          <w:rFonts w:ascii="Times New Roman" w:eastAsia="Times New Roman" w:hAnsi="Times New Roman" w:cs="Times New Roman"/>
          <w:sz w:val="24"/>
          <w:szCs w:val="24"/>
          <w:lang w:val="id-ID" w:eastAsia="id-ID"/>
        </w:rPr>
        <w:br/>
        <w:t>Implikasi praktis:</w:t>
      </w:r>
    </w:p>
    <w:p w:rsidR="002B622F" w:rsidRPr="002B622F" w:rsidRDefault="002B622F" w:rsidP="00DF7E85">
      <w:pPr>
        <w:numPr>
          <w:ilvl w:val="0"/>
          <w:numId w:val="4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 xml:space="preserve">Daerah perlu diperkuat dengan </w:t>
      </w:r>
      <w:r w:rsidRPr="002B622F">
        <w:rPr>
          <w:rFonts w:ascii="Times New Roman" w:eastAsia="Times New Roman" w:hAnsi="Times New Roman" w:cs="Times New Roman"/>
          <w:i/>
          <w:iCs/>
          <w:sz w:val="24"/>
          <w:szCs w:val="24"/>
          <w:lang w:val="id-ID" w:eastAsia="id-ID"/>
        </w:rPr>
        <w:t>capacity building</w:t>
      </w:r>
      <w:r w:rsidRPr="002B622F">
        <w:rPr>
          <w:rFonts w:ascii="Times New Roman" w:eastAsia="Times New Roman" w:hAnsi="Times New Roman" w:cs="Times New Roman"/>
          <w:sz w:val="24"/>
          <w:szCs w:val="24"/>
          <w:lang w:val="id-ID" w:eastAsia="id-ID"/>
        </w:rPr>
        <w:t xml:space="preserve"> teknis (laboratorium, SDM analis dampak lingkungan, sistem pengawasan digital).</w:t>
      </w:r>
    </w:p>
    <w:p w:rsidR="002B622F" w:rsidRPr="002B622F" w:rsidRDefault="002B622F" w:rsidP="00DF7E85">
      <w:pPr>
        <w:numPr>
          <w:ilvl w:val="0"/>
          <w:numId w:val="4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 xml:space="preserve">Pemerintah pusat perlu membangun mekanisme </w:t>
      </w:r>
      <w:r w:rsidRPr="002B622F">
        <w:rPr>
          <w:rFonts w:ascii="Times New Roman" w:eastAsia="Times New Roman" w:hAnsi="Times New Roman" w:cs="Times New Roman"/>
          <w:i/>
          <w:iCs/>
          <w:sz w:val="24"/>
          <w:szCs w:val="24"/>
          <w:lang w:val="id-ID" w:eastAsia="id-ID"/>
        </w:rPr>
        <w:t>shared authority</w:t>
      </w:r>
      <w:r w:rsidRPr="002B622F">
        <w:rPr>
          <w:rFonts w:ascii="Times New Roman" w:eastAsia="Times New Roman" w:hAnsi="Times New Roman" w:cs="Times New Roman"/>
          <w:sz w:val="24"/>
          <w:szCs w:val="24"/>
          <w:lang w:val="id-ID" w:eastAsia="id-ID"/>
        </w:rPr>
        <w:t xml:space="preserve"> sehingga keputusan investasi tetap mempertimbangkan kearifan lokal dan kondisi ekologis spesifik wilayah.</w:t>
      </w:r>
    </w:p>
    <w:p w:rsidR="002B622F" w:rsidRPr="002B622F" w:rsidRDefault="002B622F" w:rsidP="00DF7E85">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2B622F">
        <w:rPr>
          <w:rFonts w:ascii="Times New Roman" w:eastAsia="Times New Roman" w:hAnsi="Times New Roman" w:cs="Times New Roman"/>
          <w:b/>
          <w:bCs/>
          <w:sz w:val="24"/>
          <w:szCs w:val="24"/>
          <w:lang w:val="id-ID" w:eastAsia="id-ID"/>
        </w:rPr>
        <w:t xml:space="preserve">3. </w:t>
      </w:r>
      <w:r w:rsidR="00DF7E85">
        <w:rPr>
          <w:rFonts w:ascii="Times New Roman" w:eastAsia="Times New Roman" w:hAnsi="Times New Roman" w:cs="Times New Roman"/>
          <w:b/>
          <w:bCs/>
          <w:sz w:val="24"/>
          <w:szCs w:val="24"/>
          <w:lang w:val="id-ID" w:eastAsia="id-ID"/>
        </w:rPr>
        <w:tab/>
      </w:r>
      <w:r w:rsidRPr="002B622F">
        <w:rPr>
          <w:rFonts w:ascii="Times New Roman" w:eastAsia="Times New Roman" w:hAnsi="Times New Roman" w:cs="Times New Roman"/>
          <w:b/>
          <w:bCs/>
          <w:sz w:val="24"/>
          <w:szCs w:val="24"/>
          <w:lang w:val="id-ID" w:eastAsia="id-ID"/>
        </w:rPr>
        <w:t>Optimalisasi Partisipasi Publik dan Transparansi Informasi</w:t>
      </w:r>
    </w:p>
    <w:p w:rsidR="002B622F" w:rsidRPr="002B622F" w:rsidRDefault="002B622F" w:rsidP="00DF7E8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Karena AMDAL yang disederhanakan berpotensi menurunkan kualitas kontrol sosial, maka praktis diperlukan:</w:t>
      </w:r>
    </w:p>
    <w:p w:rsidR="002B622F" w:rsidRPr="002B622F" w:rsidRDefault="002B622F" w:rsidP="00DF7E85">
      <w:pPr>
        <w:numPr>
          <w:ilvl w:val="0"/>
          <w:numId w:val="4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Sistem informasi lingkungan berbasis daring yang dapat diakses publik.</w:t>
      </w:r>
    </w:p>
    <w:p w:rsidR="002B622F" w:rsidRPr="002B622F" w:rsidRDefault="002B622F" w:rsidP="00DF7E85">
      <w:pPr>
        <w:numPr>
          <w:ilvl w:val="0"/>
          <w:numId w:val="4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Forum konsultasi publik yang tidak hanya formalitas, tetapi menjadi mekanisme deliberasi yang efektif.</w:t>
      </w:r>
    </w:p>
    <w:p w:rsidR="002B622F" w:rsidRPr="002B622F" w:rsidRDefault="002B622F" w:rsidP="00DF7E85">
      <w:pPr>
        <w:numPr>
          <w:ilvl w:val="0"/>
          <w:numId w:val="4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 xml:space="preserve">Kewajiban pemrakarsa untuk mempublikasikan </w:t>
      </w:r>
      <w:r w:rsidRPr="002B622F">
        <w:rPr>
          <w:rFonts w:ascii="Times New Roman" w:eastAsia="Times New Roman" w:hAnsi="Times New Roman" w:cs="Times New Roman"/>
          <w:i/>
          <w:iCs/>
          <w:sz w:val="24"/>
          <w:szCs w:val="24"/>
          <w:lang w:val="id-ID" w:eastAsia="id-ID"/>
        </w:rPr>
        <w:t>Environmental Management Plan</w:t>
      </w:r>
      <w:r w:rsidRPr="002B622F">
        <w:rPr>
          <w:rFonts w:ascii="Times New Roman" w:eastAsia="Times New Roman" w:hAnsi="Times New Roman" w:cs="Times New Roman"/>
          <w:sz w:val="24"/>
          <w:szCs w:val="24"/>
          <w:lang w:val="id-ID" w:eastAsia="id-ID"/>
        </w:rPr>
        <w:t xml:space="preserve"> (RKL-RPL) dan progres pemantauannya.</w:t>
      </w:r>
    </w:p>
    <w:p w:rsidR="002B622F" w:rsidRPr="002B622F" w:rsidRDefault="002B622F" w:rsidP="00DF7E85">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2B622F">
        <w:rPr>
          <w:rFonts w:ascii="Times New Roman" w:eastAsia="Times New Roman" w:hAnsi="Times New Roman" w:cs="Times New Roman"/>
          <w:b/>
          <w:bCs/>
          <w:sz w:val="24"/>
          <w:szCs w:val="24"/>
          <w:lang w:val="id-ID" w:eastAsia="id-ID"/>
        </w:rPr>
        <w:lastRenderedPageBreak/>
        <w:t xml:space="preserve">4. </w:t>
      </w:r>
      <w:r w:rsidR="00DF7E85">
        <w:rPr>
          <w:rFonts w:ascii="Times New Roman" w:eastAsia="Times New Roman" w:hAnsi="Times New Roman" w:cs="Times New Roman"/>
          <w:b/>
          <w:bCs/>
          <w:sz w:val="24"/>
          <w:szCs w:val="24"/>
          <w:lang w:val="id-ID" w:eastAsia="id-ID"/>
        </w:rPr>
        <w:tab/>
      </w:r>
      <w:r w:rsidRPr="002B622F">
        <w:rPr>
          <w:rFonts w:ascii="Times New Roman" w:eastAsia="Times New Roman" w:hAnsi="Times New Roman" w:cs="Times New Roman"/>
          <w:b/>
          <w:bCs/>
          <w:sz w:val="24"/>
          <w:szCs w:val="24"/>
          <w:lang w:val="id-ID" w:eastAsia="id-ID"/>
        </w:rPr>
        <w:t>Penguatan Instrumen Pengawasan dan Sanksi</w:t>
      </w:r>
    </w:p>
    <w:p w:rsidR="002B622F" w:rsidRPr="002B622F" w:rsidRDefault="002B622F" w:rsidP="00DF7E85">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Penyederhanaan izin tanpa pengawasan menimbulkan risiko ekologis yang tinggi.</w:t>
      </w:r>
      <w:r w:rsidRPr="002B622F">
        <w:rPr>
          <w:rFonts w:ascii="Times New Roman" w:eastAsia="Times New Roman" w:hAnsi="Times New Roman" w:cs="Times New Roman"/>
          <w:sz w:val="24"/>
          <w:szCs w:val="24"/>
          <w:lang w:val="id-ID" w:eastAsia="id-ID"/>
        </w:rPr>
        <w:br/>
        <w:t>Implikasi praktis:</w:t>
      </w:r>
    </w:p>
    <w:p w:rsidR="002B622F" w:rsidRPr="002B622F" w:rsidRDefault="002B622F" w:rsidP="00DF7E85">
      <w:pPr>
        <w:numPr>
          <w:ilvl w:val="0"/>
          <w:numId w:val="4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 xml:space="preserve">Membangun </w:t>
      </w:r>
      <w:r w:rsidRPr="002B622F">
        <w:rPr>
          <w:rFonts w:ascii="Times New Roman" w:eastAsia="Times New Roman" w:hAnsi="Times New Roman" w:cs="Times New Roman"/>
          <w:i/>
          <w:iCs/>
          <w:sz w:val="24"/>
          <w:szCs w:val="24"/>
          <w:lang w:val="id-ID" w:eastAsia="id-ID"/>
        </w:rPr>
        <w:t>early warning system</w:t>
      </w:r>
      <w:r w:rsidRPr="002B622F">
        <w:rPr>
          <w:rFonts w:ascii="Times New Roman" w:eastAsia="Times New Roman" w:hAnsi="Times New Roman" w:cs="Times New Roman"/>
          <w:sz w:val="24"/>
          <w:szCs w:val="24"/>
          <w:lang w:val="id-ID" w:eastAsia="id-ID"/>
        </w:rPr>
        <w:t xml:space="preserve"> berbasis data kualitas lingkungan.</w:t>
      </w:r>
    </w:p>
    <w:p w:rsidR="002B622F" w:rsidRPr="002B622F" w:rsidRDefault="002B622F" w:rsidP="00DF7E85">
      <w:pPr>
        <w:numPr>
          <w:ilvl w:val="0"/>
          <w:numId w:val="4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Integrasi pengawasan berbasis risiko dengan audit lingkungan berkala.</w:t>
      </w:r>
    </w:p>
    <w:p w:rsidR="002B622F" w:rsidRPr="002B622F" w:rsidRDefault="002B622F" w:rsidP="00DF7E85">
      <w:pPr>
        <w:numPr>
          <w:ilvl w:val="0"/>
          <w:numId w:val="4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Perbaikan sanksi administratif dan pidana agar memberikan efek jera.</w:t>
      </w:r>
    </w:p>
    <w:p w:rsidR="002B622F" w:rsidRPr="002B622F" w:rsidRDefault="002B622F" w:rsidP="00EB3A17">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2B622F">
        <w:rPr>
          <w:rFonts w:ascii="Times New Roman" w:eastAsia="Times New Roman" w:hAnsi="Times New Roman" w:cs="Times New Roman"/>
          <w:b/>
          <w:bCs/>
          <w:sz w:val="24"/>
          <w:szCs w:val="24"/>
          <w:lang w:val="id-ID" w:eastAsia="id-ID"/>
        </w:rPr>
        <w:t xml:space="preserve">5. </w:t>
      </w:r>
      <w:r w:rsidR="00EB3A17">
        <w:rPr>
          <w:rFonts w:ascii="Times New Roman" w:eastAsia="Times New Roman" w:hAnsi="Times New Roman" w:cs="Times New Roman"/>
          <w:b/>
          <w:bCs/>
          <w:sz w:val="24"/>
          <w:szCs w:val="24"/>
          <w:lang w:val="id-ID" w:eastAsia="id-ID"/>
        </w:rPr>
        <w:tab/>
      </w:r>
      <w:r w:rsidRPr="002B622F">
        <w:rPr>
          <w:rFonts w:ascii="Times New Roman" w:eastAsia="Times New Roman" w:hAnsi="Times New Roman" w:cs="Times New Roman"/>
          <w:b/>
          <w:bCs/>
          <w:sz w:val="24"/>
          <w:szCs w:val="24"/>
          <w:lang w:val="id-ID" w:eastAsia="id-ID"/>
        </w:rPr>
        <w:t>Model Kebijakan yang Seimbang antara Investasi dan Keberlanjutan</w:t>
      </w:r>
    </w:p>
    <w:p w:rsidR="002B622F" w:rsidRPr="002B622F" w:rsidRDefault="002B622F" w:rsidP="00EB3A17">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Implikasi praktis terakhir adalah kebutuhan merancang model kebijakan yang mengintegrasikan:</w:t>
      </w:r>
    </w:p>
    <w:p w:rsidR="002B622F" w:rsidRPr="002B622F" w:rsidRDefault="002B622F" w:rsidP="00EB3A17">
      <w:pPr>
        <w:numPr>
          <w:ilvl w:val="0"/>
          <w:numId w:val="4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i/>
          <w:iCs/>
          <w:sz w:val="24"/>
          <w:szCs w:val="24"/>
          <w:lang w:val="id-ID" w:eastAsia="id-ID"/>
        </w:rPr>
        <w:t>Green investment standards</w:t>
      </w:r>
    </w:p>
    <w:p w:rsidR="002B622F" w:rsidRPr="002B622F" w:rsidRDefault="002B622F" w:rsidP="00EB3A17">
      <w:pPr>
        <w:numPr>
          <w:ilvl w:val="0"/>
          <w:numId w:val="4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Insentif bagi perusahaan yang melaksanakan praktik ekonomi sirkular</w:t>
      </w:r>
    </w:p>
    <w:p w:rsidR="002B622F" w:rsidRPr="002B622F" w:rsidRDefault="002B622F" w:rsidP="00EB3A17">
      <w:pPr>
        <w:numPr>
          <w:ilvl w:val="0"/>
          <w:numId w:val="4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2B622F">
        <w:rPr>
          <w:rFonts w:ascii="Times New Roman" w:eastAsia="Times New Roman" w:hAnsi="Times New Roman" w:cs="Times New Roman"/>
          <w:sz w:val="24"/>
          <w:szCs w:val="24"/>
          <w:lang w:val="id-ID" w:eastAsia="id-ID"/>
        </w:rPr>
        <w:t>Penguatan ESG (Environment, Social, Governance) sebagai prasyarat investasi</w:t>
      </w:r>
      <w:r w:rsidRPr="002B622F">
        <w:rPr>
          <w:rFonts w:ascii="Times New Roman" w:eastAsia="Times New Roman" w:hAnsi="Times New Roman" w:cs="Times New Roman"/>
          <w:sz w:val="24"/>
          <w:szCs w:val="24"/>
          <w:lang w:val="id-ID" w:eastAsia="id-ID"/>
        </w:rPr>
        <w:br/>
        <w:t>Sehingga percepatan investasi tidak bertentangan dengan mandat konstitusi tentang perlindungan lingkungan.</w:t>
      </w:r>
    </w:p>
    <w:p w:rsidR="000024E4" w:rsidRDefault="000024E4" w:rsidP="00A2381D">
      <w:pPr>
        <w:spacing w:before="100" w:beforeAutospacing="1" w:after="100" w:afterAutospacing="1" w:line="240" w:lineRule="auto"/>
        <w:jc w:val="center"/>
        <w:outlineLvl w:val="1"/>
        <w:rPr>
          <w:rFonts w:ascii="Times New Roman" w:eastAsia="Times New Roman" w:hAnsi="Times New Roman" w:cs="Times New Roman"/>
          <w:b/>
          <w:bCs/>
          <w:sz w:val="24"/>
          <w:szCs w:val="36"/>
          <w:lang w:val="id-ID" w:eastAsia="id-ID"/>
        </w:rPr>
      </w:pPr>
    </w:p>
    <w:p w:rsidR="00BC6514" w:rsidRPr="00BC6514" w:rsidRDefault="00BC6514" w:rsidP="00A2381D">
      <w:pPr>
        <w:spacing w:before="100" w:beforeAutospacing="1" w:after="100" w:afterAutospacing="1" w:line="240" w:lineRule="auto"/>
        <w:jc w:val="center"/>
        <w:outlineLvl w:val="1"/>
        <w:rPr>
          <w:rFonts w:ascii="Times New Roman" w:eastAsia="Times New Roman" w:hAnsi="Times New Roman" w:cs="Times New Roman"/>
          <w:b/>
          <w:bCs/>
          <w:sz w:val="24"/>
          <w:szCs w:val="36"/>
          <w:lang w:val="id-ID" w:eastAsia="id-ID"/>
        </w:rPr>
      </w:pPr>
      <w:r w:rsidRPr="00BC6514">
        <w:rPr>
          <w:rFonts w:ascii="Times New Roman" w:eastAsia="Times New Roman" w:hAnsi="Times New Roman" w:cs="Times New Roman"/>
          <w:b/>
          <w:bCs/>
          <w:sz w:val="24"/>
          <w:szCs w:val="36"/>
          <w:lang w:val="id-ID" w:eastAsia="id-ID"/>
        </w:rPr>
        <w:t>DAFTAR PUSTAKA</w:t>
      </w:r>
    </w:p>
    <w:p w:rsidR="0060508E" w:rsidRPr="0060508E" w:rsidRDefault="0060508E" w:rsidP="0060508E">
      <w:pPr>
        <w:spacing w:before="100" w:beforeAutospacing="1" w:after="100" w:afterAutospacing="1" w:line="240" w:lineRule="auto"/>
        <w:ind w:left="567" w:hanging="567"/>
        <w:outlineLvl w:val="2"/>
        <w:rPr>
          <w:rFonts w:ascii="Times New Roman" w:eastAsia="Times New Roman" w:hAnsi="Times New Roman" w:cs="Times New Roman"/>
          <w:b/>
          <w:bCs/>
          <w:sz w:val="24"/>
          <w:szCs w:val="27"/>
          <w:lang w:val="id-ID" w:eastAsia="id-ID"/>
        </w:rPr>
      </w:pPr>
      <w:r>
        <w:rPr>
          <w:rFonts w:ascii="Times New Roman" w:eastAsia="Times New Roman" w:hAnsi="Times New Roman" w:cs="Times New Roman"/>
          <w:b/>
          <w:bCs/>
          <w:sz w:val="24"/>
          <w:szCs w:val="27"/>
          <w:lang w:val="id-ID" w:eastAsia="id-ID"/>
        </w:rPr>
        <w:t>A.</w:t>
      </w:r>
      <w:r>
        <w:rPr>
          <w:rFonts w:ascii="Times New Roman" w:eastAsia="Times New Roman" w:hAnsi="Times New Roman" w:cs="Times New Roman"/>
          <w:b/>
          <w:bCs/>
          <w:sz w:val="24"/>
          <w:szCs w:val="27"/>
          <w:lang w:val="id-ID" w:eastAsia="id-ID"/>
        </w:rPr>
        <w:tab/>
      </w:r>
      <w:r w:rsidRPr="0060508E">
        <w:rPr>
          <w:rFonts w:ascii="Times New Roman" w:eastAsia="Times New Roman" w:hAnsi="Times New Roman" w:cs="Times New Roman"/>
          <w:b/>
          <w:bCs/>
          <w:sz w:val="24"/>
          <w:szCs w:val="27"/>
          <w:lang w:val="id-ID" w:eastAsia="id-ID"/>
        </w:rPr>
        <w:t>Buku &amp; Monograf</w:t>
      </w:r>
    </w:p>
    <w:p w:rsidR="0060508E" w:rsidRPr="0060508E" w:rsidRDefault="0060508E" w:rsidP="0060508E">
      <w:pPr>
        <w:spacing w:before="100" w:beforeAutospacing="1" w:after="100" w:afterAutospacing="1"/>
        <w:ind w:left="567" w:hanging="567"/>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Black, Julia. </w:t>
      </w:r>
      <w:r w:rsidRPr="0060508E">
        <w:rPr>
          <w:rFonts w:ascii="Times New Roman" w:eastAsia="Times New Roman" w:hAnsi="Times New Roman" w:cs="Times New Roman"/>
          <w:i/>
          <w:iCs/>
          <w:sz w:val="24"/>
          <w:szCs w:val="24"/>
          <w:lang w:val="id-ID" w:eastAsia="id-ID"/>
        </w:rPr>
        <w:t>Critical Reflections on Regulation</w:t>
      </w:r>
      <w:r w:rsidRPr="0060508E">
        <w:rPr>
          <w:rFonts w:ascii="Times New Roman" w:eastAsia="Times New Roman" w:hAnsi="Times New Roman" w:cs="Times New Roman"/>
          <w:sz w:val="24"/>
          <w:szCs w:val="24"/>
          <w:lang w:val="id-ID" w:eastAsia="id-ID"/>
        </w:rPr>
        <w:t>. London School of Economics and Political Science, 2002.</w:t>
      </w:r>
    </w:p>
    <w:p w:rsidR="0060508E" w:rsidRPr="0060508E" w:rsidRDefault="0060508E" w:rsidP="0060508E">
      <w:pPr>
        <w:spacing w:before="100" w:beforeAutospacing="1" w:after="100" w:afterAutospacing="1"/>
        <w:ind w:left="567" w:hanging="567"/>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Holder, Jane, and Maria Lee. </w:t>
      </w:r>
      <w:r w:rsidRPr="0060508E">
        <w:rPr>
          <w:rFonts w:ascii="Times New Roman" w:eastAsia="Times New Roman" w:hAnsi="Times New Roman" w:cs="Times New Roman"/>
          <w:i/>
          <w:iCs/>
          <w:sz w:val="24"/>
          <w:szCs w:val="24"/>
          <w:lang w:val="id-ID" w:eastAsia="id-ID"/>
        </w:rPr>
        <w:t>Environmental Protection, Law, and Policy</w:t>
      </w:r>
      <w:r w:rsidRPr="0060508E">
        <w:rPr>
          <w:rFonts w:ascii="Times New Roman" w:eastAsia="Times New Roman" w:hAnsi="Times New Roman" w:cs="Times New Roman"/>
          <w:sz w:val="24"/>
          <w:szCs w:val="24"/>
          <w:lang w:val="id-ID" w:eastAsia="id-ID"/>
        </w:rPr>
        <w:t>. Cambridge University Press, 2007.</w:t>
      </w:r>
    </w:p>
    <w:p w:rsidR="0060508E" w:rsidRPr="0060508E" w:rsidRDefault="0060508E" w:rsidP="0060508E">
      <w:pPr>
        <w:spacing w:before="100" w:beforeAutospacing="1" w:after="100" w:afterAutospacing="1"/>
        <w:ind w:left="567" w:hanging="567"/>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Kelsen, Hans. </w:t>
      </w:r>
      <w:r w:rsidRPr="0060508E">
        <w:rPr>
          <w:rFonts w:ascii="Times New Roman" w:eastAsia="Times New Roman" w:hAnsi="Times New Roman" w:cs="Times New Roman"/>
          <w:i/>
          <w:iCs/>
          <w:sz w:val="24"/>
          <w:szCs w:val="24"/>
          <w:lang w:val="id-ID" w:eastAsia="id-ID"/>
        </w:rPr>
        <w:t>General Theory of Law and State</w:t>
      </w:r>
      <w:r w:rsidRPr="0060508E">
        <w:rPr>
          <w:rFonts w:ascii="Times New Roman" w:eastAsia="Times New Roman" w:hAnsi="Times New Roman" w:cs="Times New Roman"/>
          <w:sz w:val="24"/>
          <w:szCs w:val="24"/>
          <w:lang w:val="id-ID" w:eastAsia="id-ID"/>
        </w:rPr>
        <w:t>. Harvard University Press, 1949.</w:t>
      </w:r>
    </w:p>
    <w:p w:rsidR="0060508E" w:rsidRPr="0060508E" w:rsidRDefault="0060508E" w:rsidP="0060508E">
      <w:pPr>
        <w:spacing w:before="100" w:beforeAutospacing="1" w:after="100" w:afterAutospacing="1"/>
        <w:ind w:left="567" w:hanging="567"/>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Ostrom, Elinor. </w:t>
      </w:r>
      <w:r w:rsidRPr="0060508E">
        <w:rPr>
          <w:rFonts w:ascii="Times New Roman" w:eastAsia="Times New Roman" w:hAnsi="Times New Roman" w:cs="Times New Roman"/>
          <w:i/>
          <w:iCs/>
          <w:sz w:val="24"/>
          <w:szCs w:val="24"/>
          <w:lang w:val="id-ID" w:eastAsia="id-ID"/>
        </w:rPr>
        <w:t>Governing the Commons: The Evolution of Institutions for Collective Action</w:t>
      </w:r>
      <w:r w:rsidRPr="0060508E">
        <w:rPr>
          <w:rFonts w:ascii="Times New Roman" w:eastAsia="Times New Roman" w:hAnsi="Times New Roman" w:cs="Times New Roman"/>
          <w:sz w:val="24"/>
          <w:szCs w:val="24"/>
          <w:lang w:val="id-ID" w:eastAsia="id-ID"/>
        </w:rPr>
        <w:t>. Cambridge University Press, 1990.</w:t>
      </w:r>
    </w:p>
    <w:p w:rsidR="0060508E" w:rsidRPr="0060508E" w:rsidRDefault="0060508E" w:rsidP="0060508E">
      <w:pPr>
        <w:spacing w:before="100" w:beforeAutospacing="1" w:after="100" w:afterAutospacing="1"/>
        <w:ind w:left="567" w:hanging="567"/>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Rawls, John. </w:t>
      </w:r>
      <w:r w:rsidRPr="0060508E">
        <w:rPr>
          <w:rFonts w:ascii="Times New Roman" w:eastAsia="Times New Roman" w:hAnsi="Times New Roman" w:cs="Times New Roman"/>
          <w:i/>
          <w:iCs/>
          <w:sz w:val="24"/>
          <w:szCs w:val="24"/>
          <w:lang w:val="id-ID" w:eastAsia="id-ID"/>
        </w:rPr>
        <w:t>A Theory of Justice</w:t>
      </w:r>
      <w:r w:rsidRPr="0060508E">
        <w:rPr>
          <w:rFonts w:ascii="Times New Roman" w:eastAsia="Times New Roman" w:hAnsi="Times New Roman" w:cs="Times New Roman"/>
          <w:sz w:val="24"/>
          <w:szCs w:val="24"/>
          <w:lang w:val="id-ID" w:eastAsia="id-ID"/>
        </w:rPr>
        <w:t>. Harvard University Press, 1971.</w:t>
      </w:r>
    </w:p>
    <w:p w:rsidR="0060508E" w:rsidRPr="0060508E" w:rsidRDefault="0060508E" w:rsidP="0060508E">
      <w:pPr>
        <w:spacing w:before="100" w:beforeAutospacing="1" w:after="100" w:afterAutospacing="1"/>
        <w:ind w:left="567" w:hanging="567"/>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Rosenbloom, David H. </w:t>
      </w:r>
      <w:r w:rsidRPr="0060508E">
        <w:rPr>
          <w:rFonts w:ascii="Times New Roman" w:eastAsia="Times New Roman" w:hAnsi="Times New Roman" w:cs="Times New Roman"/>
          <w:i/>
          <w:iCs/>
          <w:sz w:val="24"/>
          <w:szCs w:val="24"/>
          <w:lang w:val="id-ID" w:eastAsia="id-ID"/>
        </w:rPr>
        <w:t>Public Administration: Understanding Management, Politics, and Law in the Public Sector</w:t>
      </w:r>
      <w:r w:rsidRPr="0060508E">
        <w:rPr>
          <w:rFonts w:ascii="Times New Roman" w:eastAsia="Times New Roman" w:hAnsi="Times New Roman" w:cs="Times New Roman"/>
          <w:sz w:val="24"/>
          <w:szCs w:val="24"/>
          <w:lang w:val="id-ID" w:eastAsia="id-ID"/>
        </w:rPr>
        <w:t>. McGraw-Hill, 2015.</w:t>
      </w:r>
    </w:p>
    <w:p w:rsidR="0060508E" w:rsidRPr="0060508E" w:rsidRDefault="0060508E" w:rsidP="0060508E">
      <w:pPr>
        <w:spacing w:before="100" w:beforeAutospacing="1" w:after="100" w:afterAutospacing="1"/>
        <w:ind w:left="567" w:hanging="567"/>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lastRenderedPageBreak/>
        <w:t xml:space="preserve">Thomas, John Clayton. </w:t>
      </w:r>
      <w:r w:rsidRPr="0060508E">
        <w:rPr>
          <w:rFonts w:ascii="Times New Roman" w:eastAsia="Times New Roman" w:hAnsi="Times New Roman" w:cs="Times New Roman"/>
          <w:i/>
          <w:iCs/>
          <w:sz w:val="24"/>
          <w:szCs w:val="24"/>
          <w:lang w:val="id-ID" w:eastAsia="id-ID"/>
        </w:rPr>
        <w:t>Citizen, Bureaucrat, and the Environment: Citizen Participation in Environmental Policy</w:t>
      </w:r>
      <w:r w:rsidRPr="0060508E">
        <w:rPr>
          <w:rFonts w:ascii="Times New Roman" w:eastAsia="Times New Roman" w:hAnsi="Times New Roman" w:cs="Times New Roman"/>
          <w:sz w:val="24"/>
          <w:szCs w:val="24"/>
          <w:lang w:val="id-ID" w:eastAsia="id-ID"/>
        </w:rPr>
        <w:t>. Prentice Hall, 1995.</w:t>
      </w:r>
    </w:p>
    <w:p w:rsidR="0060508E" w:rsidRPr="0060508E" w:rsidRDefault="0009287A" w:rsidP="0009287A">
      <w:pPr>
        <w:spacing w:before="100" w:beforeAutospacing="1" w:after="100" w:afterAutospacing="1" w:line="240" w:lineRule="auto"/>
        <w:ind w:left="567" w:hanging="567"/>
        <w:outlineLvl w:val="0"/>
        <w:rPr>
          <w:rFonts w:ascii="Times New Roman" w:eastAsia="Times New Roman" w:hAnsi="Times New Roman" w:cs="Times New Roman"/>
          <w:b/>
          <w:bCs/>
          <w:kern w:val="36"/>
          <w:sz w:val="24"/>
          <w:szCs w:val="48"/>
          <w:lang w:val="id-ID" w:eastAsia="id-ID"/>
        </w:rPr>
      </w:pPr>
      <w:r>
        <w:rPr>
          <w:rFonts w:ascii="Times New Roman" w:eastAsia="Times New Roman" w:hAnsi="Times New Roman" w:cs="Times New Roman"/>
          <w:b/>
          <w:bCs/>
          <w:kern w:val="36"/>
          <w:sz w:val="24"/>
          <w:szCs w:val="48"/>
          <w:lang w:val="id-ID" w:eastAsia="id-ID"/>
        </w:rPr>
        <w:t>B.</w:t>
      </w:r>
      <w:r>
        <w:rPr>
          <w:rFonts w:ascii="Times New Roman" w:eastAsia="Times New Roman" w:hAnsi="Times New Roman" w:cs="Times New Roman"/>
          <w:b/>
          <w:bCs/>
          <w:kern w:val="36"/>
          <w:sz w:val="24"/>
          <w:szCs w:val="48"/>
          <w:lang w:val="id-ID" w:eastAsia="id-ID"/>
        </w:rPr>
        <w:tab/>
      </w:r>
      <w:r w:rsidR="0060508E" w:rsidRPr="0009287A">
        <w:rPr>
          <w:rFonts w:ascii="Times New Roman" w:eastAsia="Times New Roman" w:hAnsi="Times New Roman" w:cs="Times New Roman"/>
          <w:b/>
          <w:bCs/>
          <w:kern w:val="36"/>
          <w:sz w:val="24"/>
          <w:szCs w:val="48"/>
          <w:lang w:val="id-ID" w:eastAsia="id-ID"/>
        </w:rPr>
        <w:t>Jurnal &amp; Artikel Ilmiah</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Fiorino, Daniel J. “Environmental Governance for the Anthropocene.” </w:t>
      </w:r>
      <w:r w:rsidRPr="0060508E">
        <w:rPr>
          <w:rFonts w:ascii="Times New Roman" w:eastAsia="Times New Roman" w:hAnsi="Times New Roman" w:cs="Times New Roman"/>
          <w:i/>
          <w:iCs/>
          <w:sz w:val="24"/>
          <w:szCs w:val="24"/>
          <w:lang w:val="id-ID" w:eastAsia="id-ID"/>
        </w:rPr>
        <w:t>Environmental Politics</w:t>
      </w:r>
      <w:r w:rsidRPr="0060508E">
        <w:rPr>
          <w:rFonts w:ascii="Times New Roman" w:eastAsia="Times New Roman" w:hAnsi="Times New Roman" w:cs="Times New Roman"/>
          <w:sz w:val="24"/>
          <w:szCs w:val="24"/>
          <w:lang w:val="id-ID" w:eastAsia="id-ID"/>
        </w:rPr>
        <w:t xml:space="preserve"> (2018).</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Fitriani, Rahmawati. “Evaluasi Implementasi AMDAL dalam Perspektif Good Environmental Governance.” </w:t>
      </w:r>
      <w:r w:rsidRPr="0060508E">
        <w:rPr>
          <w:rFonts w:ascii="Times New Roman" w:eastAsia="Times New Roman" w:hAnsi="Times New Roman" w:cs="Times New Roman"/>
          <w:i/>
          <w:iCs/>
          <w:sz w:val="24"/>
          <w:szCs w:val="24"/>
          <w:lang w:val="id-ID" w:eastAsia="id-ID"/>
        </w:rPr>
        <w:t>Jurnal Ilmu Lingkungan</w:t>
      </w:r>
      <w:r w:rsidRPr="0060508E">
        <w:rPr>
          <w:rFonts w:ascii="Times New Roman" w:eastAsia="Times New Roman" w:hAnsi="Times New Roman" w:cs="Times New Roman"/>
          <w:sz w:val="24"/>
          <w:szCs w:val="24"/>
          <w:lang w:val="id-ID" w:eastAsia="id-ID"/>
        </w:rPr>
        <w:t>, Vol. 18, No. 3 (2021).</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Muhtada, Dani. “Demokrasi Lingkungan dan Partisipasi Publik.” </w:t>
      </w:r>
      <w:r w:rsidRPr="0060508E">
        <w:rPr>
          <w:rFonts w:ascii="Times New Roman" w:eastAsia="Times New Roman" w:hAnsi="Times New Roman" w:cs="Times New Roman"/>
          <w:i/>
          <w:iCs/>
          <w:sz w:val="24"/>
          <w:szCs w:val="24"/>
          <w:lang w:val="id-ID" w:eastAsia="id-ID"/>
        </w:rPr>
        <w:t>Masyarakat, Kebudayaan dan Politik</w:t>
      </w:r>
      <w:r w:rsidRPr="0060508E">
        <w:rPr>
          <w:rFonts w:ascii="Times New Roman" w:eastAsia="Times New Roman" w:hAnsi="Times New Roman" w:cs="Times New Roman"/>
          <w:sz w:val="24"/>
          <w:szCs w:val="24"/>
          <w:lang w:val="id-ID" w:eastAsia="id-ID"/>
        </w:rPr>
        <w:t>, 2020.</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Purnomo, Didik. “Sentralisasi vs Desentralisasi Pengelolaan Lingkungan.” </w:t>
      </w:r>
      <w:r w:rsidRPr="0060508E">
        <w:rPr>
          <w:rFonts w:ascii="Times New Roman" w:eastAsia="Times New Roman" w:hAnsi="Times New Roman" w:cs="Times New Roman"/>
          <w:i/>
          <w:iCs/>
          <w:sz w:val="24"/>
          <w:szCs w:val="24"/>
          <w:lang w:val="id-ID" w:eastAsia="id-ID"/>
        </w:rPr>
        <w:t>Policy &amp; Governance Review</w:t>
      </w:r>
      <w:r w:rsidRPr="0060508E">
        <w:rPr>
          <w:rFonts w:ascii="Times New Roman" w:eastAsia="Times New Roman" w:hAnsi="Times New Roman" w:cs="Times New Roman"/>
          <w:sz w:val="24"/>
          <w:szCs w:val="24"/>
          <w:lang w:val="id-ID" w:eastAsia="id-ID"/>
        </w:rPr>
        <w:t>, Vol. 5, No. 1 (2021).</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Purwanto, Agus. “Disharmoni Regulasi dan Dampaknya terhadap Penegakan Hukum Lingkungan di Indonesia.” </w:t>
      </w:r>
      <w:r w:rsidRPr="0060508E">
        <w:rPr>
          <w:rFonts w:ascii="Times New Roman" w:eastAsia="Times New Roman" w:hAnsi="Times New Roman" w:cs="Times New Roman"/>
          <w:i/>
          <w:iCs/>
          <w:sz w:val="24"/>
          <w:szCs w:val="24"/>
          <w:lang w:val="id-ID" w:eastAsia="id-ID"/>
        </w:rPr>
        <w:t>Jurnal Hukum &amp; Pembangunan</w:t>
      </w:r>
      <w:r w:rsidRPr="0060508E">
        <w:rPr>
          <w:rFonts w:ascii="Times New Roman" w:eastAsia="Times New Roman" w:hAnsi="Times New Roman" w:cs="Times New Roman"/>
          <w:sz w:val="24"/>
          <w:szCs w:val="24"/>
          <w:lang w:val="id-ID" w:eastAsia="id-ID"/>
        </w:rPr>
        <w:t>, Vol. 51, No. 2 (2021).</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Renn, Ortwin. “Risk Governance: Coping with Uncertainty in a Complex World.” </w:t>
      </w:r>
      <w:r w:rsidRPr="0060508E">
        <w:rPr>
          <w:rFonts w:ascii="Times New Roman" w:eastAsia="Times New Roman" w:hAnsi="Times New Roman" w:cs="Times New Roman"/>
          <w:i/>
          <w:iCs/>
          <w:sz w:val="24"/>
          <w:szCs w:val="24"/>
          <w:lang w:val="id-ID" w:eastAsia="id-ID"/>
        </w:rPr>
        <w:t>Earthscan Publications</w:t>
      </w:r>
      <w:r w:rsidRPr="0060508E">
        <w:rPr>
          <w:rFonts w:ascii="Times New Roman" w:eastAsia="Times New Roman" w:hAnsi="Times New Roman" w:cs="Times New Roman"/>
          <w:sz w:val="24"/>
          <w:szCs w:val="24"/>
          <w:lang w:val="id-ID" w:eastAsia="id-ID"/>
        </w:rPr>
        <w:t>, 2008.</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Santosa, Mas Achmad. “Krisis Tata Kelola Lingkungan Hidup di Indonesia.” </w:t>
      </w:r>
      <w:r w:rsidRPr="0060508E">
        <w:rPr>
          <w:rFonts w:ascii="Times New Roman" w:eastAsia="Times New Roman" w:hAnsi="Times New Roman" w:cs="Times New Roman"/>
          <w:i/>
          <w:iCs/>
          <w:sz w:val="24"/>
          <w:szCs w:val="24"/>
          <w:lang w:val="id-ID" w:eastAsia="id-ID"/>
        </w:rPr>
        <w:t>Indonesian Journal of Environmental Law</w:t>
      </w:r>
      <w:r w:rsidRPr="0060508E">
        <w:rPr>
          <w:rFonts w:ascii="Times New Roman" w:eastAsia="Times New Roman" w:hAnsi="Times New Roman" w:cs="Times New Roman"/>
          <w:sz w:val="24"/>
          <w:szCs w:val="24"/>
          <w:lang w:val="id-ID" w:eastAsia="id-ID"/>
        </w:rPr>
        <w:t>, Vol. 2, No. 1 (2020).</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Suwondo, Retno. “Analisis Risiko dan Deregulasi pada UU Cipta Kerja.” </w:t>
      </w:r>
      <w:r w:rsidRPr="0060508E">
        <w:rPr>
          <w:rFonts w:ascii="Times New Roman" w:eastAsia="Times New Roman" w:hAnsi="Times New Roman" w:cs="Times New Roman"/>
          <w:i/>
          <w:iCs/>
          <w:sz w:val="24"/>
          <w:szCs w:val="24"/>
          <w:lang w:val="id-ID" w:eastAsia="id-ID"/>
        </w:rPr>
        <w:t>Jurnal Hukum IUS QUIA IUSTUM</w:t>
      </w:r>
      <w:r w:rsidRPr="0060508E">
        <w:rPr>
          <w:rFonts w:ascii="Times New Roman" w:eastAsia="Times New Roman" w:hAnsi="Times New Roman" w:cs="Times New Roman"/>
          <w:sz w:val="24"/>
          <w:szCs w:val="24"/>
          <w:lang w:val="id-ID" w:eastAsia="id-ID"/>
        </w:rPr>
        <w:t>, 2021.</w:t>
      </w:r>
    </w:p>
    <w:p w:rsidR="0060508E" w:rsidRPr="0060508E" w:rsidRDefault="00F14717" w:rsidP="00F14717">
      <w:pPr>
        <w:spacing w:before="100" w:beforeAutospacing="1" w:after="100" w:afterAutospacing="1" w:line="240" w:lineRule="auto"/>
        <w:ind w:left="567" w:hanging="567"/>
        <w:outlineLvl w:val="0"/>
        <w:rPr>
          <w:rFonts w:ascii="Times New Roman" w:eastAsia="Times New Roman" w:hAnsi="Times New Roman" w:cs="Times New Roman"/>
          <w:b/>
          <w:bCs/>
          <w:kern w:val="36"/>
          <w:sz w:val="24"/>
          <w:szCs w:val="48"/>
          <w:lang w:val="id-ID" w:eastAsia="id-ID"/>
        </w:rPr>
      </w:pPr>
      <w:r>
        <w:rPr>
          <w:rFonts w:ascii="Times New Roman" w:eastAsia="Times New Roman" w:hAnsi="Times New Roman" w:cs="Times New Roman"/>
          <w:b/>
          <w:bCs/>
          <w:kern w:val="36"/>
          <w:sz w:val="24"/>
          <w:szCs w:val="48"/>
          <w:lang w:val="id-ID" w:eastAsia="id-ID"/>
        </w:rPr>
        <w:t>C.</w:t>
      </w:r>
      <w:r>
        <w:rPr>
          <w:rFonts w:ascii="Times New Roman" w:eastAsia="Times New Roman" w:hAnsi="Times New Roman" w:cs="Times New Roman"/>
          <w:b/>
          <w:bCs/>
          <w:kern w:val="36"/>
          <w:sz w:val="24"/>
          <w:szCs w:val="48"/>
          <w:lang w:val="id-ID" w:eastAsia="id-ID"/>
        </w:rPr>
        <w:tab/>
      </w:r>
      <w:r w:rsidR="0060508E" w:rsidRPr="00F14717">
        <w:rPr>
          <w:rFonts w:ascii="Times New Roman" w:eastAsia="Times New Roman" w:hAnsi="Times New Roman" w:cs="Times New Roman"/>
          <w:b/>
          <w:bCs/>
          <w:kern w:val="36"/>
          <w:sz w:val="24"/>
          <w:szCs w:val="48"/>
          <w:lang w:val="id-ID" w:eastAsia="id-ID"/>
        </w:rPr>
        <w:t>Regulasi &amp; Dokumen Resmi</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Peraturan Menteri Lingkungan Hidup dan Kehutanan Nomor 4 Tahun 2021 tentang Tata Cara Penyusunan AMDAL.</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Peraturan Pemerintah Nomor 22 Tahun 2021 tentang Penyelenggaraan Perlindungan dan Pengelolaan Lingkungan Hidup.</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Peraturan Pemerintah Nomor 5 Tahun 2021 tentang Perizinan Berusaha Berbasis Risiko.</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Putusan Mahkamah Konstitusi Nomor 91/PUU-XVIII/2020 terkait UU Cipta Kerja.</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Undang-Undang Dasar Negara Republik Indonesia Tahun 1945.</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Undang-Undang Nomor 11 Tahun 2020 tentang Cipta Kerja.</w:t>
      </w:r>
    </w:p>
    <w:p w:rsidR="00F14717"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Undang-Undang Nomor 32 Tahun 2009 tentang Perlindungan dan Pengelolaan Lingkungan Hidup.</w:t>
      </w:r>
    </w:p>
    <w:p w:rsidR="009A5A48" w:rsidRPr="0060508E" w:rsidRDefault="009A5A48"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bookmarkStart w:id="1" w:name="_GoBack"/>
      <w:bookmarkEnd w:id="1"/>
    </w:p>
    <w:p w:rsidR="0060508E" w:rsidRPr="0060508E" w:rsidRDefault="00F14717" w:rsidP="00F14717">
      <w:pPr>
        <w:spacing w:before="100" w:beforeAutospacing="1" w:after="100" w:afterAutospacing="1" w:line="240" w:lineRule="auto"/>
        <w:ind w:left="567" w:hanging="567"/>
        <w:jc w:val="both"/>
        <w:outlineLvl w:val="0"/>
        <w:rPr>
          <w:rFonts w:ascii="Times New Roman" w:eastAsia="Times New Roman" w:hAnsi="Times New Roman" w:cs="Times New Roman"/>
          <w:b/>
          <w:bCs/>
          <w:kern w:val="36"/>
          <w:sz w:val="24"/>
          <w:szCs w:val="48"/>
          <w:lang w:val="id-ID" w:eastAsia="id-ID"/>
        </w:rPr>
      </w:pPr>
      <w:r>
        <w:rPr>
          <w:rFonts w:ascii="Times New Roman" w:eastAsia="Times New Roman" w:hAnsi="Times New Roman" w:cs="Times New Roman"/>
          <w:b/>
          <w:bCs/>
          <w:kern w:val="36"/>
          <w:sz w:val="24"/>
          <w:szCs w:val="48"/>
          <w:lang w:val="id-ID" w:eastAsia="id-ID"/>
        </w:rPr>
        <w:lastRenderedPageBreak/>
        <w:t xml:space="preserve">D. </w:t>
      </w:r>
      <w:r>
        <w:rPr>
          <w:rFonts w:ascii="Times New Roman" w:eastAsia="Times New Roman" w:hAnsi="Times New Roman" w:cs="Times New Roman"/>
          <w:b/>
          <w:bCs/>
          <w:kern w:val="36"/>
          <w:sz w:val="24"/>
          <w:szCs w:val="48"/>
          <w:lang w:val="id-ID" w:eastAsia="id-ID"/>
        </w:rPr>
        <w:tab/>
      </w:r>
      <w:r w:rsidR="0060508E" w:rsidRPr="00F14717">
        <w:rPr>
          <w:rFonts w:ascii="Times New Roman" w:eastAsia="Times New Roman" w:hAnsi="Times New Roman" w:cs="Times New Roman"/>
          <w:b/>
          <w:bCs/>
          <w:kern w:val="36"/>
          <w:sz w:val="24"/>
          <w:szCs w:val="48"/>
          <w:lang w:val="id-ID" w:eastAsia="id-ID"/>
        </w:rPr>
        <w:t>Sumber Akademik Internasional (Pendukung Teori Kritis &amp; Governance)</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Dryzek, John S. </w:t>
      </w:r>
      <w:r w:rsidRPr="0060508E">
        <w:rPr>
          <w:rFonts w:ascii="Times New Roman" w:eastAsia="Times New Roman" w:hAnsi="Times New Roman" w:cs="Times New Roman"/>
          <w:i/>
          <w:iCs/>
          <w:sz w:val="24"/>
          <w:szCs w:val="24"/>
          <w:lang w:val="id-ID" w:eastAsia="id-ID"/>
        </w:rPr>
        <w:t>The Politics of the Earth: Environmental Discourses</w:t>
      </w:r>
      <w:r w:rsidRPr="0060508E">
        <w:rPr>
          <w:rFonts w:ascii="Times New Roman" w:eastAsia="Times New Roman" w:hAnsi="Times New Roman" w:cs="Times New Roman"/>
          <w:sz w:val="24"/>
          <w:szCs w:val="24"/>
          <w:lang w:val="id-ID" w:eastAsia="id-ID"/>
        </w:rPr>
        <w:t>. Oxford University Press, 2013.</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Lemos, Maria Carmen, and Arun Agrawal. “Environmental Governance.” </w:t>
      </w:r>
      <w:r w:rsidRPr="0060508E">
        <w:rPr>
          <w:rFonts w:ascii="Times New Roman" w:eastAsia="Times New Roman" w:hAnsi="Times New Roman" w:cs="Times New Roman"/>
          <w:i/>
          <w:iCs/>
          <w:sz w:val="24"/>
          <w:szCs w:val="24"/>
          <w:lang w:val="id-ID" w:eastAsia="id-ID"/>
        </w:rPr>
        <w:t>Annual Review of Environment and Resources</w:t>
      </w:r>
      <w:r w:rsidRPr="0060508E">
        <w:rPr>
          <w:rFonts w:ascii="Times New Roman" w:eastAsia="Times New Roman" w:hAnsi="Times New Roman" w:cs="Times New Roman"/>
          <w:sz w:val="24"/>
          <w:szCs w:val="24"/>
          <w:lang w:val="id-ID" w:eastAsia="id-ID"/>
        </w:rPr>
        <w:t>, Vol. 31 (2006).</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Meadowcroft, James. “Environmental Political Theory and the Green State.” </w:t>
      </w:r>
      <w:r w:rsidRPr="0060508E">
        <w:rPr>
          <w:rFonts w:ascii="Times New Roman" w:eastAsia="Times New Roman" w:hAnsi="Times New Roman" w:cs="Times New Roman"/>
          <w:i/>
          <w:iCs/>
          <w:sz w:val="24"/>
          <w:szCs w:val="24"/>
          <w:lang w:val="id-ID" w:eastAsia="id-ID"/>
        </w:rPr>
        <w:t>Environmental Politics</w:t>
      </w:r>
      <w:r w:rsidRPr="0060508E">
        <w:rPr>
          <w:rFonts w:ascii="Times New Roman" w:eastAsia="Times New Roman" w:hAnsi="Times New Roman" w:cs="Times New Roman"/>
          <w:sz w:val="24"/>
          <w:szCs w:val="24"/>
          <w:lang w:val="id-ID" w:eastAsia="id-ID"/>
        </w:rPr>
        <w:t>, 2005.</w:t>
      </w:r>
    </w:p>
    <w:p w:rsidR="00F14717" w:rsidRPr="0060508E" w:rsidRDefault="00F14717" w:rsidP="00F14717">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Young, Oran R. </w:t>
      </w:r>
      <w:r w:rsidRPr="0060508E">
        <w:rPr>
          <w:rFonts w:ascii="Times New Roman" w:eastAsia="Times New Roman" w:hAnsi="Times New Roman" w:cs="Times New Roman"/>
          <w:i/>
          <w:iCs/>
          <w:sz w:val="24"/>
          <w:szCs w:val="24"/>
          <w:lang w:val="id-ID" w:eastAsia="id-ID"/>
        </w:rPr>
        <w:t>Institutional Dynamics: Emergent Patterns in International Environmental Governance</w:t>
      </w:r>
      <w:r w:rsidRPr="0060508E">
        <w:rPr>
          <w:rFonts w:ascii="Times New Roman" w:eastAsia="Times New Roman" w:hAnsi="Times New Roman" w:cs="Times New Roman"/>
          <w:sz w:val="24"/>
          <w:szCs w:val="24"/>
          <w:lang w:val="id-ID" w:eastAsia="id-ID"/>
        </w:rPr>
        <w:t>. MIT Press, 2010.</w:t>
      </w:r>
    </w:p>
    <w:p w:rsidR="0060508E" w:rsidRPr="0060508E" w:rsidRDefault="00F912EC" w:rsidP="00F912EC">
      <w:pPr>
        <w:spacing w:before="100" w:beforeAutospacing="1" w:after="100" w:afterAutospacing="1" w:line="240" w:lineRule="auto"/>
        <w:ind w:left="567" w:hanging="567"/>
        <w:outlineLvl w:val="0"/>
        <w:rPr>
          <w:rFonts w:ascii="Times New Roman" w:eastAsia="Times New Roman" w:hAnsi="Times New Roman" w:cs="Times New Roman"/>
          <w:b/>
          <w:bCs/>
          <w:kern w:val="36"/>
          <w:sz w:val="24"/>
          <w:szCs w:val="48"/>
          <w:lang w:val="id-ID" w:eastAsia="id-ID"/>
        </w:rPr>
      </w:pPr>
      <w:r w:rsidRPr="00F912EC">
        <w:rPr>
          <w:rFonts w:ascii="Times New Roman" w:eastAsia="Times New Roman" w:hAnsi="Times New Roman" w:cs="Times New Roman"/>
          <w:b/>
          <w:bCs/>
          <w:kern w:val="36"/>
          <w:sz w:val="24"/>
          <w:szCs w:val="48"/>
          <w:lang w:val="id-ID" w:eastAsia="id-ID"/>
        </w:rPr>
        <w:t>E.</w:t>
      </w:r>
      <w:r w:rsidRPr="00F912EC">
        <w:rPr>
          <w:rFonts w:ascii="Times New Roman" w:eastAsia="Times New Roman" w:hAnsi="Times New Roman" w:cs="Times New Roman"/>
          <w:b/>
          <w:bCs/>
          <w:kern w:val="36"/>
          <w:sz w:val="24"/>
          <w:szCs w:val="48"/>
          <w:lang w:val="id-ID" w:eastAsia="id-ID"/>
        </w:rPr>
        <w:tab/>
      </w:r>
      <w:r w:rsidR="0060508E" w:rsidRPr="00F912EC">
        <w:rPr>
          <w:rFonts w:ascii="Times New Roman" w:eastAsia="Times New Roman" w:hAnsi="Times New Roman" w:cs="Times New Roman"/>
          <w:b/>
          <w:bCs/>
          <w:kern w:val="36"/>
          <w:sz w:val="24"/>
          <w:szCs w:val="48"/>
          <w:lang w:val="id-ID" w:eastAsia="id-ID"/>
        </w:rPr>
        <w:t>Laporan dan Referensi Teknis</w:t>
      </w:r>
    </w:p>
    <w:p w:rsidR="00F912EC" w:rsidRPr="0060508E" w:rsidRDefault="00F912EC" w:rsidP="00F912EC">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OECD. </w:t>
      </w:r>
      <w:r w:rsidRPr="0060508E">
        <w:rPr>
          <w:rFonts w:ascii="Times New Roman" w:eastAsia="Times New Roman" w:hAnsi="Times New Roman" w:cs="Times New Roman"/>
          <w:i/>
          <w:iCs/>
          <w:sz w:val="24"/>
          <w:szCs w:val="24"/>
          <w:lang w:val="id-ID" w:eastAsia="id-ID"/>
        </w:rPr>
        <w:t>Environmental Performance Review: Indonesia</w:t>
      </w:r>
      <w:r w:rsidRPr="0060508E">
        <w:rPr>
          <w:rFonts w:ascii="Times New Roman" w:eastAsia="Times New Roman" w:hAnsi="Times New Roman" w:cs="Times New Roman"/>
          <w:sz w:val="24"/>
          <w:szCs w:val="24"/>
          <w:lang w:val="id-ID" w:eastAsia="id-ID"/>
        </w:rPr>
        <w:t>. OECD Publishing, 2019.</w:t>
      </w:r>
    </w:p>
    <w:p w:rsidR="00F912EC" w:rsidRPr="0060508E" w:rsidRDefault="00F912EC" w:rsidP="00F912EC">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UN Environment Programme. </w:t>
      </w:r>
      <w:r w:rsidRPr="0060508E">
        <w:rPr>
          <w:rFonts w:ascii="Times New Roman" w:eastAsia="Times New Roman" w:hAnsi="Times New Roman" w:cs="Times New Roman"/>
          <w:i/>
          <w:iCs/>
          <w:sz w:val="24"/>
          <w:szCs w:val="24"/>
          <w:lang w:val="id-ID" w:eastAsia="id-ID"/>
        </w:rPr>
        <w:t>Environmental Rule of Law: First Global Report</w:t>
      </w:r>
      <w:r w:rsidRPr="0060508E">
        <w:rPr>
          <w:rFonts w:ascii="Times New Roman" w:eastAsia="Times New Roman" w:hAnsi="Times New Roman" w:cs="Times New Roman"/>
          <w:sz w:val="24"/>
          <w:szCs w:val="24"/>
          <w:lang w:val="id-ID" w:eastAsia="id-ID"/>
        </w:rPr>
        <w:t>. UNEP, 2019.</w:t>
      </w:r>
    </w:p>
    <w:p w:rsidR="00F912EC" w:rsidRPr="0060508E" w:rsidRDefault="00F912EC" w:rsidP="00F912EC">
      <w:pPr>
        <w:spacing w:before="100" w:beforeAutospacing="1" w:after="100" w:afterAutospacing="1" w:line="240" w:lineRule="auto"/>
        <w:ind w:left="567" w:hanging="567"/>
        <w:jc w:val="both"/>
        <w:rPr>
          <w:rFonts w:ascii="Times New Roman" w:eastAsia="Times New Roman" w:hAnsi="Times New Roman" w:cs="Times New Roman"/>
          <w:sz w:val="24"/>
          <w:szCs w:val="24"/>
          <w:lang w:val="id-ID" w:eastAsia="id-ID"/>
        </w:rPr>
      </w:pPr>
      <w:r w:rsidRPr="0060508E">
        <w:rPr>
          <w:rFonts w:ascii="Times New Roman" w:eastAsia="Times New Roman" w:hAnsi="Times New Roman" w:cs="Times New Roman"/>
          <w:sz w:val="24"/>
          <w:szCs w:val="24"/>
          <w:lang w:val="id-ID" w:eastAsia="id-ID"/>
        </w:rPr>
        <w:t xml:space="preserve">World Bank. </w:t>
      </w:r>
      <w:r w:rsidRPr="0060508E">
        <w:rPr>
          <w:rFonts w:ascii="Times New Roman" w:eastAsia="Times New Roman" w:hAnsi="Times New Roman" w:cs="Times New Roman"/>
          <w:i/>
          <w:iCs/>
          <w:sz w:val="24"/>
          <w:szCs w:val="24"/>
          <w:lang w:val="id-ID" w:eastAsia="id-ID"/>
        </w:rPr>
        <w:t>Improving Environmental Governance in Indonesia</w:t>
      </w:r>
      <w:r w:rsidRPr="0060508E">
        <w:rPr>
          <w:rFonts w:ascii="Times New Roman" w:eastAsia="Times New Roman" w:hAnsi="Times New Roman" w:cs="Times New Roman"/>
          <w:sz w:val="24"/>
          <w:szCs w:val="24"/>
          <w:lang w:val="id-ID" w:eastAsia="id-ID"/>
        </w:rPr>
        <w:t>. World Bank Report, 2020.</w:t>
      </w:r>
    </w:p>
    <w:p w:rsidR="00F961AD" w:rsidRDefault="00AC21E2" w:rsidP="0060508E">
      <w:pPr>
        <w:spacing w:beforeAutospacing="1" w:after="100" w:afterAutospacing="1" w:line="240" w:lineRule="auto"/>
      </w:pPr>
    </w:p>
    <w:sectPr w:rsidR="00F961AD" w:rsidSect="00F912EC">
      <w:headerReference w:type="default" r:id="rId9"/>
      <w:footerReference w:type="default" r:id="rId10"/>
      <w:foot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1E2" w:rsidRDefault="00AC21E2">
      <w:pPr>
        <w:spacing w:line="240" w:lineRule="auto"/>
      </w:pPr>
      <w:r>
        <w:separator/>
      </w:r>
    </w:p>
  </w:endnote>
  <w:endnote w:type="continuationSeparator" w:id="0">
    <w:p w:rsidR="00AC21E2" w:rsidRDefault="00AC2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003232"/>
    </w:sdtPr>
    <w:sdtEndPr/>
    <w:sdtContent>
      <w:p w:rsidR="00320C1C" w:rsidRDefault="00AC21E2">
        <w:pPr>
          <w:pStyle w:val="Footer"/>
          <w:jc w:val="center"/>
        </w:pPr>
      </w:p>
    </w:sdtContent>
  </w:sdt>
  <w:p w:rsidR="00320C1C" w:rsidRDefault="00AC2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03251"/>
      <w:showingPlcHdr/>
    </w:sdtPr>
    <w:sdtEndPr/>
    <w:sdtContent>
      <w:p w:rsidR="00320C1C" w:rsidRDefault="00F912EC">
        <w:pPr>
          <w:pStyle w:val="Footer"/>
          <w:jc w:val="center"/>
        </w:pPr>
        <w:r>
          <w:t xml:space="preserve">     </w:t>
        </w:r>
      </w:p>
    </w:sdtContent>
  </w:sdt>
  <w:p w:rsidR="00320C1C" w:rsidRDefault="00AC2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1E2" w:rsidRDefault="00AC21E2">
      <w:pPr>
        <w:spacing w:line="240" w:lineRule="auto"/>
      </w:pPr>
      <w:r>
        <w:separator/>
      </w:r>
    </w:p>
  </w:footnote>
  <w:footnote w:type="continuationSeparator" w:id="0">
    <w:p w:rsidR="00AC21E2" w:rsidRDefault="00AC21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963799"/>
      <w:docPartObj>
        <w:docPartGallery w:val="Page Numbers (Top of Page)"/>
        <w:docPartUnique/>
      </w:docPartObj>
    </w:sdtPr>
    <w:sdtEndPr>
      <w:rPr>
        <w:rFonts w:ascii="Times New Roman" w:hAnsi="Times New Roman" w:cs="Times New Roman"/>
        <w:noProof/>
        <w:sz w:val="24"/>
      </w:rPr>
    </w:sdtEndPr>
    <w:sdtContent>
      <w:p w:rsidR="00F912EC" w:rsidRPr="00F912EC" w:rsidRDefault="00F912EC">
        <w:pPr>
          <w:pStyle w:val="Header"/>
          <w:jc w:val="right"/>
          <w:rPr>
            <w:rFonts w:ascii="Times New Roman" w:hAnsi="Times New Roman" w:cs="Times New Roman"/>
            <w:sz w:val="24"/>
          </w:rPr>
        </w:pPr>
        <w:r w:rsidRPr="00F912EC">
          <w:rPr>
            <w:rFonts w:ascii="Times New Roman" w:hAnsi="Times New Roman" w:cs="Times New Roman"/>
            <w:sz w:val="24"/>
          </w:rPr>
          <w:fldChar w:fldCharType="begin"/>
        </w:r>
        <w:r w:rsidRPr="00F912EC">
          <w:rPr>
            <w:rFonts w:ascii="Times New Roman" w:hAnsi="Times New Roman" w:cs="Times New Roman"/>
            <w:sz w:val="24"/>
          </w:rPr>
          <w:instrText xml:space="preserve"> PAGE   \* MERGEFORMAT </w:instrText>
        </w:r>
        <w:r w:rsidRPr="00F912EC">
          <w:rPr>
            <w:rFonts w:ascii="Times New Roman" w:hAnsi="Times New Roman" w:cs="Times New Roman"/>
            <w:sz w:val="24"/>
          </w:rPr>
          <w:fldChar w:fldCharType="separate"/>
        </w:r>
        <w:r w:rsidR="009A5A48">
          <w:rPr>
            <w:rFonts w:ascii="Times New Roman" w:hAnsi="Times New Roman" w:cs="Times New Roman"/>
            <w:noProof/>
            <w:sz w:val="24"/>
          </w:rPr>
          <w:t>17</w:t>
        </w:r>
        <w:r w:rsidRPr="00F912EC">
          <w:rPr>
            <w:rFonts w:ascii="Times New Roman" w:hAnsi="Times New Roman" w:cs="Times New Roman"/>
            <w:noProof/>
            <w:sz w:val="24"/>
          </w:rPr>
          <w:fldChar w:fldCharType="end"/>
        </w:r>
      </w:p>
    </w:sdtContent>
  </w:sdt>
  <w:p w:rsidR="00320C1C" w:rsidRDefault="00AC2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95B"/>
    <w:multiLevelType w:val="multilevel"/>
    <w:tmpl w:val="B674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91000"/>
    <w:multiLevelType w:val="multilevel"/>
    <w:tmpl w:val="03D2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D4075"/>
    <w:multiLevelType w:val="multilevel"/>
    <w:tmpl w:val="F460B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7D23D8A"/>
    <w:multiLevelType w:val="multilevel"/>
    <w:tmpl w:val="22162E8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D122D1A"/>
    <w:multiLevelType w:val="multilevel"/>
    <w:tmpl w:val="0636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C1EB0"/>
    <w:multiLevelType w:val="multilevel"/>
    <w:tmpl w:val="DF4025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F1B246C"/>
    <w:multiLevelType w:val="multilevel"/>
    <w:tmpl w:val="FDB0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6A0B22"/>
    <w:multiLevelType w:val="multilevel"/>
    <w:tmpl w:val="93ACD5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2FF6AB9"/>
    <w:multiLevelType w:val="multilevel"/>
    <w:tmpl w:val="1660A0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D9B70D4"/>
    <w:multiLevelType w:val="multilevel"/>
    <w:tmpl w:val="6FCA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A4D2A"/>
    <w:multiLevelType w:val="multilevel"/>
    <w:tmpl w:val="35FE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FA016E"/>
    <w:multiLevelType w:val="multilevel"/>
    <w:tmpl w:val="1DFE103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2">
    <w:nsid w:val="216018ED"/>
    <w:multiLevelType w:val="multilevel"/>
    <w:tmpl w:val="F808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904886"/>
    <w:multiLevelType w:val="multilevel"/>
    <w:tmpl w:val="F354A4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3EF5214"/>
    <w:multiLevelType w:val="multilevel"/>
    <w:tmpl w:val="FCBE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379C7"/>
    <w:multiLevelType w:val="multilevel"/>
    <w:tmpl w:val="21DA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F63882"/>
    <w:multiLevelType w:val="multilevel"/>
    <w:tmpl w:val="2710D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8DE1004"/>
    <w:multiLevelType w:val="multilevel"/>
    <w:tmpl w:val="3B907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C32858"/>
    <w:multiLevelType w:val="multilevel"/>
    <w:tmpl w:val="EC52A8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37DF2B76"/>
    <w:multiLevelType w:val="multilevel"/>
    <w:tmpl w:val="34F288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8230C1"/>
    <w:multiLevelType w:val="multilevel"/>
    <w:tmpl w:val="52749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3D116AF4"/>
    <w:multiLevelType w:val="multilevel"/>
    <w:tmpl w:val="E16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D704F3"/>
    <w:multiLevelType w:val="multilevel"/>
    <w:tmpl w:val="047C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C453ED"/>
    <w:multiLevelType w:val="multilevel"/>
    <w:tmpl w:val="D66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E12EB1"/>
    <w:multiLevelType w:val="multilevel"/>
    <w:tmpl w:val="DFA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B04177"/>
    <w:multiLevelType w:val="multilevel"/>
    <w:tmpl w:val="44DE7EC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428C2449"/>
    <w:multiLevelType w:val="multilevel"/>
    <w:tmpl w:val="8F72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2E6AF1"/>
    <w:multiLevelType w:val="multilevel"/>
    <w:tmpl w:val="F94A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7C5796"/>
    <w:multiLevelType w:val="multilevel"/>
    <w:tmpl w:val="DAD8521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47D16820"/>
    <w:multiLevelType w:val="multilevel"/>
    <w:tmpl w:val="B742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203230"/>
    <w:multiLevelType w:val="multilevel"/>
    <w:tmpl w:val="0C687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4A486DB0"/>
    <w:multiLevelType w:val="multilevel"/>
    <w:tmpl w:val="A6EE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C7631D"/>
    <w:multiLevelType w:val="multilevel"/>
    <w:tmpl w:val="1A62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210F16"/>
    <w:multiLevelType w:val="multilevel"/>
    <w:tmpl w:val="C0B4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ED92EF6"/>
    <w:multiLevelType w:val="multilevel"/>
    <w:tmpl w:val="7F2672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569674BE"/>
    <w:multiLevelType w:val="multilevel"/>
    <w:tmpl w:val="D916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AD7021"/>
    <w:multiLevelType w:val="multilevel"/>
    <w:tmpl w:val="C348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E02200"/>
    <w:multiLevelType w:val="multilevel"/>
    <w:tmpl w:val="00EA81F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nsid w:val="5F934AE5"/>
    <w:multiLevelType w:val="multilevel"/>
    <w:tmpl w:val="1246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6646C0"/>
    <w:multiLevelType w:val="multilevel"/>
    <w:tmpl w:val="D520BD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68E30924"/>
    <w:multiLevelType w:val="multilevel"/>
    <w:tmpl w:val="BFA6D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6B3D52D4"/>
    <w:multiLevelType w:val="multilevel"/>
    <w:tmpl w:val="B4FA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70037C"/>
    <w:multiLevelType w:val="multilevel"/>
    <w:tmpl w:val="BB0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246BE9"/>
    <w:multiLevelType w:val="multilevel"/>
    <w:tmpl w:val="12A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BA5333"/>
    <w:multiLevelType w:val="multilevel"/>
    <w:tmpl w:val="3C88997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nsid w:val="791F7CB1"/>
    <w:multiLevelType w:val="multilevel"/>
    <w:tmpl w:val="B24A460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7BBB17C5"/>
    <w:multiLevelType w:val="multilevel"/>
    <w:tmpl w:val="48C63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49569A"/>
    <w:multiLevelType w:val="multilevel"/>
    <w:tmpl w:val="47CA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0"/>
  </w:num>
  <w:num w:numId="3">
    <w:abstractNumId w:val="4"/>
  </w:num>
  <w:num w:numId="4">
    <w:abstractNumId w:val="31"/>
  </w:num>
  <w:num w:numId="5">
    <w:abstractNumId w:val="43"/>
  </w:num>
  <w:num w:numId="6">
    <w:abstractNumId w:val="15"/>
  </w:num>
  <w:num w:numId="7">
    <w:abstractNumId w:val="36"/>
  </w:num>
  <w:num w:numId="8">
    <w:abstractNumId w:val="12"/>
  </w:num>
  <w:num w:numId="9">
    <w:abstractNumId w:val="35"/>
  </w:num>
  <w:num w:numId="10">
    <w:abstractNumId w:val="9"/>
  </w:num>
  <w:num w:numId="11">
    <w:abstractNumId w:val="45"/>
  </w:num>
  <w:num w:numId="12">
    <w:abstractNumId w:val="1"/>
  </w:num>
  <w:num w:numId="13">
    <w:abstractNumId w:val="47"/>
  </w:num>
  <w:num w:numId="14">
    <w:abstractNumId w:val="21"/>
  </w:num>
  <w:num w:numId="15">
    <w:abstractNumId w:val="8"/>
  </w:num>
  <w:num w:numId="16">
    <w:abstractNumId w:val="19"/>
  </w:num>
  <w:num w:numId="17">
    <w:abstractNumId w:val="16"/>
  </w:num>
  <w:num w:numId="18">
    <w:abstractNumId w:val="30"/>
  </w:num>
  <w:num w:numId="19">
    <w:abstractNumId w:val="3"/>
  </w:num>
  <w:num w:numId="20">
    <w:abstractNumId w:val="44"/>
  </w:num>
  <w:num w:numId="21">
    <w:abstractNumId w:val="37"/>
  </w:num>
  <w:num w:numId="22">
    <w:abstractNumId w:val="28"/>
  </w:num>
  <w:num w:numId="23">
    <w:abstractNumId w:val="25"/>
  </w:num>
  <w:num w:numId="24">
    <w:abstractNumId w:val="11"/>
  </w:num>
  <w:num w:numId="25">
    <w:abstractNumId w:val="46"/>
  </w:num>
  <w:num w:numId="26">
    <w:abstractNumId w:val="26"/>
  </w:num>
  <w:num w:numId="27">
    <w:abstractNumId w:val="14"/>
  </w:num>
  <w:num w:numId="28">
    <w:abstractNumId w:val="29"/>
  </w:num>
  <w:num w:numId="29">
    <w:abstractNumId w:val="34"/>
  </w:num>
  <w:num w:numId="30">
    <w:abstractNumId w:val="40"/>
  </w:num>
  <w:num w:numId="31">
    <w:abstractNumId w:val="5"/>
  </w:num>
  <w:num w:numId="32">
    <w:abstractNumId w:val="24"/>
  </w:num>
  <w:num w:numId="33">
    <w:abstractNumId w:val="23"/>
  </w:num>
  <w:num w:numId="34">
    <w:abstractNumId w:val="38"/>
  </w:num>
  <w:num w:numId="35">
    <w:abstractNumId w:val="32"/>
  </w:num>
  <w:num w:numId="36">
    <w:abstractNumId w:val="42"/>
  </w:num>
  <w:num w:numId="37">
    <w:abstractNumId w:val="10"/>
  </w:num>
  <w:num w:numId="38">
    <w:abstractNumId w:val="39"/>
  </w:num>
  <w:num w:numId="39">
    <w:abstractNumId w:val="18"/>
  </w:num>
  <w:num w:numId="40">
    <w:abstractNumId w:val="13"/>
  </w:num>
  <w:num w:numId="41">
    <w:abstractNumId w:val="20"/>
  </w:num>
  <w:num w:numId="42">
    <w:abstractNumId w:val="7"/>
  </w:num>
  <w:num w:numId="43">
    <w:abstractNumId w:val="2"/>
  </w:num>
  <w:num w:numId="44">
    <w:abstractNumId w:val="22"/>
  </w:num>
  <w:num w:numId="45">
    <w:abstractNumId w:val="33"/>
  </w:num>
  <w:num w:numId="46">
    <w:abstractNumId w:val="17"/>
  </w:num>
  <w:num w:numId="47">
    <w:abstractNumId w:val="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0F"/>
    <w:rsid w:val="000024E4"/>
    <w:rsid w:val="00006E18"/>
    <w:rsid w:val="0009287A"/>
    <w:rsid w:val="002B622F"/>
    <w:rsid w:val="002F7E6F"/>
    <w:rsid w:val="00393319"/>
    <w:rsid w:val="003C2FFA"/>
    <w:rsid w:val="004E13D8"/>
    <w:rsid w:val="005E7642"/>
    <w:rsid w:val="005F781C"/>
    <w:rsid w:val="0060508E"/>
    <w:rsid w:val="006A01DF"/>
    <w:rsid w:val="006B60C6"/>
    <w:rsid w:val="00723213"/>
    <w:rsid w:val="007715C5"/>
    <w:rsid w:val="007E3D33"/>
    <w:rsid w:val="00933A42"/>
    <w:rsid w:val="00935036"/>
    <w:rsid w:val="009A5A48"/>
    <w:rsid w:val="00A2381D"/>
    <w:rsid w:val="00A636DA"/>
    <w:rsid w:val="00AB448A"/>
    <w:rsid w:val="00AC21E2"/>
    <w:rsid w:val="00B02851"/>
    <w:rsid w:val="00BB5525"/>
    <w:rsid w:val="00BC6514"/>
    <w:rsid w:val="00C61B99"/>
    <w:rsid w:val="00CA6A49"/>
    <w:rsid w:val="00D6092A"/>
    <w:rsid w:val="00DF7E85"/>
    <w:rsid w:val="00E21712"/>
    <w:rsid w:val="00E60F2B"/>
    <w:rsid w:val="00EB3A17"/>
    <w:rsid w:val="00EC36DC"/>
    <w:rsid w:val="00F14717"/>
    <w:rsid w:val="00F67E0F"/>
    <w:rsid w:val="00F912EC"/>
    <w:rsid w:val="00FB46D1"/>
    <w:rsid w:val="00FC35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E0F"/>
    <w:pPr>
      <w:spacing w:after="0"/>
    </w:pPr>
    <w:rPr>
      <w:rFonts w:ascii="Arial" w:eastAsia="SimSun" w:hAnsi="Arial" w:cs="Arial"/>
      <w:lang w:val="zh-CN" w:eastAsia="zh-CN"/>
    </w:rPr>
  </w:style>
  <w:style w:type="paragraph" w:styleId="Heading1">
    <w:name w:val="heading 1"/>
    <w:basedOn w:val="Normal"/>
    <w:link w:val="Heading1Char"/>
    <w:uiPriority w:val="9"/>
    <w:qFormat/>
    <w:rsid w:val="00BC6514"/>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link w:val="Heading2Char"/>
    <w:uiPriority w:val="9"/>
    <w:qFormat/>
    <w:rsid w:val="00BC6514"/>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BC6514"/>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7E0F"/>
    <w:rPr>
      <w:i/>
      <w:iCs/>
    </w:rPr>
  </w:style>
  <w:style w:type="paragraph" w:styleId="Footer">
    <w:name w:val="footer"/>
    <w:basedOn w:val="Normal"/>
    <w:link w:val="FooterChar"/>
    <w:uiPriority w:val="99"/>
    <w:unhideWhenUsed/>
    <w:qFormat/>
    <w:rsid w:val="00F67E0F"/>
    <w:pPr>
      <w:tabs>
        <w:tab w:val="center" w:pos="4513"/>
        <w:tab w:val="right" w:pos="9026"/>
      </w:tabs>
      <w:spacing w:line="240" w:lineRule="auto"/>
    </w:pPr>
  </w:style>
  <w:style w:type="character" w:customStyle="1" w:styleId="FooterChar">
    <w:name w:val="Footer Char"/>
    <w:basedOn w:val="DefaultParagraphFont"/>
    <w:link w:val="Footer"/>
    <w:uiPriority w:val="99"/>
    <w:qFormat/>
    <w:rsid w:val="00F67E0F"/>
    <w:rPr>
      <w:rFonts w:ascii="Arial" w:eastAsia="SimSun" w:hAnsi="Arial" w:cs="Arial"/>
      <w:lang w:val="zh-CN" w:eastAsia="zh-CN"/>
    </w:rPr>
  </w:style>
  <w:style w:type="paragraph" w:styleId="Header">
    <w:name w:val="header"/>
    <w:basedOn w:val="Normal"/>
    <w:link w:val="HeaderChar"/>
    <w:uiPriority w:val="99"/>
    <w:unhideWhenUsed/>
    <w:qFormat/>
    <w:rsid w:val="00F67E0F"/>
    <w:pPr>
      <w:tabs>
        <w:tab w:val="center" w:pos="4513"/>
        <w:tab w:val="right" w:pos="9026"/>
      </w:tabs>
      <w:spacing w:line="240" w:lineRule="auto"/>
    </w:pPr>
  </w:style>
  <w:style w:type="character" w:customStyle="1" w:styleId="HeaderChar">
    <w:name w:val="Header Char"/>
    <w:basedOn w:val="DefaultParagraphFont"/>
    <w:link w:val="Header"/>
    <w:uiPriority w:val="99"/>
    <w:qFormat/>
    <w:rsid w:val="00F67E0F"/>
    <w:rPr>
      <w:rFonts w:ascii="Arial" w:eastAsia="SimSun" w:hAnsi="Arial" w:cs="Arial"/>
      <w:lang w:val="zh-CN" w:eastAsia="zh-CN"/>
    </w:rPr>
  </w:style>
  <w:style w:type="paragraph" w:styleId="BalloonText">
    <w:name w:val="Balloon Text"/>
    <w:basedOn w:val="Normal"/>
    <w:link w:val="BalloonTextChar"/>
    <w:uiPriority w:val="99"/>
    <w:semiHidden/>
    <w:unhideWhenUsed/>
    <w:rsid w:val="00F67E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E0F"/>
    <w:rPr>
      <w:rFonts w:ascii="Tahoma" w:eastAsia="SimSun" w:hAnsi="Tahoma" w:cs="Tahoma"/>
      <w:sz w:val="16"/>
      <w:szCs w:val="16"/>
      <w:lang w:val="zh-CN" w:eastAsia="zh-CN"/>
    </w:rPr>
  </w:style>
  <w:style w:type="character" w:customStyle="1" w:styleId="Heading1Char">
    <w:name w:val="Heading 1 Char"/>
    <w:basedOn w:val="DefaultParagraphFont"/>
    <w:link w:val="Heading1"/>
    <w:uiPriority w:val="9"/>
    <w:rsid w:val="00BC6514"/>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BC6514"/>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BC6514"/>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BC651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BC6514"/>
    <w:rPr>
      <w:b/>
      <w:bCs/>
    </w:rPr>
  </w:style>
  <w:style w:type="character" w:customStyle="1" w:styleId="relative">
    <w:name w:val="relative"/>
    <w:basedOn w:val="DefaultParagraphFont"/>
    <w:rsid w:val="00BC6514"/>
  </w:style>
  <w:style w:type="paragraph" w:customStyle="1" w:styleId="not-prose">
    <w:name w:val="not-prose"/>
    <w:basedOn w:val="Normal"/>
    <w:rsid w:val="00BC651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CA6A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E0F"/>
    <w:pPr>
      <w:spacing w:after="0"/>
    </w:pPr>
    <w:rPr>
      <w:rFonts w:ascii="Arial" w:eastAsia="SimSun" w:hAnsi="Arial" w:cs="Arial"/>
      <w:lang w:val="zh-CN" w:eastAsia="zh-CN"/>
    </w:rPr>
  </w:style>
  <w:style w:type="paragraph" w:styleId="Heading1">
    <w:name w:val="heading 1"/>
    <w:basedOn w:val="Normal"/>
    <w:link w:val="Heading1Char"/>
    <w:uiPriority w:val="9"/>
    <w:qFormat/>
    <w:rsid w:val="00BC6514"/>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link w:val="Heading2Char"/>
    <w:uiPriority w:val="9"/>
    <w:qFormat/>
    <w:rsid w:val="00BC6514"/>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BC6514"/>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7E0F"/>
    <w:rPr>
      <w:i/>
      <w:iCs/>
    </w:rPr>
  </w:style>
  <w:style w:type="paragraph" w:styleId="Footer">
    <w:name w:val="footer"/>
    <w:basedOn w:val="Normal"/>
    <w:link w:val="FooterChar"/>
    <w:uiPriority w:val="99"/>
    <w:unhideWhenUsed/>
    <w:qFormat/>
    <w:rsid w:val="00F67E0F"/>
    <w:pPr>
      <w:tabs>
        <w:tab w:val="center" w:pos="4513"/>
        <w:tab w:val="right" w:pos="9026"/>
      </w:tabs>
      <w:spacing w:line="240" w:lineRule="auto"/>
    </w:pPr>
  </w:style>
  <w:style w:type="character" w:customStyle="1" w:styleId="FooterChar">
    <w:name w:val="Footer Char"/>
    <w:basedOn w:val="DefaultParagraphFont"/>
    <w:link w:val="Footer"/>
    <w:uiPriority w:val="99"/>
    <w:qFormat/>
    <w:rsid w:val="00F67E0F"/>
    <w:rPr>
      <w:rFonts w:ascii="Arial" w:eastAsia="SimSun" w:hAnsi="Arial" w:cs="Arial"/>
      <w:lang w:val="zh-CN" w:eastAsia="zh-CN"/>
    </w:rPr>
  </w:style>
  <w:style w:type="paragraph" w:styleId="Header">
    <w:name w:val="header"/>
    <w:basedOn w:val="Normal"/>
    <w:link w:val="HeaderChar"/>
    <w:uiPriority w:val="99"/>
    <w:unhideWhenUsed/>
    <w:qFormat/>
    <w:rsid w:val="00F67E0F"/>
    <w:pPr>
      <w:tabs>
        <w:tab w:val="center" w:pos="4513"/>
        <w:tab w:val="right" w:pos="9026"/>
      </w:tabs>
      <w:spacing w:line="240" w:lineRule="auto"/>
    </w:pPr>
  </w:style>
  <w:style w:type="character" w:customStyle="1" w:styleId="HeaderChar">
    <w:name w:val="Header Char"/>
    <w:basedOn w:val="DefaultParagraphFont"/>
    <w:link w:val="Header"/>
    <w:uiPriority w:val="99"/>
    <w:qFormat/>
    <w:rsid w:val="00F67E0F"/>
    <w:rPr>
      <w:rFonts w:ascii="Arial" w:eastAsia="SimSun" w:hAnsi="Arial" w:cs="Arial"/>
      <w:lang w:val="zh-CN" w:eastAsia="zh-CN"/>
    </w:rPr>
  </w:style>
  <w:style w:type="paragraph" w:styleId="BalloonText">
    <w:name w:val="Balloon Text"/>
    <w:basedOn w:val="Normal"/>
    <w:link w:val="BalloonTextChar"/>
    <w:uiPriority w:val="99"/>
    <w:semiHidden/>
    <w:unhideWhenUsed/>
    <w:rsid w:val="00F67E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E0F"/>
    <w:rPr>
      <w:rFonts w:ascii="Tahoma" w:eastAsia="SimSun" w:hAnsi="Tahoma" w:cs="Tahoma"/>
      <w:sz w:val="16"/>
      <w:szCs w:val="16"/>
      <w:lang w:val="zh-CN" w:eastAsia="zh-CN"/>
    </w:rPr>
  </w:style>
  <w:style w:type="character" w:customStyle="1" w:styleId="Heading1Char">
    <w:name w:val="Heading 1 Char"/>
    <w:basedOn w:val="DefaultParagraphFont"/>
    <w:link w:val="Heading1"/>
    <w:uiPriority w:val="9"/>
    <w:rsid w:val="00BC6514"/>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BC6514"/>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BC6514"/>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BC651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BC6514"/>
    <w:rPr>
      <w:b/>
      <w:bCs/>
    </w:rPr>
  </w:style>
  <w:style w:type="character" w:customStyle="1" w:styleId="relative">
    <w:name w:val="relative"/>
    <w:basedOn w:val="DefaultParagraphFont"/>
    <w:rsid w:val="00BC6514"/>
  </w:style>
  <w:style w:type="paragraph" w:customStyle="1" w:styleId="not-prose">
    <w:name w:val="not-prose"/>
    <w:basedOn w:val="Normal"/>
    <w:rsid w:val="00BC651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CA6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1432">
      <w:bodyDiv w:val="1"/>
      <w:marLeft w:val="0"/>
      <w:marRight w:val="0"/>
      <w:marTop w:val="0"/>
      <w:marBottom w:val="0"/>
      <w:divBdr>
        <w:top w:val="none" w:sz="0" w:space="0" w:color="auto"/>
        <w:left w:val="none" w:sz="0" w:space="0" w:color="auto"/>
        <w:bottom w:val="none" w:sz="0" w:space="0" w:color="auto"/>
        <w:right w:val="none" w:sz="0" w:space="0" w:color="auto"/>
      </w:divBdr>
    </w:div>
    <w:div w:id="432210920">
      <w:bodyDiv w:val="1"/>
      <w:marLeft w:val="0"/>
      <w:marRight w:val="0"/>
      <w:marTop w:val="0"/>
      <w:marBottom w:val="0"/>
      <w:divBdr>
        <w:top w:val="none" w:sz="0" w:space="0" w:color="auto"/>
        <w:left w:val="none" w:sz="0" w:space="0" w:color="auto"/>
        <w:bottom w:val="none" w:sz="0" w:space="0" w:color="auto"/>
        <w:right w:val="none" w:sz="0" w:space="0" w:color="auto"/>
      </w:divBdr>
      <w:divsChild>
        <w:div w:id="813645105">
          <w:marLeft w:val="0"/>
          <w:marRight w:val="0"/>
          <w:marTop w:val="0"/>
          <w:marBottom w:val="0"/>
          <w:divBdr>
            <w:top w:val="none" w:sz="0" w:space="0" w:color="auto"/>
            <w:left w:val="none" w:sz="0" w:space="0" w:color="auto"/>
            <w:bottom w:val="none" w:sz="0" w:space="0" w:color="auto"/>
            <w:right w:val="none" w:sz="0" w:space="0" w:color="auto"/>
          </w:divBdr>
          <w:divsChild>
            <w:div w:id="1949311623">
              <w:marLeft w:val="0"/>
              <w:marRight w:val="0"/>
              <w:marTop w:val="0"/>
              <w:marBottom w:val="0"/>
              <w:divBdr>
                <w:top w:val="none" w:sz="0" w:space="0" w:color="auto"/>
                <w:left w:val="none" w:sz="0" w:space="0" w:color="auto"/>
                <w:bottom w:val="none" w:sz="0" w:space="0" w:color="auto"/>
                <w:right w:val="none" w:sz="0" w:space="0" w:color="auto"/>
              </w:divBdr>
              <w:divsChild>
                <w:div w:id="32266970">
                  <w:marLeft w:val="0"/>
                  <w:marRight w:val="0"/>
                  <w:marTop w:val="0"/>
                  <w:marBottom w:val="0"/>
                  <w:divBdr>
                    <w:top w:val="none" w:sz="0" w:space="0" w:color="auto"/>
                    <w:left w:val="none" w:sz="0" w:space="0" w:color="auto"/>
                    <w:bottom w:val="none" w:sz="0" w:space="0" w:color="auto"/>
                    <w:right w:val="none" w:sz="0" w:space="0" w:color="auto"/>
                  </w:divBdr>
                  <w:divsChild>
                    <w:div w:id="1964650276">
                      <w:marLeft w:val="0"/>
                      <w:marRight w:val="0"/>
                      <w:marTop w:val="0"/>
                      <w:marBottom w:val="0"/>
                      <w:divBdr>
                        <w:top w:val="none" w:sz="0" w:space="0" w:color="auto"/>
                        <w:left w:val="none" w:sz="0" w:space="0" w:color="auto"/>
                        <w:bottom w:val="none" w:sz="0" w:space="0" w:color="auto"/>
                        <w:right w:val="none" w:sz="0" w:space="0" w:color="auto"/>
                      </w:divBdr>
                      <w:divsChild>
                        <w:div w:id="1816950935">
                          <w:marLeft w:val="0"/>
                          <w:marRight w:val="0"/>
                          <w:marTop w:val="0"/>
                          <w:marBottom w:val="0"/>
                          <w:divBdr>
                            <w:top w:val="none" w:sz="0" w:space="0" w:color="auto"/>
                            <w:left w:val="none" w:sz="0" w:space="0" w:color="auto"/>
                            <w:bottom w:val="none" w:sz="0" w:space="0" w:color="auto"/>
                            <w:right w:val="none" w:sz="0" w:space="0" w:color="auto"/>
                          </w:divBdr>
                          <w:divsChild>
                            <w:div w:id="10262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503432">
      <w:bodyDiv w:val="1"/>
      <w:marLeft w:val="0"/>
      <w:marRight w:val="0"/>
      <w:marTop w:val="0"/>
      <w:marBottom w:val="0"/>
      <w:divBdr>
        <w:top w:val="none" w:sz="0" w:space="0" w:color="auto"/>
        <w:left w:val="none" w:sz="0" w:space="0" w:color="auto"/>
        <w:bottom w:val="none" w:sz="0" w:space="0" w:color="auto"/>
        <w:right w:val="none" w:sz="0" w:space="0" w:color="auto"/>
      </w:divBdr>
    </w:div>
    <w:div w:id="879123850">
      <w:bodyDiv w:val="1"/>
      <w:marLeft w:val="0"/>
      <w:marRight w:val="0"/>
      <w:marTop w:val="0"/>
      <w:marBottom w:val="0"/>
      <w:divBdr>
        <w:top w:val="none" w:sz="0" w:space="0" w:color="auto"/>
        <w:left w:val="none" w:sz="0" w:space="0" w:color="auto"/>
        <w:bottom w:val="none" w:sz="0" w:space="0" w:color="auto"/>
        <w:right w:val="none" w:sz="0" w:space="0" w:color="auto"/>
      </w:divBdr>
    </w:div>
    <w:div w:id="1009674120">
      <w:bodyDiv w:val="1"/>
      <w:marLeft w:val="0"/>
      <w:marRight w:val="0"/>
      <w:marTop w:val="0"/>
      <w:marBottom w:val="0"/>
      <w:divBdr>
        <w:top w:val="none" w:sz="0" w:space="0" w:color="auto"/>
        <w:left w:val="none" w:sz="0" w:space="0" w:color="auto"/>
        <w:bottom w:val="none" w:sz="0" w:space="0" w:color="auto"/>
        <w:right w:val="none" w:sz="0" w:space="0" w:color="auto"/>
      </w:divBdr>
    </w:div>
    <w:div w:id="1035812535">
      <w:bodyDiv w:val="1"/>
      <w:marLeft w:val="0"/>
      <w:marRight w:val="0"/>
      <w:marTop w:val="0"/>
      <w:marBottom w:val="0"/>
      <w:divBdr>
        <w:top w:val="none" w:sz="0" w:space="0" w:color="auto"/>
        <w:left w:val="none" w:sz="0" w:space="0" w:color="auto"/>
        <w:bottom w:val="none" w:sz="0" w:space="0" w:color="auto"/>
        <w:right w:val="none" w:sz="0" w:space="0" w:color="auto"/>
      </w:divBdr>
    </w:div>
    <w:div w:id="1554077886">
      <w:bodyDiv w:val="1"/>
      <w:marLeft w:val="0"/>
      <w:marRight w:val="0"/>
      <w:marTop w:val="0"/>
      <w:marBottom w:val="0"/>
      <w:divBdr>
        <w:top w:val="none" w:sz="0" w:space="0" w:color="auto"/>
        <w:left w:val="none" w:sz="0" w:space="0" w:color="auto"/>
        <w:bottom w:val="none" w:sz="0" w:space="0" w:color="auto"/>
        <w:right w:val="none" w:sz="0" w:space="0" w:color="auto"/>
      </w:divBdr>
    </w:div>
    <w:div w:id="2122338655">
      <w:bodyDiv w:val="1"/>
      <w:marLeft w:val="0"/>
      <w:marRight w:val="0"/>
      <w:marTop w:val="0"/>
      <w:marBottom w:val="0"/>
      <w:divBdr>
        <w:top w:val="none" w:sz="0" w:space="0" w:color="auto"/>
        <w:left w:val="none" w:sz="0" w:space="0" w:color="auto"/>
        <w:bottom w:val="none" w:sz="0" w:space="0" w:color="auto"/>
        <w:right w:val="none" w:sz="0" w:space="0" w:color="auto"/>
      </w:divBdr>
      <w:divsChild>
        <w:div w:id="45857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18</Pages>
  <Words>4265</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dcterms:created xsi:type="dcterms:W3CDTF">2025-11-14T03:26:00Z</dcterms:created>
  <dcterms:modified xsi:type="dcterms:W3CDTF">2025-11-14T04:23:00Z</dcterms:modified>
</cp:coreProperties>
</file>