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7FC0E" w14:textId="1BDD69B9" w:rsidR="00B06922" w:rsidRDefault="00B06922" w:rsidP="00B06922">
      <w:pPr>
        <w:spacing w:line="360" w:lineRule="auto"/>
        <w:jc w:val="center"/>
        <w:rPr>
          <w:rFonts w:ascii="Times New Roman" w:hAnsi="Times New Roman" w:cs="Times New Roman"/>
          <w:b/>
          <w:bCs/>
          <w:sz w:val="28"/>
          <w:szCs w:val="28"/>
          <w:lang w:val="en-US"/>
        </w:rPr>
      </w:pPr>
      <w:r w:rsidRPr="003C59CF">
        <w:rPr>
          <w:rFonts w:ascii="Times New Roman" w:hAnsi="Times New Roman" w:cs="Times New Roman"/>
          <w:b/>
          <w:bCs/>
          <w:sz w:val="28"/>
          <w:szCs w:val="28"/>
          <w:lang w:val="en-US"/>
        </w:rPr>
        <w:t>KRIMINALI</w:t>
      </w:r>
      <w:r>
        <w:rPr>
          <w:rFonts w:ascii="Times New Roman" w:hAnsi="Times New Roman" w:cs="Times New Roman"/>
          <w:b/>
          <w:bCs/>
          <w:sz w:val="28"/>
          <w:szCs w:val="28"/>
          <w:lang w:val="en-US"/>
        </w:rPr>
        <w:t>SASI</w:t>
      </w:r>
      <w:r w:rsidRPr="003C59CF">
        <w:rPr>
          <w:rFonts w:ascii="Times New Roman" w:hAnsi="Times New Roman" w:cs="Times New Roman"/>
          <w:b/>
          <w:bCs/>
          <w:sz w:val="28"/>
          <w:szCs w:val="28"/>
          <w:lang w:val="en-US"/>
        </w:rPr>
        <w:t xml:space="preserve"> PELAKU TINDAK PIDANA GRATIFIKASI </w:t>
      </w:r>
      <w:r>
        <w:rPr>
          <w:rFonts w:ascii="Times New Roman" w:hAnsi="Times New Roman" w:cs="Times New Roman"/>
          <w:b/>
          <w:bCs/>
          <w:sz w:val="28"/>
          <w:szCs w:val="28"/>
          <w:lang w:val="en-US"/>
        </w:rPr>
        <w:t>TERHADAP</w:t>
      </w:r>
      <w:r w:rsidRPr="003C59CF">
        <w:rPr>
          <w:rFonts w:ascii="Times New Roman" w:hAnsi="Times New Roman" w:cs="Times New Roman"/>
          <w:b/>
          <w:bCs/>
          <w:sz w:val="28"/>
          <w:szCs w:val="28"/>
          <w:lang w:val="en-US"/>
        </w:rPr>
        <w:t xml:space="preserve"> PERUSAHAAN FARMASI DENGAN DOKTER SWASTA DALAM </w:t>
      </w:r>
      <w:r>
        <w:rPr>
          <w:rFonts w:ascii="Times New Roman" w:hAnsi="Times New Roman" w:cs="Times New Roman"/>
          <w:b/>
          <w:bCs/>
          <w:sz w:val="28"/>
          <w:szCs w:val="28"/>
          <w:lang w:val="en-US"/>
        </w:rPr>
        <w:t>PERSPEKTIF PERATURAN PERUNDANG-UNDANGAN</w:t>
      </w:r>
    </w:p>
    <w:p w14:paraId="182DA05F" w14:textId="7C73F3B6" w:rsidR="00B06922" w:rsidRDefault="00697249" w:rsidP="00B06922">
      <w:pPr>
        <w:spacing w:line="360" w:lineRule="auto"/>
        <w:jc w:val="center"/>
        <w:rPr>
          <w:rFonts w:ascii="Times New Roman" w:hAnsi="Times New Roman" w:cs="Times New Roman"/>
          <w:sz w:val="28"/>
          <w:szCs w:val="28"/>
          <w:lang w:val="id-ID"/>
        </w:rPr>
      </w:pPr>
      <w:r>
        <w:rPr>
          <w:rFonts w:ascii="Times New Roman" w:hAnsi="Times New Roman" w:cs="Times New Roman"/>
          <w:sz w:val="28"/>
          <w:szCs w:val="28"/>
          <w:lang w:val="en-US"/>
        </w:rPr>
        <w:t>Frederick Setiawan</w:t>
      </w:r>
      <w:r w:rsidR="00B06922">
        <w:rPr>
          <w:rFonts w:ascii="Times New Roman" w:hAnsi="Times New Roman" w:cs="Times New Roman"/>
          <w:sz w:val="28"/>
          <w:szCs w:val="28"/>
          <w:lang w:val="en-US"/>
        </w:rPr>
        <w:t xml:space="preserve"> </w:t>
      </w:r>
    </w:p>
    <w:p w14:paraId="5758006B" w14:textId="318CAA74" w:rsidR="00FA3E43" w:rsidRPr="00FA3E43" w:rsidRDefault="00FA3E43" w:rsidP="00B06922">
      <w:pPr>
        <w:spacing w:line="36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NPM: 228040043</w:t>
      </w:r>
      <w:bookmarkStart w:id="0" w:name="_GoBack"/>
      <w:bookmarkEnd w:id="0"/>
    </w:p>
    <w:p w14:paraId="7C2B4B5E" w14:textId="23F75A39" w:rsidR="00B06922" w:rsidRDefault="00B06922" w:rsidP="00B06922">
      <w:pPr>
        <w:spacing w:line="360" w:lineRule="auto"/>
        <w:jc w:val="center"/>
        <w:rPr>
          <w:rFonts w:ascii="Times New Roman" w:hAnsi="Times New Roman" w:cs="Times New Roman"/>
          <w:sz w:val="28"/>
          <w:szCs w:val="28"/>
          <w:lang w:val="en-US"/>
        </w:rPr>
      </w:pPr>
    </w:p>
    <w:p w14:paraId="634D1280" w14:textId="1ECB9184" w:rsidR="00B06922" w:rsidRDefault="00B06922" w:rsidP="00B06922">
      <w:pPr>
        <w:spacing w:line="360" w:lineRule="auto"/>
        <w:jc w:val="center"/>
        <w:rPr>
          <w:rFonts w:ascii="Times New Roman" w:hAnsi="Times New Roman" w:cs="Times New Roman"/>
          <w:sz w:val="28"/>
          <w:szCs w:val="28"/>
          <w:lang w:val="en-US"/>
        </w:rPr>
      </w:pPr>
    </w:p>
    <w:p w14:paraId="10F70F0E" w14:textId="77777777" w:rsidR="00B06922" w:rsidRPr="00B06922" w:rsidRDefault="00B06922" w:rsidP="00B06922">
      <w:pPr>
        <w:jc w:val="center"/>
        <w:rPr>
          <w:rFonts w:ascii="Times New Roman" w:hAnsi="Times New Roman" w:cs="Times New Roman"/>
          <w:i/>
          <w:iCs/>
          <w:color w:val="000000"/>
        </w:rPr>
      </w:pPr>
      <w:r w:rsidRPr="00B06922">
        <w:rPr>
          <w:rStyle w:val="ts-alignment-element"/>
          <w:rFonts w:ascii="Times New Roman" w:hAnsi="Times New Roman" w:cs="Times New Roman"/>
          <w:i/>
          <w:iCs/>
          <w:color w:val="000000"/>
        </w:rPr>
        <w:t>Abstract</w:t>
      </w:r>
    </w:p>
    <w:p w14:paraId="710954C4" w14:textId="77777777" w:rsidR="00B06922" w:rsidRPr="00B06922" w:rsidRDefault="00B06922" w:rsidP="00B06922">
      <w:pPr>
        <w:jc w:val="both"/>
        <w:rPr>
          <w:rFonts w:ascii="Times New Roman" w:hAnsi="Times New Roman" w:cs="Times New Roman"/>
          <w:i/>
          <w:iCs/>
          <w:color w:val="000000"/>
        </w:rPr>
      </w:pPr>
    </w:p>
    <w:p w14:paraId="0E05C463" w14:textId="77777777" w:rsidR="00B06922" w:rsidRPr="00B06922" w:rsidRDefault="00B06922" w:rsidP="00B06922">
      <w:pPr>
        <w:jc w:val="both"/>
        <w:rPr>
          <w:rFonts w:ascii="Times New Roman" w:hAnsi="Times New Roman" w:cs="Times New Roman"/>
          <w:i/>
          <w:iCs/>
          <w:color w:val="000000"/>
        </w:rPr>
      </w:pPr>
      <w:r w:rsidRPr="00B06922">
        <w:rPr>
          <w:rStyle w:val="ts-alignment-element"/>
          <w:rFonts w:ascii="Times New Roman" w:hAnsi="Times New Roman" w:cs="Times New Roman"/>
          <w:i/>
          <w:iCs/>
          <w:color w:val="000000"/>
        </w:rPr>
        <w:t>Corruption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occur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when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power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not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accompanied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accountability.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Accountability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itself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means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responsibility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person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who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entrusted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carry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out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duties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party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who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gives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professionals,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doctors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have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power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authority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determine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diagnosis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that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considered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appropriate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provide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care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treatment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based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that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decision.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decisions</w:t>
      </w:r>
      <w:r w:rsidRPr="00B06922">
        <w:rPr>
          <w:rFonts w:ascii="Times New Roman" w:hAnsi="Times New Roman" w:cs="Times New Roman"/>
          <w:i/>
          <w:iCs/>
          <w:color w:val="000000"/>
        </w:rPr>
        <w:t xml:space="preserve"> are </w:t>
      </w:r>
      <w:r w:rsidRPr="00B06922">
        <w:rPr>
          <w:rStyle w:val="ts-alignment-element"/>
          <w:rFonts w:ascii="Times New Roman" w:hAnsi="Times New Roman" w:cs="Times New Roman"/>
          <w:i/>
          <w:iCs/>
          <w:color w:val="000000"/>
        </w:rPr>
        <w:t>not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accountable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cannot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audited,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then</w:t>
      </w:r>
      <w:r w:rsidRPr="00B06922">
        <w:rPr>
          <w:rFonts w:ascii="Times New Roman" w:hAnsi="Times New Roman" w:cs="Times New Roman"/>
          <w:i/>
          <w:iCs/>
          <w:color w:val="000000"/>
        </w:rPr>
        <w:t xml:space="preserve"> the </w:t>
      </w:r>
      <w:r w:rsidRPr="00B06922">
        <w:rPr>
          <w:rStyle w:val="ts-alignment-element"/>
          <w:rFonts w:ascii="Times New Roman" w:hAnsi="Times New Roman" w:cs="Times New Roman"/>
          <w:i/>
          <w:iCs/>
          <w:color w:val="000000"/>
        </w:rPr>
        <w:t>chances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corruption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increase.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Collusion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between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doctors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pharmaceutical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companies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has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potential to </w:t>
      </w:r>
      <w:r w:rsidRPr="00B06922">
        <w:rPr>
          <w:rStyle w:val="ts-alignment-element"/>
          <w:rFonts w:ascii="Times New Roman" w:hAnsi="Times New Roman" w:cs="Times New Roman"/>
          <w:i/>
          <w:iCs/>
          <w:color w:val="000000"/>
        </w:rPr>
        <w:t>be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categorized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as</w:t>
      </w:r>
      <w:r w:rsidRPr="00B06922">
        <w:rPr>
          <w:rFonts w:ascii="Times New Roman" w:hAnsi="Times New Roman" w:cs="Times New Roman"/>
          <w:i/>
          <w:iCs/>
          <w:color w:val="000000"/>
        </w:rPr>
        <w:t xml:space="preserve"> an </w:t>
      </w:r>
      <w:r w:rsidRPr="00B06922">
        <w:rPr>
          <w:rStyle w:val="ts-alignment-element"/>
          <w:rFonts w:ascii="Times New Roman" w:hAnsi="Times New Roman" w:cs="Times New Roman"/>
          <w:i/>
          <w:iCs/>
          <w:color w:val="000000"/>
        </w:rPr>
        <w:t>act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corruption.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Consumers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who</w:t>
      </w:r>
      <w:r w:rsidRPr="00B06922">
        <w:rPr>
          <w:rFonts w:ascii="Times New Roman" w:hAnsi="Times New Roman" w:cs="Times New Roman"/>
          <w:i/>
          <w:iCs/>
          <w:color w:val="000000"/>
        </w:rPr>
        <w:t xml:space="preserve"> are </w:t>
      </w:r>
      <w:r w:rsidRPr="00B06922">
        <w:rPr>
          <w:rStyle w:val="ts-alignment-element"/>
          <w:rFonts w:ascii="Times New Roman" w:hAnsi="Times New Roman" w:cs="Times New Roman"/>
          <w:i/>
          <w:iCs/>
          <w:color w:val="000000"/>
        </w:rPr>
        <w:t>aggrieved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actions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doctors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pharmaceutical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companies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report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Corruption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Eradication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Commission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(KPK).</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purpose</w:t>
      </w:r>
      <w:r w:rsidRPr="00B06922">
        <w:rPr>
          <w:rFonts w:ascii="Times New Roman" w:hAnsi="Times New Roman" w:cs="Times New Roman"/>
          <w:i/>
          <w:iCs/>
          <w:color w:val="000000"/>
        </w:rPr>
        <w:t xml:space="preserve"> of </w:t>
      </w:r>
      <w:r w:rsidRPr="00B06922">
        <w:rPr>
          <w:rStyle w:val="ts-alignment-element"/>
          <w:rFonts w:ascii="Times New Roman" w:hAnsi="Times New Roman" w:cs="Times New Roman"/>
          <w:i/>
          <w:iCs/>
          <w:color w:val="000000"/>
        </w:rPr>
        <w:t>this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study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find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out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that</w:t>
      </w:r>
      <w:r w:rsidRPr="00B06922">
        <w:rPr>
          <w:rFonts w:ascii="Times New Roman" w:hAnsi="Times New Roman" w:cs="Times New Roman"/>
          <w:i/>
          <w:iCs/>
          <w:color w:val="000000"/>
        </w:rPr>
        <w:t xml:space="preserve"> the </w:t>
      </w:r>
      <w:r w:rsidRPr="00B06922">
        <w:rPr>
          <w:rStyle w:val="ts-alignment-element"/>
          <w:rFonts w:ascii="Times New Roman" w:hAnsi="Times New Roman" w:cs="Times New Roman"/>
          <w:i/>
          <w:iCs/>
          <w:color w:val="000000"/>
        </w:rPr>
        <w:t>direction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legal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policy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towards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gratuities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between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pharmaceutical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companies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private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doctors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does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not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stop</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repressive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(criminalization)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approach,</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but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must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developed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towards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comprehensive,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ethical,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restorative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legal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system.</w:t>
      </w:r>
      <w:r w:rsidRPr="00B06922">
        <w:rPr>
          <w:rFonts w:ascii="Times New Roman" w:hAnsi="Times New Roman" w:cs="Times New Roman"/>
          <w:i/>
          <w:iCs/>
          <w:color w:val="000000"/>
        </w:rPr>
        <w:t xml:space="preserve"> </w:t>
      </w:r>
    </w:p>
    <w:p w14:paraId="0E4BD413" w14:textId="77777777" w:rsidR="00B06922" w:rsidRPr="00B06922" w:rsidRDefault="00B06922" w:rsidP="00B06922">
      <w:pPr>
        <w:jc w:val="both"/>
        <w:rPr>
          <w:rFonts w:ascii="Times New Roman" w:hAnsi="Times New Roman" w:cs="Times New Roman"/>
          <w:i/>
          <w:iCs/>
          <w:color w:val="000000"/>
        </w:rPr>
      </w:pP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research</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method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used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normative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juridical,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which</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to </w:t>
      </w:r>
      <w:r w:rsidRPr="00B06922">
        <w:rPr>
          <w:rStyle w:val="ts-alignment-element"/>
          <w:rFonts w:ascii="Times New Roman" w:hAnsi="Times New Roman" w:cs="Times New Roman"/>
          <w:i/>
          <w:iCs/>
          <w:color w:val="000000"/>
        </w:rPr>
        <w:t>examine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laws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that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are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conceptualized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norms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rules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that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apply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society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become</w:t>
      </w:r>
      <w:r w:rsidRPr="00B06922">
        <w:rPr>
          <w:rFonts w:ascii="Times New Roman" w:hAnsi="Times New Roman" w:cs="Times New Roman"/>
          <w:i/>
          <w:iCs/>
          <w:color w:val="000000"/>
        </w:rPr>
        <w:t xml:space="preserve"> a </w:t>
      </w:r>
      <w:r w:rsidRPr="00B06922">
        <w:rPr>
          <w:rStyle w:val="ts-alignment-element"/>
          <w:rFonts w:ascii="Times New Roman" w:hAnsi="Times New Roman" w:cs="Times New Roman"/>
          <w:i/>
          <w:iCs/>
          <w:color w:val="000000"/>
        </w:rPr>
        <w:t>reference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for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everyone'</w:t>
      </w:r>
      <w:r w:rsidRPr="00B06922">
        <w:rPr>
          <w:rFonts w:ascii="Times New Roman" w:hAnsi="Times New Roman" w:cs="Times New Roman"/>
          <w:i/>
          <w:iCs/>
          <w:color w:val="000000"/>
        </w:rPr>
        <w:t xml:space="preserve">s </w:t>
      </w:r>
      <w:r w:rsidRPr="00B06922">
        <w:rPr>
          <w:rStyle w:val="ts-alignment-element"/>
          <w:rFonts w:ascii="Times New Roman" w:hAnsi="Times New Roman" w:cs="Times New Roman"/>
          <w:i/>
          <w:iCs/>
          <w:color w:val="000000"/>
        </w:rPr>
        <w:t>behavior.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normative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juridical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method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also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called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juridical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research</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that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theoretical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dogmatic</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w:t>
      </w:r>
      <w:r w:rsidRPr="00B06922">
        <w:rPr>
          <w:rFonts w:ascii="Times New Roman" w:hAnsi="Times New Roman" w:cs="Times New Roman"/>
          <w:i/>
          <w:iCs/>
          <w:color w:val="000000"/>
        </w:rPr>
        <w:t xml:space="preserve"> nature </w:t>
      </w:r>
    </w:p>
    <w:p w14:paraId="0E1382AB" w14:textId="77777777" w:rsidR="00B06922" w:rsidRPr="00B06922" w:rsidRDefault="00B06922" w:rsidP="00B06922">
      <w:pPr>
        <w:jc w:val="both"/>
        <w:rPr>
          <w:rFonts w:ascii="Times New Roman" w:hAnsi="Times New Roman" w:cs="Times New Roman"/>
          <w:i/>
          <w:iCs/>
          <w:color w:val="000000"/>
        </w:rPr>
      </w:pP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results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this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study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show</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that</w:t>
      </w:r>
      <w:r w:rsidRPr="00B06922">
        <w:rPr>
          <w:rFonts w:ascii="Times New Roman" w:hAnsi="Times New Roman" w:cs="Times New Roman"/>
          <w:i/>
          <w:iCs/>
          <w:color w:val="000000"/>
        </w:rPr>
        <w:t xml:space="preserve"> the </w:t>
      </w:r>
      <w:r w:rsidRPr="00B06922">
        <w:rPr>
          <w:rStyle w:val="ts-alignment-element"/>
          <w:rFonts w:ascii="Times New Roman" w:hAnsi="Times New Roman" w:cs="Times New Roman"/>
          <w:i/>
          <w:iCs/>
          <w:color w:val="000000"/>
        </w:rPr>
        <w:t>ideal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concept</w:t>
      </w:r>
      <w:r w:rsidRPr="00B06922">
        <w:rPr>
          <w:rFonts w:ascii="Times New Roman" w:hAnsi="Times New Roman" w:cs="Times New Roman"/>
          <w:i/>
          <w:iCs/>
          <w:color w:val="000000"/>
        </w:rPr>
        <w:t xml:space="preserve"> of punishment </w:t>
      </w:r>
      <w:r w:rsidRPr="00B06922">
        <w:rPr>
          <w:rStyle w:val="ts-alignment-element"/>
          <w:rFonts w:ascii="Times New Roman" w:hAnsi="Times New Roman" w:cs="Times New Roman"/>
          <w:i/>
          <w:iCs/>
          <w:color w:val="000000"/>
        </w:rPr>
        <w:t>for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perpetrators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gratuities </w:t>
      </w:r>
      <w:r w:rsidRPr="00B06922">
        <w:rPr>
          <w:rStyle w:val="ts-alignment-element"/>
          <w:rFonts w:ascii="Times New Roman" w:hAnsi="Times New Roman" w:cs="Times New Roman"/>
          <w:i/>
          <w:iCs/>
          <w:color w:val="000000"/>
        </w:rPr>
        <w:t>between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pharmaceutical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companies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private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doctors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Indonesian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law</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is</w:t>
      </w:r>
      <w:r w:rsidRPr="00B06922">
        <w:rPr>
          <w:rFonts w:ascii="Times New Roman" w:hAnsi="Times New Roman" w:cs="Times New Roman"/>
          <w:i/>
          <w:iCs/>
          <w:color w:val="000000"/>
        </w:rPr>
        <w:t xml:space="preserve"> a </w:t>
      </w:r>
      <w:r w:rsidRPr="00B06922">
        <w:rPr>
          <w:rStyle w:val="ts-alignment-element"/>
          <w:rFonts w:ascii="Times New Roman" w:hAnsi="Times New Roman" w:cs="Times New Roman"/>
          <w:i/>
          <w:iCs/>
          <w:color w:val="000000"/>
        </w:rPr>
        <w:t>punishment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based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on</w:t>
      </w:r>
      <w:r w:rsidRPr="00B06922">
        <w:rPr>
          <w:rFonts w:ascii="Times New Roman" w:hAnsi="Times New Roman" w:cs="Times New Roman"/>
          <w:i/>
          <w:iCs/>
          <w:color w:val="000000"/>
        </w:rPr>
        <w:t xml:space="preserve"> the </w:t>
      </w:r>
      <w:r w:rsidRPr="00B06922">
        <w:rPr>
          <w:rStyle w:val="ts-alignment-element"/>
          <w:rFonts w:ascii="Times New Roman" w:hAnsi="Times New Roman" w:cs="Times New Roman"/>
          <w:i/>
          <w:iCs/>
          <w:color w:val="000000"/>
        </w:rPr>
        <w:t>principles</w:t>
      </w:r>
      <w:r w:rsidRPr="00B06922">
        <w:rPr>
          <w:rFonts w:ascii="Times New Roman" w:hAnsi="Times New Roman" w:cs="Times New Roman"/>
          <w:i/>
          <w:iCs/>
          <w:color w:val="000000"/>
        </w:rPr>
        <w:t xml:space="preserve"> of </w:t>
      </w:r>
      <w:r w:rsidRPr="00B06922">
        <w:rPr>
          <w:rStyle w:val="ts-alignment-element"/>
          <w:rFonts w:ascii="Times New Roman" w:hAnsi="Times New Roman" w:cs="Times New Roman"/>
          <w:i/>
          <w:iCs/>
          <w:color w:val="000000"/>
        </w:rPr>
        <w:t>legality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rationality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criminalization,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but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carried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out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spirit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substantive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justice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restorative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justice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approach.</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Criminal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law</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must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function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not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only</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as</w:t>
      </w:r>
      <w:r w:rsidRPr="00B06922">
        <w:rPr>
          <w:rFonts w:ascii="Times New Roman" w:hAnsi="Times New Roman" w:cs="Times New Roman"/>
          <w:i/>
          <w:iCs/>
          <w:color w:val="000000"/>
        </w:rPr>
        <w:t xml:space="preserve"> a </w:t>
      </w:r>
      <w:r w:rsidRPr="00B06922">
        <w:rPr>
          <w:rStyle w:val="ts-alignment-element"/>
          <w:rFonts w:ascii="Times New Roman" w:hAnsi="Times New Roman" w:cs="Times New Roman"/>
          <w:i/>
          <w:iCs/>
          <w:color w:val="000000"/>
        </w:rPr>
        <w:t>tool</w:t>
      </w:r>
      <w:r w:rsidRPr="00B06922">
        <w:rPr>
          <w:rFonts w:ascii="Times New Roman" w:hAnsi="Times New Roman" w:cs="Times New Roman"/>
          <w:i/>
          <w:iCs/>
          <w:color w:val="000000"/>
        </w:rPr>
        <w:t xml:space="preserve"> of </w:t>
      </w:r>
      <w:r w:rsidRPr="00B06922">
        <w:rPr>
          <w:rStyle w:val="ts-alignment-element"/>
          <w:rFonts w:ascii="Times New Roman" w:hAnsi="Times New Roman" w:cs="Times New Roman"/>
          <w:i/>
          <w:iCs/>
          <w:color w:val="000000"/>
        </w:rPr>
        <w:t>repression,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but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also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moral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social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means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to</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restore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professional</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integrity,</w:t>
      </w:r>
      <w:r w:rsidRPr="00B06922">
        <w:rPr>
          <w:rFonts w:ascii="Times New Roman" w:hAnsi="Times New Roman" w:cs="Times New Roman"/>
          <w:i/>
          <w:iCs/>
          <w:color w:val="000000"/>
        </w:rPr>
        <w:t xml:space="preserve"> restore </w:t>
      </w:r>
      <w:r w:rsidRPr="00B06922">
        <w:rPr>
          <w:rStyle w:val="ts-alignment-element"/>
          <w:rFonts w:ascii="Times New Roman" w:hAnsi="Times New Roman" w:cs="Times New Roman"/>
          <w:i/>
          <w:iCs/>
          <w:color w:val="000000"/>
        </w:rPr>
        <w:t>public</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trust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in</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the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health</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sector,</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ensure</w:t>
      </w:r>
      <w:r w:rsidRPr="00B06922">
        <w:rPr>
          <w:rFonts w:ascii="Times New Roman" w:hAnsi="Times New Roman" w:cs="Times New Roman"/>
          <w:i/>
          <w:iCs/>
          <w:color w:val="000000"/>
        </w:rPr>
        <w:t xml:space="preserve"> the </w:t>
      </w:r>
      <w:r w:rsidRPr="00B06922">
        <w:rPr>
          <w:rStyle w:val="ts-alignment-element"/>
          <w:rFonts w:ascii="Times New Roman" w:hAnsi="Times New Roman" w:cs="Times New Roman"/>
          <w:i/>
          <w:iCs/>
          <w:color w:val="000000"/>
        </w:rPr>
        <w:t>achievement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of</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humane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and</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sustainable</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justice.</w:t>
      </w:r>
      <w:r w:rsidRPr="00B06922">
        <w:rPr>
          <w:rFonts w:ascii="Times New Roman" w:hAnsi="Times New Roman" w:cs="Times New Roman"/>
          <w:i/>
          <w:iCs/>
          <w:color w:val="000000"/>
        </w:rPr>
        <w:t xml:space="preserve"> </w:t>
      </w:r>
    </w:p>
    <w:p w14:paraId="1D88A294" w14:textId="77777777" w:rsidR="00B06922" w:rsidRPr="00B06922" w:rsidRDefault="00B06922" w:rsidP="00B06922">
      <w:pPr>
        <w:jc w:val="both"/>
        <w:rPr>
          <w:rFonts w:ascii="Times New Roman" w:hAnsi="Times New Roman" w:cs="Times New Roman"/>
          <w:i/>
          <w:iCs/>
          <w:color w:val="000000"/>
        </w:rPr>
      </w:pPr>
    </w:p>
    <w:p w14:paraId="1DD1D40C" w14:textId="77777777" w:rsidR="00B06922" w:rsidRPr="00B06922" w:rsidRDefault="00B06922" w:rsidP="00B06922">
      <w:pPr>
        <w:jc w:val="both"/>
        <w:rPr>
          <w:rStyle w:val="Strong"/>
          <w:rFonts w:ascii="Times New Roman" w:hAnsi="Times New Roman" w:cs="Times New Roman"/>
          <w:b w:val="0"/>
          <w:bCs w:val="0"/>
          <w:i/>
          <w:iCs/>
        </w:rPr>
      </w:pPr>
      <w:r w:rsidRPr="00B06922">
        <w:rPr>
          <w:rStyle w:val="ts-alignment-element"/>
          <w:rFonts w:ascii="Times New Roman" w:hAnsi="Times New Roman" w:cs="Times New Roman"/>
          <w:i/>
          <w:iCs/>
          <w:color w:val="000000"/>
        </w:rPr>
        <w:t>Keywords</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i/>
          <w:iCs/>
          <w:color w:val="000000"/>
        </w:rPr>
        <w:t>:</w:t>
      </w:r>
      <w:r w:rsidRPr="00B06922">
        <w:rPr>
          <w:rFonts w:ascii="Times New Roman" w:hAnsi="Times New Roman" w:cs="Times New Roman"/>
          <w:i/>
          <w:iCs/>
          <w:color w:val="000000"/>
        </w:rPr>
        <w:t xml:space="preserve"> </w:t>
      </w:r>
      <w:r w:rsidRPr="00B06922">
        <w:rPr>
          <w:rStyle w:val="ts-alignment-element"/>
          <w:rFonts w:ascii="Times New Roman" w:hAnsi="Times New Roman" w:cs="Times New Roman"/>
          <w:b/>
          <w:bCs/>
          <w:i/>
          <w:iCs/>
          <w:color w:val="000000"/>
        </w:rPr>
        <w:t>Private</w:t>
      </w:r>
      <w:r w:rsidRPr="00B06922">
        <w:rPr>
          <w:rFonts w:ascii="Times New Roman" w:hAnsi="Times New Roman" w:cs="Times New Roman"/>
          <w:b/>
          <w:bCs/>
          <w:i/>
          <w:iCs/>
          <w:color w:val="000000"/>
        </w:rPr>
        <w:t xml:space="preserve"> </w:t>
      </w:r>
      <w:r w:rsidRPr="00B06922">
        <w:rPr>
          <w:rStyle w:val="ts-alignment-element"/>
          <w:rFonts w:ascii="Times New Roman" w:hAnsi="Times New Roman" w:cs="Times New Roman"/>
          <w:b/>
          <w:bCs/>
          <w:i/>
          <w:iCs/>
          <w:color w:val="000000"/>
        </w:rPr>
        <w:t>Doctors,</w:t>
      </w:r>
      <w:r w:rsidRPr="00B06922">
        <w:rPr>
          <w:rFonts w:ascii="Times New Roman" w:hAnsi="Times New Roman" w:cs="Times New Roman"/>
          <w:b/>
          <w:bCs/>
          <w:i/>
          <w:iCs/>
          <w:color w:val="000000"/>
        </w:rPr>
        <w:t xml:space="preserve"> </w:t>
      </w:r>
      <w:r w:rsidRPr="00B06922">
        <w:rPr>
          <w:rStyle w:val="ts-alignment-element"/>
          <w:rFonts w:ascii="Times New Roman" w:hAnsi="Times New Roman" w:cs="Times New Roman"/>
          <w:b/>
          <w:bCs/>
          <w:i/>
          <w:iCs/>
          <w:color w:val="000000"/>
        </w:rPr>
        <w:t>Gratuities,</w:t>
      </w:r>
      <w:r w:rsidRPr="00B06922">
        <w:rPr>
          <w:rFonts w:ascii="Times New Roman" w:hAnsi="Times New Roman" w:cs="Times New Roman"/>
          <w:b/>
          <w:bCs/>
          <w:i/>
          <w:iCs/>
          <w:color w:val="000000"/>
        </w:rPr>
        <w:t xml:space="preserve"> </w:t>
      </w:r>
      <w:r w:rsidRPr="00B06922">
        <w:rPr>
          <w:rStyle w:val="ts-alignment-element"/>
          <w:rFonts w:ascii="Times New Roman" w:hAnsi="Times New Roman" w:cs="Times New Roman"/>
          <w:b/>
          <w:bCs/>
          <w:i/>
          <w:iCs/>
          <w:color w:val="000000"/>
        </w:rPr>
        <w:t>Criminalization,</w:t>
      </w:r>
      <w:r w:rsidRPr="00B06922">
        <w:rPr>
          <w:rFonts w:ascii="Times New Roman" w:hAnsi="Times New Roman" w:cs="Times New Roman"/>
          <w:b/>
          <w:bCs/>
          <w:i/>
          <w:iCs/>
          <w:color w:val="000000"/>
        </w:rPr>
        <w:t xml:space="preserve"> </w:t>
      </w:r>
      <w:r w:rsidRPr="00B06922">
        <w:rPr>
          <w:rStyle w:val="ts-alignment-element"/>
          <w:rFonts w:ascii="Times New Roman" w:hAnsi="Times New Roman" w:cs="Times New Roman"/>
          <w:b/>
          <w:bCs/>
          <w:i/>
          <w:iCs/>
          <w:color w:val="000000"/>
        </w:rPr>
        <w:t>Pharmaceutical</w:t>
      </w:r>
      <w:r w:rsidRPr="00B06922">
        <w:rPr>
          <w:rFonts w:ascii="Times New Roman" w:hAnsi="Times New Roman" w:cs="Times New Roman"/>
          <w:b/>
          <w:bCs/>
          <w:i/>
          <w:iCs/>
          <w:color w:val="000000"/>
        </w:rPr>
        <w:t xml:space="preserve"> </w:t>
      </w:r>
      <w:r w:rsidRPr="00B06922">
        <w:rPr>
          <w:rStyle w:val="ts-alignment-element"/>
          <w:rFonts w:ascii="Times New Roman" w:hAnsi="Times New Roman" w:cs="Times New Roman"/>
          <w:b/>
          <w:bCs/>
          <w:i/>
          <w:iCs/>
          <w:color w:val="000000"/>
        </w:rPr>
        <w:t>Companies</w:t>
      </w:r>
    </w:p>
    <w:p w14:paraId="2DE4B01F" w14:textId="15C08064" w:rsidR="00B06922" w:rsidRDefault="00B06922" w:rsidP="00B06922">
      <w:pPr>
        <w:spacing w:line="360" w:lineRule="auto"/>
        <w:jc w:val="center"/>
        <w:rPr>
          <w:rFonts w:ascii="Times New Roman" w:hAnsi="Times New Roman" w:cs="Times New Roman"/>
          <w:sz w:val="28"/>
          <w:szCs w:val="28"/>
          <w:lang w:val="en-US"/>
        </w:rPr>
      </w:pPr>
    </w:p>
    <w:p w14:paraId="150A405E" w14:textId="455406ED" w:rsidR="00B06922" w:rsidRDefault="00B06922" w:rsidP="00B06922">
      <w:pPr>
        <w:spacing w:line="360" w:lineRule="auto"/>
        <w:jc w:val="center"/>
        <w:rPr>
          <w:rFonts w:ascii="Times New Roman" w:hAnsi="Times New Roman" w:cs="Times New Roman"/>
          <w:sz w:val="28"/>
          <w:szCs w:val="28"/>
          <w:lang w:val="en-US"/>
        </w:rPr>
      </w:pPr>
    </w:p>
    <w:p w14:paraId="439A9574" w14:textId="455406ED" w:rsidR="00B06922" w:rsidRDefault="00B06922" w:rsidP="00B06922">
      <w:pPr>
        <w:spacing w:line="360" w:lineRule="auto"/>
        <w:jc w:val="center"/>
        <w:rPr>
          <w:rFonts w:ascii="Times New Roman" w:hAnsi="Times New Roman" w:cs="Times New Roman"/>
          <w:sz w:val="28"/>
          <w:szCs w:val="28"/>
          <w:lang w:val="en-US"/>
        </w:rPr>
      </w:pPr>
    </w:p>
    <w:p w14:paraId="507B246D" w14:textId="1F31410B" w:rsidR="00B06922" w:rsidRDefault="00B06922" w:rsidP="00B06922">
      <w:pPr>
        <w:spacing w:line="360" w:lineRule="auto"/>
        <w:jc w:val="center"/>
        <w:rPr>
          <w:rFonts w:ascii="Times New Roman" w:hAnsi="Times New Roman" w:cs="Times New Roman"/>
          <w:sz w:val="28"/>
          <w:szCs w:val="28"/>
          <w:lang w:val="en-US"/>
        </w:rPr>
      </w:pPr>
    </w:p>
    <w:p w14:paraId="3F98F580" w14:textId="6A0EF34F" w:rsidR="00B06922" w:rsidRDefault="00B06922" w:rsidP="00B06922">
      <w:pPr>
        <w:spacing w:line="360" w:lineRule="auto"/>
        <w:jc w:val="center"/>
        <w:rPr>
          <w:rFonts w:ascii="Times New Roman" w:hAnsi="Times New Roman" w:cs="Times New Roman"/>
          <w:sz w:val="28"/>
          <w:szCs w:val="28"/>
          <w:lang w:val="en-US"/>
        </w:rPr>
      </w:pPr>
    </w:p>
    <w:p w14:paraId="17C1F47A" w14:textId="06CC983B" w:rsidR="00B06922" w:rsidRDefault="00B06922" w:rsidP="00B06922">
      <w:pPr>
        <w:spacing w:line="360" w:lineRule="auto"/>
        <w:jc w:val="center"/>
        <w:rPr>
          <w:rFonts w:ascii="Times New Roman" w:hAnsi="Times New Roman" w:cs="Times New Roman"/>
          <w:sz w:val="28"/>
          <w:szCs w:val="28"/>
          <w:lang w:val="en-US"/>
        </w:rPr>
      </w:pPr>
    </w:p>
    <w:p w14:paraId="71E3D916" w14:textId="77777777" w:rsidR="00B06922" w:rsidRDefault="00B06922" w:rsidP="00B06922">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Abstrak</w:t>
      </w:r>
    </w:p>
    <w:p w14:paraId="4D0C161B" w14:textId="77777777" w:rsidR="00B06922" w:rsidRDefault="00B06922" w:rsidP="00B06922">
      <w:pPr>
        <w:spacing w:line="360" w:lineRule="auto"/>
        <w:rPr>
          <w:rFonts w:ascii="Times New Roman" w:hAnsi="Times New Roman" w:cs="Times New Roman"/>
          <w:b/>
          <w:bCs/>
          <w:sz w:val="28"/>
          <w:szCs w:val="28"/>
          <w:lang w:val="en-US"/>
        </w:rPr>
      </w:pPr>
    </w:p>
    <w:p w14:paraId="63B8E00D" w14:textId="77777777" w:rsidR="00B06922" w:rsidRPr="00C915DF" w:rsidRDefault="00B06922" w:rsidP="00B06922">
      <w:pPr>
        <w:jc w:val="both"/>
        <w:rPr>
          <w:rFonts w:ascii="Times New Roman" w:hAnsi="Times New Roman" w:cs="Times New Roman"/>
        </w:rPr>
      </w:pPr>
      <w:r w:rsidRPr="0042779E">
        <w:rPr>
          <w:rFonts w:ascii="Times New Roman" w:hAnsi="Times New Roman" w:cs="Times New Roman"/>
        </w:rPr>
        <w:t>Korupsi dapat terjadi ketika kekuasaan tidak disertai akuntabilitas. Akuntabilitas sendiri berarti tanggung jawab seseorang yang diberi amanah untuk melaksanakan tugas kepada pihak yang memberikannya. Sebagai tenaga profesional, dokter memiliki kekuasaan dan wewenang untuk menentukan diagnosis yang dianggap tepat serta memberikan perawatan dan pengobatan berdasarkan keputusan tersebut. Jika keputusan-keputusannya tidak akuntabel atau tidak dapat diaudit, maka peluang terjadinya korupsi meningkat.Kolusi antara dokter dan perusahaan farmasi berpotensi dikategorikan sebagai tindak korupsi. Konsumen yang dirugikan akibat tindakan dokter dan perusahaan farmasi dapat melaporkannya ke Komisi Pemberantasan Korupsi (KPK).</w:t>
      </w:r>
      <w:r>
        <w:rPr>
          <w:rFonts w:ascii="Times New Roman" w:hAnsi="Times New Roman" w:cs="Times New Roman"/>
        </w:rPr>
        <w:t xml:space="preserve"> Tujuan penelitian ini adalah untuk mengetahui </w:t>
      </w:r>
      <w:r w:rsidRPr="00C915DF">
        <w:rPr>
          <w:rFonts w:ascii="Times New Roman" w:hAnsi="Times New Roman" w:cs="Times New Roman"/>
        </w:rPr>
        <w:t xml:space="preserve">arah kebijakan hukum terhadap gratifikasi antara perusahaan farmasi dan dokter swasta </w:t>
      </w:r>
      <w:r w:rsidRPr="00B06922">
        <w:rPr>
          <w:rStyle w:val="Strong"/>
          <w:rFonts w:ascii="Times New Roman" w:hAnsi="Times New Roman" w:cs="Times New Roman"/>
          <w:b w:val="0"/>
          <w:bCs w:val="0"/>
        </w:rPr>
        <w:t>tidak cukup berhenti pada pendekatan represif (pemidanaan)</w:t>
      </w:r>
      <w:r w:rsidRPr="00C915DF">
        <w:rPr>
          <w:rFonts w:ascii="Times New Roman" w:hAnsi="Times New Roman" w:cs="Times New Roman"/>
          <w:b/>
          <w:bCs/>
        </w:rPr>
        <w:t>,</w:t>
      </w:r>
      <w:r w:rsidRPr="00C915DF">
        <w:rPr>
          <w:rFonts w:ascii="Times New Roman" w:hAnsi="Times New Roman" w:cs="Times New Roman"/>
        </w:rPr>
        <w:t xml:space="preserve"> melainkan harus dikembangkan menuju sistem hukum yang </w:t>
      </w:r>
      <w:r w:rsidRPr="00B06922">
        <w:rPr>
          <w:rStyle w:val="Strong"/>
          <w:rFonts w:ascii="Times New Roman" w:hAnsi="Times New Roman" w:cs="Times New Roman"/>
          <w:b w:val="0"/>
          <w:bCs w:val="0"/>
        </w:rPr>
        <w:t>komprehensif, etis, dan restoratif</w:t>
      </w:r>
      <w:r w:rsidRPr="00B06922">
        <w:rPr>
          <w:rFonts w:ascii="Times New Roman" w:hAnsi="Times New Roman" w:cs="Times New Roman"/>
          <w:b/>
          <w:bCs/>
        </w:rPr>
        <w:t>.</w:t>
      </w:r>
    </w:p>
    <w:p w14:paraId="46782F2F" w14:textId="77777777" w:rsidR="00B06922" w:rsidRDefault="00B06922" w:rsidP="00B06922">
      <w:pPr>
        <w:jc w:val="both"/>
        <w:rPr>
          <w:rFonts w:ascii="Times New Roman" w:hAnsi="Times New Roman" w:cs="Times New Roman"/>
        </w:rPr>
      </w:pPr>
      <w:r w:rsidRPr="00180ABD">
        <w:rPr>
          <w:rFonts w:ascii="Times New Roman" w:hAnsi="Times New Roman" w:cs="Times New Roman"/>
        </w:rPr>
        <w:t xml:space="preserve">Metode penelitian yang digunakan adalah yuridis normatif, yaitu mengkaji hukum yang dikonsepkan sebagai norma atau kaidah yang berlaku dalam masyarakat dan menjadi acuan perilaku setiap orang. Metode yuridis normatif disebut juga penelitian yuridis yang bersifat teoritis dan </w:t>
      </w:r>
      <w:r>
        <w:rPr>
          <w:rFonts w:ascii="Times New Roman" w:hAnsi="Times New Roman" w:cs="Times New Roman"/>
        </w:rPr>
        <w:t>dogmatic</w:t>
      </w:r>
    </w:p>
    <w:p w14:paraId="0BB6FD76" w14:textId="77777777" w:rsidR="00B06922" w:rsidRPr="00B06922" w:rsidRDefault="00B06922" w:rsidP="00B06922">
      <w:pPr>
        <w:jc w:val="both"/>
        <w:rPr>
          <w:rStyle w:val="Strong"/>
          <w:b w:val="0"/>
          <w:bCs w:val="0"/>
        </w:rPr>
      </w:pPr>
      <w:r>
        <w:rPr>
          <w:rFonts w:ascii="Times New Roman" w:hAnsi="Times New Roman" w:cs="Times New Roman"/>
        </w:rPr>
        <w:t xml:space="preserve">Hasil pada penelitian ini, </w:t>
      </w:r>
      <w:r w:rsidRPr="00B06922">
        <w:rPr>
          <w:rStyle w:val="Strong"/>
          <w:rFonts w:ascii="Times New Roman" w:hAnsi="Times New Roman" w:cs="Times New Roman"/>
          <w:b w:val="0"/>
          <w:bCs w:val="0"/>
        </w:rPr>
        <w:t>konsep pemidanaan yang ideal terhadap pelaku gratifikasi antara perusahaan farmasi dan dokter swasta dalam hukum Indonesia</w:t>
      </w:r>
      <w:r w:rsidRPr="00C915DF">
        <w:rPr>
          <w:rFonts w:ascii="Times New Roman" w:hAnsi="Times New Roman" w:cs="Times New Roman"/>
        </w:rPr>
        <w:t xml:space="preserve"> adalah pemidanaan yang </w:t>
      </w:r>
      <w:r w:rsidRPr="00B06922">
        <w:rPr>
          <w:rStyle w:val="Strong"/>
          <w:rFonts w:ascii="Times New Roman" w:hAnsi="Times New Roman" w:cs="Times New Roman"/>
          <w:b w:val="0"/>
          <w:bCs w:val="0"/>
        </w:rPr>
        <w:t>berdasarkan prinsip legalitas dan rasionalitas kriminalisasi</w:t>
      </w:r>
      <w:r w:rsidRPr="00C915DF">
        <w:rPr>
          <w:rFonts w:ascii="Times New Roman" w:hAnsi="Times New Roman" w:cs="Times New Roman"/>
        </w:rPr>
        <w:t xml:space="preserve">, namun </w:t>
      </w:r>
      <w:r w:rsidRPr="00B06922">
        <w:rPr>
          <w:rStyle w:val="Strong"/>
          <w:rFonts w:ascii="Times New Roman" w:hAnsi="Times New Roman" w:cs="Times New Roman"/>
          <w:b w:val="0"/>
          <w:bCs w:val="0"/>
        </w:rPr>
        <w:t xml:space="preserve">dijalankan dengan semangat keadilan substantif dan pendekatan </w:t>
      </w:r>
      <w:r w:rsidRPr="00B06922">
        <w:rPr>
          <w:rStyle w:val="Strong"/>
          <w:rFonts w:ascii="Times New Roman" w:hAnsi="Times New Roman" w:cs="Times New Roman"/>
          <w:b w:val="0"/>
          <w:bCs w:val="0"/>
          <w:i/>
          <w:iCs/>
        </w:rPr>
        <w:t>restorative justice</w:t>
      </w:r>
      <w:r w:rsidRPr="00B06922">
        <w:rPr>
          <w:rFonts w:ascii="Times New Roman" w:hAnsi="Times New Roman" w:cs="Times New Roman"/>
          <w:b/>
          <w:bCs/>
        </w:rPr>
        <w:t>.</w:t>
      </w:r>
      <w:r>
        <w:rPr>
          <w:rFonts w:ascii="Times New Roman" w:hAnsi="Times New Roman" w:cs="Times New Roman"/>
        </w:rPr>
        <w:t xml:space="preserve"> </w:t>
      </w:r>
      <w:r w:rsidRPr="00C915DF">
        <w:rPr>
          <w:rFonts w:ascii="Times New Roman" w:hAnsi="Times New Roman" w:cs="Times New Roman"/>
        </w:rPr>
        <w:t xml:space="preserve">Hukum pidana harus berfungsi tidak hanya sebagai alat represif, tetapi juga sebagai sarana moral dan sosial untuk </w:t>
      </w:r>
      <w:r w:rsidRPr="00B06922">
        <w:rPr>
          <w:rStyle w:val="Strong"/>
          <w:rFonts w:ascii="Times New Roman" w:hAnsi="Times New Roman" w:cs="Times New Roman"/>
          <w:b w:val="0"/>
          <w:bCs w:val="0"/>
        </w:rPr>
        <w:t>memulihkan integritas profesi, mengembalikan kepercayaan publik terhadap sektor kesehatan, serta memastikan tercapainya keadilan yang manusiawi dan berkelanjutan</w:t>
      </w:r>
      <w:r w:rsidRPr="00B06922">
        <w:rPr>
          <w:rStyle w:val="Strong"/>
          <w:b w:val="0"/>
          <w:bCs w:val="0"/>
        </w:rPr>
        <w:t>.</w:t>
      </w:r>
    </w:p>
    <w:p w14:paraId="0626541D" w14:textId="77777777" w:rsidR="00B06922" w:rsidRDefault="00B06922" w:rsidP="00B06922">
      <w:pPr>
        <w:jc w:val="both"/>
        <w:rPr>
          <w:rStyle w:val="Strong"/>
        </w:rPr>
      </w:pPr>
    </w:p>
    <w:p w14:paraId="07759183" w14:textId="77777777" w:rsidR="00B06922" w:rsidRDefault="00B06922" w:rsidP="00B06922">
      <w:pPr>
        <w:jc w:val="both"/>
        <w:rPr>
          <w:rStyle w:val="Strong"/>
          <w:rFonts w:ascii="Times New Roman" w:hAnsi="Times New Roman" w:cs="Times New Roman"/>
        </w:rPr>
      </w:pPr>
      <w:r w:rsidRPr="00C915DF">
        <w:rPr>
          <w:rStyle w:val="Strong"/>
          <w:rFonts w:ascii="Times New Roman" w:hAnsi="Times New Roman" w:cs="Times New Roman"/>
        </w:rPr>
        <w:t>Kata Kunci : Dokter swasta, Gratifikasi, Kriminalisasi, Perusahaan Farmasi</w:t>
      </w:r>
    </w:p>
    <w:p w14:paraId="71F8D3D7" w14:textId="77777777" w:rsidR="00B06922" w:rsidRPr="00B06922" w:rsidRDefault="00B06922" w:rsidP="00B06922">
      <w:pPr>
        <w:spacing w:line="360" w:lineRule="auto"/>
        <w:jc w:val="center"/>
        <w:rPr>
          <w:rFonts w:ascii="Times New Roman" w:hAnsi="Times New Roman" w:cs="Times New Roman"/>
          <w:sz w:val="28"/>
          <w:szCs w:val="28"/>
          <w:lang w:val="en-US"/>
        </w:rPr>
      </w:pPr>
    </w:p>
    <w:p w14:paraId="455E4D45" w14:textId="4DC72CC1" w:rsidR="00E07150" w:rsidRPr="00E07150" w:rsidRDefault="00E07150" w:rsidP="00E07150">
      <w:pPr>
        <w:spacing w:line="360" w:lineRule="auto"/>
        <w:jc w:val="center"/>
        <w:rPr>
          <w:rFonts w:ascii="Times New Roman" w:hAnsi="Times New Roman" w:cs="Times New Roman"/>
          <w:b/>
          <w:bCs/>
          <w:lang w:val="id-ID"/>
        </w:rPr>
      </w:pPr>
      <w:r w:rsidRPr="00E07150">
        <w:rPr>
          <w:rFonts w:ascii="Times New Roman" w:hAnsi="Times New Roman" w:cs="Times New Roman"/>
          <w:b/>
          <w:bCs/>
          <w:lang w:val="id-ID"/>
        </w:rPr>
        <w:t>ABSTRAK</w:t>
      </w:r>
    </w:p>
    <w:p w14:paraId="4A73A8BB" w14:textId="77777777" w:rsidR="00E07150" w:rsidRPr="00E07150" w:rsidRDefault="00E07150" w:rsidP="00E07150">
      <w:pPr>
        <w:spacing w:line="360" w:lineRule="auto"/>
        <w:jc w:val="both"/>
        <w:rPr>
          <w:rFonts w:ascii="Times New Roman" w:hAnsi="Times New Roman" w:cs="Times New Roman"/>
          <w:bCs/>
          <w:lang w:val="id-ID"/>
        </w:rPr>
      </w:pPr>
      <w:r w:rsidRPr="00E07150">
        <w:rPr>
          <w:rFonts w:ascii="Times New Roman" w:hAnsi="Times New Roman" w:cs="Times New Roman"/>
          <w:bCs/>
          <w:lang w:val="id-ID"/>
        </w:rPr>
        <w:t>Korupsi bisa kajadian lamun kakawasaan henteu dibarengan ku akuntabilitas. Akuntabilitas téh hartina tanggung jawab hiji jalma anu dipasihan amanah pikeun ngalaksanakeun tugas ka pihak anu mere amanah éta. Salaku tanaga profésional, dokter mibanda kakawasaan jeung kawenangan pikeun nangtukeun diagnosis anu dianggap luyu, sarta méré perlakuan jeung pangobatan dumasar kana kaputusan éta. Lamun kaputusanana teu akuntabel atawa teu bisa diaudit, mangka kamungkinan kajadian korupsi bakal leuwih gede. Kolusi antara dokter jeung pausahaan farmasi bisa digolongkeun kana lampah korupsi. Konsumén anu ngarasa dirugikeun ku lampah dokter jeung pausahaan farmasi bisa ngalaporkeun ka Komisi Pemberantasan Korupsi (KPK).</w:t>
      </w:r>
    </w:p>
    <w:p w14:paraId="521CDDCE" w14:textId="77777777" w:rsidR="00E07150" w:rsidRPr="00E07150" w:rsidRDefault="00E07150" w:rsidP="00E07150">
      <w:pPr>
        <w:spacing w:line="360" w:lineRule="auto"/>
        <w:jc w:val="both"/>
        <w:rPr>
          <w:rFonts w:ascii="Times New Roman" w:hAnsi="Times New Roman" w:cs="Times New Roman"/>
          <w:bCs/>
          <w:lang w:val="id-ID"/>
        </w:rPr>
      </w:pPr>
      <w:r w:rsidRPr="00E07150">
        <w:rPr>
          <w:rFonts w:ascii="Times New Roman" w:hAnsi="Times New Roman" w:cs="Times New Roman"/>
          <w:bCs/>
          <w:lang w:val="id-ID"/>
        </w:rPr>
        <w:lastRenderedPageBreak/>
        <w:t>Tujuan panalungtikan ieu nya éta pikeun manggihan arah kawijakan hukum ngeunaan gratifikasi antara pausahaan farmasi jeung dokter swasta, anu teu cukup ngan ukur dideukeutan ku cara represif (ngahukum), tapi kudu dimekarkeun kana sistem hukum anu komprehensif, étis, jeung restoratif.</w:t>
      </w:r>
    </w:p>
    <w:p w14:paraId="387619CD" w14:textId="77777777" w:rsidR="00E07150" w:rsidRPr="00E07150" w:rsidRDefault="00E07150" w:rsidP="00E07150">
      <w:pPr>
        <w:spacing w:line="360" w:lineRule="auto"/>
        <w:jc w:val="both"/>
        <w:rPr>
          <w:rFonts w:ascii="Times New Roman" w:hAnsi="Times New Roman" w:cs="Times New Roman"/>
          <w:bCs/>
          <w:lang w:val="id-ID"/>
        </w:rPr>
      </w:pPr>
      <w:r w:rsidRPr="00E07150">
        <w:rPr>
          <w:rFonts w:ascii="Times New Roman" w:hAnsi="Times New Roman" w:cs="Times New Roman"/>
          <w:bCs/>
          <w:lang w:val="id-ID"/>
        </w:rPr>
        <w:t>Métode panalungtikan anu dipaké nyaéta yuridis normatif, nyaéta nalungtik hukum anu dikonsepkeun minangka norma atawa aturan anu berlaku di masarakat jeung jadi rujukan paripolah unggal jalma. Métode yuridis normatif disebut ogé panalungtikan yuridis anu sipatna téoritis jeung dogmatis.</w:t>
      </w:r>
    </w:p>
    <w:p w14:paraId="25C8B1E1" w14:textId="77777777" w:rsidR="00E07150" w:rsidRPr="00E07150" w:rsidRDefault="00E07150" w:rsidP="00E07150">
      <w:pPr>
        <w:spacing w:line="360" w:lineRule="auto"/>
        <w:jc w:val="both"/>
        <w:rPr>
          <w:rFonts w:ascii="Times New Roman" w:hAnsi="Times New Roman" w:cs="Times New Roman"/>
          <w:bCs/>
          <w:lang w:val="id-ID"/>
        </w:rPr>
      </w:pPr>
      <w:r w:rsidRPr="00E07150">
        <w:rPr>
          <w:rFonts w:ascii="Times New Roman" w:hAnsi="Times New Roman" w:cs="Times New Roman"/>
          <w:bCs/>
          <w:lang w:val="id-ID"/>
        </w:rPr>
        <w:t>Hasil panalungtikan nunjukkeun yén konsep pamidanaan anu idéal pikeun palaku gratifikasi antara pausahaan farmasi jeung dokter swasta dina hukum Indonesia nyaéta pamidanaan anu dumasar kana prinsip légalitas jeung rasionalitas kriminalisasi, tapi dilaksanakeun kalayan sumanget kaadilan substantif jeung pendekatan keadilan restoratif (restorative justice). Hukum pidana teu kudu ngan saukur jadi alat pikeun ngahukum (represif), tapi ogé jadi sarana moral jeung sosial pikeun mulangkeun integritas profési, ngabalikeun kapercayaan publik kana sektor kasehatan, sarta mastikeun kaadilan anu manusa jeung lestari.</w:t>
      </w:r>
    </w:p>
    <w:p w14:paraId="1A4B377E" w14:textId="1F5CC780" w:rsidR="00E07150" w:rsidRPr="0035471E" w:rsidRDefault="00E07150" w:rsidP="00E07150">
      <w:pPr>
        <w:spacing w:line="360" w:lineRule="auto"/>
        <w:jc w:val="both"/>
        <w:rPr>
          <w:rFonts w:ascii="Times New Roman" w:hAnsi="Times New Roman" w:cs="Times New Roman"/>
          <w:b/>
          <w:bCs/>
          <w:lang w:val="id-ID"/>
        </w:rPr>
      </w:pPr>
      <w:r w:rsidRPr="0035471E">
        <w:rPr>
          <w:rFonts w:ascii="Times New Roman" w:hAnsi="Times New Roman" w:cs="Times New Roman"/>
          <w:b/>
          <w:bCs/>
          <w:lang w:val="id-ID"/>
        </w:rPr>
        <w:t>Kecap Konci: Dokter Swasta, Gratifikasi, Kriminalisasi, Pausahaan Farmasi.</w:t>
      </w:r>
    </w:p>
    <w:p w14:paraId="012FCBD7" w14:textId="77777777" w:rsidR="0035471E" w:rsidRDefault="0035471E" w:rsidP="00E07150">
      <w:pPr>
        <w:spacing w:line="360" w:lineRule="auto"/>
        <w:jc w:val="both"/>
        <w:rPr>
          <w:rFonts w:ascii="Times New Roman" w:hAnsi="Times New Roman" w:cs="Times New Roman"/>
          <w:b/>
          <w:bCs/>
          <w:lang w:val="id-ID"/>
        </w:rPr>
      </w:pPr>
    </w:p>
    <w:p w14:paraId="115629B6" w14:textId="76C89A93" w:rsidR="00B06922" w:rsidRPr="0035471E" w:rsidRDefault="00B06922" w:rsidP="00E07150">
      <w:pPr>
        <w:spacing w:line="360" w:lineRule="auto"/>
        <w:jc w:val="both"/>
        <w:rPr>
          <w:rFonts w:ascii="Times New Roman" w:hAnsi="Times New Roman" w:cs="Times New Roman"/>
          <w:b/>
          <w:bCs/>
        </w:rPr>
      </w:pPr>
      <w:r w:rsidRPr="0035471E">
        <w:rPr>
          <w:rFonts w:ascii="Times New Roman" w:hAnsi="Times New Roman" w:cs="Times New Roman"/>
          <w:b/>
          <w:bCs/>
        </w:rPr>
        <w:t>Pendahuluan</w:t>
      </w:r>
    </w:p>
    <w:p w14:paraId="20D99279" w14:textId="77777777" w:rsidR="00B06922" w:rsidRDefault="00B06922" w:rsidP="00B06922">
      <w:pPr>
        <w:pStyle w:val="NormalWeb"/>
        <w:spacing w:before="0" w:after="0" w:line="360" w:lineRule="auto"/>
        <w:ind w:firstLine="709"/>
        <w:jc w:val="both"/>
        <w:rPr>
          <w:color w:val="000000" w:themeColor="text1"/>
        </w:rPr>
      </w:pPr>
      <w:proofErr w:type="gramStart"/>
      <w:r w:rsidRPr="00B06922">
        <w:rPr>
          <w:color w:val="000000" w:themeColor="text1"/>
        </w:rPr>
        <w:t>Pembahasan mengenai kriminalisasi di Indonesia dewasa ini memiliki peranan yang signifikan dalam kajian hukum pidana.</w:t>
      </w:r>
      <w:proofErr w:type="gramEnd"/>
      <w:r w:rsidRPr="00B06922">
        <w:rPr>
          <w:color w:val="000000" w:themeColor="text1"/>
        </w:rPr>
        <w:t xml:space="preserve"> Istilah kriminalisasi, yang berarti proses menjadikan suatu perbuatan sebagai tindak pidana melalui ketentuan peraturan perundang-undangan, termasuk dalam salah satu unsur definisi yang dijelaskan oleh Moeljatno. Menurut Moeljatno, hukum pidana dipandang sebagai salah satu unsur dari keseluruhan sistem hukum positif yang berlaku dalam suatu negara, termasuk di Indonesia. Negara menetapkan prinsip-prinsip atau ketentuan hukum guna menentukan perbuatan apa saja yang dilarang untuk dilakukan, serta menetapkan ancaman atau hukuman pidana tertentu bagi setiap orang yang melanggar ketentuan tersebut. Selain itu, negara juga mengatur waktu dan kondisi di mana pelanggar dapat dikenai atau dijatuhi pidana sesuai dengan ketentuan yang berlaku, serta menetapkan tata cara pelaksanaan pidana terhadap mereka yang diduga telah melanggar larangan itu.</w:t>
      </w:r>
      <w:r w:rsidRPr="00D55E13">
        <w:rPr>
          <w:rStyle w:val="FootnoteReference"/>
        </w:rPr>
        <w:footnoteReference w:id="1"/>
      </w:r>
    </w:p>
    <w:p w14:paraId="349A0FB5" w14:textId="77777777" w:rsidR="00DA3F81" w:rsidRDefault="00B06922" w:rsidP="00DA3F81">
      <w:pPr>
        <w:pStyle w:val="NormalWeb"/>
        <w:spacing w:before="0" w:after="0" w:line="360" w:lineRule="auto"/>
        <w:ind w:firstLine="709"/>
        <w:jc w:val="both"/>
        <w:rPr>
          <w:color w:val="000000" w:themeColor="text1"/>
        </w:rPr>
      </w:pPr>
      <w:r w:rsidRPr="00B06922">
        <w:rPr>
          <w:color w:val="000000" w:themeColor="text1"/>
        </w:rPr>
        <w:lastRenderedPageBreak/>
        <w:t xml:space="preserve"> Proses kriminalisasi memiliki keterkaitan erat dengan dinamika perubahan sosial dalam masyarakat, yang mencakup pergeseran signifikan pada struktur sosial dan berpengaruh terhadap tatanan kehidupan bersama. Perubahan tersebut juga berdampak pada nilai-nilai budaya yang turut membentuk cara berpikir, sikap mental, dan kejiwaan masyarakat.</w:t>
      </w:r>
      <w:r w:rsidRPr="00B06922">
        <w:rPr>
          <w:rStyle w:val="FootnoteReference"/>
          <w:color w:val="000000" w:themeColor="text1"/>
        </w:rPr>
        <w:footnoteReference w:id="2"/>
      </w:r>
      <w:r w:rsidRPr="00B06922">
        <w:rPr>
          <w:color w:val="000000" w:themeColor="text1"/>
        </w:rPr>
        <w:t xml:space="preserve"> Keterkaitan antara perubahan sosial dan tingkat kriminalitas menimbulkan kecenderungan untuk memanfaatkan instrumen hukum pidana sebagai sarana pengendalian sosial serta sebagai upaya menjamin kepatuhan masyarakat terhadap ketentuan hukum yang berlaku. Penerapan undang-undang yang menjadikan perbuatan nonkriminal sebagai tindak pidana kerap dimanfaatkan sebagai sarana untuk menegakkan kepatuhan terhadap hukum yang berlaku, namun tidak selalu ditujukan untuk menyelesaikan persoalan kriminalitas secara mendasar.</w:t>
      </w:r>
      <w:r w:rsidR="00DA3F81">
        <w:rPr>
          <w:color w:val="000000" w:themeColor="text1"/>
        </w:rPr>
        <w:t xml:space="preserve"> </w:t>
      </w:r>
      <w:r w:rsidR="00DA3F81" w:rsidRPr="00DA3F81">
        <w:t>Penggunaan hukum sebagai instrumen untuk mengarahkan perubahan sosial merupakan bagian dari upaya penerapan kebijakan sosial yang terencana, di mana hukum berfungsi dalam kerangka sistem yang saling berkaitan dan mendukung tercapainya tujuan sosial.</w:t>
      </w:r>
      <w:r w:rsidR="00DA3F81">
        <w:rPr>
          <w:rStyle w:val="FootnoteReference"/>
        </w:rPr>
        <w:footnoteReference w:id="3"/>
      </w:r>
    </w:p>
    <w:p w14:paraId="224C3A05" w14:textId="77777777" w:rsidR="00DA3F81" w:rsidRDefault="00DA3F81" w:rsidP="00DA3F81">
      <w:pPr>
        <w:pStyle w:val="NormalWeb"/>
        <w:spacing w:before="0" w:after="0" w:line="360" w:lineRule="auto"/>
        <w:ind w:firstLine="709"/>
        <w:jc w:val="both"/>
        <w:rPr>
          <w:color w:val="000000" w:themeColor="text1"/>
        </w:rPr>
      </w:pPr>
      <w:r w:rsidRPr="00DA3F81">
        <w:rPr>
          <w:color w:val="000000" w:themeColor="text1"/>
        </w:rPr>
        <w:t>Penerapan kriminalisasi meliputi beragam bentuk perbuatan, mulai dari tindak kejahatan seperti pencurian atau penyalahgunaan, hingga perilaku yang bersifat lebih subjektif seperti aktivitas mengemis di jalan atau praktik prostitusi. Selanjutnya, apabila suatu tindakan atau perilaku dinyatakan melanggar hukum melalui undang-undang atau peraturan baru, maka individu yang terlibat di dalamnya dapat dikenai konsekuensi hukum berupa denda, pidana penjara, atau bentuk hukuman lainnya. Proses kriminalisasi kerap mencerminkan adanya pergeseran nilai-nilai sosial dan cara pandang masyarakat terhadap suatu bentuk perilaku, sekaligus menunjukkan upaya pemerintah dalam mengatur serta mengendalikan dinamika kehidupan sosial di tengah masyarakat.</w:t>
      </w:r>
    </w:p>
    <w:p w14:paraId="079B7643" w14:textId="615A8C43" w:rsidR="00DA3F81" w:rsidRDefault="00DA3F81" w:rsidP="00DA3F81">
      <w:pPr>
        <w:pStyle w:val="NormalWeb"/>
        <w:spacing w:before="0" w:after="0" w:line="360" w:lineRule="auto"/>
        <w:ind w:firstLine="709"/>
        <w:jc w:val="both"/>
        <w:rPr>
          <w:rFonts w:ascii="AppleSystemUIFont" w:hAnsi="AppleSystemUIFont" w:cs="AppleSystemUIFont"/>
          <w:color w:val="000000" w:themeColor="text1"/>
        </w:rPr>
      </w:pPr>
      <w:r w:rsidRPr="00DA3F81">
        <w:rPr>
          <w:color w:val="000000" w:themeColor="text1"/>
        </w:rPr>
        <w:t xml:space="preserve">Pada masa kini, hukum pidana semakin sering dimanfaatkan sebagai instrumen untuk mengatur serta menjaga ketertiban masyarakat melalui pembentukan berbagai peraturan perundang-undangan. Perkembangan dinamika hukum tersebut tampak melalui kebijakan yang menerapkan sanksi pidana dengan mencantumkan ketentuan pidana pada bagian akhir dalam </w:t>
      </w:r>
      <w:r w:rsidRPr="00DA3F81">
        <w:rPr>
          <w:color w:val="000000" w:themeColor="text1"/>
        </w:rPr>
        <w:lastRenderedPageBreak/>
        <w:t>sebagian besar peraturan perundang-undangan yang diterbitkan</w:t>
      </w:r>
      <w:r w:rsidRPr="00DA3F81">
        <w:rPr>
          <w:rStyle w:val="FootnoteReference"/>
          <w:color w:val="000000" w:themeColor="text1"/>
        </w:rPr>
        <w:footnoteReference w:id="4"/>
      </w:r>
      <w:r w:rsidRPr="00DA3F81">
        <w:rPr>
          <w:color w:val="000000" w:themeColor="text1"/>
        </w:rPr>
        <w:t xml:space="preserve"> Dalam perkembangan kriminalisasi dewasa ini muncul berbagai fenomena baru, salah satunya berupa meningkatnya penggunaan sanksi pidana sebagai penguat terhadap norma serta ketentuan hukum pidana administratif. Namun, apabila penerapan tersebut tidak disertai dengan ukuran atau batasan kriminalisasi yang tegas, maka berpotensi menimbulkan keadaan </w:t>
      </w:r>
      <w:r w:rsidRPr="00DA3F81">
        <w:rPr>
          <w:i/>
          <w:iCs/>
          <w:color w:val="000000" w:themeColor="text1"/>
        </w:rPr>
        <w:t>over criminalization</w:t>
      </w:r>
      <w:r w:rsidRPr="00DA3F81">
        <w:rPr>
          <w:color w:val="000000" w:themeColor="text1"/>
        </w:rPr>
        <w:t>, yakni terjadinya kekeliruan dalam pemanfaatan sanksi pidana. Pada akhirnya, kondisi tersebut dapat menurunkan wibawa hukum pidana, sebab sanksi yang ditetapkan menjadi sulit atau bahkan tidak dapat diterapkan secara efektif</w:t>
      </w:r>
      <w:r w:rsidRPr="00DA3F81">
        <w:rPr>
          <w:rFonts w:ascii="AppleSystemUIFont" w:hAnsi="AppleSystemUIFont" w:cs="AppleSystemUIFont"/>
          <w:color w:val="000000" w:themeColor="text1"/>
        </w:rPr>
        <w:t>.</w:t>
      </w:r>
      <w:r w:rsidRPr="00DA3F81">
        <w:rPr>
          <w:rStyle w:val="FootnoteReference"/>
          <w:color w:val="000000" w:themeColor="text1"/>
        </w:rPr>
        <w:footnoteReference w:id="5"/>
      </w:r>
    </w:p>
    <w:p w14:paraId="69A5D921" w14:textId="77777777" w:rsidR="00E14462" w:rsidRDefault="00DA3F81" w:rsidP="00E14462">
      <w:pPr>
        <w:pStyle w:val="NormalWeb"/>
        <w:spacing w:before="0" w:after="0" w:line="360" w:lineRule="auto"/>
        <w:ind w:firstLine="709"/>
        <w:jc w:val="both"/>
        <w:rPr>
          <w:color w:val="000000" w:themeColor="text1"/>
        </w:rPr>
      </w:pPr>
      <w:r w:rsidRPr="00E14462">
        <w:rPr>
          <w:color w:val="000000" w:themeColor="text1"/>
        </w:rPr>
        <w:t xml:space="preserve">Salah satu adanya potensi yang menimbulkan keadaan yang disebut dengan </w:t>
      </w:r>
      <w:r w:rsidRPr="00E14462">
        <w:rPr>
          <w:i/>
          <w:iCs/>
          <w:color w:val="000000" w:themeColor="text1"/>
        </w:rPr>
        <w:t>over criminalization</w:t>
      </w:r>
      <w:r w:rsidR="00E14462" w:rsidRPr="00E14462">
        <w:rPr>
          <w:color w:val="000000" w:themeColor="text1"/>
        </w:rPr>
        <w:t>, yakni tindak pidana korupsi, tepatnya pada tindak pidana gratifikasi.</w:t>
      </w:r>
      <w:r w:rsidR="00E14462">
        <w:rPr>
          <w:color w:val="000000" w:themeColor="text1"/>
        </w:rPr>
        <w:t xml:space="preserve"> </w:t>
      </w:r>
      <w:r w:rsidR="00E14462" w:rsidRPr="00E14462">
        <w:rPr>
          <w:color w:val="000000" w:themeColor="text1"/>
        </w:rPr>
        <w:t>Dalam Undang-Undang Nomor 31 Tahun 1999 bersama dengan Undang-Undang Nomor 20 Tahun 2001 sebagai perubahan atas ketentuan sebelumnya mengenai tindak pidana korupsi, terdapat 13 pasal yang mengatur hingga 30 bentuk tindak pidana korupsi. Ketiga puluh bentuk tersebut kemudian diklasifikasikan menjadi tujuh kategori utama, yaitu: tindak pidana korupsi yang menimbulkan kerugian keuangan negara, suap-menyuap, penggelapan jabatan, pemerasan, perbuatan curang, benturan kepentingan dalam pengadaan, serta gratifikas.</w:t>
      </w:r>
      <w:r w:rsidR="00E14462" w:rsidRPr="00E14462">
        <w:rPr>
          <w:rStyle w:val="FootnoteReference"/>
          <w:color w:val="000000" w:themeColor="text1"/>
        </w:rPr>
        <w:footnoteReference w:id="6"/>
      </w:r>
      <w:r w:rsidR="00E14462" w:rsidRPr="00E14462">
        <w:rPr>
          <w:color w:val="000000" w:themeColor="text1"/>
        </w:rPr>
        <w:t xml:space="preserve"> Dengan demikian, gratifikasi dapat dikategorikan sebagai perbuatan yang bertentangan dengan hukum dan termasuk dalam jenis tindak pidana korupsi. Setidaknya terdapat dua dasar utama dalam mengkriminalisasi gratifikasi. Pertama, karena praktik saling memberi dan menerima telah menjadi bagian dari budaya sosial yang berkembang di tengah masyarakat. Kedua, ketentuan ini berfungsi sebagai landasan awal bagi penerapan norma </w:t>
      </w:r>
      <w:r w:rsidR="00E14462" w:rsidRPr="00E14462">
        <w:rPr>
          <w:i/>
          <w:iCs/>
          <w:color w:val="000000" w:themeColor="text1"/>
        </w:rPr>
        <w:t>illicit enrichment</w:t>
      </w:r>
      <w:r w:rsidR="00E14462" w:rsidRPr="00E14462">
        <w:rPr>
          <w:color w:val="000000" w:themeColor="text1"/>
        </w:rPr>
        <w:t xml:space="preserve">, yakni peningkatan kekayaan secara tidak sah. Ketentuan mengenai </w:t>
      </w:r>
      <w:r w:rsidR="00E14462" w:rsidRPr="00E14462">
        <w:rPr>
          <w:i/>
          <w:iCs/>
          <w:color w:val="000000" w:themeColor="text1"/>
        </w:rPr>
        <w:t>illicit enrichment</w:t>
      </w:r>
      <w:r w:rsidR="00E14462" w:rsidRPr="00E14462">
        <w:rPr>
          <w:color w:val="000000" w:themeColor="text1"/>
        </w:rPr>
        <w:t xml:space="preserve"> hingga kini belum secara eksplisit diatur atau dimasukkan ke dalam peraturan perundang-undangan yang mengatur tentang pemberantasan tindak pidana korupsi di Indonesia.</w:t>
      </w:r>
    </w:p>
    <w:p w14:paraId="7F284204" w14:textId="77777777" w:rsidR="00E14462" w:rsidRDefault="00E14462" w:rsidP="00E14462">
      <w:pPr>
        <w:pStyle w:val="NormalWeb"/>
        <w:spacing w:before="0" w:after="0" w:line="360" w:lineRule="auto"/>
        <w:ind w:firstLine="709"/>
        <w:jc w:val="both"/>
      </w:pPr>
      <w:r w:rsidRPr="00E14462">
        <w:rPr>
          <w:color w:val="000000" w:themeColor="text1"/>
        </w:rPr>
        <w:t>Selanjutnya, ketentuan mengenai gratifikasi yang dapat dikenai sanksi pidana dijelaskan dalam pasal yang memuat frasa ‘setiap gratifikasi kepada pegawai negeri atau penyelenggara negara dianggap sebagai pemberian suap’. Artinya, apabila suatu gratifikasi memenuhi unsur-</w:t>
      </w:r>
      <w:r w:rsidRPr="00E14462">
        <w:rPr>
          <w:color w:val="000000" w:themeColor="text1"/>
        </w:rPr>
        <w:lastRenderedPageBreak/>
        <w:t>unsur yang ditentukan dalam pasal tersebut, maka perbuatan tersebut dikualifikasikan sebagai tindak pidana suap. Dengan demikian, berdasarkan ketentuan dalam Undang-Undang Tindak Pidana Korupsi, dapat disimpulkan bahwa gratifikasi erat kaitannya dengan perilaku tidak jujur dalam pengelolaan keuangan. Tindakan ini biasanya melibatkan pejabat publik atau aparatur negara, baik dalam kapasitas sebagai penerima maupun pemberi gratifikasi.</w:t>
      </w:r>
      <w:r>
        <w:rPr>
          <w:color w:val="000000" w:themeColor="text1"/>
        </w:rPr>
        <w:t xml:space="preserve"> </w:t>
      </w:r>
      <w:r>
        <w:t xml:space="preserve">Jadi jelas bahwa di dalam Undang-undang Tipikor, pengaturan tentang gratifikasi bagi pegawai negeri sudah tertuang, apabila pengawai negeri atau penyelenggara negara dianggap menerima suap dan gratifikasinya memenuhi unsur-unsur Pasal yang ada dalam undang-undang Tipikor. Ada satu hal yang menarik peneliti untuk membahas gratifikasi, dimana akhir-akhir ini gratifikasi tersebut menjadi perhatian masyarakat luas, yaitu gratifikasi yang terjadi antara dokter dengan perusahaan farmasi. </w:t>
      </w:r>
    </w:p>
    <w:p w14:paraId="474CF43F" w14:textId="77777777" w:rsidR="00E14462" w:rsidRDefault="00E14462" w:rsidP="00E14462">
      <w:pPr>
        <w:pStyle w:val="NormalWeb"/>
        <w:spacing w:before="0" w:after="0" w:line="360" w:lineRule="auto"/>
        <w:ind w:firstLine="709"/>
        <w:jc w:val="both"/>
        <w:rPr>
          <w:color w:val="000000" w:themeColor="text1"/>
        </w:rPr>
      </w:pPr>
      <w:r w:rsidRPr="00E14462">
        <w:rPr>
          <w:color w:val="000000" w:themeColor="text1"/>
        </w:rPr>
        <w:t>Salah satu landasan penelitian ini adalah adanya laporan dari Pusat Pelaporan dan Analisis Transaksi Keuangan (PPATK) kepada Komisi Pemberantasan Korupsi (KPK) terkait dugaan praktik gratifikasi yang melibatkan kalangan dokter dan pihak perusahaan. Jumlah tersebut berasal dari perusahaan farmasi dengan tingkat omzet yang relatif kecil, sehingga memunculkan pertanyaan mengenai besarnya dana yang dikeluarkan oleh perusahaan farmasi beromzet besar setiap tahunnya untuk pemberian sponsorship kepada dokter, yang hingga kini belum memiliki perhitungan pasti.</w:t>
      </w:r>
      <w:r w:rsidRPr="00E14462">
        <w:rPr>
          <w:rStyle w:val="FootnoteReference"/>
          <w:color w:val="000000" w:themeColor="text1"/>
        </w:rPr>
        <w:footnoteReference w:id="7"/>
      </w:r>
    </w:p>
    <w:p w14:paraId="3BF648C0" w14:textId="7251C4BD" w:rsidR="00E14462" w:rsidRDefault="00E14462" w:rsidP="00E14462">
      <w:pPr>
        <w:pStyle w:val="NormalWeb"/>
        <w:spacing w:before="0" w:after="0" w:line="360" w:lineRule="auto"/>
        <w:ind w:firstLine="709"/>
        <w:jc w:val="both"/>
        <w:rPr>
          <w:color w:val="000000" w:themeColor="text1"/>
        </w:rPr>
      </w:pPr>
      <w:r w:rsidRPr="00E14462">
        <w:rPr>
          <w:color w:val="000000" w:themeColor="text1"/>
        </w:rPr>
        <w:t>Seiring meningkatnya kebutuhan masyarakat terhadap obat-obatan dan suplemen kesehatan, industri farmasi mengalami perkembangan yang pesat. Kondisi ini turut memicu persaingan yang semakin kompetitif di antara perusahaan-perusahaan farmasi. Tingkat persaingan tersebut menjadi indikator penting bagi perusahaan dalam upaya meningkatkan kinerja manajemen. Dalam konteks ini, perusahaan farmasi melakukan berbagai strategi pemasaran yang ditujukan kepada tenaga medis. Salah satu bentuk strategi tersebut adalah pemberian fasilitas promosi, seperti sponsorship, hadiah, perjalanan dinas, dan bentuk pemberian lainnya</w:t>
      </w:r>
      <w:r>
        <w:rPr>
          <w:color w:val="000000" w:themeColor="text1"/>
        </w:rPr>
        <w:t>.</w:t>
      </w:r>
    </w:p>
    <w:p w14:paraId="0DD531D9" w14:textId="77777777" w:rsidR="00E14462" w:rsidRDefault="00E14462" w:rsidP="00E14462">
      <w:pPr>
        <w:pStyle w:val="NormalWeb"/>
        <w:spacing w:before="0" w:after="0" w:line="360" w:lineRule="auto"/>
        <w:ind w:firstLine="709"/>
        <w:jc w:val="both"/>
        <w:rPr>
          <w:color w:val="000000" w:themeColor="text1"/>
        </w:rPr>
      </w:pPr>
      <w:r>
        <w:t xml:space="preserve">Peneliti akan memaparkan beberapa kasus, salah satu kasus mengenai gratifikasi tersebut adalah pada kasus PT interbat yang diduga menggelontorkan dana hingga 131 Milyar dalam kurun waktu 3 tahun, yakni tahun 2013 sampai dengan 2015. Dana tersebut diberikan kepada </w:t>
      </w:r>
      <w:r>
        <w:lastRenderedPageBreak/>
        <w:t xml:space="preserve">dokter, yang bertujuan agar para dokter tersebut dapat meresepkan obat-obatan produksi interbat. </w:t>
      </w:r>
      <w:r w:rsidRPr="00E14462">
        <w:rPr>
          <w:color w:val="000000" w:themeColor="text1"/>
        </w:rPr>
        <w:t>Diduga, aliran dana tersebut melibatkan sekitar 2.125 dokter dan 151 rumah sakit yang tersebar di lima provinsi, yaitu DKI Jakarta, Banten, Jawa Barat, Jawa Timur, dan Sulawesi Selatan. Berdasarkan data yang tersedia, nominal yang diterima oleh masing-masing dokter berkisar antara Rp5 juta hingga Rp2,5 miliar.</w:t>
      </w:r>
      <w:r w:rsidRPr="00E14462">
        <w:rPr>
          <w:rStyle w:val="FootnoteReference"/>
          <w:color w:val="000000" w:themeColor="text1"/>
        </w:rPr>
        <w:footnoteReference w:id="8"/>
      </w:r>
    </w:p>
    <w:p w14:paraId="7B07E657" w14:textId="77777777" w:rsidR="00E14462" w:rsidRDefault="00E14462" w:rsidP="00E14462">
      <w:pPr>
        <w:pStyle w:val="NormalWeb"/>
        <w:spacing w:before="0" w:after="0" w:line="360" w:lineRule="auto"/>
        <w:ind w:firstLine="709"/>
        <w:jc w:val="both"/>
      </w:pPr>
      <w:r>
        <w:t>Kasus ke dua adalah PT Mestika Farma, kasus ini berdasarkan laporan pegawai PT Mestika Farma, yang menyatakan bahwa dia melaporkan ke Bareskrim Polri tentang gratifikasi kepada dokter rekanan, yang dengan adanya gratifikasi tersebut maka mengakibatkan obat-obatan yang dijual dipasaran menjadi mahal. Karena tersebut, setiap pasien yang berobat pasti dilakukan tindakan memasang infus, padahal tidak semua pasien rawat inap harus diinfus.</w:t>
      </w:r>
      <w:r>
        <w:rPr>
          <w:rStyle w:val="FootnoteReference"/>
        </w:rPr>
        <w:footnoteReference w:id="9"/>
      </w:r>
    </w:p>
    <w:p w14:paraId="67F0E17A" w14:textId="77777777" w:rsidR="00E14462" w:rsidRDefault="00E14462" w:rsidP="00E14462">
      <w:pPr>
        <w:pStyle w:val="NormalWeb"/>
        <w:spacing w:before="0" w:after="0" w:line="360" w:lineRule="auto"/>
        <w:ind w:firstLine="709"/>
        <w:jc w:val="both"/>
      </w:pPr>
      <w:r w:rsidRPr="00E14462">
        <w:rPr>
          <w:color w:val="000000" w:themeColor="text1"/>
        </w:rPr>
        <w:t>Dari dua kasus diatas, kasus yang sudah dilaporkan kepada Aparat Penegak Hukum hanya kasus yang terjadi pada PT Mestika Farma. Dari kasus-kasus tersebut, Menteri Kesehatan pada waktu itu menyatakan akan menyerahkan ke Ikatan Dokter Indonesia (selanjutnya disebut IDI) dengan pertimbangan ada majelis untuk kedokteran. Pernyataan Wakil Ketua Majelis Kehormatan Disiplin Kedokteran Indonesia (MKDKI) mengindikasikan bahwa hal tersebut bukan lagi merupakan rahasia umum di kalangan profesi medis. Secara prinsip, seorang dokter tidak diperbolehkan menerima bentuk imbalan apa pun dari perusahaan farmasi apabila pemberian tersebut berpotensi memengaruhi keputusan profesionalnya dalam meresepkan obat tertentu. Pemberian yang diterima oleh oknum dokter tidak selalu berbentuk uang tunai, tetapi juga dapat berupa fasilitas lain seperti tiket perjalanan ke luar negeri hingga pemberian kendaraan pribadi</w:t>
      </w:r>
      <w:r>
        <w:t xml:space="preserve">. </w:t>
      </w:r>
    </w:p>
    <w:p w14:paraId="1B260DCB" w14:textId="77777777" w:rsidR="00E14462" w:rsidRDefault="00E14462" w:rsidP="00E14462">
      <w:pPr>
        <w:pStyle w:val="NormalWeb"/>
        <w:spacing w:before="0" w:after="0" w:line="360" w:lineRule="auto"/>
        <w:ind w:firstLine="709"/>
        <w:jc w:val="both"/>
        <w:rPr>
          <w:color w:val="000000" w:themeColor="text1"/>
        </w:rPr>
      </w:pPr>
      <w:r w:rsidRPr="00E14462">
        <w:rPr>
          <w:color w:val="000000" w:themeColor="text1"/>
        </w:rPr>
        <w:t xml:space="preserve">Wakil Ketua MKDKI menegaskan bahwa praktik semacam itu jelas bertentangan dengan kode etik kedokteran dan telah diatur dalam ketentuan perundang-undangan. Meskipun demikian, praktik tersebut masih sulit untuk diberantas, sebagaimana halnya dengan bentuk pelanggaran hukum lainnya. Namun, perlu diketahui bahwa hingga saat ini MKDKI jarang menerima laporan terkait dugaan penerimaan suap oleh dokter, karena permasalahan tersebut umumnya ditangani terlebih dahulu oleh organisasi profesi, yakni Ikatan Dokter Indonesia (IDI). Apabila terdapat bukti yang kuat, maka seharusnya oknum dokter tidak hanya dikenai sanksi </w:t>
      </w:r>
      <w:r w:rsidRPr="00E14462">
        <w:rPr>
          <w:color w:val="000000" w:themeColor="text1"/>
        </w:rPr>
        <w:lastRenderedPageBreak/>
        <w:t>etik, tetapi juga diproses melalui mekanisme hukum pidana. Selain itu, organisasi profesi kedokteran memiliki peran penting dalam mencegah terjadinya penyimpangan perilaku di kalangan tenaga medis.</w:t>
      </w:r>
      <w:r>
        <w:rPr>
          <w:rStyle w:val="FootnoteReference"/>
        </w:rPr>
        <w:footnoteReference w:id="10"/>
      </w:r>
    </w:p>
    <w:p w14:paraId="20F26AD5" w14:textId="76E35FB9" w:rsidR="00E14462" w:rsidRDefault="00E14462" w:rsidP="00E14462">
      <w:pPr>
        <w:pStyle w:val="NormalWeb"/>
        <w:spacing w:before="0" w:after="0" w:line="360" w:lineRule="auto"/>
        <w:ind w:firstLine="709"/>
        <w:jc w:val="both"/>
        <w:rPr>
          <w:color w:val="000000" w:themeColor="text1"/>
        </w:rPr>
      </w:pPr>
      <w:r w:rsidRPr="00E14462">
        <w:rPr>
          <w:color w:val="000000" w:themeColor="text1"/>
        </w:rPr>
        <w:t>Pada tahun 2009, Direktorat Penelitian dan Pengembangan Komisi Pemberantasan Korupsi (KPK) melakukan sebuah studi mengenai praktik penerimaan hadiah atau gratifikasi oleh penyelenggara negara, yang diidentifikasi sebagai salah satu faktor pemicu munculnya konflik kepentingan. Dan apabila konflik kepentingan tersebut tidak dapat ditangani dengan baik maka akan dapat berpotensi terjadinya tindak pidana korupsi. Gratifikasi yang merupakan pemberian dalam arti luas</w:t>
      </w:r>
      <w:r w:rsidRPr="00E14462">
        <w:rPr>
          <w:rStyle w:val="FootnoteReference"/>
          <w:color w:val="000000" w:themeColor="text1"/>
        </w:rPr>
        <w:footnoteReference w:id="11"/>
      </w:r>
      <w:r w:rsidRPr="00E14462">
        <w:rPr>
          <w:color w:val="000000" w:themeColor="text1"/>
        </w:rPr>
        <w:t xml:space="preserve">, Baik pemberian yang diterima di dalam maupun di luar negeri, serta yang dilakukan melalui media elektronik ataupun secara langsung tanpa perantara teknologi, dapat dikategorikan sebagai tindak pidana korupsi berupa suap apabila memiliki kaitan dengan jabatan yang diemban, terutama ketika terdapat kecenderungan kepentingan yang bertentangan dengan kewajiban atau tanggung jawabnya sebagai penyelenggara negara. </w:t>
      </w:r>
    </w:p>
    <w:p w14:paraId="0BDC30F3" w14:textId="43A35692" w:rsidR="00E14462" w:rsidRDefault="00E14462" w:rsidP="00E14462">
      <w:pPr>
        <w:pStyle w:val="NormalWeb"/>
        <w:spacing w:before="0" w:after="0" w:line="360" w:lineRule="auto"/>
        <w:ind w:firstLine="709"/>
        <w:jc w:val="both"/>
        <w:rPr>
          <w:color w:val="000000" w:themeColor="text1"/>
        </w:rPr>
      </w:pPr>
      <w:r w:rsidRPr="00E14462">
        <w:rPr>
          <w:color w:val="000000" w:themeColor="text1"/>
        </w:rPr>
        <w:t>Berdasarkan penelitian yang dikutip oleh Spurling, sebuah studi di Inggris terhadap lebih dari seribu dokter umum menemukan bahwa dokter yang lebih sering berinteraksi dengan staf pemasaran perusahaan farmasi cenderung lebih sering meresepkan obat-obatan dengan harga lebih tinggi. Namun demikian, tidak terdapat jaminan bahwa pasien akan menerima obat-obatan yang sesuai dan tepat untuk kondisi penyakit yang dialaminya. Mengacu pada hasil-hasil penelitian sebelumnya, Spurling menyatakan bahwa kualitas resep obat yang diberikan oleh dokter kepada pasien sering kali berada di bawah standar yang ditetapkan oleh pedoman klinis maupun rekomendasi dari para ahli.</w:t>
      </w:r>
    </w:p>
    <w:p w14:paraId="6C3D004B" w14:textId="7B41349B" w:rsidR="00E14462" w:rsidRPr="00E14462" w:rsidRDefault="00E14462" w:rsidP="00E14462">
      <w:pPr>
        <w:pStyle w:val="NormalWeb"/>
        <w:spacing w:before="0" w:after="0" w:line="360" w:lineRule="auto"/>
        <w:ind w:firstLine="709"/>
        <w:jc w:val="both"/>
        <w:rPr>
          <w:color w:val="000000" w:themeColor="text1"/>
        </w:rPr>
      </w:pPr>
      <w:r w:rsidRPr="00E14462">
        <w:rPr>
          <w:color w:val="000000" w:themeColor="text1"/>
        </w:rPr>
        <w:t xml:space="preserve">Perbuatan yang dilakukan oleh oknum dokter tersebut diduga termasuk tindak pidana suap atau tindak pidana gratifikasi yang dapat dikategorikan sebagai suap. Suatu perbuatan dikategorikan sebagai tindak pidana suap apabila memenuhi unsur-unsur yang diatur dalam Undang-Undang Nomor 20 Tahun 2001 tentang Perubahan atas Undang-Undang Nomor 31 Tahun 1999 mengenai Pemberantasan Tindak Pidana Korupsi. Namun, perlu diperhatikan bahwa unsur tindak pidana suap maupun gratifikasi hanya dapat terpenuhi apabila dokter yang </w:t>
      </w:r>
      <w:r w:rsidRPr="00E14462">
        <w:rPr>
          <w:color w:val="000000" w:themeColor="text1"/>
        </w:rPr>
        <w:lastRenderedPageBreak/>
        <w:t>bersangkutan berstatus sebagai pegawai negeri atau penyelenggara negara, mengingat terdapat perbedaan status antara dokter PNS dan dokter yang bukan pegawai negeri.</w:t>
      </w:r>
    </w:p>
    <w:p w14:paraId="1165C866" w14:textId="295A98AF" w:rsidR="00E14462" w:rsidRDefault="00E14462" w:rsidP="00E14462">
      <w:pPr>
        <w:pStyle w:val="NormalWeb"/>
        <w:spacing w:before="0" w:after="0" w:line="360" w:lineRule="auto"/>
        <w:jc w:val="both"/>
      </w:pPr>
    </w:p>
    <w:p w14:paraId="1159B2E6" w14:textId="77777777" w:rsidR="00BA4576" w:rsidRPr="00BA4576" w:rsidRDefault="00E14462" w:rsidP="00BA4576">
      <w:pPr>
        <w:pStyle w:val="NormalWeb"/>
        <w:spacing w:before="0" w:after="0" w:line="360" w:lineRule="auto"/>
        <w:jc w:val="both"/>
        <w:rPr>
          <w:b/>
          <w:bCs/>
        </w:rPr>
      </w:pPr>
      <w:r w:rsidRPr="00BA4576">
        <w:rPr>
          <w:b/>
          <w:bCs/>
        </w:rPr>
        <w:t>Metode Penelitian</w:t>
      </w:r>
    </w:p>
    <w:p w14:paraId="329DD739" w14:textId="185656FE" w:rsidR="00BA4576" w:rsidRDefault="00BA4576" w:rsidP="006D25E6">
      <w:pPr>
        <w:pStyle w:val="NormalWeb"/>
        <w:spacing w:before="0" w:after="0" w:line="360" w:lineRule="auto"/>
        <w:ind w:firstLine="709"/>
        <w:jc w:val="both"/>
        <w:rPr>
          <w:color w:val="000000" w:themeColor="text1"/>
        </w:rPr>
      </w:pPr>
      <w:r w:rsidRPr="00BA4576">
        <w:rPr>
          <w:color w:val="000000" w:themeColor="text1"/>
        </w:rPr>
        <w:t>Metode penelitian yang diterapkan adalah yuridis normatif, yakni metode yang mempelajari hukum sebagai norma atau kaidah yang berlaku dalam masyarakat dan menjadi pedoman perilaku bagi setiap individu. Metode yuridis normatif juga dikenal sebagai penelitian hukum yang bersifat teoretis dan dogmatis. Metode yuridis normatif merupakan pendekatan penelitian yang memanfaatkan data sekunder sebagai sumber utama, yang diperoleh melalui studi kepustakaan atau penelitian literatur. Penelitian ini menggunakan metode Deskriptif Analitik, yaitu pendekatan penelitian yang bertujuan untuk menggambarkan serta menganalisis suatu permasalahan. Metode ini termasuk dalam kategori penelitian kepustakaan (library research), sehingga penelitian ini dapat dipahami sebagai penelitian yang berfokus pada pengolahan data sekunder.</w:t>
      </w:r>
      <w:r w:rsidRPr="00BA4576">
        <w:rPr>
          <w:color w:val="000000" w:themeColor="text1"/>
          <w:vertAlign w:val="superscript"/>
        </w:rPr>
        <w:footnoteReference w:id="12"/>
      </w:r>
    </w:p>
    <w:p w14:paraId="43289152" w14:textId="065BCD8F" w:rsidR="00BA4576" w:rsidRDefault="00BA4576" w:rsidP="00BA4576">
      <w:pPr>
        <w:pStyle w:val="NormalWeb"/>
        <w:spacing w:before="0" w:after="0" w:line="360" w:lineRule="auto"/>
        <w:jc w:val="both"/>
        <w:rPr>
          <w:color w:val="000000" w:themeColor="text1"/>
        </w:rPr>
      </w:pPr>
    </w:p>
    <w:p w14:paraId="0AE9A777" w14:textId="757F9D2A" w:rsidR="00BA4576" w:rsidRPr="00E77DF0" w:rsidRDefault="00BA4576" w:rsidP="00BA4576">
      <w:pPr>
        <w:pStyle w:val="NormalWeb"/>
        <w:spacing w:before="0" w:after="0" w:line="360" w:lineRule="auto"/>
        <w:jc w:val="both"/>
        <w:rPr>
          <w:b/>
          <w:bCs/>
          <w:color w:val="000000" w:themeColor="text1"/>
        </w:rPr>
      </w:pPr>
      <w:r w:rsidRPr="00E77DF0">
        <w:rPr>
          <w:b/>
          <w:bCs/>
          <w:color w:val="000000" w:themeColor="text1"/>
        </w:rPr>
        <w:t>Pembahasan</w:t>
      </w:r>
    </w:p>
    <w:p w14:paraId="4381F2A1" w14:textId="77777777" w:rsidR="00DB3A37" w:rsidRDefault="00E77DF0" w:rsidP="00DB3A37">
      <w:pPr>
        <w:pStyle w:val="NormalWeb"/>
        <w:spacing w:before="0" w:after="0" w:line="360" w:lineRule="auto"/>
        <w:ind w:firstLine="709"/>
        <w:jc w:val="both"/>
      </w:pPr>
      <w:r>
        <w:t>Berdasarkan ketentuan Pasal 28H ayat (1) Undang-Undang Dasar Negara Republik Indonesia Tahun 1945, ditegaskan bahwa setiap warga negara memiliki hak untuk memperoleh pelayanan kesehatan. Dengan demikian, tanggung jawab atas pemenuhan hak kesehatan warga negara berada pada pemerintah, yang wajib menyediakan akses terhadap layanan kesehatan secara layak dan merata. Ketentuan tersebut menegaskan bahwa hak atas pelayanan kesehatan merupakan hak fundamental yang harus dapat diakses oleh seluruh warga negara tanpa diskriminasi.</w:t>
      </w:r>
      <w:r>
        <w:rPr>
          <w:rStyle w:val="FootnoteReference"/>
        </w:rPr>
        <w:footnoteReference w:id="13"/>
      </w:r>
      <w:r>
        <w:t xml:space="preserve"> Salah satu yang menjadi Hak bagi warga negara adalah mendapatkan pelayanan yang terjangkau, baik tempat, fasilitas, biaya dan lain-lain. seperti yang dijelaskan pada pendahuluan, bahwa </w:t>
      </w:r>
      <w:r w:rsidR="00DB3A37">
        <w:t>b</w:t>
      </w:r>
      <w:r w:rsidR="00DB3A37" w:rsidRPr="00DB3A37">
        <w:t xml:space="preserve">erdasarkan penelitian yang dikutip oleh Spurling, studi yang dilakukan di Inggris terhadap lebih dari seribu dokter umum menunjukkan bahwa dokter yang memiliki </w:t>
      </w:r>
      <w:r w:rsidR="00DB3A37" w:rsidRPr="00DB3A37">
        <w:lastRenderedPageBreak/>
        <w:t xml:space="preserve">frekuensi interaksi lebih tinggi dengan tenaga pemasaran industri farmasi cenderung lebih sering meresepkan obat dengan harga yang relatif mahal. </w:t>
      </w:r>
    </w:p>
    <w:p w14:paraId="7415A5D7" w14:textId="318F422A" w:rsidR="00DB3A37" w:rsidRDefault="00DB3A37" w:rsidP="00DB3A37">
      <w:pPr>
        <w:pStyle w:val="NormalWeb"/>
        <w:spacing w:before="0" w:after="0" w:line="360" w:lineRule="auto"/>
        <w:ind w:firstLine="709"/>
        <w:jc w:val="both"/>
      </w:pPr>
      <w:r w:rsidRPr="00DB3A37">
        <w:t>Meskipun demikian, tidak ada jaminan bahwa obat yang diresepkan tersebut sesuai dengan kebutuhan medis pasien atau kondisi penyakit yang dialaminya. Mengacu pada berbagai temuan sebelumnya, Spurling menegaskan bahwa mutu resep yang diberikan oleh dokter kepada pasien sering kali tidak memenuhi standar yang ditetapkan dalam pedoman klinis maupun rekomendasi para ahli. Sebagai contoh, pedoman resmi di Amerika Serikat menyarankan agar dokter memberikan prioritas pada penggunaan obat generik yang telah lama beredar dan memiliki harga lebih terjangkau bagi pasien penderita hipertensi dan diabetes, sebelum mempertimbangkan pemberian obat bermerek (paten) yang umumnya lebih baru dan tergolong dalam kategori obat dengan risiko tinggi</w:t>
      </w:r>
      <w:r>
        <w:t>..</w:t>
      </w:r>
      <w:r>
        <w:rPr>
          <w:rStyle w:val="FootnoteReference"/>
        </w:rPr>
        <w:footnoteReference w:id="14"/>
      </w:r>
    </w:p>
    <w:p w14:paraId="36403031" w14:textId="0974F0F4" w:rsidR="00DB3A37" w:rsidRDefault="00DB3A37" w:rsidP="00DB3A37">
      <w:pPr>
        <w:pStyle w:val="NormalWeb"/>
        <w:spacing w:before="0" w:after="0" w:line="360" w:lineRule="auto"/>
        <w:ind w:firstLine="709"/>
        <w:jc w:val="both"/>
      </w:pPr>
      <w:r>
        <w:t xml:space="preserve">Sementara, di dalam Undang-undang Nomor 17 Tahun 2023 </w:t>
      </w:r>
      <w:r w:rsidRPr="00DB3A37">
        <w:t xml:space="preserve">tentang Kesehatan, pemerintah pusat memiliki kewenangan untuk mengatur dan mengendalikan harga perbekalan kesehatan, khususnya obat-obatan dan alat kesehatan. Pelaksanaan mandat tersebut seharusnya diwujudkan melalui penerapan sistem perbekalan kesehatan yang terpadu, sehingga pemerintah dapat menjamin ketersediaan obat dan alat kesehatan bagi masyarakat, baik dalam situasi normal maupun pada saat terjadi kejadian luar biasa, wabah, atau bencana. Dengan demikian, pengendalian harga obat yang beredar, baik di instansi pemerintah maupun di sektor swasta, menjadi tanggung jawab pemerintah. Dalam rangka mendukung hal tersebut, pemerintah mulai mengembangkan sistem baru melalui platform </w:t>
      </w:r>
      <w:r w:rsidRPr="006D25E6">
        <w:t>“Satu Sehat Logistic”,</w:t>
      </w:r>
      <w:r w:rsidRPr="00DB3A37">
        <w:t xml:space="preserve"> yang berfungsi untuk memantau ketersediaan stok obat dan Bahan Medis Habis Pakai (BMHP) secara nasional, serta melakukan pelacakan terhadap distribusi dan transaksi di setiap daerah. Apabila sistem pengendalian perbekalan ini dapat berjalan secara optimal, diharapkan mampu menekan harga obat di pasaran agar lebih terjangkau bagi masyarakat.</w:t>
      </w:r>
      <w:r>
        <w:t xml:space="preserve"> Harga yang tinggi berdasarkan penelitian sebelumnya dan hasil Analisa terjadi karena salah satunya yaitu kerjasama antara dokter swasta dengan perusahaan farmasi. Maka akan dianalisa berdasarkan hasil penelitian</w:t>
      </w:r>
    </w:p>
    <w:p w14:paraId="664C7C82" w14:textId="1F516617" w:rsidR="00DB3A37" w:rsidRDefault="00DB3A37" w:rsidP="00DB3A37">
      <w:pPr>
        <w:pStyle w:val="NormalWeb"/>
        <w:spacing w:before="0" w:after="0" w:line="360" w:lineRule="auto"/>
        <w:jc w:val="both"/>
      </w:pPr>
    </w:p>
    <w:p w14:paraId="10C63230" w14:textId="2686D32F" w:rsidR="00DB3A37" w:rsidRPr="00DB3A37" w:rsidRDefault="00DB3A37" w:rsidP="00DB3A37">
      <w:pPr>
        <w:pStyle w:val="NormalWeb"/>
        <w:spacing w:before="0" w:after="0" w:line="360" w:lineRule="auto"/>
        <w:jc w:val="both"/>
        <w:rPr>
          <w:b/>
          <w:bCs/>
        </w:rPr>
      </w:pPr>
      <w:r w:rsidRPr="00DB3A37">
        <w:rPr>
          <w:b/>
          <w:bCs/>
        </w:rPr>
        <w:lastRenderedPageBreak/>
        <w:t>Pengaturan tentang Tindak Pidana Gratifikasi terhadap Perusahaan Farmasi dengan dokter swasta</w:t>
      </w:r>
    </w:p>
    <w:p w14:paraId="65BC6FE9" w14:textId="77777777" w:rsidR="00016231" w:rsidRDefault="00016231" w:rsidP="00016231">
      <w:pPr>
        <w:pStyle w:val="NormalWeb"/>
        <w:spacing w:before="0" w:after="0" w:line="360" w:lineRule="auto"/>
        <w:ind w:firstLine="709"/>
        <w:jc w:val="both"/>
      </w:pPr>
      <w:r w:rsidRPr="00016231">
        <w:t>Berdasarkan ketentuan Pasal 318 Undang-Undang Nomor 17 Tahun 2023 Praktik gratifikasi dalam relasi antara perusahaan farmasi dan dokter swasta, sebagaimana terlihat pada kasus PT Interbat dan PT Mestika Farma, mengindikasikan terjadinya penyimpangan serius dalam sistem pelayanan kesehatan di Indonesia. Fenomena tersebut umumnya bermula dari pemberian fasilitas, insentif, maupun dukungan sponsorship kepada tenaga medis dengan maksud mendorong peningkatan penjualan produk farmasi. Walaupun secara formal kerap disamarkan melalui kegiatan ilmiah atau promosi obat, secara esensial praktik demikian telah melanggar prinsip independensi profesi kedokteran sebagaimana diatur dalam Kode Etik Kedokteran Indonesia (KODEKI</w:t>
      </w:r>
      <w:r w:rsidRPr="00016231">
        <w:rPr>
          <w:b/>
          <w:bCs/>
        </w:rPr>
        <w:t>)</w:t>
      </w:r>
      <w:r w:rsidRPr="00016231">
        <w:t xml:space="preserve"> serta Etika Promosi Obat Tahun 2007. Lebih lanjut, tindakan tersebut berpotensi memenuhi unsur gratifikasi yang dilarang sebagaimana diatur dalam Undang-Undang Nomor 31 Tahun 1999 jo. Undang-Undang Nomor 20 Tahun 2001 tentang Pemberantasan Tindak Pidana Korupsi, apabila pemberian tersebut memengaruhi independensi dan objektivitas dokter dalam pengambilan keputusan medis yang semestinya berorientasi pada kepentingan pasien.</w:t>
      </w:r>
    </w:p>
    <w:p w14:paraId="2C11A4C4" w14:textId="77777777" w:rsidR="00016231" w:rsidRDefault="00016231" w:rsidP="00016231">
      <w:pPr>
        <w:pStyle w:val="NormalWeb"/>
        <w:spacing w:before="0" w:after="0" w:line="360" w:lineRule="auto"/>
        <w:ind w:firstLine="709"/>
        <w:jc w:val="both"/>
      </w:pPr>
      <w:r w:rsidRPr="00016231">
        <w:rPr>
          <w:lang w:val="en-ID" w:eastAsia="en-US"/>
        </w:rPr>
        <w:t>Berdasarkan hasil wawancara dengan pihak Kepolisian Resor dan Kejaksaan Negeri Cianjur, dapat disimpulkan bahwa praktik gratifikasi di sektor kesehatan dipandang sebagai bentuk penyimpangan serius yang memiliki dimensi etik sekaligus yuridis. Dari perspektif penegakan hukum, pemberian hadiah, insentif, atau sponsorship dari perusahaan farmasi kepada dokter tidak hanya mencederai prinsip independensi profesi medis, tetapi juga berpotensi memenuhi unsur tindak pidana sebagaimana diatur dalam Undang-Undang Nomor 17 Tahun 2023 tentang Kesehatan dan Undang-Undang Tindak Pidana Korupsi.</w:t>
      </w:r>
      <w:r>
        <w:rPr>
          <w:lang w:val="en-ID" w:eastAsia="en-US"/>
        </w:rPr>
        <w:t xml:space="preserve"> </w:t>
      </w:r>
      <w:r w:rsidRPr="00016231">
        <w:t xml:space="preserve">Pihak kepolisian menilai bahwa praktik seperti dalam kasus </w:t>
      </w:r>
      <w:r w:rsidRPr="00016231">
        <w:rPr>
          <w:i/>
          <w:iCs/>
        </w:rPr>
        <w:t>Interbat–Mestika Farma</w:t>
      </w:r>
      <w:r w:rsidRPr="00016231">
        <w:t xml:space="preserve"> dapat dijerat melalui ketentuan Pasal 291 ayat (1), Pasal 304 ayat (1), dan Pasal 306 ayat (1) UU Kesehatan 2023, karena secara substansi melanggar prinsip profesionalisme dan menimbulkan kerugian bagi masyarakat. Sementara itu, pandangan Kejaksaan Negeri menegaskan bahwa gratifikasi semacam ini tidak hanya melanggar etika profesi, tetapi juga mengandung potensi konflik kepentingan yang berimplikasi pada kenaikan harga obat serta ketidakadilan dalam pelayanan kesehatan.</w:t>
      </w:r>
      <w:r>
        <w:t xml:space="preserve"> </w:t>
      </w:r>
      <w:r w:rsidRPr="00016231">
        <w:t xml:space="preserve">Kejaksaan juga menyoroti pentingnya Pasal 305 ayat (1) UU Kesehatan 2023, yang memberikan ruang bagi pasien untuk melapor apabila dirugikan akibat tindakan medis yang tidak profesional. </w:t>
      </w:r>
      <w:r w:rsidRPr="00016231">
        <w:lastRenderedPageBreak/>
        <w:t>Ketentuan tersebut memperkuat posisi hukum masyarakat sekaligus menegaskan tanggung jawab moral dan administratif tenaga kesehatan.</w:t>
      </w:r>
      <w:r>
        <w:t xml:space="preserve"> </w:t>
      </w:r>
      <w:r w:rsidRPr="00016231">
        <w:t>Dengan demikian, hasil wawancara ini menegaskan bahwa upaya pengawasan terhadap praktik gratifikasi di bidang kesehatan tidak hanya menjadi tanggung jawab aparat penegak hukum, tetapi juga harus didukung oleh penegakan etika profesi serta tata kelola institusi kesehatan yang transparan dan akuntabel.</w:t>
      </w:r>
    </w:p>
    <w:p w14:paraId="55E630E5" w14:textId="77777777" w:rsidR="00016231" w:rsidRDefault="00016231" w:rsidP="00016231">
      <w:pPr>
        <w:pStyle w:val="NormalWeb"/>
        <w:spacing w:before="0" w:after="0" w:line="360" w:lineRule="auto"/>
        <w:ind w:firstLine="709"/>
        <w:jc w:val="both"/>
      </w:pPr>
      <w:r w:rsidRPr="00016231">
        <w:t>Wawancara dengan Ketua Ikatan Dokter Indonesia (IDI) Cabang Cianjur menunjukkan bahwa secara internal profesi medis telah memiliki kesadaran terhadap potensi gratifikasi, khususnya yang disalurkan melalui mekanisme sponsorship. Namun demikian, kesadaran tersebut belum sepenuhnya diikuti dengan efektivitas pengawasan etik yang memadai. Sponsorship yang menggunakan kedok kegiatan ilmiah atau institusional sering kali dijadikan dasar pembenaran administratif, padahal secara substansial praktik tersebut bertentangan dengan prinsip dasar Kode Etik Kedokteran Indonesia (KODEKI</w:t>
      </w:r>
      <w:r w:rsidRPr="00016231">
        <w:rPr>
          <w:b/>
          <w:bCs/>
        </w:rPr>
        <w:t>)</w:t>
      </w:r>
      <w:r w:rsidRPr="00016231">
        <w:t>.</w:t>
      </w:r>
      <w:r>
        <w:t xml:space="preserve"> </w:t>
      </w:r>
      <w:r w:rsidRPr="00016231">
        <w:t>IDI juga mengakui bahwa penegakan sanksi etik masih bersifat lemah dan cenderung formalistik. Pelanggaran etik umumnya hanya ditindak melalui teguran moral, tanpa disertai sanksi yang lebih tegas seperti pembekuan atau pencabutan izin praktik. Kondisi ini memperlihatkan bahwa sistem penegakan etika profesi belum memiliki daya paksa (enforcement power) yang memadai untuk mencegah terulangnya pelanggaran serupa.</w:t>
      </w:r>
    </w:p>
    <w:p w14:paraId="16839F4F" w14:textId="2E961564" w:rsidR="00016231" w:rsidRPr="00016231" w:rsidRDefault="00016231" w:rsidP="00016231">
      <w:pPr>
        <w:pStyle w:val="NormalWeb"/>
        <w:spacing w:before="0" w:after="0" w:line="360" w:lineRule="auto"/>
        <w:ind w:firstLine="709"/>
        <w:jc w:val="both"/>
      </w:pPr>
      <w:r w:rsidRPr="00016231">
        <w:t>Selain itu, mekanisme penegakan disiplin melalui Majelis Kehormatan Disiplin Kedokteran Indonesia (MKDKI) yang berlandaskan sistem pengaduan (</w:t>
      </w:r>
      <w:r w:rsidRPr="00016231">
        <w:rPr>
          <w:i/>
          <w:iCs/>
        </w:rPr>
        <w:t>complaint-based system</w:t>
      </w:r>
      <w:r w:rsidRPr="00016231">
        <w:t>) juga menjadi kendala dalam penanganan kasus gratifikasi. Minimnya laporan dari masyarakat maupun sesama dokter menyebabkan banyak pelanggaran tidak terdeteksi atau tidak diproses secara formal.</w:t>
      </w:r>
      <w:r>
        <w:t xml:space="preserve"> </w:t>
      </w:r>
      <w:r w:rsidRPr="00016231">
        <w:t>Dengan demikian, hasil wawancara ini memperlihatkan bahwa sistem pengawasan etik profesi kedokteran di Indonesia masih menghadapi kelemahan struktural, baik dari sisi regulasi, mekanisme pelaporan, maupun efektivitas sanksi. Hal ini menegaskan perlunya reformulasi sistem pengawasan etik yang lebih proaktif dan berbasis pencegahan (</w:t>
      </w:r>
      <w:r w:rsidRPr="00016231">
        <w:rPr>
          <w:i/>
          <w:iCs/>
        </w:rPr>
        <w:t>preventive ethics monitoring</w:t>
      </w:r>
      <w:r w:rsidRPr="00016231">
        <w:t>) agar profesi kedokteran tetap menjaga integritas dan kepercayaan publik.</w:t>
      </w:r>
    </w:p>
    <w:p w14:paraId="74B76CAD" w14:textId="77777777" w:rsidR="00C42F1D" w:rsidRDefault="00016231" w:rsidP="00C42F1D">
      <w:pPr>
        <w:pStyle w:val="NormalWeb"/>
        <w:spacing w:before="0" w:after="0" w:line="360" w:lineRule="auto"/>
        <w:ind w:firstLine="709"/>
        <w:jc w:val="both"/>
      </w:pPr>
      <w:r>
        <w:t xml:space="preserve">Secara keseluruhan, temuan wawancara ini memperlihatkan bahwa persoalan gratifikasi di sektor kesehatan merupakan isu multidimensional yang tidak hanya menyentuh aspek hukum pidana, tetapi juga melibatkan dimensi etika profesi dan tata kelola kelembagaan. Upaya pencegahan dan penindakan terhadap gratifikasi memerlukan sinergi antara penegakan hukum yang tegas, pengawasan etik yang konsisten, serta kebijakan pemerintah yang transparan dan </w:t>
      </w:r>
      <w:r>
        <w:lastRenderedPageBreak/>
        <w:t>berbasis akuntabilitas publik. Dengan demikian, penanganan kasus gratifikasi di bidang kesehatan tidak cukup hanya mengandalkan sanksi hukum, melainkan juga harus diiringi dengan pembenahan sistem etik dan peningkatan integritas profesi kedokteran sebagai bentuk perlindungan terhadap hak masyarakat dalam memperoleh pelayanan kesehatan yang adil dan bermartabat.</w:t>
      </w:r>
    </w:p>
    <w:p w14:paraId="5D6079F6" w14:textId="77777777" w:rsidR="00D72C45" w:rsidRDefault="00016231" w:rsidP="00D72C45">
      <w:pPr>
        <w:pStyle w:val="NormalWeb"/>
        <w:spacing w:before="0" w:after="0" w:line="360" w:lineRule="auto"/>
        <w:ind w:firstLine="709"/>
        <w:jc w:val="both"/>
      </w:pPr>
      <w:r w:rsidRPr="00016231">
        <w:t>Dalam kerangka negara hukum (</w:t>
      </w:r>
      <w:r w:rsidRPr="00016231">
        <w:rPr>
          <w:i/>
          <w:iCs/>
        </w:rPr>
        <w:t>rechtsstaat</w:t>
      </w:r>
      <w:r w:rsidRPr="00016231">
        <w:t xml:space="preserve">), asas kepastian hukum memiliki posisi fundamental sebagaimana ditegaskan dalam Pasal 1 ayat (3) Undang-Undang Dasar Negara Republik Indonesia Tahun 1945, yang menyatakan bahwa </w:t>
      </w:r>
      <w:r w:rsidRPr="00016231">
        <w:rPr>
          <w:i/>
          <w:iCs/>
        </w:rPr>
        <w:t>“Negara Indonesia adalah negara hukum.”</w:t>
      </w:r>
      <w:r w:rsidRPr="00016231">
        <w:t xml:space="preserve"> Prinsip ini menghendaki agar setiap tindakan pemerintah dan warga negara tunduk pada hukum yang pasti, jelas, dan dapat diprediksi.</w:t>
      </w:r>
      <w:r w:rsidR="00C42F1D">
        <w:t xml:space="preserve"> </w:t>
      </w:r>
      <w:r w:rsidRPr="00016231">
        <w:t>Menurut Gustav Radbruch,</w:t>
      </w:r>
      <w:r w:rsidR="00C42F1D">
        <w:rPr>
          <w:rStyle w:val="FootnoteReference"/>
        </w:rPr>
        <w:footnoteReference w:id="15"/>
      </w:r>
      <w:r w:rsidRPr="00016231">
        <w:t xml:space="preserve"> kepastian hukum merupakan salah satu dari tiga nilai dasar hukum selain keadilan dan kemanfaatan. Ia menegaskan bahwa hukum harus bersifat positif, tertulis, dan diterapkan secara konsisten agar menciptakan rasa aman dalam masyarakat (Radbruch, </w:t>
      </w:r>
      <w:r w:rsidRPr="00016231">
        <w:rPr>
          <w:i/>
          <w:iCs/>
        </w:rPr>
        <w:t>Rechtsphilosophie</w:t>
      </w:r>
      <w:r w:rsidRPr="00016231">
        <w:t>, 1946). Sejalan dengan itu, Van Apeldoorn</w:t>
      </w:r>
      <w:r w:rsidR="00C42F1D">
        <w:rPr>
          <w:rStyle w:val="FootnoteReference"/>
        </w:rPr>
        <w:footnoteReference w:id="16"/>
      </w:r>
      <w:r w:rsidRPr="00016231">
        <w:t xml:space="preserve"> menyatakan bahwa kepastian hukum berarti hukum memberikan jaminan bahwa seseorang mengetahui apa yang diharapkan dari dirinya serta apa yang dapat diharapkan dari orang lain (Apeldoorn, </w:t>
      </w:r>
      <w:r w:rsidRPr="00016231">
        <w:rPr>
          <w:i/>
          <w:iCs/>
        </w:rPr>
        <w:t>Inleiding tot de Studie van het Nederlandse Recht</w:t>
      </w:r>
      <w:r w:rsidRPr="00016231">
        <w:t>, 1954).</w:t>
      </w:r>
    </w:p>
    <w:p w14:paraId="550129FF" w14:textId="77777777" w:rsidR="00D72C45" w:rsidRDefault="00016231" w:rsidP="00D72C45">
      <w:pPr>
        <w:pStyle w:val="NormalWeb"/>
        <w:spacing w:before="0" w:after="0" w:line="360" w:lineRule="auto"/>
        <w:ind w:firstLine="709"/>
        <w:jc w:val="both"/>
      </w:pPr>
      <w:r w:rsidRPr="00016231">
        <w:t>Namun, dalam praktik hubungan antara dokter swasta dan perusahaan farmasi—seperti dalam kasus PT Interbat dan PT Mestika Farma—prinsip kepastian hukum sering kali kabur karena lemahnya batas antara sponsorship ilmiah yang sah dan gratifikasi yang bersifat melawan hukum.</w:t>
      </w:r>
      <w:r w:rsidR="00D72C45">
        <w:t xml:space="preserve"> </w:t>
      </w:r>
      <w:r w:rsidRPr="00016231">
        <w:t>Hasil wawancara dengan Ketua Ikatan Dokter Indonesia (IDI) Cabang Cianjur menunjukkan bahwa sponsorship dari industri farmasi kepada dokter kerap dilakukan atas nama institusi, tetapi pada praktiknya sering kali bersifat pribadi, seperti pembiayaan perjalanan, seminar, atau pemberian fasilitas tertentu. Secara substansial, tindakan ini dapat dikategorikan sebagai gratifikasi apabila memengaruhi independensi profesional dokter dan tidak dilaporkan kepada instansi berwenang sebagaimana diatur dalam Pasal 12B ayat (1) Undang-Undang Nomor 31 Tahun 1999 jo. Undang-Undang Nomor 20 Tahun 2001 tentang Pemberantasan Tindak Pidana Korupsi.</w:t>
      </w:r>
    </w:p>
    <w:p w14:paraId="6374AA72" w14:textId="77777777" w:rsidR="00D72C45" w:rsidRDefault="00016231" w:rsidP="00D72C45">
      <w:pPr>
        <w:pStyle w:val="NormalWeb"/>
        <w:spacing w:before="0" w:after="0" w:line="360" w:lineRule="auto"/>
        <w:ind w:firstLine="709"/>
        <w:jc w:val="both"/>
      </w:pPr>
      <w:r w:rsidRPr="00016231">
        <w:lastRenderedPageBreak/>
        <w:t>Dari perspektif etik profesi, praktik semacam ini juga bertentangan dengan Kode Etik Kedokteran Indonesia (KODEKI) dan Etika Promosi Obat Tahun 2007, yang menegaskan larangan bagi tenaga medis menerima imbalan dari produsen obat yang dapat memengaruhi keputusan klinis. Namun, lemahnya mekanisme sanksi etik</w:t>
      </w:r>
      <w:r w:rsidR="00D72C45">
        <w:t xml:space="preserve">, </w:t>
      </w:r>
      <w:r w:rsidRPr="00016231">
        <w:t>yang umumnya hanya berupa teguran moral tanpa konsekuensi pidana</w:t>
      </w:r>
      <w:r w:rsidR="00D72C45">
        <w:t xml:space="preserve">, </w:t>
      </w:r>
      <w:r w:rsidRPr="00016231">
        <w:t>menyebabkan efek jera tidak tercapai.</w:t>
      </w:r>
    </w:p>
    <w:p w14:paraId="7DE7A58E" w14:textId="77777777" w:rsidR="00D72C45" w:rsidRDefault="00D72C45" w:rsidP="00D72C45">
      <w:pPr>
        <w:pStyle w:val="NormalWeb"/>
        <w:spacing w:before="0" w:after="0" w:line="360" w:lineRule="auto"/>
        <w:ind w:firstLine="709"/>
        <w:jc w:val="both"/>
      </w:pPr>
      <w:r w:rsidRPr="00D72C45">
        <w:t>Dalam sistem hukum Indonesia, asas kepastian hukum merupakan salah satu pilar utama negara hukum (</w:t>
      </w:r>
      <w:r w:rsidRPr="00D72C45">
        <w:rPr>
          <w:i/>
          <w:iCs/>
        </w:rPr>
        <w:t>rechtsstaat</w:t>
      </w:r>
      <w:r w:rsidRPr="00D72C45">
        <w:t>) sebagaimana termuat dalam Pasal 1 ayat (3) UUD 1945. Kepastian hukum menjamin bahwa hukum memiliki kekuatan konkret, jelas, dan dapat diprediksi, sehingga masyarakat terlindungi dari tindakan sewenang-wenang, baik oleh individu maupun oleh penguasa. Namun, dalam praktik hubungan antara dokter swasta dan perusahaan farmasi, seperti pada kasus Interbat</w:t>
      </w:r>
      <w:r>
        <w:t xml:space="preserve"> </w:t>
      </w:r>
      <w:r w:rsidRPr="00D72C45">
        <w:t xml:space="preserve">Mestika Farma, prinsip kepastian hukum ini sering kali kabur akibat tidak tegasnya batas antara </w:t>
      </w:r>
      <w:r w:rsidRPr="00D72C45">
        <w:rPr>
          <w:i/>
          <w:iCs/>
        </w:rPr>
        <w:t>sponsorship</w:t>
      </w:r>
      <w:r w:rsidRPr="00D72C45">
        <w:t xml:space="preserve"> ilmiah dan gratifikasi yang bersifat melawan hukum.</w:t>
      </w:r>
      <w:r>
        <w:t xml:space="preserve"> </w:t>
      </w:r>
      <w:r w:rsidRPr="00D72C45">
        <w:t xml:space="preserve">Hasil wawancara dengan Ketua Ikatan Dokter Indonesia (IDI) Cabang Cianjur menunjukkan bahwa </w:t>
      </w:r>
      <w:r w:rsidRPr="00D72C45">
        <w:rPr>
          <w:i/>
          <w:iCs/>
        </w:rPr>
        <w:t>sponsorship</w:t>
      </w:r>
      <w:r w:rsidRPr="00D72C45">
        <w:t xml:space="preserve"> dari perusahaan farmasi kepada dokter umumnya dilakukan atas nama institusi, bukan pribadi dokter. Namun, praktik di lapangan menunjukkan bahwa banyak kegiatan “sponsorship” seperti perjalanan dinas, seminar, atau pemberian fasilitas yang pada hakikatnya bersifat pribadi dan mengandung unsur imbalan tersembunyi. Kondisi ini menimbulkan ketidakpastian hukum, karena:</w:t>
      </w:r>
      <w:r>
        <w:t xml:space="preserve"> </w:t>
      </w:r>
      <w:r w:rsidRPr="00D72C45">
        <w:t>a. Tidak ada aturan eksplisit yang membedakan antara bantuan ilmiah yang sah dan gratifikasi yang dilarang;</w:t>
      </w:r>
      <w:r>
        <w:t xml:space="preserve"> </w:t>
      </w:r>
      <w:r w:rsidRPr="00D72C45">
        <w:t>b. Sanksi etik bersifat lemah dan tidak mengikat secara pidana, sehingga tidak menimbulkan efek jera;</w:t>
      </w:r>
      <w:r>
        <w:t xml:space="preserve"> </w:t>
      </w:r>
      <w:r w:rsidRPr="00D72C45">
        <w:t>c. Penegakan hukum disipliner melalui Majelis Kehormatan Disiplin Kedokteran Indonesia (MKDKI) masih lambat dan bergantung pada adanya pengaduan, bukan pada temuan proaktif.</w:t>
      </w:r>
    </w:p>
    <w:p w14:paraId="57B3EDD9" w14:textId="77777777" w:rsidR="00D72C45" w:rsidRDefault="00D72C45" w:rsidP="00D72C45">
      <w:pPr>
        <w:pStyle w:val="NormalWeb"/>
        <w:spacing w:before="0" w:after="0" w:line="360" w:lineRule="auto"/>
        <w:ind w:firstLine="709"/>
        <w:jc w:val="both"/>
      </w:pPr>
      <w:r w:rsidRPr="00D72C45">
        <w:t>Situasi tersebut memperlihatkan bahwa asas kepastian hukum yang seharusnya memberikan pedoman yang jelas bagi profesi medis, justru tidak terwujud dalam praktik, karena batasan antara yang diperbolehkan dan yang dilarang menjadi kabur (</w:t>
      </w:r>
      <w:r w:rsidRPr="00D72C45">
        <w:rPr>
          <w:i/>
          <w:iCs/>
        </w:rPr>
        <w:t>grey area</w:t>
      </w:r>
      <w:r w:rsidRPr="00D72C45">
        <w:t>).</w:t>
      </w:r>
      <w:r>
        <w:t xml:space="preserve"> </w:t>
      </w:r>
      <w:r w:rsidRPr="00D72C45">
        <w:t xml:space="preserve">Menurut Gustav Radbruch dalam </w:t>
      </w:r>
      <w:r w:rsidRPr="00D72C45">
        <w:rPr>
          <w:i/>
          <w:iCs/>
        </w:rPr>
        <w:t>Rechtsphilosophie</w:t>
      </w:r>
      <w:r>
        <w:rPr>
          <w:rStyle w:val="FootnoteReference"/>
          <w:i/>
          <w:iCs/>
        </w:rPr>
        <w:footnoteReference w:id="17"/>
      </w:r>
      <w:r w:rsidRPr="00D72C45">
        <w:t xml:space="preserve"> kepastian hukum hanya dapat terwujud apabila hukum:a. Bersifat positif (tertulis dan sah);</w:t>
      </w:r>
      <w:r>
        <w:t xml:space="preserve"> </w:t>
      </w:r>
      <w:r w:rsidRPr="00D72C45">
        <w:t>b. Berdasarkan pada fakta sosial yang nyata;</w:t>
      </w:r>
      <w:r>
        <w:t xml:space="preserve"> </w:t>
      </w:r>
      <w:r w:rsidRPr="00D72C45">
        <w:t>c. Dirumuskan secara jelas dan tegas; dan</w:t>
      </w:r>
      <w:r>
        <w:t xml:space="preserve"> </w:t>
      </w:r>
      <w:r w:rsidRPr="00D72C45">
        <w:t>d. Dijaga stabilitasnya agar tidak mudah berubah.</w:t>
      </w:r>
      <w:r>
        <w:t xml:space="preserve"> </w:t>
      </w:r>
      <w:r w:rsidRPr="00D72C45">
        <w:t xml:space="preserve">Jika </w:t>
      </w:r>
      <w:r w:rsidRPr="00D72C45">
        <w:lastRenderedPageBreak/>
        <w:t>teori ini diterapkan pada kasus gratifikasi dokter, terlihat bahwa kriteria kepastian hukum belum terpenuhi sepenuhnya.</w:t>
      </w:r>
    </w:p>
    <w:p w14:paraId="6CC9DCD1" w14:textId="3571ED18" w:rsidR="00D72C45" w:rsidRDefault="00D72C45" w:rsidP="00D72C45">
      <w:pPr>
        <w:pStyle w:val="NormalWeb"/>
        <w:spacing w:before="0" w:after="0" w:line="360" w:lineRule="auto"/>
        <w:ind w:firstLine="709"/>
        <w:jc w:val="both"/>
      </w:pPr>
      <w:r>
        <w:t xml:space="preserve">Pertama, </w:t>
      </w:r>
      <w:r w:rsidRPr="00D72C45">
        <w:t>Hukum Positif yang Lemah dalam Menentukan Batas Gratifikasi</w:t>
      </w:r>
      <w:r w:rsidRPr="00D72C45">
        <w:rPr>
          <w:b/>
          <w:bCs/>
        </w:rPr>
        <w:t>.</w:t>
      </w:r>
      <w:r w:rsidRPr="00D72C45">
        <w:br/>
        <w:t>Secara normatif</w:t>
      </w:r>
      <w:r w:rsidRPr="00D72C45">
        <w:rPr>
          <w:b/>
          <w:bCs/>
        </w:rPr>
        <w:t xml:space="preserve">, </w:t>
      </w:r>
      <w:r w:rsidRPr="00D72C45">
        <w:t>Undang-Undang Nomor 20 Tahun 2001 tentang Pemberantasan Tindak Pidana Korupsi memang telah mengatur gratifikasi, termasuk bagi profesi non-aparat negara bila melibatkan unsur suap atau konflik kepentingan. Namun, dalam konteks dokter swasta, regulasi ini belum menjangkau secara langsung. Akibatnya, muncul celah hukum yang memungkinkan praktik pemberian fasilitas dari perusahaan farmasi tanpa bisa dikualifikasikan secara pasti sebagai perbuatan pidana. Hal ini bertentangan dengan prinsip pertama Radbruch, bahwa hukum harus bersifat positif dan tertulis agar dapat menjadi pedoman konkret bagi warga negara.</w:t>
      </w:r>
    </w:p>
    <w:p w14:paraId="17293657" w14:textId="0FF38AAE" w:rsidR="00D72C45" w:rsidRDefault="00D72C45" w:rsidP="00D72C45">
      <w:pPr>
        <w:pStyle w:val="NormalWeb"/>
        <w:spacing w:before="0" w:after="0" w:line="360" w:lineRule="auto"/>
        <w:ind w:firstLine="709"/>
        <w:jc w:val="both"/>
      </w:pPr>
      <w:r>
        <w:t xml:space="preserve">Kedua, </w:t>
      </w:r>
      <w:r w:rsidRPr="00D72C45">
        <w:t>Ketiadaan Keterhubungan antara Hukum dan Fakta Sosial</w:t>
      </w:r>
      <w:r w:rsidRPr="00D72C45">
        <w:rPr>
          <w:b/>
          <w:bCs/>
        </w:rPr>
        <w:t>.</w:t>
      </w:r>
      <w:r w:rsidR="005B0320">
        <w:t xml:space="preserve"> </w:t>
      </w:r>
      <w:r w:rsidRPr="00D72C45">
        <w:t>Radbruch menegaskan bahwa hukum harus lahir dari fakta sosial yang nyata. Fakta di lapangan menunjukkan bahwa praktik gratifikasi antara dokter dan perusahaan farmasi telah menjadi kebiasaan sistemik. Namun, regulasi yang ada tidak berkembang mengikuti realitas tersebut. Akibatnya, terjadi disparitas antara norma hukum dan praktik sosial, yang membuat hukum kehilangan relevansinya sebagai alat pengendali perilaku.</w:t>
      </w:r>
    </w:p>
    <w:p w14:paraId="23165730" w14:textId="045866FE" w:rsidR="00D72C45" w:rsidRDefault="00D72C45" w:rsidP="00D72C45">
      <w:pPr>
        <w:pStyle w:val="NormalWeb"/>
        <w:spacing w:before="0" w:after="0" w:line="360" w:lineRule="auto"/>
        <w:ind w:firstLine="709"/>
        <w:jc w:val="both"/>
      </w:pPr>
      <w:r>
        <w:t xml:space="preserve">Ketiga, </w:t>
      </w:r>
      <w:r w:rsidRPr="00D72C45">
        <w:t>Rumusan Hukum yang Tidak Jelas dan Menimbulkan Multi-tafsir</w:t>
      </w:r>
      <w:r w:rsidRPr="00D72C45">
        <w:rPr>
          <w:b/>
          <w:bCs/>
        </w:rPr>
        <w:t>.</w:t>
      </w:r>
      <w:r w:rsidR="005B0320">
        <w:t xml:space="preserve"> </w:t>
      </w:r>
      <w:r w:rsidRPr="00D72C45">
        <w:t xml:space="preserve">Ketua IDI Cianjur menilai bahwa keberlakuan Kode Etik Kedokteran Indonesia (KODEKI) masih kurang efektif, karena sanksinya hanya berupa teguran dan bersifat internal. Selain itu, istilah </w:t>
      </w:r>
      <w:r w:rsidRPr="00D72C45">
        <w:rPr>
          <w:i/>
          <w:iCs/>
        </w:rPr>
        <w:t>sponsorship</w:t>
      </w:r>
      <w:r w:rsidRPr="00D72C45">
        <w:t xml:space="preserve"> tidak didefinisikan secara tegas dalam peraturan, sehingga membuka ruang penafsiran ganda. Hal ini bertentangan dengan prinsip ketiga Radbruch, yaitu bahwa hukum harus dirumuskan dengan jelas dan tegas agar tidak menimbulkan kekeliruan interpretasi.</w:t>
      </w:r>
    </w:p>
    <w:p w14:paraId="2B1B8D07" w14:textId="497F643C" w:rsidR="00D72C45" w:rsidRDefault="00D72C45" w:rsidP="00D72C45">
      <w:pPr>
        <w:pStyle w:val="NormalWeb"/>
        <w:spacing w:before="0" w:after="0" w:line="360" w:lineRule="auto"/>
        <w:ind w:firstLine="709"/>
        <w:jc w:val="both"/>
      </w:pPr>
      <w:r>
        <w:t xml:space="preserve">Empat, </w:t>
      </w:r>
      <w:r w:rsidRPr="00D72C45">
        <w:t>Ketiadaan Stabilitas dan Konsistensi dalam Penegakan Hukum</w:t>
      </w:r>
      <w:r w:rsidRPr="00D72C45">
        <w:rPr>
          <w:b/>
          <w:bCs/>
        </w:rPr>
        <w:t>.</w:t>
      </w:r>
      <w:r w:rsidR="005B0320">
        <w:t xml:space="preserve"> </w:t>
      </w:r>
      <w:r w:rsidRPr="00D72C45">
        <w:t>Radbruch menekankan bahwa hukum tidak boleh mudah berubah karena stabilitas merupakan fondasi kepastian. Dalam kasus ini, terlihat bahwa penegakan hukum terhadap gratifikasi dokter masih bergantung pada interpretasi individu atau lembaga, bukan pada sistem hukum yang konsisten. Akibatnya, masyarakat tidak memiliki jaminan bahwa hukum akan ditegakkan secara sama dalam kasus serupa.</w:t>
      </w:r>
    </w:p>
    <w:p w14:paraId="5F942077" w14:textId="0FE25730" w:rsidR="00D72C45" w:rsidRDefault="00D72C45" w:rsidP="005B0320">
      <w:pPr>
        <w:pStyle w:val="NormalWeb"/>
        <w:spacing w:before="0" w:after="0" w:line="360" w:lineRule="auto"/>
        <w:ind w:firstLine="709"/>
        <w:jc w:val="both"/>
      </w:pPr>
      <w:r w:rsidRPr="00D72C45">
        <w:t xml:space="preserve">Pandangan Van Apeldoorn dalam </w:t>
      </w:r>
      <w:r w:rsidRPr="00D72C45">
        <w:rPr>
          <w:i/>
          <w:iCs/>
        </w:rPr>
        <w:t>Inleiding tot de Studie van het Nederlandse Recht</w:t>
      </w:r>
      <w:r w:rsidRPr="00D72C45">
        <w:t xml:space="preserve"> (1954) melengkapi teori Radbruch dengan menegaskan bahwa kepastian hukum berfungsi sebagai perlindungan bagi masyarakat dari tindakan sewenang-wenang penguasa atau lembaga </w:t>
      </w:r>
      <w:r w:rsidRPr="00D72C45">
        <w:lastRenderedPageBreak/>
        <w:t>profesi. Dalam konteks ini, ketika lembaga profesi seperti IDI atau MKDKI memiliki kewenangan besar namun tidak diimbangi dengan transparansi dan kejelasan prosedur hukum, maka justru timbul ketidakpastian bagi dokter maupun masyarakat.</w:t>
      </w:r>
      <w:r w:rsidR="005B0320">
        <w:t xml:space="preserve"> </w:t>
      </w:r>
      <w:r w:rsidRPr="00D72C45">
        <w:t xml:space="preserve">Seorang dokter tidak dapat memperkirakan apakah menerima </w:t>
      </w:r>
      <w:r w:rsidRPr="00D72C45">
        <w:rPr>
          <w:i/>
          <w:iCs/>
        </w:rPr>
        <w:t>sponsorship</w:t>
      </w:r>
      <w:r w:rsidRPr="00D72C45">
        <w:t xml:space="preserve"> akan dianggap sah atau pelanggaran etik, karena tidak ada standar hukum yang pasti. Di sisi lain, pasien juga tidak mendapatkan kepastian bahwa layanan medis yang diterimanya bebas dari konflik kepentingan. Dengan demikian, asas kepastian hukum yang seharusnya melindungi kedua belah pihak justru gagal memberikan rasa aman terhadap hukum, karena lemahnya regulasi, sanksi etik yang tidak tegas, dan kurangnya konsistensi dalam penegakan hukum di sektor kesehatan.</w:t>
      </w:r>
    </w:p>
    <w:p w14:paraId="793779C4" w14:textId="60475048" w:rsidR="005B0320" w:rsidRDefault="005B0320" w:rsidP="005B0320">
      <w:pPr>
        <w:pStyle w:val="NormalWeb"/>
        <w:spacing w:before="0" w:after="0" w:line="360" w:lineRule="auto"/>
        <w:jc w:val="both"/>
      </w:pPr>
    </w:p>
    <w:p w14:paraId="0A2A2730" w14:textId="77777777" w:rsidR="005B0320" w:rsidRDefault="005B0320" w:rsidP="005B0320">
      <w:pPr>
        <w:pStyle w:val="NormalWeb"/>
        <w:spacing w:before="0" w:after="0" w:line="360" w:lineRule="auto"/>
        <w:jc w:val="both"/>
        <w:rPr>
          <w:b/>
          <w:bCs/>
        </w:rPr>
      </w:pPr>
      <w:r w:rsidRPr="005B0320">
        <w:rPr>
          <w:b/>
          <w:bCs/>
        </w:rPr>
        <w:t>Konsep Pemidanaan terhadap Pelaku Gratifikasi Perusahaan Farmasi dengan Dokter Swasta dalam Hukum Indonesia</w:t>
      </w:r>
    </w:p>
    <w:p w14:paraId="3FAA7F98" w14:textId="77777777" w:rsidR="005B0320" w:rsidRDefault="005B0320" w:rsidP="005B0320">
      <w:pPr>
        <w:pStyle w:val="NormalWeb"/>
        <w:spacing w:before="0" w:after="0" w:line="360" w:lineRule="auto"/>
        <w:ind w:firstLine="709"/>
        <w:jc w:val="both"/>
      </w:pPr>
      <w:r w:rsidRPr="005B0320">
        <w:t>Kasus Interbat dan Mestika Farma mencerminkan lemahnya integritas hubungan antara tenaga medis dan industri farmasi. Interbat diketahui memberikan fasilitas serta dana kepada dokter guna meningkatkan penjualan produk, sedangkan Mestika Farma melakukan kerja sama dengan dokter untuk mengarahkan pasien pada tindakan medis tanpa indikasi yang tepat. Praktik ini berdampak pada meningkatnya biaya pengobatan dan menurunnya kepercayaan publik terhadap profesi medis. Fenomena tersebut menegaskan bahwa gratifikasi di sektor kesehatan tidak sekadar pelanggaran etika, tetapi juga ancaman terhadap prinsip keadilan sosial dan hak masyarakat atas layanan kesehatan yang bermutu serta terjangkau.</w:t>
      </w:r>
    </w:p>
    <w:p w14:paraId="001104D7" w14:textId="77777777" w:rsidR="005B0320" w:rsidRDefault="005B0320" w:rsidP="005B0320">
      <w:pPr>
        <w:pStyle w:val="NormalWeb"/>
        <w:spacing w:before="0" w:after="0" w:line="360" w:lineRule="auto"/>
        <w:ind w:firstLine="709"/>
        <w:jc w:val="both"/>
      </w:pPr>
      <w:r w:rsidRPr="005B0320">
        <w:t>Menurut Moeljatno, proses kriminalisasi merupakan bagian penting dari hukum pidana, yaitu penetapan suatu perbuatan sebagai tindak pidana melalui undang-undang.</w:t>
      </w:r>
      <w:r>
        <w:rPr>
          <w:rStyle w:val="FootnoteReference"/>
        </w:rPr>
        <w:footnoteReference w:id="18"/>
      </w:r>
      <w:r w:rsidRPr="005B0320">
        <w:t xml:space="preserve"> Hal ini sejalan dengan asas legalitas dalam hukum pidana Indonesia, yang menyatakan </w:t>
      </w:r>
      <w:r w:rsidRPr="005B0320">
        <w:rPr>
          <w:i/>
          <w:iCs/>
        </w:rPr>
        <w:t>nullum delictum, nulla poena sine praevia lege poenali</w:t>
      </w:r>
      <w:r>
        <w:t xml:space="preserve">, </w:t>
      </w:r>
      <w:r w:rsidRPr="005B0320">
        <w:t>tidak ada tindak pidana tanpa dasar hukum yang jelas. Dengan demikian, untuk menanggulangi praktik gratifikasi di sektor kesehatan, diperlukan regulasi yang secara tegas mengkualifikasikan pemberian fasilitas atau insentif kepada tenaga medis sebagai tindak pidana apabila mengganggu independensi profesi dan merugikan masyarakat.</w:t>
      </w:r>
    </w:p>
    <w:p w14:paraId="2E855BE3" w14:textId="77777777" w:rsidR="005B0320" w:rsidRDefault="005B0320" w:rsidP="005B0320">
      <w:pPr>
        <w:pStyle w:val="NormalWeb"/>
        <w:spacing w:before="0" w:after="0" w:line="360" w:lineRule="auto"/>
        <w:ind w:firstLine="709"/>
        <w:jc w:val="both"/>
      </w:pPr>
      <w:r w:rsidRPr="005B0320">
        <w:t xml:space="preserve">Praktik gratifikasi antara perusahaan farmasi dan dokter swasta, sebagaimana tampak pada kasus Interbat–Mestika Farma, merupakan fenomena sosial yang memperoleh bentuk </w:t>
      </w:r>
      <w:r w:rsidRPr="005B0320">
        <w:lastRenderedPageBreak/>
        <w:t>yuridis melalui UU No. 31 Tahun 1999 jo. UU No. 20 Tahun 2001 tentang Pemberantasan Tindak Pidana Korupsi. Meskipun regulasi tersebut awalnya hanya ditujukan bagi penyelenggara negara, perkembangan menunjukkan bahwa pola gratifikasi serupa juga terjadi di sektor swasta. Oleh karena itu, diperlukan perluasan konsep kriminalisasi agar mencakup perbuatan yang melanggar integritas profesi medis dan merugikan kepentingan publik.</w:t>
      </w:r>
    </w:p>
    <w:p w14:paraId="42341DB4" w14:textId="77777777" w:rsidR="005B0320" w:rsidRDefault="005B0320" w:rsidP="005B0320">
      <w:pPr>
        <w:pStyle w:val="NormalWeb"/>
        <w:spacing w:before="0" w:after="0" w:line="360" w:lineRule="auto"/>
        <w:ind w:firstLine="709"/>
        <w:jc w:val="both"/>
      </w:pPr>
      <w:r w:rsidRPr="005B0320">
        <w:t>Menurut Moeljatno, kriminalisasi adalah proses menetapkan suatu perbuatan sebagai tindak pidana melalui undang-undang. Pandangan ini diperkuat oleh Muladi</w:t>
      </w:r>
      <w:r>
        <w:rPr>
          <w:rStyle w:val="FootnoteReference"/>
        </w:rPr>
        <w:footnoteReference w:id="19"/>
      </w:r>
      <w:r w:rsidRPr="005B0320">
        <w:t xml:space="preserve"> dan Barda Nawawi Arief, yang menyatakan bahwa kebijakan kriminalisasi harus memenuhi dasar sosiologis, yuridis, dan filosofis. Suatu perbuatan layak dikriminalisasi bila benar-benar membahayakan nilai sosial, menimbulkan kerugian nyata, dan tidak dapat diatasi dengan sanksi non-penal seperti mekanisme etik. Dalam konteks gratifikasi dokter, tindakan ini memenuhi kriteria tersebut karena</w:t>
      </w:r>
      <w:proofErr w:type="gramStart"/>
      <w:r w:rsidRPr="005B0320">
        <w:t>:</w:t>
      </w:r>
      <w:r>
        <w:t>a</w:t>
      </w:r>
      <w:proofErr w:type="gramEnd"/>
      <w:r>
        <w:t xml:space="preserve">. </w:t>
      </w:r>
      <w:r w:rsidRPr="005B0320">
        <w:t>Menimbulkan kerugian ekonomi dan sosial bagi masyarakat;</w:t>
      </w:r>
      <w:r>
        <w:t xml:space="preserve"> b. </w:t>
      </w:r>
      <w:r w:rsidRPr="005B0320">
        <w:t>Mengancam keadilan dan integritas profesi;</w:t>
      </w:r>
      <w:r>
        <w:t xml:space="preserve"> dan c. </w:t>
      </w:r>
      <w:r w:rsidRPr="005B0320">
        <w:t>Tidak efektif jika hanya diselesaikan melalui penegakan etik.</w:t>
      </w:r>
    </w:p>
    <w:p w14:paraId="61591A0D" w14:textId="77777777" w:rsidR="00213EFF" w:rsidRDefault="005B0320" w:rsidP="00213EFF">
      <w:pPr>
        <w:pStyle w:val="NormalWeb"/>
        <w:spacing w:before="0" w:after="0" w:line="360" w:lineRule="auto"/>
        <w:ind w:firstLine="709"/>
        <w:jc w:val="both"/>
      </w:pPr>
      <w:r w:rsidRPr="005B0320">
        <w:t>Selanjutnya, Teguh Prasetyo menegaskan pentingnya dimensi moral dalam kriminalisasi, di mana suatu perbuatan pantas dilarang secara pidana apabila bertentangan dengan nilai keadilan substantif (</w:t>
      </w:r>
      <w:r w:rsidRPr="005B0320">
        <w:rPr>
          <w:i/>
          <w:iCs/>
        </w:rPr>
        <w:t>the living law</w:t>
      </w:r>
      <w:r w:rsidRPr="005B0320">
        <w:t>).</w:t>
      </w:r>
      <w:r w:rsidR="00213EFF">
        <w:rPr>
          <w:rStyle w:val="FootnoteReference"/>
        </w:rPr>
        <w:footnoteReference w:id="20"/>
      </w:r>
      <w:r w:rsidRPr="005B0320">
        <w:t xml:space="preserve"> Gratifikasi antara dokter dan industri farmasi jelas bertentangan dengan nilai moral profesi kedokteran dan prinsip kemanusiaan dalam pelayanan kesehatan. Pandangan ini sejalan dengan Pasal 12 UU No. 1 Tahun 2023 tentang KUHP, yang menegaskan bahwa suatu perbuatan merupakan tindak pidana bila bersifat melawan hukum atau bertentangan dengan nilai hukum yang hidup dalam masyarakat. Dengan demikian, gratifikasi medis dapat dipandang sebagai pelanggaran hukum materiil karena bertentangan tidak hanya dengan norma tertulis, tetapi juga dengan nilai etik yang dijunjung dalam komunitas profesi kedokteran.</w:t>
      </w:r>
    </w:p>
    <w:p w14:paraId="12573A15" w14:textId="77777777" w:rsidR="00213EFF" w:rsidRDefault="00213EFF" w:rsidP="00213EFF">
      <w:pPr>
        <w:pStyle w:val="NormalWeb"/>
        <w:spacing w:before="0" w:after="0" w:line="360" w:lineRule="auto"/>
        <w:ind w:firstLine="709"/>
        <w:jc w:val="both"/>
      </w:pPr>
      <w:r w:rsidRPr="00213EFF">
        <w:t xml:space="preserve">Ketentuan Pasal 306 ayat (1) UU No. 17 Tahun 2023 tentang Kesehatan memperluas bentuk pertanggungjawaban hukum dengan memberikan sanksi administratif, termasuk pencabutan izin bagi tenaga medis atau fasilitas kesehatan yang melakukan praktik menyesatkan dan merugikan masyarakat. Regulasi ini menunjukkan bahwa kebijakan penegakan hukum di sektor kesehatan tidak hanya bersifat penal (pidana), tetapi juga administratif dan etik, sehingga </w:t>
      </w:r>
      <w:r w:rsidRPr="00213EFF">
        <w:lastRenderedPageBreak/>
        <w:t>membentuk sistem pengawasan berlapis terhadap tenaga medis.</w:t>
      </w:r>
      <w:r>
        <w:t xml:space="preserve"> </w:t>
      </w:r>
      <w:r w:rsidRPr="00213EFF">
        <w:t>Dalam konteks kasus Interbat dan Mestika Farma, penerapan kebijakan kriminalisasi menjadi relevan karena unsur “melawan hukum” telah terpenuhi. Hubungan timbal balik antara perusahaan farmasi dan dokter swasta melalui pemberian fasilitas, sponsorship, atau insentif jelas menyalahi etika profesi serta menimbulkan kerugian publik. Praktik tersebut tidak sekadar pelanggaran etik, melainkan sudah memasuki ranah hukum publik karena berpotensi menyebabkan distorsi harga obat dan mengabaikan hak pasien atas pelayanan medis yang objektif dan independen.</w:t>
      </w:r>
    </w:p>
    <w:p w14:paraId="55D35FFF" w14:textId="77777777" w:rsidR="00213EFF" w:rsidRDefault="00213EFF" w:rsidP="00213EFF">
      <w:pPr>
        <w:pStyle w:val="NormalWeb"/>
        <w:spacing w:before="0" w:after="0" w:line="360" w:lineRule="auto"/>
        <w:ind w:firstLine="709"/>
        <w:jc w:val="both"/>
      </w:pPr>
      <w:r w:rsidRPr="00213EFF">
        <w:t>Berdasarkan teori kriminalisasi yang dikemukakan oleh Moeljatno, Muladi, Barda Nawawi Arief, dan Teguh Prasetyo, serta prinsip asas legalitas dalam KUHP 2023, gratifikasi antara dokter dan industri farmasi dapat dikualifikasikan sebagai tindak pidana. Perbuatan ini tidak hanya memenuhi unsur melawan hukum, tetapi juga bertentangan dengan nilai keadilan sosial dan kemanusiaan yang menjadi dasar pelayanan kesehatan nasional. Oleh karena itu, kriminalisasi gratifikasi di sektor medis perlu dipahami bukan semata-mata sebagai upaya represif, tetapi juga sebagai bentuk perlindungan integritas profesi, peneguhan moral publik, dan pembaruan hukum pidana yang adaptif terhadap perkembangan sosial.</w:t>
      </w:r>
    </w:p>
    <w:p w14:paraId="13275A72" w14:textId="77777777" w:rsidR="00213EFF" w:rsidRDefault="00213EFF" w:rsidP="00213EFF">
      <w:pPr>
        <w:pStyle w:val="NormalWeb"/>
        <w:spacing w:before="0" w:after="0" w:line="360" w:lineRule="auto"/>
        <w:ind w:firstLine="709"/>
        <w:jc w:val="both"/>
      </w:pPr>
      <w:r w:rsidRPr="00213EFF">
        <w:t xml:space="preserve">Dalam kerangka hukum pidana Indonesia, pembahasan mengenai kriminalisasi terhadap praktik gratifikasi antara dokter dan perusahaan farmasi perlu dianalisis tidak hanya secara </w:t>
      </w:r>
      <w:r w:rsidRPr="00213EFF">
        <w:rPr>
          <w:b/>
          <w:bCs/>
        </w:rPr>
        <w:t>normatif</w:t>
      </w:r>
      <w:r w:rsidRPr="00213EFF">
        <w:t>, tetapi juga melalui pendekatan teoritik dan kebijakan publik. Analisis semacam ini penting agar kebijakan hukum yang diambil mampu mencerminkan keseimbangan antara perlindungan kepentingan masyarakat dan penghormatan terhadap kebebasan profesi.</w:t>
      </w:r>
    </w:p>
    <w:p w14:paraId="727C4266" w14:textId="77777777" w:rsidR="00213EFF" w:rsidRDefault="00213EFF" w:rsidP="00213EFF">
      <w:pPr>
        <w:pStyle w:val="NormalWeb"/>
        <w:spacing w:before="0" w:after="0" w:line="360" w:lineRule="auto"/>
        <w:ind w:firstLine="709"/>
        <w:jc w:val="both"/>
      </w:pPr>
      <w:r w:rsidRPr="00213EFF">
        <w:t xml:space="preserve">Dua pemikiran penting dalam konteks ini berasal dari Moeljatno dan Sudarto. Moeljatno memandang kriminalisasi sebagai proses menetapkan suatu perbuatan menjadi tindak pidana berdasarkan undang-undang, dengan tujuan menjaga ketertiban sosial dan keadilan. Sementara Sudarto menekankan bahwa kebijakan kriminalisasi harus memperhatikan aspek sosiologis, moral, dan efektivitas hukum, agar tidak menimbulkan </w:t>
      </w:r>
      <w:r w:rsidRPr="00213EFF">
        <w:rPr>
          <w:i/>
          <w:iCs/>
        </w:rPr>
        <w:t>overcriminalization</w:t>
      </w:r>
      <w:r w:rsidRPr="00213EFF">
        <w:t xml:space="preserve"> atau penyalahgunaan kewenangan negara. Dengan demikian, penerapan kriminalisasi terhadap gratifikasi di sektor medis sebaiknya dilihat sebagai kebijakan hukum yang rasional dan proporsional, yang tidak hanya menegakkan norma hukum, tetapi juga memperkuat integritas profesi serta melindungi kepentingan publik dari praktik menyimpang dalam pelayanan kesehatan.</w:t>
      </w:r>
    </w:p>
    <w:p w14:paraId="17756C06" w14:textId="77777777" w:rsidR="00213EFF" w:rsidRDefault="00213EFF" w:rsidP="00213EFF">
      <w:pPr>
        <w:pStyle w:val="NormalWeb"/>
        <w:spacing w:before="0" w:after="0" w:line="360" w:lineRule="auto"/>
        <w:ind w:firstLine="709"/>
        <w:jc w:val="both"/>
      </w:pPr>
      <w:r w:rsidRPr="00213EFF">
        <w:t xml:space="preserve">Penegakan hukum terhadap kasus gratifikasi dalam dunia medis, seperti pada kasus Interbat dan Mestika Farma, perlu dianalisis melalui pendekatan keadilan substantif sebagaimana </w:t>
      </w:r>
      <w:r w:rsidRPr="00213EFF">
        <w:lastRenderedPageBreak/>
        <w:t>dikemukakan oleh Satjipto Rahardjo. Menurut Satjipto, hukum seharusnya tidak berhenti pada keadilan formal yang berorientasi pada teks, tetapi harus mampu menghadirkan keadilan yang hidup dan manusiawi (</w:t>
      </w:r>
      <w:r w:rsidRPr="00213EFF">
        <w:rPr>
          <w:i/>
          <w:iCs/>
        </w:rPr>
        <w:t>living law</w:t>
      </w:r>
      <w:r w:rsidRPr="00213EFF">
        <w:t>). Dalam praktiknya, penegakan hukum di kedua kasus tersebut masih didominasi oleh pendekatan legal-formal yang menekankan kepastian hukum, tanpa cukup mempertimbangkan aspek moral dan sosial yang menjadi inti keadilan substantif.</w:t>
      </w:r>
      <w:r>
        <w:t xml:space="preserve"> </w:t>
      </w:r>
    </w:p>
    <w:p w14:paraId="5444957F" w14:textId="288FCDD0" w:rsidR="00213EFF" w:rsidRDefault="00213EFF" w:rsidP="00213EFF">
      <w:pPr>
        <w:pStyle w:val="NormalWeb"/>
        <w:spacing w:before="0" w:after="0" w:line="360" w:lineRule="auto"/>
        <w:ind w:firstLine="709"/>
        <w:jc w:val="both"/>
      </w:pPr>
      <w:r w:rsidRPr="00213EFF">
        <w:t>Pendekatan ini menyebabkan keadilan yang dihasilkan bersifat prosedural semata, bukan keadilan sejati. Kasus Interbat menunjukkan ketimpangan antara kepastian hukum dan rasa keadilan publik, karena fokus aparat lebih pada penerapan aturan daripada dampak sosial dan ekonomi yang ditimbulkan. Demikian pula dalam kasus Mestika, orientasi hukum yang retributif menjadikan pelaku semata sebagai objek penghukuman, bukan subjek yang bisa direhabilitasi.</w:t>
      </w:r>
      <w:r>
        <w:t xml:space="preserve"> </w:t>
      </w:r>
      <w:r w:rsidRPr="00213EFF">
        <w:t>Dalam kerangka teori Satjipto Rahardjo, penegakan hukum sejati berarti memanusiakan manusia. Oleh karena itu, penerapan restorative justice menjadi relevan karena mengedepankan pemulihan hubungan sosial antara pelaku, korban, dan masyarakat. Pendekatan ini mengubah paradigma dari penghukuman menuju pemulihan, menyeimbangkan kembali keadilan sosial, serta memperkuat kepercayaan publik terhadap sistem hukum. Dengan demikian, penegakan hukum dalam kasus seperti Interbat dan Mestika seharusnya diarahkan untuk mencapai keadilan substantif, bukan sekadar keadilan formal-prosedural.</w:t>
      </w:r>
    </w:p>
    <w:p w14:paraId="2FD75D5C" w14:textId="7425601F" w:rsidR="00213EFF" w:rsidRDefault="00213EFF" w:rsidP="00213EFF">
      <w:pPr>
        <w:pStyle w:val="NormalWeb"/>
        <w:spacing w:before="0" w:after="0" w:line="360" w:lineRule="auto"/>
        <w:jc w:val="both"/>
      </w:pPr>
    </w:p>
    <w:p w14:paraId="3C412356" w14:textId="77777777" w:rsidR="00213EFF" w:rsidRPr="00213EFF" w:rsidRDefault="00213EFF" w:rsidP="00213EFF">
      <w:pPr>
        <w:pStyle w:val="NormalWeb"/>
        <w:spacing w:before="0" w:after="0" w:line="360" w:lineRule="auto"/>
        <w:jc w:val="both"/>
        <w:rPr>
          <w:b/>
          <w:bCs/>
        </w:rPr>
      </w:pPr>
      <w:r w:rsidRPr="00213EFF">
        <w:rPr>
          <w:b/>
          <w:bCs/>
        </w:rPr>
        <w:t xml:space="preserve">Penutup </w:t>
      </w:r>
    </w:p>
    <w:p w14:paraId="4C15C62F" w14:textId="77777777" w:rsidR="00213EFF" w:rsidRDefault="00213EFF" w:rsidP="00213EFF">
      <w:pPr>
        <w:pStyle w:val="NormalWeb"/>
        <w:spacing w:before="0" w:after="0" w:line="360" w:lineRule="auto"/>
        <w:ind w:firstLine="709"/>
        <w:jc w:val="both"/>
      </w:pPr>
      <w:r w:rsidRPr="00213EFF">
        <w:t>Pengaturan mengenai tindak pidana gratifikasi antara perusahaan farmasi dan dokter swasta hingga kini masih berada pada wilayah abu-abu hukum (</w:t>
      </w:r>
      <w:r w:rsidRPr="00213EFF">
        <w:rPr>
          <w:i/>
          <w:iCs/>
        </w:rPr>
        <w:t>grey area</w:t>
      </w:r>
      <w:r w:rsidRPr="00213EFF">
        <w:t xml:space="preserve">). Belum adanya ketentuan eksplisit dalam peraturan perundang-undangan menimbulkan kondisi </w:t>
      </w:r>
      <w:r w:rsidRPr="00213EFF">
        <w:rPr>
          <w:i/>
          <w:iCs/>
        </w:rPr>
        <w:t>vacuüm of norm</w:t>
      </w:r>
      <w:r w:rsidRPr="00213EFF">
        <w:t>, di mana hubungan finansial antara industri farmasi dan tenaga medis swasta tidak memiliki batasan yang tegas. Kekosongan norma ini berdampak pada munculnya ketidakpastian dalam penegakan hukum serta membuka peluang terjadinya penyalahgunaan kewenangan, sebab aparat penegak hukum tidak memiliki ukuran yang jelas dalam menilai perbuatan tersebut sebagai tindak pidana.</w:t>
      </w:r>
    </w:p>
    <w:p w14:paraId="4DCF8D4B" w14:textId="77777777" w:rsidR="006D25E6" w:rsidRDefault="00213EFF" w:rsidP="006D25E6">
      <w:pPr>
        <w:pStyle w:val="NormalWeb"/>
        <w:spacing w:before="0" w:after="0" w:line="360" w:lineRule="auto"/>
        <w:ind w:firstLine="709"/>
        <w:jc w:val="both"/>
      </w:pPr>
      <w:r w:rsidRPr="00213EFF">
        <w:t xml:space="preserve">Dalam konteks hukum pidana Indonesia, pemidanaan terhadap praktik gratifikasi di sektor kesehatan harus ditempatkan dalam kerangka yang proporsional dan berkeadilan. Pendekatan ini menuntut adanya kepastian kriteria hukum yang rasional agar kebijakan kriminalisasi tidak menimbulkan ketidakpastian hukum baru. Oleh karena itu, diperlukan </w:t>
      </w:r>
      <w:r w:rsidRPr="00213EFF">
        <w:lastRenderedPageBreak/>
        <w:t>pengaturan khusus (</w:t>
      </w:r>
      <w:r w:rsidRPr="00213EFF">
        <w:rPr>
          <w:i/>
          <w:iCs/>
        </w:rPr>
        <w:t>lex specialis</w:t>
      </w:r>
      <w:r w:rsidRPr="00213EFF">
        <w:t>) yang secara eksplisit mengatur hubungan keuangan antara tenaga medis dan industri farmasi, sehingga proses penegakan hukum dapat berjalan konsisten dan sejalan dengan prinsip keadilan sosial serta perlindungan kepentingan publik.</w:t>
      </w:r>
    </w:p>
    <w:p w14:paraId="42FA3D18" w14:textId="13C3BC6F" w:rsidR="006D25E6" w:rsidRDefault="006D25E6" w:rsidP="006D25E6">
      <w:pPr>
        <w:pStyle w:val="NormalWeb"/>
        <w:spacing w:before="0" w:after="0" w:line="360" w:lineRule="auto"/>
        <w:ind w:firstLine="709"/>
        <w:jc w:val="both"/>
      </w:pPr>
      <w:r w:rsidRPr="006D25E6">
        <w:t>Untuk menciptakan sistem hukum yang pasti dan adil di sektor kesehatan, perlu dilakukan pembaruan regulasi khusus (lex specialis) yang mengatur secara tegas larangan dan batasan gratifikasi antara dokter swasta dan perusahaan farmasi. Aturan ini harus menegaskan prinsip transparansi, etika profesi, serta sanksi administratif dan pidana yang proporsional.</w:t>
      </w:r>
      <w:r>
        <w:t xml:space="preserve"> </w:t>
      </w:r>
      <w:r w:rsidRPr="006D25E6">
        <w:t>Selain itu, pemidanaan harus berorientasi pada keadilan substantif dan restorative justice, bukan sekadar penghukuman. Koordinasi antar lembaga seperti KPK, Kepolisian, Kejaksaan, BPOM, dan IDI perlu diperkuat agar penegakan hukum lebih sinergis dan efektif, serta mampu memulihkan kepercayaan publik terhadap profesi medis.</w:t>
      </w:r>
    </w:p>
    <w:p w14:paraId="5720A2EC" w14:textId="1A172535" w:rsidR="006D25E6" w:rsidRDefault="006D25E6" w:rsidP="006D25E6">
      <w:pPr>
        <w:pStyle w:val="NormalWeb"/>
        <w:spacing w:before="0" w:after="0" w:line="360" w:lineRule="auto"/>
        <w:jc w:val="both"/>
      </w:pPr>
    </w:p>
    <w:p w14:paraId="04FB2432" w14:textId="2113C764" w:rsidR="006D25E6" w:rsidRPr="006D25E6" w:rsidRDefault="006D25E6" w:rsidP="006D25E6">
      <w:pPr>
        <w:pStyle w:val="NormalWeb"/>
        <w:spacing w:before="0" w:after="0" w:line="360" w:lineRule="auto"/>
        <w:jc w:val="both"/>
        <w:rPr>
          <w:b/>
          <w:bCs/>
        </w:rPr>
      </w:pPr>
      <w:r w:rsidRPr="006D25E6">
        <w:rPr>
          <w:b/>
          <w:bCs/>
        </w:rPr>
        <w:t>Daftar Pustaka</w:t>
      </w:r>
    </w:p>
    <w:p w14:paraId="5CF9385E" w14:textId="360B1A43" w:rsid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Adang Mulyono, 2017, Teori Kebijakan Kriminalisasi Terkait Perumusan Sanksi</w:t>
      </w:r>
      <w:r w:rsidRPr="006D25E6">
        <w:rPr>
          <w:rFonts w:ascii="Times New Roman" w:hAnsi="Times New Roman" w:cs="Times New Roman"/>
          <w:iCs/>
        </w:rPr>
        <w:t xml:space="preserve"> Pidana Dalam Peraturan Desa</w:t>
      </w:r>
      <w:r w:rsidRPr="006D25E6">
        <w:rPr>
          <w:rFonts w:ascii="Times New Roman" w:hAnsi="Times New Roman" w:cs="Times New Roman"/>
        </w:rPr>
        <w:t xml:space="preserve">, </w:t>
      </w:r>
      <w:r w:rsidRPr="006D25E6">
        <w:rPr>
          <w:rFonts w:ascii="Times New Roman" w:hAnsi="Times New Roman" w:cs="Times New Roman"/>
          <w:i/>
        </w:rPr>
        <w:t>Jurnal Independent Fakultas Hukum</w:t>
      </w:r>
      <w:r w:rsidRPr="006D25E6">
        <w:rPr>
          <w:rFonts w:ascii="Times New Roman" w:hAnsi="Times New Roman" w:cs="Times New Roman"/>
        </w:rPr>
        <w:t>, Vol. 16, No. 1</w:t>
      </w:r>
    </w:p>
    <w:p w14:paraId="62FB4698" w14:textId="5CD00F48" w:rsidR="006D25E6" w:rsidRP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 xml:space="preserve">Abdurahman Hakim,  </w:t>
      </w:r>
      <w:r w:rsidRPr="006D25E6">
        <w:rPr>
          <w:rFonts w:ascii="Times New Roman" w:hAnsi="Times New Roman" w:cs="Times New Roman"/>
          <w:i/>
          <w:iCs/>
        </w:rPr>
        <w:t>Prospek Kriminalisasi Pemberian Sesuatu Kepada Dokter Non Pegawai Negeri oleh Perusahaan Farmasi,</w:t>
      </w:r>
      <w:r w:rsidRPr="006D25E6">
        <w:rPr>
          <w:rFonts w:ascii="Times New Roman" w:hAnsi="Times New Roman" w:cs="Times New Roman"/>
        </w:rPr>
        <w:t xml:space="preserve"> </w:t>
      </w:r>
      <w:hyperlink r:id="rId8" w:history="1">
        <w:r w:rsidRPr="006D25E6">
          <w:rPr>
            <w:rStyle w:val="Hyperlink"/>
            <w:rFonts w:ascii="Times New Roman" w:hAnsi="Times New Roman" w:cs="Times New Roman"/>
            <w:color w:val="000000" w:themeColor="text1"/>
          </w:rPr>
          <w:t>https://dspace.uii.ac.id/bitstream/handle/123456789/13918/Skripsi%20Abdurrahman%20Hakim%2014410481.pdf?sequence=1&amp;isAllowed=y</w:t>
        </w:r>
      </w:hyperlink>
      <w:r w:rsidRPr="006D25E6">
        <w:rPr>
          <w:rStyle w:val="Hyperlink"/>
          <w:rFonts w:ascii="Times New Roman" w:hAnsi="Times New Roman" w:cs="Times New Roman"/>
          <w:color w:val="000000" w:themeColor="text1"/>
        </w:rPr>
        <w:t>,</w:t>
      </w:r>
    </w:p>
    <w:p w14:paraId="01FADF76" w14:textId="5FF447D6" w:rsidR="006D25E6" w:rsidRPr="006D25E6" w:rsidRDefault="006D25E6" w:rsidP="006D25E6">
      <w:pPr>
        <w:ind w:left="1276" w:hanging="1276"/>
        <w:jc w:val="both"/>
        <w:rPr>
          <w:rFonts w:ascii="Times New Roman" w:hAnsi="Times New Roman" w:cs="Times New Roman"/>
        </w:rPr>
      </w:pPr>
      <w:r w:rsidRPr="006D25E6">
        <w:rPr>
          <w:rFonts w:ascii="Times New Roman" w:hAnsi="Times New Roman" w:cs="Times New Roman"/>
          <w:color w:val="000000" w:themeColor="text1"/>
        </w:rPr>
        <w:t xml:space="preserve">Aris Dwi Cahyono, 2021, (Library Research) Pernaan Pengembangan Manajemen Kinerja Tenaga Administrasi Kesehatan Terhadap Peningkatan Mutu Pelayanan Kesehatan Puskesmas, </w:t>
      </w:r>
      <w:r w:rsidRPr="006D25E6">
        <w:rPr>
          <w:rFonts w:ascii="Times New Roman" w:hAnsi="Times New Roman" w:cs="Times New Roman"/>
          <w:i/>
          <w:color w:val="000000" w:themeColor="text1"/>
        </w:rPr>
        <w:t>Jurnal Ilmiah Pemenang</w:t>
      </w:r>
      <w:r w:rsidRPr="006D25E6">
        <w:rPr>
          <w:rFonts w:ascii="Times New Roman" w:hAnsi="Times New Roman" w:cs="Times New Roman"/>
          <w:color w:val="000000" w:themeColor="text1"/>
        </w:rPr>
        <w:t>, Vol, 3 No. 2.</w:t>
      </w:r>
    </w:p>
    <w:p w14:paraId="3C17A6DC" w14:textId="72692BAC" w:rsidR="006D25E6" w:rsidRP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 xml:space="preserve">Ambaranie Nadia Kemala Movanita, </w:t>
      </w:r>
      <w:r w:rsidRPr="006D25E6">
        <w:rPr>
          <w:rFonts w:ascii="Times New Roman" w:hAnsi="Times New Roman" w:cs="Times New Roman"/>
          <w:i/>
        </w:rPr>
        <w:t>Menkes angkat Bicara Soal Praktik Suap</w:t>
      </w:r>
      <w:r w:rsidRPr="006D25E6">
        <w:rPr>
          <w:rFonts w:ascii="Times New Roman" w:hAnsi="Times New Roman" w:cs="Times New Roman"/>
        </w:rPr>
        <w:t xml:space="preserve">, </w:t>
      </w:r>
      <w:hyperlink r:id="rId9" w:history="1">
        <w:r w:rsidRPr="006D25E6">
          <w:rPr>
            <w:rStyle w:val="Hyperlink"/>
            <w:rFonts w:ascii="Times New Roman" w:hAnsi="Times New Roman" w:cs="Times New Roman"/>
            <w:color w:val="000000" w:themeColor="text1"/>
          </w:rPr>
          <w:t>https://nasional.kompas.com/read/2015/11/06/22312491/Menkes.Angkat.Bicara.soal.Praktik.Suap.Perusahaan.Farmasi.kepada.Dokter</w:t>
        </w:r>
      </w:hyperlink>
    </w:p>
    <w:p w14:paraId="10197815" w14:textId="22B1E384" w:rsidR="006D25E6" w:rsidRDefault="006D25E6" w:rsidP="006D25E6">
      <w:pPr>
        <w:ind w:left="1276" w:hanging="1276"/>
        <w:jc w:val="both"/>
        <w:rPr>
          <w:rFonts w:ascii="Times New Roman" w:hAnsi="Times New Roman" w:cs="Times New Roman"/>
          <w:color w:val="000000" w:themeColor="text1"/>
        </w:rPr>
      </w:pPr>
      <w:r w:rsidRPr="006D25E6">
        <w:rPr>
          <w:rFonts w:ascii="Times New Roman" w:hAnsi="Times New Roman" w:cs="Times New Roman"/>
          <w:color w:val="000000" w:themeColor="text1"/>
        </w:rPr>
        <w:t xml:space="preserve">Buletin Minggu Anti Korupsi, </w:t>
      </w:r>
      <w:r w:rsidRPr="006D25E6">
        <w:rPr>
          <w:rFonts w:ascii="Times New Roman" w:hAnsi="Times New Roman" w:cs="Times New Roman"/>
          <w:i/>
          <w:color w:val="000000" w:themeColor="text1"/>
        </w:rPr>
        <w:t xml:space="preserve">Sumber: Komisi Pemberantasan Korupsi per 16 Desember Tahun 2024, </w:t>
      </w:r>
      <w:hyperlink r:id="rId10" w:history="1">
        <w:r w:rsidRPr="00631665">
          <w:rPr>
            <w:rStyle w:val="Hyperlink"/>
            <w:rFonts w:ascii="Times New Roman" w:hAnsi="Times New Roman" w:cs="Times New Roman"/>
          </w:rPr>
          <w:t>https://www.tempo.co</w:t>
        </w:r>
      </w:hyperlink>
    </w:p>
    <w:p w14:paraId="0817571D" w14:textId="235709AB" w:rsid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 xml:space="preserve">Chitra Paramesti dan Tika Azaria, </w:t>
      </w:r>
      <w:r w:rsidRPr="006D25E6">
        <w:rPr>
          <w:rFonts w:ascii="Times New Roman" w:hAnsi="Times New Roman" w:cs="Times New Roman"/>
          <w:i/>
        </w:rPr>
        <w:t>Industri Farmasi diduga Suap Dokter, Karyawan Lapor Polisi</w:t>
      </w:r>
      <w:r w:rsidRPr="006D25E6">
        <w:rPr>
          <w:rFonts w:ascii="Times New Roman" w:hAnsi="Times New Roman" w:cs="Times New Roman"/>
        </w:rPr>
        <w:t>, dalam Media Online Tempo</w:t>
      </w:r>
    </w:p>
    <w:p w14:paraId="5D1A9FCA" w14:textId="6170EAD6" w:rsidR="006D25E6" w:rsidRP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 xml:space="preserve">Hadi Zulkarnaen &amp; Azis Budianto, 2024, </w:t>
      </w:r>
      <w:r w:rsidRPr="006D25E6">
        <w:rPr>
          <w:rStyle w:val="Emphasis"/>
          <w:rFonts w:ascii="Times New Roman" w:hAnsi="Times New Roman" w:cs="Times New Roman"/>
          <w:i w:val="0"/>
          <w:iCs w:val="0"/>
        </w:rPr>
        <w:t>Legal Certainty of Telemedicine Provision in Technology-Based Health Services in Indonesia</w:t>
      </w:r>
      <w:r w:rsidRPr="006D25E6">
        <w:rPr>
          <w:rFonts w:ascii="Times New Roman" w:hAnsi="Times New Roman" w:cs="Times New Roman"/>
        </w:rPr>
        <w:t xml:space="preserve">, </w:t>
      </w:r>
      <w:r w:rsidRPr="006D25E6">
        <w:rPr>
          <w:rFonts w:ascii="Times New Roman" w:hAnsi="Times New Roman" w:cs="Times New Roman"/>
          <w:i/>
          <w:iCs/>
        </w:rPr>
        <w:t>International Journal of Management Science and Application (IJMSA)</w:t>
      </w:r>
      <w:r w:rsidRPr="006D25E6">
        <w:rPr>
          <w:rFonts w:ascii="Times New Roman" w:hAnsi="Times New Roman" w:cs="Times New Roman"/>
        </w:rPr>
        <w:t xml:space="preserve"> Vol. 1 No. 5</w:t>
      </w:r>
    </w:p>
    <w:p w14:paraId="042EEDBA" w14:textId="4B53B441" w:rsid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 xml:space="preserve">Hullsman, </w:t>
      </w:r>
      <w:r w:rsidRPr="006D25E6">
        <w:rPr>
          <w:rFonts w:ascii="Times New Roman" w:hAnsi="Times New Roman" w:cs="Times New Roman"/>
          <w:i/>
        </w:rPr>
        <w:t>Dari Lembaran Kepustakaan Hukum Pidana</w:t>
      </w:r>
      <w:r w:rsidRPr="006D25E6">
        <w:rPr>
          <w:rFonts w:ascii="Times New Roman" w:hAnsi="Times New Roman" w:cs="Times New Roman"/>
        </w:rPr>
        <w:t>. Penerbit Sinar Grafika : Jakarta. 1988. hlm. 87. Sebagaimana dikutip oleh Ajeng Yuniastari digilib.unila.ac.id</w:t>
      </w:r>
    </w:p>
    <w:p w14:paraId="31A14256" w14:textId="77777777" w:rsidR="006D25E6" w:rsidRDefault="006D25E6" w:rsidP="006D25E6">
      <w:pPr>
        <w:ind w:left="1276" w:hanging="1276"/>
        <w:jc w:val="both"/>
        <w:rPr>
          <w:rFonts w:ascii="Times New Roman" w:hAnsi="Times New Roman" w:cs="Times New Roman"/>
          <w:color w:val="000000" w:themeColor="text1"/>
        </w:rPr>
      </w:pPr>
      <w:r w:rsidRPr="006D25E6">
        <w:rPr>
          <w:rFonts w:ascii="Times New Roman" w:hAnsi="Times New Roman" w:cs="Times New Roman"/>
          <w:color w:val="000000" w:themeColor="text1"/>
        </w:rPr>
        <w:t xml:space="preserve">Komisi Pemberantasan Korupsi, </w:t>
      </w:r>
      <w:r w:rsidRPr="006D25E6">
        <w:rPr>
          <w:rFonts w:ascii="Times New Roman" w:hAnsi="Times New Roman" w:cs="Times New Roman"/>
          <w:i/>
          <w:iCs/>
          <w:color w:val="000000" w:themeColor="text1"/>
        </w:rPr>
        <w:t>Memahami Untuk Membasmi; Buku Panduan Untuk Memahami Tindak Pidana Korupsi,</w:t>
      </w:r>
      <w:r w:rsidRPr="006D25E6">
        <w:rPr>
          <w:rFonts w:ascii="Times New Roman" w:hAnsi="Times New Roman" w:cs="Times New Roman"/>
          <w:iCs/>
          <w:color w:val="000000" w:themeColor="text1"/>
        </w:rPr>
        <w:t xml:space="preserve"> KPK,</w:t>
      </w:r>
      <w:r w:rsidRPr="006D25E6">
        <w:rPr>
          <w:rFonts w:ascii="Times New Roman" w:hAnsi="Times New Roman" w:cs="Times New Roman"/>
          <w:color w:val="000000" w:themeColor="text1"/>
        </w:rPr>
        <w:t xml:space="preserve"> Jakarta, 2006</w:t>
      </w:r>
    </w:p>
    <w:p w14:paraId="0182290E" w14:textId="2596C194" w:rsid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 xml:space="preserve">Martin Borowski &amp; Stanley L. Paulson (eds.), </w:t>
      </w:r>
      <w:r w:rsidRPr="006D25E6">
        <w:rPr>
          <w:rStyle w:val="Emphasis"/>
          <w:rFonts w:ascii="Times New Roman" w:hAnsi="Times New Roman" w:cs="Times New Roman"/>
        </w:rPr>
        <w:t>Die Natur des Rechts bei Gustav Radbruch</w:t>
      </w:r>
      <w:r w:rsidRPr="006D25E6">
        <w:rPr>
          <w:rFonts w:ascii="Times New Roman" w:hAnsi="Times New Roman" w:cs="Times New Roman"/>
        </w:rPr>
        <w:t>. Tübingen: Mohr Siebeck, 2015</w:t>
      </w:r>
    </w:p>
    <w:p w14:paraId="238D013E" w14:textId="73755D05" w:rsidR="006D25E6" w:rsidRPr="006D25E6" w:rsidRDefault="006D25E6" w:rsidP="006D25E6">
      <w:pPr>
        <w:ind w:left="1276" w:hanging="1276"/>
        <w:jc w:val="both"/>
        <w:rPr>
          <w:rFonts w:ascii="Times New Roman" w:hAnsi="Times New Roman" w:cs="Times New Roman"/>
          <w:color w:val="000000" w:themeColor="text1"/>
        </w:rPr>
      </w:pPr>
      <w:r w:rsidRPr="006D25E6">
        <w:rPr>
          <w:rFonts w:ascii="Times New Roman" w:hAnsi="Times New Roman" w:cs="Times New Roman"/>
        </w:rPr>
        <w:t xml:space="preserve">Muladi &amp; Barda Nawawi Arief. 1998. </w:t>
      </w:r>
      <w:r w:rsidRPr="006D25E6">
        <w:rPr>
          <w:rStyle w:val="Emphasis"/>
          <w:rFonts w:ascii="Times New Roman" w:hAnsi="Times New Roman" w:cs="Times New Roman"/>
        </w:rPr>
        <w:t>Teori-Teori dan Kebijakan Pidana</w:t>
      </w:r>
      <w:r w:rsidRPr="006D25E6">
        <w:rPr>
          <w:rFonts w:ascii="Times New Roman" w:hAnsi="Times New Roman" w:cs="Times New Roman"/>
        </w:rPr>
        <w:t>. Bandung: Alumni,</w:t>
      </w:r>
    </w:p>
    <w:p w14:paraId="7907360F" w14:textId="209F5806" w:rsidR="006D25E6" w:rsidRDefault="006D25E6" w:rsidP="006D25E6">
      <w:pPr>
        <w:jc w:val="both"/>
        <w:rPr>
          <w:rFonts w:ascii="Times New Roman" w:hAnsi="Times New Roman" w:cs="Times New Roman"/>
        </w:rPr>
      </w:pPr>
      <w:r w:rsidRPr="006D25E6">
        <w:rPr>
          <w:rFonts w:ascii="Times New Roman" w:hAnsi="Times New Roman" w:cs="Times New Roman"/>
        </w:rPr>
        <w:t xml:space="preserve">Moeljatno, </w:t>
      </w:r>
      <w:r w:rsidRPr="006D25E6">
        <w:rPr>
          <w:rFonts w:ascii="Times New Roman" w:hAnsi="Times New Roman" w:cs="Times New Roman"/>
          <w:i/>
          <w:iCs/>
        </w:rPr>
        <w:t>Asas-asas Hukum Pidana</w:t>
      </w:r>
      <w:r w:rsidRPr="006D25E6">
        <w:rPr>
          <w:rFonts w:ascii="Times New Roman" w:hAnsi="Times New Roman" w:cs="Times New Roman"/>
        </w:rPr>
        <w:t>, Rineka Cipta, Jakarta, 2015</w:t>
      </w:r>
    </w:p>
    <w:p w14:paraId="1C009A6D" w14:textId="5E30FC92" w:rsidR="006D25E6" w:rsidRP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lastRenderedPageBreak/>
        <w:t xml:space="preserve">Prasetyo, T. (2011). </w:t>
      </w:r>
      <w:r w:rsidRPr="006D25E6">
        <w:rPr>
          <w:rStyle w:val="Emphasis"/>
          <w:rFonts w:ascii="Times New Roman" w:hAnsi="Times New Roman" w:cs="Times New Roman"/>
        </w:rPr>
        <w:t>Kebijakan Kriminalisasi dalam Pembaharuan Hukum Pidana Indonesia</w:t>
      </w:r>
      <w:r w:rsidRPr="006D25E6">
        <w:rPr>
          <w:rFonts w:ascii="Times New Roman" w:hAnsi="Times New Roman" w:cs="Times New Roman"/>
        </w:rPr>
        <w:t>. Yogyakarta: Pustaka Pelajar.</w:t>
      </w:r>
    </w:p>
    <w:p w14:paraId="1DC14D55" w14:textId="5C30CA43" w:rsidR="006D25E6" w:rsidRDefault="006D25E6" w:rsidP="006D25E6">
      <w:pPr>
        <w:ind w:left="1276" w:hanging="1276"/>
        <w:jc w:val="both"/>
        <w:rPr>
          <w:rFonts w:ascii="Times New Roman" w:hAnsi="Times New Roman" w:cs="Times New Roman"/>
          <w:color w:val="000000" w:themeColor="text1"/>
        </w:rPr>
      </w:pPr>
      <w:r w:rsidRPr="006D25E6">
        <w:rPr>
          <w:rFonts w:ascii="Times New Roman" w:hAnsi="Times New Roman" w:cs="Times New Roman"/>
          <w:color w:val="000000" w:themeColor="text1"/>
        </w:rPr>
        <w:t xml:space="preserve">Romli Atmasasmita, </w:t>
      </w:r>
      <w:r w:rsidRPr="006D25E6">
        <w:rPr>
          <w:rFonts w:ascii="Times New Roman" w:hAnsi="Times New Roman" w:cs="Times New Roman"/>
          <w:i/>
          <w:iCs/>
          <w:color w:val="000000" w:themeColor="text1"/>
        </w:rPr>
        <w:t>Pengantar Hukum Bisnis</w:t>
      </w:r>
      <w:r w:rsidRPr="006D25E6">
        <w:rPr>
          <w:rFonts w:ascii="Times New Roman" w:hAnsi="Times New Roman" w:cs="Times New Roman"/>
          <w:color w:val="000000" w:themeColor="text1"/>
        </w:rPr>
        <w:t>, Prenada media, Jakarta, 2003, dalam Rizanizarli, Kriminalisasi di Luar KUHP dan Implikasi Terhadap Hukum Pidana, Kanun Jurnal Ilmu Hukum No. 63 Thn XVI, pp.277-302</w:t>
      </w:r>
    </w:p>
    <w:p w14:paraId="56CC4102" w14:textId="74E6CD4E" w:rsidR="006D25E6" w:rsidRP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 xml:space="preserve">Trini Handayani, 2021, Tinjauan Medikolegal Terhadap Perbuatan Gratifikasi Sponsorship oleh Perusahaan Farmasi, </w:t>
      </w:r>
      <w:r w:rsidRPr="006D25E6">
        <w:rPr>
          <w:rFonts w:ascii="Times New Roman" w:hAnsi="Times New Roman" w:cs="Times New Roman"/>
          <w:i/>
        </w:rPr>
        <w:t>Jurnal Hukum Kesehatan Indonesia</w:t>
      </w:r>
      <w:r w:rsidRPr="006D25E6">
        <w:rPr>
          <w:rFonts w:ascii="Times New Roman" w:hAnsi="Times New Roman" w:cs="Times New Roman"/>
        </w:rPr>
        <w:t>, Vol. 01, No. 01.</w:t>
      </w:r>
    </w:p>
    <w:p w14:paraId="0891CE51" w14:textId="10204596" w:rsidR="006D25E6" w:rsidRDefault="006D25E6" w:rsidP="006D25E6">
      <w:pPr>
        <w:ind w:left="1276" w:hanging="1276"/>
        <w:jc w:val="both"/>
        <w:rPr>
          <w:rFonts w:ascii="Times New Roman" w:hAnsi="Times New Roman" w:cs="Times New Roman"/>
        </w:rPr>
      </w:pPr>
      <w:r w:rsidRPr="006D25E6">
        <w:rPr>
          <w:rFonts w:ascii="Times New Roman" w:hAnsi="Times New Roman" w:cs="Times New Roman"/>
        </w:rPr>
        <w:t>Wiwin Triyunarti 2025</w:t>
      </w:r>
      <w:proofErr w:type="gramStart"/>
      <w:r w:rsidRPr="006D25E6">
        <w:rPr>
          <w:rFonts w:ascii="Times New Roman" w:hAnsi="Times New Roman" w:cs="Times New Roman"/>
        </w:rPr>
        <w:t>,,</w:t>
      </w:r>
      <w:proofErr w:type="gramEnd"/>
      <w:r w:rsidRPr="006D25E6">
        <w:rPr>
          <w:rFonts w:ascii="Times New Roman" w:hAnsi="Times New Roman" w:cs="Times New Roman"/>
        </w:rPr>
        <w:t xml:space="preserve"> Menurunnya Jumlah Kelas Menengah Sebagai Gejala sosial : Di Tinjau dari Sosisologi Hukum</w:t>
      </w:r>
      <w:r w:rsidRPr="006D25E6">
        <w:rPr>
          <w:rFonts w:ascii="Times New Roman" w:hAnsi="Times New Roman" w:cs="Times New Roman"/>
          <w:i/>
          <w:iCs/>
        </w:rPr>
        <w:t>, Cessie : Jurnal Ilmiah Hukum</w:t>
      </w:r>
      <w:r w:rsidRPr="006D25E6">
        <w:rPr>
          <w:rFonts w:ascii="Times New Roman" w:hAnsi="Times New Roman" w:cs="Times New Roman"/>
        </w:rPr>
        <w:t>, No</w:t>
      </w:r>
      <w:r w:rsidR="00697249">
        <w:rPr>
          <w:rFonts w:ascii="Times New Roman" w:hAnsi="Times New Roman" w:cs="Times New Roman"/>
        </w:rPr>
        <w:t>.</w:t>
      </w:r>
      <w:r w:rsidRPr="006D25E6">
        <w:rPr>
          <w:rFonts w:ascii="Times New Roman" w:hAnsi="Times New Roman" w:cs="Times New Roman"/>
        </w:rPr>
        <w:t xml:space="preserve"> 4</w:t>
      </w:r>
      <w:r w:rsidR="00697249">
        <w:rPr>
          <w:rFonts w:ascii="Times New Roman" w:hAnsi="Times New Roman" w:cs="Times New Roman"/>
        </w:rPr>
        <w:t>,</w:t>
      </w:r>
      <w:r w:rsidRPr="006D25E6">
        <w:rPr>
          <w:rFonts w:ascii="Times New Roman" w:hAnsi="Times New Roman" w:cs="Times New Roman"/>
        </w:rPr>
        <w:t xml:space="preserve"> Vol</w:t>
      </w:r>
      <w:r w:rsidR="00697249">
        <w:rPr>
          <w:rFonts w:ascii="Times New Roman" w:hAnsi="Times New Roman" w:cs="Times New Roman"/>
        </w:rPr>
        <w:t>.</w:t>
      </w:r>
      <w:r w:rsidRPr="006D25E6">
        <w:rPr>
          <w:rFonts w:ascii="Times New Roman" w:hAnsi="Times New Roman" w:cs="Times New Roman"/>
        </w:rPr>
        <w:t xml:space="preserve"> 1 </w:t>
      </w:r>
    </w:p>
    <w:p w14:paraId="08DEDF4F" w14:textId="7E7C4B64" w:rsidR="00B06922" w:rsidRPr="00B06922" w:rsidRDefault="006D25E6" w:rsidP="00697249">
      <w:pPr>
        <w:ind w:left="1276" w:hanging="1276"/>
        <w:jc w:val="both"/>
        <w:rPr>
          <w:rFonts w:ascii="Times New Roman" w:hAnsi="Times New Roman" w:cs="Times New Roman"/>
        </w:rPr>
      </w:pPr>
      <w:r w:rsidRPr="006D25E6">
        <w:rPr>
          <w:rFonts w:ascii="Times New Roman" w:hAnsi="Times New Roman" w:cs="Times New Roman"/>
        </w:rPr>
        <w:t xml:space="preserve">Wiwin Triyunarti, 2025, The Constitutionality of the Abolition of Mandatory Healthcare Expenditures: An Attempt to Liberalize the Healthcare Sector, </w:t>
      </w:r>
      <w:r w:rsidRPr="006D25E6">
        <w:rPr>
          <w:rFonts w:ascii="Times New Roman" w:hAnsi="Times New Roman" w:cs="Times New Roman"/>
          <w:i/>
          <w:iCs/>
        </w:rPr>
        <w:t>Jurnal Cita Hukum (Indonesian Law Jurnal)</w:t>
      </w:r>
      <w:r w:rsidRPr="006D25E6">
        <w:rPr>
          <w:rFonts w:ascii="Times New Roman" w:hAnsi="Times New Roman" w:cs="Times New Roman"/>
        </w:rPr>
        <w:t xml:space="preserve"> Vol. 13 No. 2</w:t>
      </w:r>
    </w:p>
    <w:sectPr w:rsidR="00B06922" w:rsidRPr="00B069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781A3" w14:textId="77777777" w:rsidR="006E316F" w:rsidRDefault="006E316F" w:rsidP="00B06922">
      <w:r>
        <w:separator/>
      </w:r>
    </w:p>
  </w:endnote>
  <w:endnote w:type="continuationSeparator" w:id="0">
    <w:p w14:paraId="54A96EB8" w14:textId="77777777" w:rsidR="006E316F" w:rsidRDefault="006E316F" w:rsidP="00B0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73070" w14:textId="77777777" w:rsidR="006E316F" w:rsidRDefault="006E316F" w:rsidP="00B06922">
      <w:r>
        <w:separator/>
      </w:r>
    </w:p>
  </w:footnote>
  <w:footnote w:type="continuationSeparator" w:id="0">
    <w:p w14:paraId="3506A007" w14:textId="77777777" w:rsidR="006E316F" w:rsidRDefault="006E316F" w:rsidP="00B06922">
      <w:r>
        <w:continuationSeparator/>
      </w:r>
    </w:p>
  </w:footnote>
  <w:footnote w:id="1">
    <w:p w14:paraId="26FDB3A2" w14:textId="77777777" w:rsidR="00B06922" w:rsidRPr="00697249" w:rsidRDefault="00B06922" w:rsidP="00697249">
      <w:pPr>
        <w:ind w:left="561" w:firstLine="426"/>
        <w:jc w:val="both"/>
        <w:rPr>
          <w:rFonts w:ascii="Times New Roman" w:hAnsi="Times New Roman" w:cs="Times New Roman"/>
          <w:sz w:val="20"/>
          <w:szCs w:val="20"/>
        </w:rPr>
      </w:pPr>
      <w:r w:rsidRPr="00697249">
        <w:rPr>
          <w:rStyle w:val="FootnoteReference"/>
          <w:rFonts w:ascii="Times New Roman" w:hAnsi="Times New Roman" w:cs="Times New Roman"/>
          <w:sz w:val="20"/>
          <w:szCs w:val="20"/>
        </w:rPr>
        <w:footnoteRef/>
      </w:r>
      <w:r w:rsidRPr="00697249">
        <w:rPr>
          <w:rFonts w:ascii="Times New Roman" w:hAnsi="Times New Roman" w:cs="Times New Roman"/>
          <w:sz w:val="20"/>
          <w:szCs w:val="20"/>
        </w:rPr>
        <w:t xml:space="preserve"> Moeljatno, </w:t>
      </w:r>
      <w:r w:rsidRPr="00697249">
        <w:rPr>
          <w:rFonts w:ascii="Times New Roman" w:hAnsi="Times New Roman" w:cs="Times New Roman"/>
          <w:i/>
          <w:iCs/>
          <w:sz w:val="20"/>
          <w:szCs w:val="20"/>
        </w:rPr>
        <w:t>Asas-asas Hukum Pidana</w:t>
      </w:r>
      <w:r w:rsidRPr="00697249">
        <w:rPr>
          <w:rFonts w:ascii="Times New Roman" w:hAnsi="Times New Roman" w:cs="Times New Roman"/>
          <w:sz w:val="20"/>
          <w:szCs w:val="20"/>
        </w:rPr>
        <w:t>, Rineka Cipta, Jakarta, 2015, hlm. 1.</w:t>
      </w:r>
    </w:p>
  </w:footnote>
  <w:footnote w:id="2">
    <w:p w14:paraId="29AE313F" w14:textId="77777777" w:rsidR="00B06922" w:rsidRPr="00697249" w:rsidRDefault="00B06922" w:rsidP="00697249">
      <w:pPr>
        <w:pStyle w:val="FootnoteText"/>
        <w:spacing w:after="0" w:line="240" w:lineRule="auto"/>
        <w:ind w:left="561" w:firstLine="426"/>
        <w:jc w:val="both"/>
      </w:pPr>
      <w:r w:rsidRPr="00697249">
        <w:rPr>
          <w:rStyle w:val="FootnoteReference"/>
        </w:rPr>
        <w:footnoteRef/>
      </w:r>
      <w:r w:rsidRPr="00697249">
        <w:t xml:space="preserve"> Hullsman, </w:t>
      </w:r>
      <w:r w:rsidRPr="00697249">
        <w:rPr>
          <w:i/>
        </w:rPr>
        <w:t>Dari Lembaran Kepustakaan Hukum Pidana</w:t>
      </w:r>
      <w:r w:rsidRPr="00697249">
        <w:t xml:space="preserve">. Penerbit Sinar </w:t>
      </w:r>
      <w:proofErr w:type="gramStart"/>
      <w:r w:rsidRPr="00697249">
        <w:t>Grafika :</w:t>
      </w:r>
      <w:proofErr w:type="gramEnd"/>
      <w:r w:rsidRPr="00697249">
        <w:t xml:space="preserve"> Jakarta. 1988. </w:t>
      </w:r>
      <w:proofErr w:type="gramStart"/>
      <w:r w:rsidRPr="00697249">
        <w:t>hlm</w:t>
      </w:r>
      <w:proofErr w:type="gramEnd"/>
      <w:r w:rsidRPr="00697249">
        <w:t>. 87. Sebagaimana dikutip oleh Ajeng Yuniastari digilib.unila.ac.id diunduh pada tanggal 11 januari 2025, pukul 20.00 Wib.</w:t>
      </w:r>
    </w:p>
  </w:footnote>
  <w:footnote w:id="3">
    <w:p w14:paraId="14C8357C" w14:textId="46B5A154" w:rsidR="00DA3F81" w:rsidRPr="00697249" w:rsidRDefault="00DA3F81" w:rsidP="00697249">
      <w:pPr>
        <w:pStyle w:val="FootnoteText"/>
        <w:spacing w:after="0" w:line="240" w:lineRule="auto"/>
        <w:ind w:left="561" w:firstLine="426"/>
        <w:jc w:val="both"/>
      </w:pPr>
      <w:r w:rsidRPr="00697249">
        <w:rPr>
          <w:rStyle w:val="FootnoteReference"/>
        </w:rPr>
        <w:footnoteRef/>
      </w:r>
      <w:r w:rsidRPr="00697249">
        <w:t xml:space="preserve"> Wiwin Triyunarti 2025,, Menurunnya Jumlah Kelas Menengah Sebagai Gejala sosial : Di Tinjau dari Sosisologi Hukum</w:t>
      </w:r>
      <w:r w:rsidRPr="00697249">
        <w:rPr>
          <w:i/>
          <w:iCs/>
        </w:rPr>
        <w:t>, Cessie : Jurnal Ilmiah Hukum</w:t>
      </w:r>
      <w:r w:rsidRPr="00697249">
        <w:t xml:space="preserve">, No 4 Vol 1 </w:t>
      </w:r>
    </w:p>
  </w:footnote>
  <w:footnote w:id="4">
    <w:p w14:paraId="721496B8" w14:textId="77777777" w:rsidR="00DA3F81" w:rsidRPr="00697249" w:rsidRDefault="00DA3F81" w:rsidP="00697249">
      <w:pPr>
        <w:pStyle w:val="NoSpacing"/>
        <w:ind w:left="567" w:firstLine="426"/>
        <w:jc w:val="both"/>
        <w:rPr>
          <w:rFonts w:ascii="Times New Roman" w:hAnsi="Times New Roman" w:cs="Times New Roman"/>
          <w:sz w:val="20"/>
          <w:szCs w:val="20"/>
        </w:rPr>
      </w:pPr>
      <w:r w:rsidRPr="00697249">
        <w:rPr>
          <w:rStyle w:val="FootnoteReference"/>
          <w:rFonts w:ascii="Times New Roman" w:hAnsi="Times New Roman" w:cs="Times New Roman"/>
          <w:sz w:val="20"/>
          <w:szCs w:val="20"/>
        </w:rPr>
        <w:footnoteRef/>
      </w:r>
      <w:r w:rsidRPr="00697249">
        <w:rPr>
          <w:rFonts w:ascii="Times New Roman" w:hAnsi="Times New Roman" w:cs="Times New Roman"/>
          <w:sz w:val="20"/>
          <w:szCs w:val="20"/>
        </w:rPr>
        <w:t>Adang Mulyono, 2017, Teori Kebijakan Kriminalisasi Terkait Perumusan Sanksi</w:t>
      </w:r>
      <w:r w:rsidRPr="00697249">
        <w:rPr>
          <w:rFonts w:ascii="Times New Roman" w:hAnsi="Times New Roman" w:cs="Times New Roman"/>
          <w:iCs/>
          <w:sz w:val="20"/>
          <w:szCs w:val="20"/>
        </w:rPr>
        <w:t xml:space="preserve"> Pidana Dalam Peraturan Desa</w:t>
      </w:r>
      <w:r w:rsidRPr="00697249">
        <w:rPr>
          <w:rFonts w:ascii="Times New Roman" w:hAnsi="Times New Roman" w:cs="Times New Roman"/>
          <w:sz w:val="20"/>
          <w:szCs w:val="20"/>
        </w:rPr>
        <w:t xml:space="preserve">, </w:t>
      </w:r>
      <w:r w:rsidRPr="00697249">
        <w:rPr>
          <w:rFonts w:ascii="Times New Roman" w:hAnsi="Times New Roman" w:cs="Times New Roman"/>
          <w:i/>
          <w:sz w:val="20"/>
          <w:szCs w:val="20"/>
        </w:rPr>
        <w:t>Jurnal Independent Fakultas Hukum</w:t>
      </w:r>
      <w:r w:rsidRPr="00697249">
        <w:rPr>
          <w:rFonts w:ascii="Times New Roman" w:hAnsi="Times New Roman" w:cs="Times New Roman"/>
          <w:sz w:val="20"/>
          <w:szCs w:val="20"/>
        </w:rPr>
        <w:t>, Vol. 16, No. 1.</w:t>
      </w:r>
    </w:p>
  </w:footnote>
  <w:footnote w:id="5">
    <w:p w14:paraId="1AE6FB65" w14:textId="7A3F5805" w:rsidR="00DA3F81" w:rsidRPr="00697249" w:rsidRDefault="00DA3F81" w:rsidP="00697249">
      <w:pPr>
        <w:pStyle w:val="NoSpacing"/>
        <w:ind w:left="567" w:firstLine="426"/>
        <w:jc w:val="both"/>
        <w:rPr>
          <w:rFonts w:ascii="Times New Roman" w:hAnsi="Times New Roman" w:cs="Times New Roman"/>
          <w:color w:val="000000" w:themeColor="text1"/>
          <w:sz w:val="20"/>
          <w:szCs w:val="20"/>
        </w:rPr>
      </w:pPr>
      <w:r w:rsidRPr="00697249">
        <w:rPr>
          <w:rStyle w:val="FootnoteReference"/>
          <w:rFonts w:ascii="Times New Roman" w:hAnsi="Times New Roman" w:cs="Times New Roman"/>
          <w:color w:val="000000" w:themeColor="text1"/>
          <w:sz w:val="20"/>
          <w:szCs w:val="20"/>
        </w:rPr>
        <w:footnoteRef/>
      </w:r>
      <w:r w:rsidRPr="00697249">
        <w:rPr>
          <w:rFonts w:ascii="Times New Roman" w:hAnsi="Times New Roman" w:cs="Times New Roman"/>
          <w:color w:val="000000" w:themeColor="text1"/>
          <w:sz w:val="20"/>
          <w:szCs w:val="20"/>
        </w:rPr>
        <w:t>Rizanizarli,</w:t>
      </w:r>
      <w:r w:rsidR="00697249" w:rsidRPr="00697249">
        <w:rPr>
          <w:rFonts w:ascii="Times New Roman" w:hAnsi="Times New Roman" w:cs="Times New Roman"/>
          <w:color w:val="000000" w:themeColor="text1"/>
          <w:sz w:val="20"/>
          <w:szCs w:val="20"/>
        </w:rPr>
        <w:t xml:space="preserve"> 2025,</w:t>
      </w:r>
      <w:r w:rsidRPr="00697249">
        <w:rPr>
          <w:rFonts w:ascii="Times New Roman" w:hAnsi="Times New Roman" w:cs="Times New Roman"/>
          <w:color w:val="000000" w:themeColor="text1"/>
          <w:sz w:val="20"/>
          <w:szCs w:val="20"/>
        </w:rPr>
        <w:t xml:space="preserve"> Kriminalisasi di Luar KUHP dan Implikasi Terhadap Hukum Pidana, </w:t>
      </w:r>
      <w:r w:rsidRPr="00697249">
        <w:rPr>
          <w:rFonts w:ascii="Times New Roman" w:hAnsi="Times New Roman" w:cs="Times New Roman"/>
          <w:i/>
          <w:color w:val="000000" w:themeColor="text1"/>
          <w:sz w:val="20"/>
          <w:szCs w:val="20"/>
        </w:rPr>
        <w:t>Kanun Jurnal Ilmu Hukum</w:t>
      </w:r>
      <w:r w:rsidRPr="00697249">
        <w:rPr>
          <w:rFonts w:ascii="Times New Roman" w:hAnsi="Times New Roman" w:cs="Times New Roman"/>
          <w:color w:val="000000" w:themeColor="text1"/>
          <w:sz w:val="20"/>
          <w:szCs w:val="20"/>
        </w:rPr>
        <w:t xml:space="preserve"> </w:t>
      </w:r>
      <w:r w:rsidR="00697249" w:rsidRPr="00697249">
        <w:rPr>
          <w:rFonts w:ascii="Times New Roman" w:hAnsi="Times New Roman" w:cs="Times New Roman"/>
          <w:color w:val="000000" w:themeColor="text1"/>
          <w:sz w:val="20"/>
          <w:szCs w:val="20"/>
        </w:rPr>
        <w:t>Vol. 1, No. 63.</w:t>
      </w:r>
    </w:p>
  </w:footnote>
  <w:footnote w:id="6">
    <w:p w14:paraId="06BDD322" w14:textId="7B3F63AE" w:rsidR="00E14462" w:rsidRPr="00697249" w:rsidRDefault="00E14462" w:rsidP="00697249">
      <w:pPr>
        <w:pStyle w:val="NoSpacing"/>
        <w:ind w:left="567" w:firstLine="426"/>
        <w:jc w:val="both"/>
        <w:rPr>
          <w:rFonts w:ascii="Times New Roman" w:hAnsi="Times New Roman" w:cs="Times New Roman"/>
          <w:color w:val="FF0000"/>
          <w:sz w:val="20"/>
          <w:szCs w:val="20"/>
        </w:rPr>
      </w:pPr>
      <w:r w:rsidRPr="00697249">
        <w:rPr>
          <w:rStyle w:val="FootnoteReference"/>
          <w:rFonts w:ascii="Times New Roman" w:hAnsi="Times New Roman" w:cs="Times New Roman"/>
          <w:sz w:val="20"/>
          <w:szCs w:val="20"/>
        </w:rPr>
        <w:footnoteRef/>
      </w:r>
      <w:r w:rsidRPr="00697249">
        <w:rPr>
          <w:rFonts w:ascii="Times New Roman" w:hAnsi="Times New Roman" w:cs="Times New Roman"/>
          <w:color w:val="000000" w:themeColor="text1"/>
          <w:sz w:val="20"/>
          <w:szCs w:val="20"/>
        </w:rPr>
        <w:t xml:space="preserve">Komisi Pemberantasan Korupsi, </w:t>
      </w:r>
      <w:r w:rsidRPr="00697249">
        <w:rPr>
          <w:rFonts w:ascii="Times New Roman" w:hAnsi="Times New Roman" w:cs="Times New Roman"/>
          <w:i/>
          <w:iCs/>
          <w:color w:val="000000" w:themeColor="text1"/>
          <w:sz w:val="20"/>
          <w:szCs w:val="20"/>
        </w:rPr>
        <w:t>Memahami Untuk Membasmi; Buku Panduan Untuk Memahami Tindak Pidana Korupsi,</w:t>
      </w:r>
      <w:r w:rsidRPr="00697249">
        <w:rPr>
          <w:rFonts w:ascii="Times New Roman" w:hAnsi="Times New Roman" w:cs="Times New Roman"/>
          <w:iCs/>
          <w:color w:val="000000" w:themeColor="text1"/>
          <w:sz w:val="20"/>
          <w:szCs w:val="20"/>
        </w:rPr>
        <w:t xml:space="preserve"> KPK,</w:t>
      </w:r>
      <w:r w:rsidRPr="00697249">
        <w:rPr>
          <w:rFonts w:ascii="Times New Roman" w:hAnsi="Times New Roman" w:cs="Times New Roman"/>
          <w:color w:val="000000" w:themeColor="text1"/>
          <w:sz w:val="20"/>
          <w:szCs w:val="20"/>
        </w:rPr>
        <w:t xml:space="preserve"> Jakarta, 2006, hlm. 15 – 17.</w:t>
      </w:r>
    </w:p>
  </w:footnote>
  <w:footnote w:id="7">
    <w:p w14:paraId="31CB355B" w14:textId="77777777" w:rsidR="00E14462" w:rsidRPr="00697249" w:rsidRDefault="00E14462" w:rsidP="00697249">
      <w:pPr>
        <w:pStyle w:val="NoSpacing"/>
        <w:ind w:left="567" w:firstLine="426"/>
        <w:jc w:val="both"/>
        <w:rPr>
          <w:rFonts w:ascii="Times New Roman" w:hAnsi="Times New Roman" w:cs="Times New Roman"/>
          <w:sz w:val="20"/>
          <w:szCs w:val="20"/>
        </w:rPr>
      </w:pPr>
      <w:r w:rsidRPr="00697249">
        <w:rPr>
          <w:rStyle w:val="FootnoteReference"/>
          <w:rFonts w:ascii="Times New Roman" w:hAnsi="Times New Roman" w:cs="Times New Roman"/>
          <w:sz w:val="20"/>
          <w:szCs w:val="20"/>
        </w:rPr>
        <w:footnoteRef/>
      </w:r>
      <w:r w:rsidRPr="00697249">
        <w:rPr>
          <w:rFonts w:ascii="Times New Roman" w:hAnsi="Times New Roman" w:cs="Times New Roman"/>
          <w:sz w:val="20"/>
          <w:szCs w:val="20"/>
        </w:rPr>
        <w:t xml:space="preserve">Trini Handayani, 2021, Tinjauan Medikolegal Terhadap Perbuatan Gratifikasi Sponsorship oleh Perusahaan Farmasi, </w:t>
      </w:r>
      <w:r w:rsidRPr="00697249">
        <w:rPr>
          <w:rFonts w:ascii="Times New Roman" w:hAnsi="Times New Roman" w:cs="Times New Roman"/>
          <w:i/>
          <w:sz w:val="20"/>
          <w:szCs w:val="20"/>
        </w:rPr>
        <w:t>Jurnal Hukum Kesehatan Indonesia</w:t>
      </w:r>
      <w:r w:rsidRPr="00697249">
        <w:rPr>
          <w:rFonts w:ascii="Times New Roman" w:hAnsi="Times New Roman" w:cs="Times New Roman"/>
          <w:sz w:val="20"/>
          <w:szCs w:val="20"/>
        </w:rPr>
        <w:t xml:space="preserve">, Vol. 01, No. 01. </w:t>
      </w:r>
    </w:p>
  </w:footnote>
  <w:footnote w:id="8">
    <w:p w14:paraId="5B4445C1" w14:textId="77777777" w:rsidR="00E14462" w:rsidRPr="00697249" w:rsidRDefault="00E14462" w:rsidP="00697249">
      <w:pPr>
        <w:pStyle w:val="FootnoteText"/>
        <w:spacing w:after="0" w:line="240" w:lineRule="auto"/>
        <w:ind w:left="567" w:firstLine="426"/>
        <w:jc w:val="both"/>
      </w:pPr>
      <w:r w:rsidRPr="00697249">
        <w:rPr>
          <w:rStyle w:val="FootnoteReference"/>
        </w:rPr>
        <w:footnoteRef/>
      </w:r>
      <w:r w:rsidRPr="00697249">
        <w:t xml:space="preserve"> </w:t>
      </w:r>
      <w:r w:rsidRPr="00697249">
        <w:rPr>
          <w:color w:val="000000" w:themeColor="text1"/>
        </w:rPr>
        <w:t xml:space="preserve">Buletin Minggu Anti Korupsi, </w:t>
      </w:r>
      <w:r w:rsidRPr="00697249">
        <w:rPr>
          <w:i/>
          <w:color w:val="000000" w:themeColor="text1"/>
        </w:rPr>
        <w:t xml:space="preserve">Sumber: Komisi Pemberantasan Korupsi per 16 Desember Tahun 2024, </w:t>
      </w:r>
      <w:r w:rsidRPr="00697249">
        <w:rPr>
          <w:color w:val="000000" w:themeColor="text1"/>
        </w:rPr>
        <w:t>https://www.tempo.co, diunduh pada Senin 13 Januari 2025, pukul 19.00 Wib.</w:t>
      </w:r>
    </w:p>
  </w:footnote>
  <w:footnote w:id="9">
    <w:p w14:paraId="6534D860" w14:textId="77777777" w:rsidR="00E14462" w:rsidRPr="00697249" w:rsidRDefault="00E14462" w:rsidP="00697249">
      <w:pPr>
        <w:pStyle w:val="FootnoteText"/>
        <w:spacing w:after="0" w:line="240" w:lineRule="auto"/>
        <w:ind w:left="567" w:firstLine="426"/>
        <w:jc w:val="both"/>
      </w:pPr>
      <w:r w:rsidRPr="00697249">
        <w:rPr>
          <w:rStyle w:val="FootnoteReference"/>
        </w:rPr>
        <w:footnoteRef/>
      </w:r>
      <w:r w:rsidRPr="00697249">
        <w:t xml:space="preserve"> Chitra Paramesti dan Tika Azaria, </w:t>
      </w:r>
      <w:r w:rsidRPr="00697249">
        <w:rPr>
          <w:i/>
        </w:rPr>
        <w:t>Industri Farmasi diduga Suap Dokter, Karyawan Lapor Polisi</w:t>
      </w:r>
      <w:r w:rsidRPr="00697249">
        <w:t>, dalam Media Online Tempo, Jakarta, Kamis 7 Desember 2017.</w:t>
      </w:r>
    </w:p>
  </w:footnote>
  <w:footnote w:id="10">
    <w:p w14:paraId="3AB4EB00" w14:textId="77777777" w:rsidR="00E14462" w:rsidRPr="00697249" w:rsidRDefault="00E14462" w:rsidP="00697249">
      <w:pPr>
        <w:pStyle w:val="FootnoteText"/>
        <w:spacing w:after="0" w:line="240" w:lineRule="auto"/>
        <w:ind w:left="567" w:firstLine="426"/>
        <w:jc w:val="both"/>
      </w:pPr>
      <w:r w:rsidRPr="00697249">
        <w:rPr>
          <w:rStyle w:val="FootnoteReference"/>
        </w:rPr>
        <w:footnoteRef/>
      </w:r>
      <w:r w:rsidRPr="00697249">
        <w:t xml:space="preserve"> Ambaranie Nadia Kemala Movanita, </w:t>
      </w:r>
      <w:r w:rsidRPr="00697249">
        <w:rPr>
          <w:i/>
        </w:rPr>
        <w:t>Menkes angkat Bicara Soal Praktik Suap</w:t>
      </w:r>
      <w:r w:rsidRPr="00697249">
        <w:t xml:space="preserve">, </w:t>
      </w:r>
      <w:hyperlink r:id="rId1" w:history="1">
        <w:r w:rsidRPr="00697249">
          <w:rPr>
            <w:rStyle w:val="Hyperlink"/>
            <w:color w:val="000000" w:themeColor="text1"/>
          </w:rPr>
          <w:t>https://nasional.kompas.com/read/2015/11/06/22312491/Menkes.Angkat.Bicara.soal.Praktik.Suap.Perusahaan.Farmasi.kepada.Dokter</w:t>
        </w:r>
      </w:hyperlink>
      <w:r w:rsidRPr="00697249">
        <w:rPr>
          <w:color w:val="000000" w:themeColor="text1"/>
        </w:rPr>
        <w:t>.</w:t>
      </w:r>
      <w:r w:rsidRPr="00697249">
        <w:t xml:space="preserve"> </w:t>
      </w:r>
      <w:proofErr w:type="gramStart"/>
      <w:r w:rsidRPr="00697249">
        <w:t>diunduh</w:t>
      </w:r>
      <w:proofErr w:type="gramEnd"/>
      <w:r w:rsidRPr="00697249">
        <w:t xml:space="preserve"> pada Sabtu 13 Januari 2024, pukul 21.00 Wib.</w:t>
      </w:r>
    </w:p>
  </w:footnote>
  <w:footnote w:id="11">
    <w:p w14:paraId="0EF924D4" w14:textId="77777777" w:rsidR="00E14462" w:rsidRPr="00697249" w:rsidRDefault="00E14462" w:rsidP="00697249">
      <w:pPr>
        <w:pStyle w:val="NoSpacing"/>
        <w:ind w:left="567" w:firstLine="426"/>
        <w:jc w:val="both"/>
        <w:rPr>
          <w:rFonts w:ascii="Times New Roman" w:hAnsi="Times New Roman" w:cs="Times New Roman"/>
          <w:sz w:val="20"/>
          <w:szCs w:val="20"/>
        </w:rPr>
      </w:pPr>
      <w:r w:rsidRPr="00697249">
        <w:rPr>
          <w:rStyle w:val="FootnoteReference"/>
          <w:rFonts w:ascii="Times New Roman" w:hAnsi="Times New Roman" w:cs="Times New Roman"/>
          <w:sz w:val="20"/>
          <w:szCs w:val="20"/>
        </w:rPr>
        <w:footnoteRef/>
      </w:r>
      <w:r w:rsidRPr="00697249">
        <w:rPr>
          <w:rFonts w:ascii="Times New Roman" w:hAnsi="Times New Roman" w:cs="Times New Roman"/>
          <w:sz w:val="20"/>
          <w:szCs w:val="20"/>
        </w:rPr>
        <w:t xml:space="preserve"> Peraturan Menteri Kesehatan Republik Indonesia Nomor 1 Tahun 2022 tentang Pengendalian Gratifiksi di Lingkungan Kementerian Kesehatan.</w:t>
      </w:r>
    </w:p>
  </w:footnote>
  <w:footnote w:id="12">
    <w:p w14:paraId="6C56737B" w14:textId="77777777" w:rsidR="00BA4576" w:rsidRPr="00697249" w:rsidRDefault="00BA4576" w:rsidP="00697249">
      <w:pPr>
        <w:pStyle w:val="NoSpacing"/>
        <w:ind w:left="567" w:firstLine="426"/>
        <w:jc w:val="both"/>
        <w:rPr>
          <w:rFonts w:ascii="Times New Roman" w:hAnsi="Times New Roman" w:cs="Times New Roman"/>
          <w:sz w:val="20"/>
          <w:szCs w:val="20"/>
        </w:rPr>
      </w:pPr>
      <w:r w:rsidRPr="00697249">
        <w:rPr>
          <w:rStyle w:val="FootnoteReference"/>
          <w:rFonts w:ascii="Times New Roman" w:hAnsi="Times New Roman" w:cs="Times New Roman"/>
          <w:sz w:val="20"/>
          <w:szCs w:val="20"/>
        </w:rPr>
        <w:footnoteRef/>
      </w:r>
      <w:r w:rsidRPr="00697249">
        <w:rPr>
          <w:rFonts w:ascii="Times New Roman" w:hAnsi="Times New Roman" w:cs="Times New Roman"/>
          <w:color w:val="FF0000"/>
          <w:sz w:val="20"/>
          <w:szCs w:val="20"/>
        </w:rPr>
        <w:t xml:space="preserve"> </w:t>
      </w:r>
      <w:r w:rsidRPr="00697249">
        <w:rPr>
          <w:rFonts w:ascii="Times New Roman" w:hAnsi="Times New Roman" w:cs="Times New Roman"/>
          <w:color w:val="000000" w:themeColor="text1"/>
          <w:sz w:val="20"/>
          <w:szCs w:val="20"/>
        </w:rPr>
        <w:t xml:space="preserve">Aris </w:t>
      </w:r>
      <w:proofErr w:type="gramStart"/>
      <w:r w:rsidRPr="00697249">
        <w:rPr>
          <w:rFonts w:ascii="Times New Roman" w:hAnsi="Times New Roman" w:cs="Times New Roman"/>
          <w:color w:val="000000" w:themeColor="text1"/>
          <w:sz w:val="20"/>
          <w:szCs w:val="20"/>
        </w:rPr>
        <w:t>Dwi</w:t>
      </w:r>
      <w:proofErr w:type="gramEnd"/>
      <w:r w:rsidRPr="00697249">
        <w:rPr>
          <w:rFonts w:ascii="Times New Roman" w:hAnsi="Times New Roman" w:cs="Times New Roman"/>
          <w:color w:val="000000" w:themeColor="text1"/>
          <w:sz w:val="20"/>
          <w:szCs w:val="20"/>
        </w:rPr>
        <w:t xml:space="preserve"> Cahyono, 2021, (Library Research) Pernaan Pengembangan Manajemen Kinerja Tenaga Administrasi Kesehatan Terhadap Peningkatan Mutu Pelayanan Kesehatan Puskesmas, </w:t>
      </w:r>
      <w:r w:rsidRPr="00697249">
        <w:rPr>
          <w:rFonts w:ascii="Times New Roman" w:hAnsi="Times New Roman" w:cs="Times New Roman"/>
          <w:i/>
          <w:color w:val="000000" w:themeColor="text1"/>
          <w:sz w:val="20"/>
          <w:szCs w:val="20"/>
        </w:rPr>
        <w:t>Jurnal Ilmiah Pemenang</w:t>
      </w:r>
      <w:r w:rsidRPr="00697249">
        <w:rPr>
          <w:rFonts w:ascii="Times New Roman" w:hAnsi="Times New Roman" w:cs="Times New Roman"/>
          <w:color w:val="000000" w:themeColor="text1"/>
          <w:sz w:val="20"/>
          <w:szCs w:val="20"/>
        </w:rPr>
        <w:t>, Vol, 3 No. 2.</w:t>
      </w:r>
    </w:p>
  </w:footnote>
  <w:footnote w:id="13">
    <w:p w14:paraId="6BF39572" w14:textId="3B26F6B2" w:rsidR="00E77DF0" w:rsidRPr="00697249" w:rsidRDefault="00E77DF0" w:rsidP="00697249">
      <w:pPr>
        <w:pStyle w:val="FootnoteText"/>
        <w:spacing w:after="0" w:line="240" w:lineRule="auto"/>
        <w:ind w:left="561" w:firstLine="426"/>
        <w:jc w:val="both"/>
      </w:pPr>
      <w:r w:rsidRPr="00697249">
        <w:rPr>
          <w:rStyle w:val="FootnoteReference"/>
        </w:rPr>
        <w:footnoteRef/>
      </w:r>
      <w:r w:rsidRPr="00697249">
        <w:t xml:space="preserve"> Wiwin Triyunarti, 2025, The Constitutionality of the Abolition of Mandatory Healthcare Expenditures: An Attempt to Liberalize the Healthcare Sector, </w:t>
      </w:r>
      <w:r w:rsidRPr="00697249">
        <w:rPr>
          <w:i/>
          <w:iCs/>
        </w:rPr>
        <w:t>Jurnal Cita Hukum (Indonesian Law Jurnal)</w:t>
      </w:r>
      <w:r w:rsidRPr="00697249">
        <w:t xml:space="preserve"> Vol. 13 No. 2</w:t>
      </w:r>
    </w:p>
    <w:p w14:paraId="680D93FF" w14:textId="77777777" w:rsidR="00E77DF0" w:rsidRPr="00697249" w:rsidRDefault="00E77DF0" w:rsidP="00697249">
      <w:pPr>
        <w:pStyle w:val="FootnoteText"/>
        <w:jc w:val="both"/>
      </w:pPr>
    </w:p>
  </w:footnote>
  <w:footnote w:id="14">
    <w:p w14:paraId="68CCDE31" w14:textId="77777777" w:rsidR="00DB3A37" w:rsidRPr="00697249" w:rsidRDefault="00DB3A37" w:rsidP="00697249">
      <w:pPr>
        <w:pStyle w:val="NoSpacing"/>
        <w:ind w:left="567" w:firstLine="426"/>
        <w:jc w:val="both"/>
        <w:rPr>
          <w:rFonts w:ascii="Times New Roman" w:hAnsi="Times New Roman" w:cs="Times New Roman"/>
          <w:sz w:val="20"/>
          <w:szCs w:val="20"/>
        </w:rPr>
      </w:pPr>
      <w:r w:rsidRPr="00697249">
        <w:rPr>
          <w:rStyle w:val="FootnoteReference"/>
          <w:rFonts w:ascii="Times New Roman" w:hAnsi="Times New Roman" w:cs="Times New Roman"/>
          <w:sz w:val="20"/>
          <w:szCs w:val="20"/>
        </w:rPr>
        <w:footnoteRef/>
      </w:r>
      <w:r w:rsidRPr="00697249">
        <w:rPr>
          <w:rFonts w:ascii="Times New Roman" w:hAnsi="Times New Roman" w:cs="Times New Roman"/>
          <w:sz w:val="20"/>
          <w:szCs w:val="20"/>
        </w:rPr>
        <w:t xml:space="preserve"> Abdurahman Hakim,  </w:t>
      </w:r>
      <w:r w:rsidRPr="00697249">
        <w:rPr>
          <w:rFonts w:ascii="Times New Roman" w:hAnsi="Times New Roman" w:cs="Times New Roman"/>
          <w:i/>
          <w:iCs/>
          <w:sz w:val="20"/>
          <w:szCs w:val="20"/>
        </w:rPr>
        <w:t>Prospek Kriminalisasi Pemberian Sesuatu Kepada Dokter Non Pegawai Negeri oleh Perusahaan Farmasi,</w:t>
      </w:r>
      <w:r w:rsidRPr="00697249">
        <w:rPr>
          <w:rFonts w:ascii="Times New Roman" w:hAnsi="Times New Roman" w:cs="Times New Roman"/>
          <w:sz w:val="20"/>
          <w:szCs w:val="20"/>
        </w:rPr>
        <w:t xml:space="preserve"> </w:t>
      </w:r>
      <w:hyperlink r:id="rId2" w:history="1">
        <w:r w:rsidRPr="00697249">
          <w:rPr>
            <w:rStyle w:val="Hyperlink"/>
            <w:color w:val="000000" w:themeColor="text1"/>
            <w:sz w:val="20"/>
            <w:szCs w:val="20"/>
          </w:rPr>
          <w:t>https://dspace.uii.ac.id/bitstream/handle/123456789/13918/Skripsi%20Abdurrahman%20Hakim%2014410481.pdf?sequence=1&amp;isAllowed=y</w:t>
        </w:r>
      </w:hyperlink>
      <w:r w:rsidRPr="00697249">
        <w:rPr>
          <w:rStyle w:val="Hyperlink"/>
          <w:color w:val="000000" w:themeColor="text1"/>
          <w:sz w:val="20"/>
          <w:szCs w:val="20"/>
        </w:rPr>
        <w:t>,</w:t>
      </w:r>
      <w:r w:rsidRPr="00697249">
        <w:rPr>
          <w:rFonts w:ascii="Times New Roman" w:hAnsi="Times New Roman" w:cs="Times New Roman"/>
          <w:color w:val="000000" w:themeColor="text1"/>
          <w:sz w:val="20"/>
          <w:szCs w:val="20"/>
        </w:rPr>
        <w:t xml:space="preserve"> </w:t>
      </w:r>
      <w:r w:rsidRPr="00697249">
        <w:rPr>
          <w:rFonts w:ascii="Times New Roman" w:hAnsi="Times New Roman" w:cs="Times New Roman"/>
          <w:sz w:val="20"/>
          <w:szCs w:val="20"/>
        </w:rPr>
        <w:t>diakses pada Jumat 9 Agustus 2024, pukul 20.00 Wib.</w:t>
      </w:r>
    </w:p>
  </w:footnote>
  <w:footnote w:id="15">
    <w:p w14:paraId="61C0D317" w14:textId="5DDF96F7" w:rsidR="00C42F1D" w:rsidRPr="00697249" w:rsidRDefault="00C42F1D" w:rsidP="00697249">
      <w:pPr>
        <w:pStyle w:val="FootnoteText"/>
        <w:spacing w:after="0" w:line="240" w:lineRule="auto"/>
        <w:ind w:left="567" w:firstLine="426"/>
        <w:jc w:val="both"/>
      </w:pPr>
      <w:r w:rsidRPr="00697249">
        <w:rPr>
          <w:rStyle w:val="FootnoteReference"/>
        </w:rPr>
        <w:footnoteRef/>
      </w:r>
      <w:r w:rsidRPr="00697249">
        <w:t xml:space="preserve"> Martin Borowski &amp; Stanley L. Paulson (eds.), </w:t>
      </w:r>
      <w:r w:rsidRPr="00697249">
        <w:rPr>
          <w:rStyle w:val="Emphasis"/>
        </w:rPr>
        <w:t>Die Natur des Rechts bei Gustav Radbruch</w:t>
      </w:r>
      <w:r w:rsidRPr="00697249">
        <w:t>. Tübingen: Mohr Siebeck, 2015</w:t>
      </w:r>
    </w:p>
  </w:footnote>
  <w:footnote w:id="16">
    <w:p w14:paraId="165C5D49" w14:textId="348C3882" w:rsidR="00C42F1D" w:rsidRPr="00697249" w:rsidRDefault="00C42F1D" w:rsidP="00697249">
      <w:pPr>
        <w:pStyle w:val="FootnoteText"/>
        <w:spacing w:after="0" w:line="240" w:lineRule="auto"/>
        <w:ind w:left="567" w:firstLine="426"/>
        <w:jc w:val="both"/>
      </w:pPr>
      <w:r w:rsidRPr="00697249">
        <w:rPr>
          <w:rStyle w:val="FootnoteReference"/>
        </w:rPr>
        <w:footnoteRef/>
      </w:r>
      <w:r w:rsidRPr="00697249">
        <w:t xml:space="preserve"> Hadi Zulkarnaen &amp; Azis Budianto, 2024, </w:t>
      </w:r>
      <w:r w:rsidRPr="00697249">
        <w:rPr>
          <w:rStyle w:val="Emphasis"/>
          <w:i w:val="0"/>
          <w:iCs w:val="0"/>
        </w:rPr>
        <w:t>Legal Certainty of Telemedicine Provision in Technology-Based Health Services in Indonesia</w:t>
      </w:r>
      <w:r w:rsidRPr="00697249">
        <w:t xml:space="preserve">, </w:t>
      </w:r>
      <w:r w:rsidRPr="00697249">
        <w:rPr>
          <w:i/>
          <w:iCs/>
        </w:rPr>
        <w:t>International Journal of Management Science and Ap</w:t>
      </w:r>
      <w:r w:rsidR="00D72C45" w:rsidRPr="00697249">
        <w:rPr>
          <w:i/>
          <w:iCs/>
        </w:rPr>
        <w:t>plication</w:t>
      </w:r>
      <w:r w:rsidRPr="00697249">
        <w:rPr>
          <w:i/>
          <w:iCs/>
        </w:rPr>
        <w:t xml:space="preserve"> (IJMSA</w:t>
      </w:r>
      <w:r w:rsidR="00D72C45" w:rsidRPr="00697249">
        <w:rPr>
          <w:i/>
          <w:iCs/>
        </w:rPr>
        <w:t>)</w:t>
      </w:r>
      <w:r w:rsidR="00D72C45" w:rsidRPr="00697249">
        <w:t xml:space="preserve"> </w:t>
      </w:r>
      <w:r w:rsidRPr="00697249">
        <w:t xml:space="preserve">Vol. 1 No. 5 </w:t>
      </w:r>
    </w:p>
  </w:footnote>
  <w:footnote w:id="17">
    <w:p w14:paraId="11E89E66" w14:textId="3E95AC97" w:rsidR="00D72C45" w:rsidRPr="00697249" w:rsidRDefault="00D72C45" w:rsidP="00697249">
      <w:pPr>
        <w:pStyle w:val="FootnoteText"/>
        <w:ind w:left="567" w:firstLine="426"/>
        <w:jc w:val="both"/>
      </w:pPr>
      <w:r w:rsidRPr="00697249">
        <w:rPr>
          <w:rStyle w:val="FootnoteReference"/>
        </w:rPr>
        <w:footnoteRef/>
      </w:r>
      <w:r w:rsidRPr="00697249">
        <w:t xml:space="preserve"> Ibid</w:t>
      </w:r>
    </w:p>
  </w:footnote>
  <w:footnote w:id="18">
    <w:p w14:paraId="51D54E87" w14:textId="3D97BAB2" w:rsidR="005B0320" w:rsidRPr="00697249" w:rsidRDefault="005B0320" w:rsidP="00697249">
      <w:pPr>
        <w:pStyle w:val="FootnoteText"/>
        <w:ind w:left="567" w:firstLine="426"/>
        <w:jc w:val="both"/>
      </w:pPr>
      <w:r w:rsidRPr="00697249">
        <w:rPr>
          <w:rStyle w:val="FootnoteReference"/>
        </w:rPr>
        <w:footnoteRef/>
      </w:r>
      <w:r w:rsidRPr="00697249">
        <w:t xml:space="preserve">Moeljatno. (1983). </w:t>
      </w:r>
      <w:r w:rsidRPr="00697249">
        <w:rPr>
          <w:rStyle w:val="Emphasis"/>
        </w:rPr>
        <w:t>Asas-Asas Hukum Pidana</w:t>
      </w:r>
      <w:r w:rsidRPr="00697249">
        <w:t>. Jakarta: Bina Aksara.</w:t>
      </w:r>
    </w:p>
  </w:footnote>
  <w:footnote w:id="19">
    <w:p w14:paraId="4EF9A663" w14:textId="0FDA8176" w:rsidR="005B0320" w:rsidRPr="00697249" w:rsidRDefault="005B0320" w:rsidP="00697249">
      <w:pPr>
        <w:pStyle w:val="FootnoteText"/>
        <w:spacing w:after="0" w:line="240" w:lineRule="auto"/>
        <w:ind w:left="561" w:firstLine="426"/>
        <w:jc w:val="both"/>
      </w:pPr>
      <w:r w:rsidRPr="00697249">
        <w:rPr>
          <w:rStyle w:val="FootnoteReference"/>
        </w:rPr>
        <w:footnoteRef/>
      </w:r>
      <w:r w:rsidRPr="00697249">
        <w:t xml:space="preserve"> Muladi &amp; Barda Nawawi Arief. 1998. </w:t>
      </w:r>
      <w:r w:rsidRPr="00697249">
        <w:rPr>
          <w:rStyle w:val="Emphasis"/>
        </w:rPr>
        <w:t>Teori-Teori dan Kebijakan Pidana</w:t>
      </w:r>
      <w:r w:rsidRPr="00697249">
        <w:t>. Bandung: Alumni, hlm. 86</w:t>
      </w:r>
    </w:p>
  </w:footnote>
  <w:footnote w:id="20">
    <w:p w14:paraId="755A90ED" w14:textId="00E22399" w:rsidR="00213EFF" w:rsidRPr="00697249" w:rsidRDefault="00213EFF" w:rsidP="00697249">
      <w:pPr>
        <w:pStyle w:val="FootnoteText"/>
        <w:spacing w:after="0" w:line="240" w:lineRule="auto"/>
        <w:ind w:left="561" w:firstLine="426"/>
        <w:jc w:val="both"/>
      </w:pPr>
      <w:r w:rsidRPr="00697249">
        <w:rPr>
          <w:rStyle w:val="FootnoteReference"/>
        </w:rPr>
        <w:footnoteRef/>
      </w:r>
      <w:r w:rsidRPr="00697249">
        <w:t xml:space="preserve">Prasetyo, T. (2011). </w:t>
      </w:r>
      <w:r w:rsidRPr="00697249">
        <w:rPr>
          <w:rStyle w:val="Emphasis"/>
        </w:rPr>
        <w:t>Kebijakan Kriminalisasi dalam Pembaharuan Hukum Pidana Indonesia</w:t>
      </w:r>
      <w:r w:rsidRPr="00697249">
        <w:t>. Yogyakarta: Pustaka Pelajar.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F3190"/>
    <w:multiLevelType w:val="multilevel"/>
    <w:tmpl w:val="3F9A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383C8A"/>
    <w:multiLevelType w:val="multilevel"/>
    <w:tmpl w:val="67F0D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22"/>
    <w:rsid w:val="00016231"/>
    <w:rsid w:val="00213EFF"/>
    <w:rsid w:val="00310F8A"/>
    <w:rsid w:val="0035471E"/>
    <w:rsid w:val="004C5E11"/>
    <w:rsid w:val="005B0320"/>
    <w:rsid w:val="00697249"/>
    <w:rsid w:val="006D25E6"/>
    <w:rsid w:val="006E316F"/>
    <w:rsid w:val="00AF3400"/>
    <w:rsid w:val="00B06922"/>
    <w:rsid w:val="00BA4576"/>
    <w:rsid w:val="00C42F1D"/>
    <w:rsid w:val="00D72C45"/>
    <w:rsid w:val="00DA3F81"/>
    <w:rsid w:val="00DB3A37"/>
    <w:rsid w:val="00E07150"/>
    <w:rsid w:val="00E14462"/>
    <w:rsid w:val="00E77DF0"/>
    <w:rsid w:val="00FA3E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6922"/>
    <w:rPr>
      <w:b/>
      <w:bCs/>
    </w:rPr>
  </w:style>
  <w:style w:type="character" w:customStyle="1" w:styleId="ts-alignment-element">
    <w:name w:val="ts-alignment-element"/>
    <w:basedOn w:val="DefaultParagraphFont"/>
    <w:rsid w:val="00B06922"/>
  </w:style>
  <w:style w:type="paragraph" w:styleId="NormalWeb">
    <w:name w:val="Normal (Web)"/>
    <w:basedOn w:val="Normal"/>
    <w:uiPriority w:val="99"/>
    <w:rsid w:val="00B06922"/>
    <w:pPr>
      <w:suppressAutoHyphens/>
      <w:spacing w:before="280" w:after="280"/>
    </w:pPr>
    <w:rPr>
      <w:rFonts w:ascii="Times New Roman" w:eastAsia="Times New Roman" w:hAnsi="Times New Roman" w:cs="Times New Roman"/>
      <w:lang w:val="en-US" w:eastAsia="ar-SA"/>
    </w:rPr>
  </w:style>
  <w:style w:type="character" w:styleId="FootnoteReference">
    <w:name w:val="footnote reference"/>
    <w:basedOn w:val="DefaultParagraphFont"/>
    <w:uiPriority w:val="99"/>
    <w:qFormat/>
    <w:rsid w:val="00B06922"/>
    <w:rPr>
      <w:vertAlign w:val="superscript"/>
    </w:rPr>
  </w:style>
  <w:style w:type="paragraph" w:styleId="FootnoteText">
    <w:name w:val="footnote text"/>
    <w:aliases w:val="Char Char,Char Char Char Char,Char1 Char Char Char Char Char Char Char Char Char Char Char Char Char Char,Char Char Char Char Char Char,Footnote Text Char1,Footnote Text Char Char,Footnote Text Char2 Char Char, Char,Char"/>
    <w:basedOn w:val="Normal"/>
    <w:link w:val="FootnoteTextChar"/>
    <w:uiPriority w:val="99"/>
    <w:qFormat/>
    <w:rsid w:val="00B06922"/>
    <w:pPr>
      <w:spacing w:after="160" w:line="48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Char,Char Char Char Char Char,Char1 Char Char Char Char Char Char Char Char Char Char Char Char Char Char Char,Char Char Char Char Char Char Char,Footnote Text Char1 Char,Footnote Text Char Char Char, Char Char,Char Char1"/>
    <w:basedOn w:val="DefaultParagraphFont"/>
    <w:link w:val="FootnoteText"/>
    <w:uiPriority w:val="99"/>
    <w:rsid w:val="00B06922"/>
    <w:rPr>
      <w:rFonts w:ascii="Times New Roman" w:eastAsia="Times New Roman" w:hAnsi="Times New Roman" w:cs="Times New Roman"/>
      <w:sz w:val="20"/>
      <w:szCs w:val="20"/>
      <w:lang w:val="en-US"/>
    </w:rPr>
  </w:style>
  <w:style w:type="character" w:styleId="Hyperlink">
    <w:name w:val="Hyperlink"/>
    <w:basedOn w:val="DefaultParagraphFont"/>
    <w:uiPriority w:val="99"/>
    <w:rsid w:val="00DA3F81"/>
    <w:rPr>
      <w:color w:val="0000FF"/>
      <w:u w:val="single"/>
    </w:rPr>
  </w:style>
  <w:style w:type="paragraph" w:styleId="NoSpacing">
    <w:name w:val="No Spacing"/>
    <w:uiPriority w:val="1"/>
    <w:qFormat/>
    <w:rsid w:val="00DA3F81"/>
  </w:style>
  <w:style w:type="paragraph" w:styleId="ListParagraph">
    <w:name w:val="List Paragraph"/>
    <w:aliases w:val="Body of text,kepala,Char Char2,List Paragraph2,List Paragraph1"/>
    <w:basedOn w:val="Normal"/>
    <w:link w:val="ListParagraphChar"/>
    <w:uiPriority w:val="34"/>
    <w:qFormat/>
    <w:rsid w:val="00BA4576"/>
    <w:pPr>
      <w:ind w:left="720"/>
      <w:contextualSpacing/>
    </w:pPr>
  </w:style>
  <w:style w:type="character" w:customStyle="1" w:styleId="ListParagraphChar">
    <w:name w:val="List Paragraph Char"/>
    <w:aliases w:val="Body of text Char,kepala Char,Char Char2 Char,List Paragraph2 Char,List Paragraph1 Char"/>
    <w:link w:val="ListParagraph"/>
    <w:uiPriority w:val="34"/>
    <w:qFormat/>
    <w:rsid w:val="00BA4576"/>
  </w:style>
  <w:style w:type="character" w:styleId="Emphasis">
    <w:name w:val="Emphasis"/>
    <w:basedOn w:val="DefaultParagraphFont"/>
    <w:uiPriority w:val="20"/>
    <w:qFormat/>
    <w:rsid w:val="00016231"/>
    <w:rPr>
      <w:i/>
      <w:iCs/>
    </w:rPr>
  </w:style>
  <w:style w:type="character" w:customStyle="1" w:styleId="UnresolvedMention">
    <w:name w:val="Unresolved Mention"/>
    <w:basedOn w:val="DefaultParagraphFont"/>
    <w:uiPriority w:val="99"/>
    <w:semiHidden/>
    <w:unhideWhenUsed/>
    <w:rsid w:val="006D25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6922"/>
    <w:rPr>
      <w:b/>
      <w:bCs/>
    </w:rPr>
  </w:style>
  <w:style w:type="character" w:customStyle="1" w:styleId="ts-alignment-element">
    <w:name w:val="ts-alignment-element"/>
    <w:basedOn w:val="DefaultParagraphFont"/>
    <w:rsid w:val="00B06922"/>
  </w:style>
  <w:style w:type="paragraph" w:styleId="NormalWeb">
    <w:name w:val="Normal (Web)"/>
    <w:basedOn w:val="Normal"/>
    <w:uiPriority w:val="99"/>
    <w:rsid w:val="00B06922"/>
    <w:pPr>
      <w:suppressAutoHyphens/>
      <w:spacing w:before="280" w:after="280"/>
    </w:pPr>
    <w:rPr>
      <w:rFonts w:ascii="Times New Roman" w:eastAsia="Times New Roman" w:hAnsi="Times New Roman" w:cs="Times New Roman"/>
      <w:lang w:val="en-US" w:eastAsia="ar-SA"/>
    </w:rPr>
  </w:style>
  <w:style w:type="character" w:styleId="FootnoteReference">
    <w:name w:val="footnote reference"/>
    <w:basedOn w:val="DefaultParagraphFont"/>
    <w:uiPriority w:val="99"/>
    <w:qFormat/>
    <w:rsid w:val="00B06922"/>
    <w:rPr>
      <w:vertAlign w:val="superscript"/>
    </w:rPr>
  </w:style>
  <w:style w:type="paragraph" w:styleId="FootnoteText">
    <w:name w:val="footnote text"/>
    <w:aliases w:val="Char Char,Char Char Char Char,Char1 Char Char Char Char Char Char Char Char Char Char Char Char Char Char,Char Char Char Char Char Char,Footnote Text Char1,Footnote Text Char Char,Footnote Text Char2 Char Char, Char,Char"/>
    <w:basedOn w:val="Normal"/>
    <w:link w:val="FootnoteTextChar"/>
    <w:uiPriority w:val="99"/>
    <w:qFormat/>
    <w:rsid w:val="00B06922"/>
    <w:pPr>
      <w:spacing w:after="160" w:line="48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Char,Char Char Char Char Char,Char1 Char Char Char Char Char Char Char Char Char Char Char Char Char Char Char,Char Char Char Char Char Char Char,Footnote Text Char1 Char,Footnote Text Char Char Char, Char Char,Char Char1"/>
    <w:basedOn w:val="DefaultParagraphFont"/>
    <w:link w:val="FootnoteText"/>
    <w:uiPriority w:val="99"/>
    <w:rsid w:val="00B06922"/>
    <w:rPr>
      <w:rFonts w:ascii="Times New Roman" w:eastAsia="Times New Roman" w:hAnsi="Times New Roman" w:cs="Times New Roman"/>
      <w:sz w:val="20"/>
      <w:szCs w:val="20"/>
      <w:lang w:val="en-US"/>
    </w:rPr>
  </w:style>
  <w:style w:type="character" w:styleId="Hyperlink">
    <w:name w:val="Hyperlink"/>
    <w:basedOn w:val="DefaultParagraphFont"/>
    <w:uiPriority w:val="99"/>
    <w:rsid w:val="00DA3F81"/>
    <w:rPr>
      <w:color w:val="0000FF"/>
      <w:u w:val="single"/>
    </w:rPr>
  </w:style>
  <w:style w:type="paragraph" w:styleId="NoSpacing">
    <w:name w:val="No Spacing"/>
    <w:uiPriority w:val="1"/>
    <w:qFormat/>
    <w:rsid w:val="00DA3F81"/>
  </w:style>
  <w:style w:type="paragraph" w:styleId="ListParagraph">
    <w:name w:val="List Paragraph"/>
    <w:aliases w:val="Body of text,kepala,Char Char2,List Paragraph2,List Paragraph1"/>
    <w:basedOn w:val="Normal"/>
    <w:link w:val="ListParagraphChar"/>
    <w:uiPriority w:val="34"/>
    <w:qFormat/>
    <w:rsid w:val="00BA4576"/>
    <w:pPr>
      <w:ind w:left="720"/>
      <w:contextualSpacing/>
    </w:pPr>
  </w:style>
  <w:style w:type="character" w:customStyle="1" w:styleId="ListParagraphChar">
    <w:name w:val="List Paragraph Char"/>
    <w:aliases w:val="Body of text Char,kepala Char,Char Char2 Char,List Paragraph2 Char,List Paragraph1 Char"/>
    <w:link w:val="ListParagraph"/>
    <w:uiPriority w:val="34"/>
    <w:qFormat/>
    <w:rsid w:val="00BA4576"/>
  </w:style>
  <w:style w:type="character" w:styleId="Emphasis">
    <w:name w:val="Emphasis"/>
    <w:basedOn w:val="DefaultParagraphFont"/>
    <w:uiPriority w:val="20"/>
    <w:qFormat/>
    <w:rsid w:val="00016231"/>
    <w:rPr>
      <w:i/>
      <w:iCs/>
    </w:rPr>
  </w:style>
  <w:style w:type="character" w:customStyle="1" w:styleId="UnresolvedMention">
    <w:name w:val="Unresolved Mention"/>
    <w:basedOn w:val="DefaultParagraphFont"/>
    <w:uiPriority w:val="99"/>
    <w:semiHidden/>
    <w:unhideWhenUsed/>
    <w:rsid w:val="006D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551">
      <w:bodyDiv w:val="1"/>
      <w:marLeft w:val="0"/>
      <w:marRight w:val="0"/>
      <w:marTop w:val="0"/>
      <w:marBottom w:val="0"/>
      <w:divBdr>
        <w:top w:val="none" w:sz="0" w:space="0" w:color="auto"/>
        <w:left w:val="none" w:sz="0" w:space="0" w:color="auto"/>
        <w:bottom w:val="none" w:sz="0" w:space="0" w:color="auto"/>
        <w:right w:val="none" w:sz="0" w:space="0" w:color="auto"/>
      </w:divBdr>
    </w:div>
    <w:div w:id="267085890">
      <w:bodyDiv w:val="1"/>
      <w:marLeft w:val="0"/>
      <w:marRight w:val="0"/>
      <w:marTop w:val="0"/>
      <w:marBottom w:val="0"/>
      <w:divBdr>
        <w:top w:val="none" w:sz="0" w:space="0" w:color="auto"/>
        <w:left w:val="none" w:sz="0" w:space="0" w:color="auto"/>
        <w:bottom w:val="none" w:sz="0" w:space="0" w:color="auto"/>
        <w:right w:val="none" w:sz="0" w:space="0" w:color="auto"/>
      </w:divBdr>
    </w:div>
    <w:div w:id="330376548">
      <w:bodyDiv w:val="1"/>
      <w:marLeft w:val="0"/>
      <w:marRight w:val="0"/>
      <w:marTop w:val="0"/>
      <w:marBottom w:val="0"/>
      <w:divBdr>
        <w:top w:val="none" w:sz="0" w:space="0" w:color="auto"/>
        <w:left w:val="none" w:sz="0" w:space="0" w:color="auto"/>
        <w:bottom w:val="none" w:sz="0" w:space="0" w:color="auto"/>
        <w:right w:val="none" w:sz="0" w:space="0" w:color="auto"/>
      </w:divBdr>
    </w:div>
    <w:div w:id="800805000">
      <w:bodyDiv w:val="1"/>
      <w:marLeft w:val="0"/>
      <w:marRight w:val="0"/>
      <w:marTop w:val="0"/>
      <w:marBottom w:val="0"/>
      <w:divBdr>
        <w:top w:val="none" w:sz="0" w:space="0" w:color="auto"/>
        <w:left w:val="none" w:sz="0" w:space="0" w:color="auto"/>
        <w:bottom w:val="none" w:sz="0" w:space="0" w:color="auto"/>
        <w:right w:val="none" w:sz="0" w:space="0" w:color="auto"/>
      </w:divBdr>
    </w:div>
    <w:div w:id="842622713">
      <w:bodyDiv w:val="1"/>
      <w:marLeft w:val="0"/>
      <w:marRight w:val="0"/>
      <w:marTop w:val="0"/>
      <w:marBottom w:val="0"/>
      <w:divBdr>
        <w:top w:val="none" w:sz="0" w:space="0" w:color="auto"/>
        <w:left w:val="none" w:sz="0" w:space="0" w:color="auto"/>
        <w:bottom w:val="none" w:sz="0" w:space="0" w:color="auto"/>
        <w:right w:val="none" w:sz="0" w:space="0" w:color="auto"/>
      </w:divBdr>
    </w:div>
    <w:div w:id="888612363">
      <w:bodyDiv w:val="1"/>
      <w:marLeft w:val="0"/>
      <w:marRight w:val="0"/>
      <w:marTop w:val="0"/>
      <w:marBottom w:val="0"/>
      <w:divBdr>
        <w:top w:val="none" w:sz="0" w:space="0" w:color="auto"/>
        <w:left w:val="none" w:sz="0" w:space="0" w:color="auto"/>
        <w:bottom w:val="none" w:sz="0" w:space="0" w:color="auto"/>
        <w:right w:val="none" w:sz="0" w:space="0" w:color="auto"/>
      </w:divBdr>
    </w:div>
    <w:div w:id="1049912296">
      <w:bodyDiv w:val="1"/>
      <w:marLeft w:val="0"/>
      <w:marRight w:val="0"/>
      <w:marTop w:val="0"/>
      <w:marBottom w:val="0"/>
      <w:divBdr>
        <w:top w:val="none" w:sz="0" w:space="0" w:color="auto"/>
        <w:left w:val="none" w:sz="0" w:space="0" w:color="auto"/>
        <w:bottom w:val="none" w:sz="0" w:space="0" w:color="auto"/>
        <w:right w:val="none" w:sz="0" w:space="0" w:color="auto"/>
      </w:divBdr>
    </w:div>
    <w:div w:id="1155292346">
      <w:bodyDiv w:val="1"/>
      <w:marLeft w:val="0"/>
      <w:marRight w:val="0"/>
      <w:marTop w:val="0"/>
      <w:marBottom w:val="0"/>
      <w:divBdr>
        <w:top w:val="none" w:sz="0" w:space="0" w:color="auto"/>
        <w:left w:val="none" w:sz="0" w:space="0" w:color="auto"/>
        <w:bottom w:val="none" w:sz="0" w:space="0" w:color="auto"/>
        <w:right w:val="none" w:sz="0" w:space="0" w:color="auto"/>
      </w:divBdr>
    </w:div>
    <w:div w:id="1180772950">
      <w:bodyDiv w:val="1"/>
      <w:marLeft w:val="0"/>
      <w:marRight w:val="0"/>
      <w:marTop w:val="0"/>
      <w:marBottom w:val="0"/>
      <w:divBdr>
        <w:top w:val="none" w:sz="0" w:space="0" w:color="auto"/>
        <w:left w:val="none" w:sz="0" w:space="0" w:color="auto"/>
        <w:bottom w:val="none" w:sz="0" w:space="0" w:color="auto"/>
        <w:right w:val="none" w:sz="0" w:space="0" w:color="auto"/>
      </w:divBdr>
    </w:div>
    <w:div w:id="1616865701">
      <w:bodyDiv w:val="1"/>
      <w:marLeft w:val="0"/>
      <w:marRight w:val="0"/>
      <w:marTop w:val="0"/>
      <w:marBottom w:val="0"/>
      <w:divBdr>
        <w:top w:val="none" w:sz="0" w:space="0" w:color="auto"/>
        <w:left w:val="none" w:sz="0" w:space="0" w:color="auto"/>
        <w:bottom w:val="none" w:sz="0" w:space="0" w:color="auto"/>
        <w:right w:val="none" w:sz="0" w:space="0" w:color="auto"/>
      </w:divBdr>
    </w:div>
    <w:div w:id="1651598417">
      <w:bodyDiv w:val="1"/>
      <w:marLeft w:val="0"/>
      <w:marRight w:val="0"/>
      <w:marTop w:val="0"/>
      <w:marBottom w:val="0"/>
      <w:divBdr>
        <w:top w:val="none" w:sz="0" w:space="0" w:color="auto"/>
        <w:left w:val="none" w:sz="0" w:space="0" w:color="auto"/>
        <w:bottom w:val="none" w:sz="0" w:space="0" w:color="auto"/>
        <w:right w:val="none" w:sz="0" w:space="0" w:color="auto"/>
      </w:divBdr>
    </w:div>
    <w:div w:id="1702169090">
      <w:bodyDiv w:val="1"/>
      <w:marLeft w:val="0"/>
      <w:marRight w:val="0"/>
      <w:marTop w:val="0"/>
      <w:marBottom w:val="0"/>
      <w:divBdr>
        <w:top w:val="none" w:sz="0" w:space="0" w:color="auto"/>
        <w:left w:val="none" w:sz="0" w:space="0" w:color="auto"/>
        <w:bottom w:val="none" w:sz="0" w:space="0" w:color="auto"/>
        <w:right w:val="none" w:sz="0" w:space="0" w:color="auto"/>
      </w:divBdr>
    </w:div>
    <w:div w:id="2005627425">
      <w:bodyDiv w:val="1"/>
      <w:marLeft w:val="0"/>
      <w:marRight w:val="0"/>
      <w:marTop w:val="0"/>
      <w:marBottom w:val="0"/>
      <w:divBdr>
        <w:top w:val="none" w:sz="0" w:space="0" w:color="auto"/>
        <w:left w:val="none" w:sz="0" w:space="0" w:color="auto"/>
        <w:bottom w:val="none" w:sz="0" w:space="0" w:color="auto"/>
        <w:right w:val="none" w:sz="0" w:space="0" w:color="auto"/>
      </w:divBdr>
    </w:div>
    <w:div w:id="20911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ii.ac.id/bitstream/handle/123456789/13918/Skripsi%20Abdurrahman%20Hakim%2014410481.pdf?sequence=1&amp;isAllowed=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empo.co" TargetMode="External"/><Relationship Id="rId4" Type="http://schemas.openxmlformats.org/officeDocument/2006/relationships/settings" Target="settings.xml"/><Relationship Id="rId9" Type="http://schemas.openxmlformats.org/officeDocument/2006/relationships/hyperlink" Target="https://nasional.kompas.com/read/2015/11/06/22312491/Menkes.Angkat.Bicara.soal.Praktik.Suap.Perusahaan.Farmasi.kepada.Dokt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space.uii.ac.id/bitstream/handle/123456789/13918/Skripsi%20Abdurrahman%20Hakim%2014410481.pdf?sequence=1&amp;isAllowed=y" TargetMode="External"/><Relationship Id="rId1" Type="http://schemas.openxmlformats.org/officeDocument/2006/relationships/hyperlink" Target="https://nasional.kompas.com/read/2015/11/06/22312491/Menkes.Angkat.Bicara.soal.Praktik.Suap.Perusahaan.Farmasi.kepada.Dok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21</Pages>
  <Words>7311</Words>
  <Characters>41676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bd1848</dc:creator>
  <cp:keywords/>
  <dc:description/>
  <cp:lastModifiedBy>Windows User</cp:lastModifiedBy>
  <cp:revision>5</cp:revision>
  <dcterms:created xsi:type="dcterms:W3CDTF">2025-11-09T07:12:00Z</dcterms:created>
  <dcterms:modified xsi:type="dcterms:W3CDTF">2025-11-11T02:36:00Z</dcterms:modified>
</cp:coreProperties>
</file>