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9D4D" w14:textId="77777777" w:rsidR="003B30B5" w:rsidRDefault="003B30B5" w:rsidP="003B30B5">
      <w:pPr>
        <w:spacing w:after="0" w:line="360" w:lineRule="auto"/>
        <w:jc w:val="center"/>
        <w:rPr>
          <w:rFonts w:eastAsia="Times New Roman" w:cs="Times New Roman"/>
          <w:b/>
          <w:szCs w:val="24"/>
        </w:rPr>
      </w:pPr>
      <w:r>
        <w:rPr>
          <w:rFonts w:eastAsia="Times New Roman" w:cs="Times New Roman"/>
          <w:b/>
          <w:szCs w:val="24"/>
        </w:rPr>
        <w:t>PENYITAAN HARTA PELAKU SEBAGAI UPAYA PERLINDUNGAN KORBAN DALAM PELAKSANAAN RESTITUSI TERHADAP TINDAK PIDANA PERDAGANGAN ORANG</w:t>
      </w:r>
    </w:p>
    <w:p w14:paraId="13E2922E" w14:textId="47D6447F" w:rsidR="003B30B5" w:rsidRPr="003B30B5" w:rsidRDefault="003B30B5" w:rsidP="003B30B5">
      <w:pPr>
        <w:spacing w:after="0" w:line="360" w:lineRule="auto"/>
        <w:jc w:val="center"/>
        <w:rPr>
          <w:rFonts w:eastAsia="Times New Roman" w:cs="Times New Roman"/>
          <w:b/>
          <w:i/>
          <w:iCs/>
          <w:szCs w:val="24"/>
        </w:rPr>
      </w:pPr>
      <w:r w:rsidRPr="003B30B5">
        <w:rPr>
          <w:rFonts w:eastAsia="Times New Roman" w:cs="Times New Roman"/>
          <w:b/>
          <w:bCs/>
          <w:i/>
          <w:iCs/>
          <w:szCs w:val="24"/>
          <w:lang w:val="en-ID"/>
        </w:rPr>
        <w:t>CONFISCATION OF OFFENDERS’ ASSETS AS A MECHANISM FOR VICTIM PROTECTION IN THE IMPLEMENTATION OF RESTITUTION IN HUMAN TRAFFICKING</w:t>
      </w:r>
    </w:p>
    <w:p w14:paraId="5202657A" w14:textId="40FBCBD1" w:rsidR="003B30B5" w:rsidRDefault="003B30B5" w:rsidP="003B30B5">
      <w:pPr>
        <w:spacing w:after="0" w:line="360" w:lineRule="auto"/>
        <w:rPr>
          <w:rFonts w:eastAsia="Times New Roman" w:cs="Times New Roman"/>
          <w:b/>
          <w:szCs w:val="24"/>
        </w:rPr>
      </w:pPr>
    </w:p>
    <w:p w14:paraId="16C6EA3E" w14:textId="77777777" w:rsidR="003B30B5" w:rsidRDefault="003B30B5" w:rsidP="003B30B5">
      <w:pPr>
        <w:spacing w:after="0" w:line="360" w:lineRule="auto"/>
        <w:jc w:val="center"/>
        <w:rPr>
          <w:rFonts w:eastAsia="Times New Roman" w:cs="Times New Roman"/>
          <w:b/>
          <w:szCs w:val="24"/>
        </w:rPr>
      </w:pPr>
    </w:p>
    <w:p w14:paraId="003ADD54" w14:textId="681513C7" w:rsidR="00937693" w:rsidRDefault="003B30B5" w:rsidP="003B30B5">
      <w:pPr>
        <w:spacing w:line="360" w:lineRule="auto"/>
        <w:jc w:val="center"/>
        <w:rPr>
          <w:b/>
          <w:bCs/>
        </w:rPr>
      </w:pPr>
      <w:r w:rsidRPr="003B30B5">
        <w:rPr>
          <w:b/>
          <w:bCs/>
        </w:rPr>
        <w:t>ABSTRAK</w:t>
      </w:r>
    </w:p>
    <w:p w14:paraId="0BA4AF89" w14:textId="1C64A564" w:rsidR="003B30B5" w:rsidRPr="003B30B5" w:rsidRDefault="003B30B5" w:rsidP="003B30B5">
      <w:pPr>
        <w:pStyle w:val="NormalWeb"/>
        <w:spacing w:before="0" w:beforeAutospacing="0" w:after="0" w:afterAutospacing="0"/>
        <w:ind w:firstLine="567"/>
        <w:jc w:val="both"/>
        <w:rPr>
          <w:sz w:val="22"/>
          <w:szCs w:val="22"/>
        </w:rPr>
      </w:pPr>
      <w:r w:rsidRPr="003B30B5">
        <w:rPr>
          <w:sz w:val="22"/>
          <w:szCs w:val="22"/>
        </w:rPr>
        <w:t>R</w:t>
      </w:r>
      <w:r w:rsidRPr="003B30B5">
        <w:rPr>
          <w:sz w:val="22"/>
          <w:szCs w:val="22"/>
        </w:rPr>
        <w:t>estitusi dalam Tindak Pidana Perdagangan Orang (TPPO) sebagai instrumen pemulihan hak korban yang tidak hanya terbatas pada ganti rugi materiil, tetapi juga mencerminkan keadilan substantif. Restitusi menegaskan tanggung jawab pelaku dan peran negara dalam pemulihan korban secara menyeluruh. Tujuan penelitian ini adalah menganalisis dasar pengenaan restitusi pada TPPO, mengidentifikasi kendala implementasi regulasi, serta merumuskan konsep penyitaan harta pelaku sebagai upaya perlindungan korban. Walaupun sudah diatur dalam Undang-Undang Nomor 21 Tahun 2007 dan PERMA Nomor 1 Tahun 2022, pelaksanaannya masih belum efektif menjamin perlindungan korban.</w:t>
      </w:r>
      <w:r>
        <w:rPr>
          <w:sz w:val="22"/>
          <w:szCs w:val="22"/>
        </w:rPr>
        <w:t xml:space="preserve"> </w:t>
      </w:r>
      <w:r w:rsidRPr="003B30B5">
        <w:rPr>
          <w:sz w:val="22"/>
          <w:szCs w:val="22"/>
        </w:rPr>
        <w:t xml:space="preserve">Penelitian menggunakan </w:t>
      </w:r>
      <w:r w:rsidRPr="003B30B5">
        <w:rPr>
          <w:rStyle w:val="Emphasis"/>
          <w:rFonts w:eastAsiaTheme="majorEastAsia"/>
          <w:sz w:val="22"/>
          <w:szCs w:val="22"/>
        </w:rPr>
        <w:t>mixed methods</w:t>
      </w:r>
      <w:r w:rsidRPr="003B30B5">
        <w:rPr>
          <w:sz w:val="22"/>
          <w:szCs w:val="22"/>
        </w:rPr>
        <w:t xml:space="preserve"> dengan pendekatan yuridis normatif, yuridis empiris, dan partisipatoris, melalui studi pustaka dan wawancara dengan aparat penegak hukum. Teori yang digunakan mencakup teori negara hukum Pancasila, teori perlindungan hukum bagi korban, teori penegakan hukum pidana, dan teori pemidanaan.</w:t>
      </w:r>
      <w:r>
        <w:rPr>
          <w:sz w:val="22"/>
          <w:szCs w:val="22"/>
        </w:rPr>
        <w:t xml:space="preserve"> </w:t>
      </w:r>
      <w:r w:rsidRPr="003B30B5">
        <w:rPr>
          <w:sz w:val="22"/>
          <w:szCs w:val="22"/>
        </w:rPr>
        <w:t>Hasil penelitian menunjukkan penyitaan harta pelaku di Indonesia masih terbatas pada pembuktian di persidangan dan bergantung pada permohonan korban, sehingga hak korban sering tidak terlindungi. Studi perbandingan dengan Filipina, Amerika Serikat, dan Belanda memperlihatkan efektivitas penyitaan otomatis dan preventif sejak tahap penyidikan dalam menjamin restitusi. Karena itu, Indonesia perlu mereformasi KUHAP dan UU TPPO agar penyitaan aset menjadi mekanisme wajib, proaktif, dan berbasis keadilan restoratif untuk memperkuat perlindungan korban dalam sistem peradilan pidana nasional.</w:t>
      </w:r>
    </w:p>
    <w:p w14:paraId="1A75C5F4" w14:textId="633D97F6" w:rsidR="003B30B5" w:rsidRDefault="003B30B5" w:rsidP="003B30B5">
      <w:pPr>
        <w:spacing w:before="100" w:beforeAutospacing="1" w:after="100" w:afterAutospacing="1" w:line="240" w:lineRule="auto"/>
        <w:ind w:left="1276" w:hanging="1276"/>
        <w:rPr>
          <w:rFonts w:eastAsia="Times New Roman" w:cs="Times New Roman"/>
          <w:sz w:val="22"/>
          <w:lang w:eastAsia="id-ID"/>
        </w:rPr>
      </w:pPr>
      <w:r w:rsidRPr="003B30B5">
        <w:rPr>
          <w:rFonts w:eastAsia="Times New Roman" w:cs="Times New Roman"/>
          <w:b/>
          <w:bCs/>
          <w:sz w:val="22"/>
          <w:lang w:eastAsia="id-ID"/>
        </w:rPr>
        <w:t>Kata kunci</w:t>
      </w:r>
      <w:r w:rsidRPr="003B30B5">
        <w:rPr>
          <w:rFonts w:eastAsia="Times New Roman" w:cs="Times New Roman"/>
          <w:sz w:val="22"/>
          <w:lang w:eastAsia="id-ID"/>
        </w:rPr>
        <w:t>: Restitusi, Penyitaan Aset, Tindak Pidana Perdagangan Orang, Perlindungan Korban, Keadilan Restoratif.</w:t>
      </w:r>
    </w:p>
    <w:p w14:paraId="4CFBA1F1" w14:textId="0DEC9E1A" w:rsidR="003B30B5" w:rsidRPr="003B30B5" w:rsidRDefault="003B30B5" w:rsidP="003B30B5">
      <w:pPr>
        <w:spacing w:before="100" w:beforeAutospacing="1" w:after="100" w:afterAutospacing="1" w:line="240" w:lineRule="auto"/>
        <w:ind w:left="1276" w:hanging="1276"/>
        <w:jc w:val="center"/>
        <w:rPr>
          <w:rFonts w:eastAsia="Times New Roman" w:cs="Times New Roman"/>
          <w:sz w:val="22"/>
          <w:lang w:eastAsia="id-ID"/>
        </w:rPr>
      </w:pPr>
      <w:r w:rsidRPr="003B30B5">
        <w:rPr>
          <w:rFonts w:eastAsia="Times New Roman" w:cs="Times New Roman"/>
          <w:b/>
          <w:bCs/>
          <w:i/>
          <w:iCs/>
          <w:sz w:val="22"/>
          <w:lang w:eastAsia="id-ID"/>
        </w:rPr>
        <w:t>ABSTRACT</w:t>
      </w:r>
    </w:p>
    <w:p w14:paraId="794AE84A" w14:textId="77777777" w:rsidR="003B30B5" w:rsidRPr="003B30B5" w:rsidRDefault="003B30B5" w:rsidP="003B30B5">
      <w:pPr>
        <w:pStyle w:val="NormalWeb"/>
        <w:ind w:firstLine="720"/>
        <w:jc w:val="both"/>
        <w:rPr>
          <w:i/>
          <w:iCs/>
          <w:sz w:val="22"/>
          <w:szCs w:val="22"/>
        </w:rPr>
      </w:pPr>
      <w:r w:rsidRPr="003B30B5">
        <w:rPr>
          <w:i/>
          <w:iCs/>
          <w:sz w:val="22"/>
          <w:szCs w:val="22"/>
        </w:rPr>
        <w:t xml:space="preserve">Restitution in Human Trafficking Crimes (TPPO) serves as an instrument for restoring victims’ rights, not merely limited to material compensation but also reflecting substantive justice. Restitution affirms the offender’s responsibility and the state’s role in ensuring comprehensive victim recovery. The purpose of this study is to analyze the legal basis for imposing restitution in TPPO, identify obstacles in the implementation of regulations, and formulate the concept of asset confiscation as a measure to protect victims. Although restitution is regulated under Law Number 21 of 2007 and Supreme Court Regulation Number 1 of 2022, its implementation has not yet been effective in guaranteeing victim protection. This research employs a </w:t>
      </w:r>
      <w:r w:rsidRPr="003B30B5">
        <w:rPr>
          <w:rStyle w:val="Emphasis"/>
          <w:rFonts w:eastAsiaTheme="majorEastAsia"/>
          <w:i w:val="0"/>
          <w:iCs w:val="0"/>
          <w:sz w:val="22"/>
          <w:szCs w:val="22"/>
        </w:rPr>
        <w:t>mixed methods</w:t>
      </w:r>
      <w:r w:rsidRPr="003B30B5">
        <w:rPr>
          <w:i/>
          <w:iCs/>
          <w:sz w:val="22"/>
          <w:szCs w:val="22"/>
        </w:rPr>
        <w:t xml:space="preserve"> approach, combining normative juridical, empirical juridical, and participatory perspectives, using literature studies and interviews with law enforcement officials. The theoretical framework includes the theory of the Pancasila rule of law, the theory of legal protection for victims, the theory of criminal law enforcement, and the theory of punishment. The findings reveal that asset confiscation in Indonesia remains limited to proof in court proceedings and is highly dependent on victims’ requests, thereby often leaving their rights unprotected. Comparative studies with the Philippines, the United States, and the Netherlands show that automatic and preventive confiscation of assets from the investigation stage is more effective in guaranteeing restitution. Therefore, Indonesia needs to reform the Criminal Procedure Code </w:t>
      </w:r>
      <w:r w:rsidRPr="003B30B5">
        <w:rPr>
          <w:i/>
          <w:iCs/>
          <w:sz w:val="22"/>
          <w:szCs w:val="22"/>
        </w:rPr>
        <w:lastRenderedPageBreak/>
        <w:t>(KUHAP) and the Human Trafficking Law to ensure asset confiscation becomes a mandatory, proactive mechanism based on restorative justice, thereby strengthening victim protection within the national criminal justice system.</w:t>
      </w:r>
    </w:p>
    <w:p w14:paraId="49BE4802" w14:textId="77777777" w:rsidR="003B30B5" w:rsidRPr="003B30B5" w:rsidRDefault="003B30B5" w:rsidP="003B30B5">
      <w:pPr>
        <w:pStyle w:val="NormalWeb"/>
        <w:jc w:val="both"/>
        <w:rPr>
          <w:i/>
          <w:iCs/>
          <w:sz w:val="22"/>
          <w:szCs w:val="22"/>
        </w:rPr>
      </w:pPr>
      <w:r w:rsidRPr="003B30B5">
        <w:rPr>
          <w:b/>
          <w:bCs/>
          <w:i/>
          <w:iCs/>
          <w:sz w:val="22"/>
          <w:szCs w:val="22"/>
        </w:rPr>
        <w:t>Keywords</w:t>
      </w:r>
      <w:r w:rsidRPr="003B30B5">
        <w:rPr>
          <w:i/>
          <w:iCs/>
          <w:sz w:val="22"/>
          <w:szCs w:val="22"/>
        </w:rPr>
        <w:t>: Restitution, Asset Confiscation, Human Trafficking, Victim Protection, Restorative Justice.</w:t>
      </w:r>
    </w:p>
    <w:p w14:paraId="63BBEF95" w14:textId="020E8439" w:rsidR="003B30B5" w:rsidRDefault="003B30B5" w:rsidP="003B30B5">
      <w:pPr>
        <w:spacing w:line="360" w:lineRule="auto"/>
      </w:pPr>
    </w:p>
    <w:p w14:paraId="01F32826" w14:textId="473F3925" w:rsidR="003B30B5" w:rsidRDefault="003B30B5" w:rsidP="00C35C6B">
      <w:pPr>
        <w:pStyle w:val="ListParagraph"/>
        <w:numPr>
          <w:ilvl w:val="0"/>
          <w:numId w:val="3"/>
        </w:numPr>
        <w:spacing w:after="0" w:line="360" w:lineRule="auto"/>
        <w:ind w:left="426"/>
        <w:rPr>
          <w:b/>
          <w:bCs/>
        </w:rPr>
      </w:pPr>
      <w:r w:rsidRPr="003B30B5">
        <w:rPr>
          <w:b/>
          <w:bCs/>
        </w:rPr>
        <w:t>Latar Belakang</w:t>
      </w:r>
    </w:p>
    <w:p w14:paraId="00B20921" w14:textId="74673680" w:rsidR="003B30B5" w:rsidRDefault="00530F10" w:rsidP="00C35C6B">
      <w:pPr>
        <w:spacing w:after="0" w:line="360" w:lineRule="auto"/>
        <w:ind w:left="425" w:firstLine="567"/>
        <w:rPr>
          <w:rFonts w:cs="Times New Roman"/>
          <w:szCs w:val="24"/>
        </w:rPr>
      </w:pPr>
      <w:r w:rsidRPr="00530F10">
        <w:rPr>
          <w:rFonts w:cs="Times New Roman"/>
          <w:szCs w:val="24"/>
        </w:rPr>
        <w:t>Penderitaan fisik dan psikologis korban Tindak Pidana Perdagangan Orang (TPPO) kerap berujung pada ketidakadilan karena kewajiban pelaku untuk membayar ganti rugi sering tidak terlaksana</w:t>
      </w:r>
      <w:r w:rsidR="003B30B5">
        <w:rPr>
          <w:rFonts w:cs="Times New Roman"/>
          <w:szCs w:val="24"/>
          <w:lang w:val="en-GB"/>
        </w:rPr>
        <w:t>.</w:t>
      </w:r>
      <w:r w:rsidR="003B30B5">
        <w:rPr>
          <w:rStyle w:val="FootnoteReference"/>
          <w:rFonts w:cs="Times New Roman"/>
          <w:szCs w:val="24"/>
        </w:rPr>
        <w:footnoteReference w:id="1"/>
      </w:r>
      <w:r w:rsidR="003B30B5">
        <w:rPr>
          <w:rFonts w:cs="Times New Roman"/>
          <w:szCs w:val="24"/>
          <w:lang w:val="en-GB"/>
        </w:rPr>
        <w:t xml:space="preserve"> </w:t>
      </w:r>
      <w:r w:rsidRPr="00530F10">
        <w:rPr>
          <w:rFonts w:cs="Times New Roman"/>
          <w:szCs w:val="24"/>
          <w:lang w:val="en-GB"/>
        </w:rPr>
        <w:t>Hal ini menjadi tantangan dalam mewujudkan tujuan nasional, terutama dalam menjamin kesejahteraan korban melalui pemenuhan hak ganti rugi atas penderitaan yang dialami</w:t>
      </w:r>
      <w:r w:rsidR="003B30B5">
        <w:rPr>
          <w:rFonts w:eastAsia="Times New Roman" w:cs="Times New Roman"/>
          <w:szCs w:val="24"/>
        </w:rPr>
        <w:t>.</w:t>
      </w:r>
      <w:r w:rsidR="003B30B5">
        <w:rPr>
          <w:rStyle w:val="FootnoteReference"/>
          <w:rFonts w:eastAsia="Times New Roman" w:cs="Times New Roman"/>
          <w:szCs w:val="24"/>
        </w:rPr>
        <w:footnoteReference w:id="2"/>
      </w:r>
      <w:r>
        <w:rPr>
          <w:rFonts w:eastAsia="Times New Roman" w:cs="Times New Roman"/>
          <w:szCs w:val="24"/>
        </w:rPr>
        <w:t xml:space="preserve"> </w:t>
      </w:r>
      <w:r w:rsidRPr="00530F10">
        <w:rPr>
          <w:rFonts w:cs="Times New Roman"/>
          <w:szCs w:val="24"/>
        </w:rPr>
        <w:t>Perdagangan orang dapat dipahami sebagai kejahatan yang berakar pada motif ekonomi</w:t>
      </w:r>
      <w:r w:rsidR="003B30B5">
        <w:rPr>
          <w:rFonts w:cs="Times New Roman"/>
          <w:szCs w:val="24"/>
        </w:rPr>
        <w:t>.</w:t>
      </w:r>
      <w:r w:rsidR="003B30B5">
        <w:rPr>
          <w:rStyle w:val="FootnoteReference"/>
          <w:rFonts w:cs="Times New Roman"/>
        </w:rPr>
        <w:footnoteReference w:id="3"/>
      </w:r>
      <w:r w:rsidR="003B30B5">
        <w:rPr>
          <w:rFonts w:cs="Times New Roman"/>
          <w:szCs w:val="24"/>
        </w:rPr>
        <w:t xml:space="preserve"> </w:t>
      </w:r>
      <w:r w:rsidRPr="00530F10">
        <w:rPr>
          <w:rFonts w:cs="Times New Roman"/>
          <w:szCs w:val="24"/>
        </w:rPr>
        <w:t>Tekanan ekonomi dan sosial membuat korban mudah terjebak, hingga berakhir dengan trauma serta penyakit serius yang memerlukan pemulihan fisik dan psikologis</w:t>
      </w:r>
      <w:r w:rsidR="003B30B5">
        <w:rPr>
          <w:rFonts w:cs="Times New Roman"/>
          <w:szCs w:val="24"/>
        </w:rPr>
        <w:t>.</w:t>
      </w:r>
      <w:r w:rsidR="003B30B5">
        <w:rPr>
          <w:rStyle w:val="FootnoteReference"/>
          <w:rFonts w:cs="Times New Roman"/>
        </w:rPr>
        <w:footnoteReference w:id="4"/>
      </w:r>
      <w:r w:rsidR="003B30B5">
        <w:rPr>
          <w:rFonts w:cs="Times New Roman"/>
          <w:szCs w:val="24"/>
        </w:rPr>
        <w:t xml:space="preserve"> </w:t>
      </w:r>
    </w:p>
    <w:p w14:paraId="4914D69C" w14:textId="37814F8C" w:rsidR="003B30B5" w:rsidRDefault="00530F10" w:rsidP="00C35C6B">
      <w:pPr>
        <w:spacing w:after="0" w:line="360" w:lineRule="auto"/>
        <w:ind w:left="426" w:firstLine="567"/>
        <w:rPr>
          <w:rFonts w:cs="Times New Roman"/>
          <w:szCs w:val="24"/>
        </w:rPr>
      </w:pPr>
      <w:r w:rsidRPr="00530F10">
        <w:rPr>
          <w:rFonts w:cs="Times New Roman"/>
          <w:szCs w:val="24"/>
        </w:rPr>
        <w:t>Kerangka hukum internasional menegaskan pencegahan, penindakan, dan perlindungan korban perdagangan orang. Protokol Palermo 2000 memberi definisi resmi serta mengatur langkah pencegahan dan pemulihan, diperkuat oleh Konvensi Hak Anak 1989, Konvensi ILO No. 182 Tahun 1999, dan DUHAM 1948 Pasal 4 yang melarang perbudakan. Di tingkat regional, Konvensi Eropa 2005 turut memperkuat perlindungan dan pencegahan secara lebih spesifik</w:t>
      </w:r>
      <w:r w:rsidR="003B30B5">
        <w:rPr>
          <w:rFonts w:cs="Times New Roman"/>
          <w:szCs w:val="24"/>
        </w:rPr>
        <w:t xml:space="preserve">.  </w:t>
      </w:r>
    </w:p>
    <w:p w14:paraId="3F79EB2D" w14:textId="09603DED" w:rsidR="003B30B5" w:rsidRDefault="00530F10" w:rsidP="00C35C6B">
      <w:pPr>
        <w:spacing w:after="0" w:line="360" w:lineRule="auto"/>
        <w:ind w:left="426" w:firstLine="567"/>
        <w:rPr>
          <w:rFonts w:cs="Times New Roman"/>
          <w:szCs w:val="24"/>
        </w:rPr>
      </w:pPr>
      <w:r w:rsidRPr="00530F10">
        <w:rPr>
          <w:rFonts w:cs="Times New Roman"/>
          <w:szCs w:val="24"/>
        </w:rPr>
        <w:lastRenderedPageBreak/>
        <w:t>Di Indonesia, pemberantasan perdagangan orang diatur melalui UU No. 21 Tahun 2007 sebagai dasar utama, diperkuat UU No. 35 Tahun 2014 tentang Perlindungan Anak, KUHP, dan KUHAP. Pemulihan korban diatur dalam PP No. 9 Tahun 2008, sedangkan koordinasi nasional dilakukan lewat Perpres No. 22 Tahun 2021 tentang Gugus Tugas TPPO. Indonesia juga bekerja sama dengan IOM dan ASEAN dalam penanggulangan perdagangan manusia</w:t>
      </w:r>
      <w:r w:rsidR="003B30B5">
        <w:rPr>
          <w:rFonts w:cs="Times New Roman"/>
          <w:szCs w:val="24"/>
        </w:rPr>
        <w:t>.</w:t>
      </w:r>
    </w:p>
    <w:p w14:paraId="4C3471A8" w14:textId="2E81F342" w:rsidR="00530F10" w:rsidRDefault="00530F10" w:rsidP="00C35C6B">
      <w:pPr>
        <w:spacing w:after="0" w:line="360" w:lineRule="auto"/>
        <w:ind w:left="426" w:firstLine="567"/>
        <w:rPr>
          <w:rFonts w:cs="Times New Roman"/>
          <w:szCs w:val="24"/>
        </w:rPr>
      </w:pPr>
      <w:r>
        <w:t>TPPO kerap berkaitan dengan kejahatan lain seperti penipuan, pemalsuan, pemerasan, kekerasan, hingga kejahatan terorganisir. Modus yang umum dilakukan adalah menawarkan pekerjaan bergaji tinggi, namun berujung pada eksploitasi.</w:t>
      </w:r>
      <w:r>
        <w:rPr>
          <w:rStyle w:val="FootnoteReference"/>
          <w:rFonts w:eastAsia="Times New Roman" w:cs="Times New Roman"/>
          <w:szCs w:val="24"/>
          <w:lang w:val="id-ID" w:eastAsia="id-ID"/>
        </w:rPr>
        <w:footnoteReference w:id="5"/>
      </w:r>
      <w:r>
        <w:t xml:space="preserve"> Pemalsuan dokumen digunakan untuk mempermudah perpindahan korban, sementara pemerasan dilakukan dengan menahan dokumen penting mereka. Tidak jarang, korban juga mengalami kekerasan fisik maupun seksual, terutama dalam kasus eksploitasi seksual dan kerja paksa. Bahkan, praktik ini sering terhubung dengan jaringan narkotika, pencucian uang, dan korupsi.</w:t>
      </w:r>
    </w:p>
    <w:p w14:paraId="73048E10" w14:textId="77777777" w:rsidR="00530F10" w:rsidRDefault="003B30B5" w:rsidP="00C35C6B">
      <w:pPr>
        <w:spacing w:after="0" w:line="360" w:lineRule="auto"/>
        <w:ind w:left="426" w:firstLine="567"/>
      </w:pPr>
      <w:r>
        <w:rPr>
          <w:rFonts w:cs="Times New Roman"/>
          <w:szCs w:val="24"/>
          <w:lang w:val="en-GB"/>
        </w:rPr>
        <w:t xml:space="preserve">Hakikatnya, restitusi tercipta berangkat dari konsep </w:t>
      </w:r>
      <w:r>
        <w:rPr>
          <w:rFonts w:cs="Times New Roman"/>
          <w:szCs w:val="24"/>
        </w:rPr>
        <w:t>penegakan hukum pidana</w:t>
      </w:r>
      <w:r>
        <w:rPr>
          <w:rFonts w:cs="Times New Roman"/>
          <w:szCs w:val="24"/>
          <w:lang w:val="en-GB"/>
        </w:rPr>
        <w:t xml:space="preserve"> yang harus</w:t>
      </w:r>
      <w:r>
        <w:rPr>
          <w:rFonts w:cs="Times New Roman"/>
          <w:szCs w:val="24"/>
        </w:rPr>
        <w:t xml:space="preserve"> mempertimbangkan kepentingan korban</w:t>
      </w:r>
      <w:r>
        <w:rPr>
          <w:rFonts w:cs="Times New Roman"/>
          <w:szCs w:val="24"/>
          <w:lang w:val="en-GB"/>
        </w:rPr>
        <w:t xml:space="preserve"> tindak pidana</w:t>
      </w:r>
      <w:r>
        <w:rPr>
          <w:rFonts w:cs="Times New Roman"/>
          <w:szCs w:val="24"/>
        </w:rPr>
        <w:t>.</w:t>
      </w:r>
      <w:r>
        <w:rPr>
          <w:rStyle w:val="FootnoteReference"/>
          <w:rFonts w:cs="Times New Roman"/>
        </w:rPr>
        <w:footnoteReference w:id="6"/>
      </w:r>
      <w:r>
        <w:rPr>
          <w:rFonts w:cs="Times New Roman"/>
          <w:szCs w:val="24"/>
        </w:rPr>
        <w:t xml:space="preserve"> Seperti yang dikemukakan oleh Geis, </w:t>
      </w:r>
      <w:r>
        <w:rPr>
          <w:rFonts w:cs="Times New Roman"/>
          <w:i/>
          <w:iCs/>
          <w:szCs w:val="24"/>
        </w:rPr>
        <w:t>“too much attention has been paid to offenders and their rights, to neglect rights of the victims</w:t>
      </w:r>
      <w:r>
        <w:rPr>
          <w:rFonts w:cs="Times New Roman"/>
          <w:i/>
          <w:iCs/>
          <w:szCs w:val="24"/>
          <w:lang w:val="en-GB"/>
        </w:rPr>
        <w:t>.</w:t>
      </w:r>
      <w:r>
        <w:rPr>
          <w:rFonts w:cs="Times New Roman"/>
          <w:i/>
          <w:iCs/>
          <w:szCs w:val="24"/>
        </w:rPr>
        <w:t>”</w:t>
      </w:r>
      <w:r>
        <w:rPr>
          <w:rStyle w:val="FootnoteReference"/>
          <w:rFonts w:cs="Times New Roman"/>
        </w:rPr>
        <w:footnoteReference w:id="7"/>
      </w:r>
      <w:r>
        <w:rPr>
          <w:rFonts w:cs="Times New Roman"/>
          <w:i/>
          <w:iCs/>
          <w:szCs w:val="24"/>
        </w:rPr>
        <w:t xml:space="preserve"> </w:t>
      </w:r>
      <w:r w:rsidR="00530F10">
        <w:t xml:space="preserve">PERMA No. 1 Tahun 2022 memberikan pedoman komprehensif terkait tata cara permohonan dan pemberian restitusi maupun kompensasi bagi korban tindak </w:t>
      </w:r>
      <w:r w:rsidR="00530F10">
        <w:lastRenderedPageBreak/>
        <w:t xml:space="preserve">pidana. Aturan ini mencakup kejahatan perdagangan orang, tindak pidana terhadap anak, serta tindak pidana lain yang ditetapkan melalui keputusan LPSK. </w:t>
      </w:r>
    </w:p>
    <w:p w14:paraId="62AAC34F" w14:textId="0D1C27EE" w:rsidR="003B30B5" w:rsidRDefault="00530F10" w:rsidP="00C35C6B">
      <w:pPr>
        <w:spacing w:after="0" w:line="360" w:lineRule="auto"/>
        <w:ind w:left="426" w:firstLine="567"/>
        <w:rPr>
          <w:rFonts w:cs="Times New Roman"/>
          <w:szCs w:val="24"/>
        </w:rPr>
      </w:pPr>
      <w:r w:rsidRPr="00530F10">
        <w:t>Dalam kerangka ini, korban berhak mengajukan restitusi atas kerugian materiil, emosional, dan psikologis, sementara pengadilan wajib mempertimbangkannya dalam putusan. Restitusi tidak sekadar ganti rugi, tetapi juga sarana perlindungan dan pemulihan korban, sekaligus mendorong pelaku menerima konsekuensi atas perbuatannya. Bentuk restitusi dapat mencakup penggantian kehilangan harta atau pendapatan, biaya perawatan medis maupun psikiatris, hingga biaya proses hukum seperti jasa pengacara</w:t>
      </w:r>
      <w:r w:rsidR="003B30B5">
        <w:rPr>
          <w:rFonts w:cs="Times New Roman"/>
          <w:szCs w:val="24"/>
        </w:rPr>
        <w:t>.</w:t>
      </w:r>
      <w:r w:rsidR="003B30B5">
        <w:rPr>
          <w:rStyle w:val="FootnoteReference"/>
          <w:rFonts w:cs="Times New Roman"/>
          <w:szCs w:val="24"/>
        </w:rPr>
        <w:footnoteReference w:id="8"/>
      </w:r>
      <w:bookmarkStart w:id="0" w:name="_Hlk158122788"/>
    </w:p>
    <w:p w14:paraId="1C11EE1C" w14:textId="22B5B455" w:rsidR="003B30B5" w:rsidRDefault="00530F10" w:rsidP="00C35C6B">
      <w:pPr>
        <w:spacing w:after="0" w:line="360" w:lineRule="auto"/>
        <w:ind w:left="426" w:firstLine="567"/>
      </w:pPr>
      <w:r>
        <w:t>Meskipun hak restitusi bagi korban tindak pidana telah diakui dalam undang-undang, pelaksanaannya masih menghadapi berbagai hambatan.</w:t>
      </w:r>
      <w:r w:rsidRPr="00530F10">
        <w:rPr>
          <w:rStyle w:val="FootnoteReference"/>
          <w:rFonts w:cs="Times New Roman"/>
          <w:szCs w:val="24"/>
        </w:rPr>
        <w:t xml:space="preserve"> </w:t>
      </w:r>
      <w:r>
        <w:rPr>
          <w:rStyle w:val="FootnoteReference"/>
          <w:rFonts w:cs="Times New Roman"/>
          <w:szCs w:val="24"/>
        </w:rPr>
        <w:footnoteReference w:id="9"/>
      </w:r>
      <w:r>
        <w:t xml:space="preserve"> Pelaku sering memilih pidana subsider daripada membayar restitusi, sementara korban terkendala keterbatasan sumber daya, kondisi psikologis yang rapuh, stigma sosial, serta rumitnya prosedur hukum. </w:t>
      </w:r>
      <w:r w:rsidR="002F768E">
        <w:rPr>
          <w:rFonts w:eastAsia="Times New Roman" w:cs="Times New Roman"/>
          <w:szCs w:val="24"/>
        </w:rPr>
        <w:t>Hal ini sejalan dengan pepatah yang mengatakan “</w:t>
      </w:r>
      <w:r w:rsidR="002F768E">
        <w:rPr>
          <w:rFonts w:eastAsia="Times New Roman" w:cs="Times New Roman"/>
          <w:i/>
          <w:szCs w:val="24"/>
        </w:rPr>
        <w:t>het recht hinkt achter de feiten ann”</w:t>
      </w:r>
      <w:r w:rsidR="002F768E">
        <w:rPr>
          <w:rFonts w:eastAsia="Times New Roman" w:cs="Times New Roman"/>
          <w:szCs w:val="24"/>
        </w:rPr>
        <w:t xml:space="preserve"> (Hukum sering kali lambat dalam mengikuti perkembangan peristiwa terkini).</w:t>
      </w:r>
      <w:r w:rsidR="002F768E">
        <w:rPr>
          <w:rStyle w:val="FootnoteReference"/>
          <w:rFonts w:eastAsia="Times New Roman" w:cs="Times New Roman"/>
        </w:rPr>
        <w:footnoteReference w:id="10"/>
      </w:r>
      <w:r w:rsidR="002F768E">
        <w:rPr>
          <w:rFonts w:eastAsia="Times New Roman" w:cs="Times New Roman"/>
          <w:szCs w:val="24"/>
        </w:rPr>
        <w:t xml:space="preserve"> </w:t>
      </w:r>
      <w:r>
        <w:t>Di sisi lain, aparat penegak hukum, khususnya jaksa sebagai eksekutor, masih kesulitan mengeksekusi putusan karena aset pelaku sulit dilacak, penyitaan tidak dilakukan sejak awal, dan belum adanya petunjuk teknis yang jelas. Akibatnya, banyak putusan yang telah berkekuatan hukum tetap tidak dapat dijalankan</w:t>
      </w:r>
      <w:bookmarkEnd w:id="0"/>
      <w:r w:rsidR="002F768E">
        <w:t xml:space="preserve">. </w:t>
      </w:r>
    </w:p>
    <w:p w14:paraId="2DC7C60F" w14:textId="77777777" w:rsidR="002F768E" w:rsidRDefault="002F768E" w:rsidP="00C35C6B">
      <w:pPr>
        <w:spacing w:after="0" w:line="360" w:lineRule="auto"/>
        <w:ind w:left="426" w:firstLine="567"/>
        <w:rPr>
          <w:rFonts w:eastAsia="Times New Roman" w:cs="Times New Roman"/>
          <w:szCs w:val="24"/>
        </w:rPr>
      </w:pPr>
      <w:r>
        <w:t xml:space="preserve">Penelitian terdahulu menunjukkan bahwa mekanisme restitusi bagi korban tindak pidana, khususnya perdagangan orang dan kejahatan seksual, masih jauh dari efektif dalam memberikan perlindungan yang berorientasi pada keadilan. Jarot Jati Bagus Suseno </w:t>
      </w:r>
      <w:r>
        <w:lastRenderedPageBreak/>
        <w:t>melalui karyanya menegaskan bahwa korban perdagangan orang belum memperoleh restitusi yang memadai meskipun telah ada upaya melalui Undang-Undang Nomor 21 Tahun 2007, karena persoalan struktural dan substansial, termasuk penafsiran hukum yang terlalu formalistik dan keterbatasan korban dalam menuntut haknya.</w:t>
      </w:r>
      <w:r>
        <w:rPr>
          <w:rStyle w:val="FootnoteReference"/>
          <w:rFonts w:cs="Times New Roman"/>
          <w:szCs w:val="24"/>
        </w:rPr>
        <w:footnoteReference w:id="11"/>
      </w:r>
      <w:r>
        <w:t xml:space="preserve"> Sejalan dengan itu, Fatin Hamamah menyoroti lemahnya perlindungan restitusi bagi anak korban kejahatan seksual, yang masih terkendala prosedur kasus per kasus dan keterbatasan kewenangan LPSK, serta dominannya orientasi hukum pidana yang berpusat pada pelaku sehingga hak pemulihan korban terabaikan.</w:t>
      </w:r>
      <w:r>
        <w:rPr>
          <w:rStyle w:val="FootnoteReference"/>
          <w:rFonts w:cs="Times New Roman"/>
          <w:szCs w:val="24"/>
        </w:rPr>
        <w:footnoteReference w:id="12"/>
      </w:r>
      <w:r>
        <w:t xml:space="preserve"> Sementara itu, penelitian Yuhelson menekankan aspek pertanggungjawaban korporasi, di mana meskipun undang-undang telah menetapkan perusahaan sebagai subjek hukum yang dapat dimintai pertanggungjawaban pidana, implementasinya masih sangat terbatas.</w:t>
      </w:r>
      <w:r>
        <w:rPr>
          <w:rStyle w:val="FootnoteReference"/>
          <w:rFonts w:cs="Times New Roman"/>
          <w:color w:val="000000"/>
          <w:spacing w:val="6"/>
          <w:szCs w:val="24"/>
          <w:shd w:val="clear" w:color="auto" w:fill="FFFFFF"/>
        </w:rPr>
        <w:footnoteReference w:id="13"/>
      </w:r>
      <w:r>
        <w:t xml:space="preserve"> Hal ini memperlihatkan perlunya penguatan regulasi dan penegakan hukum agar restitusi benar-benar menjadi instrumen pemulihan korban yang efektif, baik terhadap individu maupun korporasi sebagai pelaku tindak pidana.</w:t>
      </w:r>
    </w:p>
    <w:p w14:paraId="1B3018EF" w14:textId="77777777" w:rsidR="002F768E" w:rsidRDefault="002F768E" w:rsidP="00C35C6B">
      <w:pPr>
        <w:spacing w:after="0" w:line="360" w:lineRule="auto"/>
        <w:ind w:left="426" w:firstLine="567"/>
        <w:rPr>
          <w:rFonts w:eastAsia="Times New Roman" w:cs="Times New Roman"/>
          <w:szCs w:val="24"/>
        </w:rPr>
      </w:pPr>
      <w:r w:rsidRPr="002F768E">
        <w:rPr>
          <w:rFonts w:eastAsia="Times New Roman" w:cs="Times New Roman"/>
          <w:szCs w:val="24"/>
          <w:lang w:val="en-ID"/>
        </w:rPr>
        <w:t>Berdasarkan penelitian terdahulu dan berbagai persoalan implementasi restitusi, terlihat bahwa titik krusial dalam memastikan pemulihan korban tindak pidana perdagangan orang terletak pada mekanisme penyitaan aset pelaku. Penelitian ini memfokuskan kajian pada apakah penyitaan terhadap harta kekayaan tersangka atau terdakwa dapat dilakukan sejak tahap penyidikan, penuntutan, hingga pemeriksaan di persidangan sebagai jaminan pelaksanaan pembayaran restitusi. Hal ini penting mengingat masih terdapat kekosongan hukum baik dalam Peraturan Mahkamah Agung maupun peraturan perundang-undangan lain yang berlaku. Penyitaan aset berfungsi strategis tidak hanya sebagai jaminan hak korban untuk memperoleh restitusi, tetapi juga untuk menutup celah yang kerap dimanfaatkan pelaku guna menyembunyikan atau mengalihkan harta agar terhindar dari kewajiban hukum.</w:t>
      </w:r>
    </w:p>
    <w:p w14:paraId="0A0357BF" w14:textId="69766EDC" w:rsidR="002F768E" w:rsidRDefault="002F768E" w:rsidP="00C35C6B">
      <w:pPr>
        <w:spacing w:after="0" w:line="360" w:lineRule="auto"/>
        <w:ind w:left="426" w:firstLine="567"/>
        <w:rPr>
          <w:rFonts w:eastAsia="Times New Roman" w:cs="Times New Roman"/>
          <w:szCs w:val="24"/>
          <w:lang w:val="en-ID"/>
        </w:rPr>
      </w:pPr>
      <w:r w:rsidRPr="002F768E">
        <w:rPr>
          <w:rFonts w:eastAsia="Times New Roman" w:cs="Times New Roman"/>
          <w:szCs w:val="24"/>
          <w:lang w:val="en-ID"/>
        </w:rPr>
        <w:t xml:space="preserve">Dengan adanya penyitaan, korban akan mendapatkan kepastian hukum serta pemulihan yang layak, sementara bagi pelaku, langkah ini menjadi instrumen efek jera yang sekaligus mempersempit ruang gerak jaringan kejahatan perdagangan orang. Tanpa </w:t>
      </w:r>
      <w:r w:rsidRPr="002F768E">
        <w:rPr>
          <w:rFonts w:eastAsia="Times New Roman" w:cs="Times New Roman"/>
          <w:szCs w:val="24"/>
          <w:lang w:val="en-ID"/>
        </w:rPr>
        <w:lastRenderedPageBreak/>
        <w:t xml:space="preserve">adanya jaminan aset, pemulihan bagi korban akan semakin sulit, sehingga penderitaan mereka justru berkepanjangan. Oleh karena itu, </w:t>
      </w:r>
      <w:r>
        <w:t>penelitian ini bertujuan untuk menganalisis secara mendalam konsep restitusi dalam tindak pidana perdagangan orang, menelaah kendala dalam implementasi regulasi restitusi sebagai bentuk perlindungan korban, serta merancang konsep penyitaan harta pelaku sebagai mekanisme yang menjamin terlaksananya restitusi. Dengan demikian, penelitian ini diharapkan mampu memperkuat dasar hukum sekaligus memberikan perlindungan yang lebih komprehensif bagi korban</w:t>
      </w:r>
      <w:r w:rsidRPr="002F768E">
        <w:rPr>
          <w:rFonts w:eastAsia="Times New Roman" w:cs="Times New Roman"/>
          <w:szCs w:val="24"/>
          <w:lang w:val="en-ID"/>
        </w:rPr>
        <w:t>.</w:t>
      </w:r>
    </w:p>
    <w:p w14:paraId="7F87D5B2" w14:textId="77777777" w:rsidR="002F768E" w:rsidRDefault="002F768E" w:rsidP="00C35C6B">
      <w:pPr>
        <w:spacing w:after="0" w:line="360" w:lineRule="auto"/>
        <w:ind w:left="426" w:firstLine="567"/>
        <w:rPr>
          <w:rFonts w:eastAsia="Times New Roman" w:cs="Times New Roman"/>
          <w:szCs w:val="24"/>
          <w:lang w:val="en-ID"/>
        </w:rPr>
      </w:pPr>
    </w:p>
    <w:p w14:paraId="2C22A952" w14:textId="5D9BF41C" w:rsidR="002F768E" w:rsidRPr="002F768E" w:rsidRDefault="002F768E" w:rsidP="00C35C6B">
      <w:pPr>
        <w:pStyle w:val="ListParagraph"/>
        <w:numPr>
          <w:ilvl w:val="0"/>
          <w:numId w:val="3"/>
        </w:numPr>
        <w:spacing w:after="0" w:line="360" w:lineRule="auto"/>
        <w:ind w:left="426"/>
        <w:rPr>
          <w:b/>
          <w:bCs/>
        </w:rPr>
      </w:pPr>
      <w:r w:rsidRPr="002F768E">
        <w:rPr>
          <w:b/>
          <w:bCs/>
        </w:rPr>
        <w:t>Metode Penelitian</w:t>
      </w:r>
    </w:p>
    <w:p w14:paraId="06F0584A" w14:textId="77777777" w:rsidR="002F768E" w:rsidRDefault="002F768E" w:rsidP="00C35C6B">
      <w:pPr>
        <w:spacing w:after="0" w:line="360" w:lineRule="auto"/>
        <w:ind w:left="426" w:firstLine="567"/>
      </w:pPr>
      <w:r>
        <w:t xml:space="preserve">Metode penelitian ini menggunakan pendekatan campuran atau </w:t>
      </w:r>
      <w:r>
        <w:rPr>
          <w:rStyle w:val="Emphasis"/>
        </w:rPr>
        <w:t>mixed methods</w:t>
      </w:r>
      <w:r>
        <w:t xml:space="preserve"> dengan menggabungkan penelitian yuridis normatif dan empiris, serta pendekatan partisipatoris yang menempatkan peneliti tidak hanya sebagai pengamat, tetapi juga sebagai pelaku yang terlibat langsung dalam praktik penegakan hukum, khususnya dalam pelaksanaan restitusi dan penyitaan aset pada tindak pidana perdagangan orang. Spesifikasi penelitian ditujukan untuk menganalisis asas hukum, sistematika, keselarasan, dan efektivitas norma dalam praktik, sehingga dipadukan antara kajian doktrinal melalui studi kepustakaan dengan observasi empiris di lapangan. </w:t>
      </w:r>
    </w:p>
    <w:p w14:paraId="079027C7" w14:textId="77777777" w:rsidR="002F768E" w:rsidRDefault="002F768E" w:rsidP="00C35C6B">
      <w:pPr>
        <w:spacing w:after="0" w:line="360" w:lineRule="auto"/>
        <w:ind w:left="426" w:firstLine="567"/>
      </w:pPr>
      <w:r>
        <w:t xml:space="preserve">Pendekatan penelitian yang digunakan meliputi pendekatan undang-undang, konseptual, historis, komparatif, substantif, dan kasuistik, guna memberikan landasan analisis yang komprehensif. Teknik pengumpulan data dilakukan melalui studi kepustakaan yang menelaah peraturan perundang-undangan, doktrin hukum, dan literatur akademis, serta studi lapangan dengan wawancara mendalam kepada jaksa, penyidik, hakim, anggota LPSK, dan bila memungkinkan korban TPPO, untuk menggali kendala implementasi restitusi. </w:t>
      </w:r>
    </w:p>
    <w:p w14:paraId="5F800AB2" w14:textId="0305FB7C" w:rsidR="003B30B5" w:rsidRDefault="002F768E" w:rsidP="00C35C6B">
      <w:pPr>
        <w:spacing w:after="0" w:line="360" w:lineRule="auto"/>
        <w:ind w:left="426" w:firstLine="567"/>
      </w:pPr>
      <w:r>
        <w:t xml:space="preserve">Data yang dihimpun diklasifikasikan sebagai data primer, sekunder, dan tersier, yang kemudian dianalisis dengan teknik triangulasi agar validitas dan reliabilitasnya terjamin. Analisis data dilakukan secara kualitatif dengan pendekatan deskriptif-analitis yang memadukan logika hukum dan temuan empiris, serta diperkuat oleh teori negara hukum Pancasila, teori perlindungan hukum, teori penegakan hukum pidana, dan teori pemidanaan. Seluruh kerangka metode ini ditujukan untuk menilai kesesuaian norma dengan praktik, mengidentifikasi hambatan implementasi penyitaan aset sebagai jaminan restitusi, dan merumuskan konsep hukum yang aplikatif serta berorientasi pada </w:t>
      </w:r>
      <w:r>
        <w:lastRenderedPageBreak/>
        <w:t>perlindungan korban. Penelitian ini dilaksanakan di Pengadilan, Kejaksaan, Kepolisian, dan Lembaga Perlindungan Saksi dan Korban (LPSK).</w:t>
      </w:r>
    </w:p>
    <w:p w14:paraId="178D6505" w14:textId="77777777" w:rsidR="00C35C6B" w:rsidRDefault="00C35C6B" w:rsidP="002F768E">
      <w:pPr>
        <w:spacing w:after="0" w:line="480" w:lineRule="auto"/>
        <w:ind w:left="426" w:firstLine="567"/>
      </w:pPr>
    </w:p>
    <w:p w14:paraId="3EE42C48" w14:textId="4A550D8C" w:rsidR="002F768E" w:rsidRDefault="002F768E" w:rsidP="00C35C6B">
      <w:pPr>
        <w:pStyle w:val="ListParagraph"/>
        <w:numPr>
          <w:ilvl w:val="0"/>
          <w:numId w:val="3"/>
        </w:numPr>
        <w:spacing w:after="0" w:line="360" w:lineRule="auto"/>
        <w:ind w:left="426" w:hanging="357"/>
        <w:rPr>
          <w:b/>
          <w:bCs/>
        </w:rPr>
      </w:pPr>
      <w:r w:rsidRPr="002F768E">
        <w:rPr>
          <w:b/>
          <w:bCs/>
        </w:rPr>
        <w:t>Hasil Dan Pembahasan</w:t>
      </w:r>
    </w:p>
    <w:p w14:paraId="44D794B9" w14:textId="7A96EFD1" w:rsidR="002F768E" w:rsidRDefault="002F768E" w:rsidP="00C35C6B">
      <w:pPr>
        <w:pStyle w:val="Heading2"/>
        <w:numPr>
          <w:ilvl w:val="0"/>
          <w:numId w:val="9"/>
        </w:numPr>
        <w:spacing w:before="0" w:line="360" w:lineRule="auto"/>
        <w:ind w:hanging="357"/>
        <w:rPr>
          <w:lang w:val="en-GB"/>
        </w:rPr>
      </w:pPr>
      <w:bookmarkStart w:id="1" w:name="_Toc195476911"/>
      <w:bookmarkStart w:id="2" w:name="_Toc198707916"/>
      <w:bookmarkStart w:id="3" w:name="_Toc198720223"/>
      <w:bookmarkStart w:id="4" w:name="_Toc200619974"/>
      <w:bookmarkStart w:id="5" w:name="_Toc200666585"/>
      <w:bookmarkStart w:id="6" w:name="_Toc204140913"/>
      <w:bookmarkStart w:id="7" w:name="_Toc209034632"/>
      <w:bookmarkStart w:id="8" w:name="_Hlk193290044"/>
      <w:r>
        <w:rPr>
          <w:lang w:val="en-GB"/>
        </w:rPr>
        <w:t>Tindak Pidana Perdagangan Orang Termasuk Tindak Pidana Yang Dapat Diterapkan Restitusi</w:t>
      </w:r>
      <w:bookmarkEnd w:id="1"/>
      <w:bookmarkEnd w:id="2"/>
      <w:bookmarkEnd w:id="3"/>
      <w:bookmarkEnd w:id="4"/>
      <w:bookmarkEnd w:id="5"/>
      <w:bookmarkEnd w:id="6"/>
      <w:bookmarkEnd w:id="7"/>
      <w:r>
        <w:rPr>
          <w:lang w:val="en-GB"/>
        </w:rPr>
        <w:t xml:space="preserve"> </w:t>
      </w:r>
      <w:bookmarkEnd w:id="8"/>
    </w:p>
    <w:p w14:paraId="2856A17E" w14:textId="20911339" w:rsidR="00C35C6B" w:rsidRDefault="00C35C6B" w:rsidP="00C35C6B">
      <w:pPr>
        <w:spacing w:after="0" w:line="360" w:lineRule="auto"/>
        <w:ind w:left="1134" w:firstLine="567"/>
      </w:pPr>
      <w:r w:rsidRPr="00C35C6B">
        <w:t>Tindak Pidana Perdagangan Orang (TPPO) merupakan kejahatan berat yang merampas martabat korban, merusak jaringan sosial, dan melemahkan sendi moral masyarakat. Restitusi dalam konteks ini tidak hanya dimaknai sebagai ganti rugi atas kerugian materiil, tetapi juga sebagai pemulihan kerugian immateriil seperti trauma, stigma sosial, dan hilangnya rasa aman. Dengan demikian, restitusi menjadi wujud tanggung jawab moral pelaku sekaligus kewajiban negara untuk menjamin keadilan substantif, yang tidak berhenti pada pemidanaan pelaku, melainkan memastikan pemulihan hak-hak korban. Dalam kerangka keadilan korektif, restitusi berfungsi mengembalikan keseimbangan moral, sosial, dan hukum yang dirusak oleh tindak pidana</w:t>
      </w:r>
      <w:r>
        <w:t>.</w:t>
      </w:r>
      <w:r>
        <w:rPr>
          <w:rStyle w:val="FootnoteReference"/>
        </w:rPr>
        <w:footnoteReference w:id="14"/>
      </w:r>
    </w:p>
    <w:p w14:paraId="0855335C" w14:textId="77777777" w:rsidR="00C35C6B" w:rsidRDefault="00C35C6B" w:rsidP="00C35C6B">
      <w:pPr>
        <w:spacing w:after="0" w:line="360" w:lineRule="auto"/>
        <w:ind w:left="1134" w:firstLine="567"/>
      </w:pPr>
      <w:r>
        <w:t>Restitusi bukan sekadar instrumen hukum tambahan, melainkan pilar utama yang menegaskan komitmen negara hukum untuk melindungi korban dari kerentanan struktural pasca putusan pengadilan.</w:t>
      </w:r>
      <w:r>
        <w:rPr>
          <w:rStyle w:val="FootnoteReference"/>
        </w:rPr>
        <w:footnoteReference w:id="15"/>
      </w:r>
      <w:r>
        <w:t xml:space="preserve"> Pemikiran keadilan korektif menurut Ernest Weinrib menekankan adanya hubungan kausal yang melekat antara pelaku dan korban, sehingga kewajiban restitusi bersifat personal dan tak terpisahkan dari proses pemidanaan. </w:t>
      </w:r>
      <w:r>
        <w:t>R</w:t>
      </w:r>
      <w:r>
        <w:t>estitusi dipandang sebagai sarana restoratif yang memulihkan posisi korban sebelum kejahatan terjadi sekaligus melindungi mereka dari reviktimisasi akibat proses peradilan yang sering kali mengabaikan suara korban.</w:t>
      </w:r>
      <w:r>
        <w:rPr>
          <w:rStyle w:val="FootnoteReference"/>
        </w:rPr>
        <w:footnoteReference w:id="16"/>
      </w:r>
      <w:r>
        <w:t xml:space="preserve"> </w:t>
      </w:r>
    </w:p>
    <w:p w14:paraId="24B6ACD0" w14:textId="77777777" w:rsidR="00BB02C4" w:rsidRDefault="00C35C6B" w:rsidP="00BB02C4">
      <w:pPr>
        <w:spacing w:after="0" w:line="360" w:lineRule="auto"/>
        <w:ind w:left="1134" w:firstLine="567"/>
      </w:pPr>
      <w:r>
        <w:t xml:space="preserve">Filsafat hukum klasik, khususnya pemikiran John Locke, memperkuat landasan ini dengan menegaskan bahwa setiap individu memiliki hak kodrati atas kehidupan, kebebasan, dan kepemilikan, sehingga pelanggaran terhadap hak-hak tersebut secara moral menimbulkan kewajiban untuk memulihkan kerugian yang ditimbulkan. Locke menegaskan bahwa korban memiliki hak istimewa untuk menuntut pemulihan selain hak umum untuk menghukum pelaku, menunjukkan </w:t>
      </w:r>
      <w:r>
        <w:lastRenderedPageBreak/>
        <w:t>bahwa restitusi merupakan hak moral yang melekat pada kodrat manusia dan bersumber dari prinsip keadilan alamiah, bukan sekadar konsekuensi legal formal.</w:t>
      </w:r>
      <w:r>
        <w:rPr>
          <w:rStyle w:val="FootnoteReference"/>
        </w:rPr>
        <w:footnoteReference w:id="17"/>
      </w:r>
      <w:r>
        <w:t xml:space="preserve"> </w:t>
      </w:r>
    </w:p>
    <w:p w14:paraId="684B4EDA" w14:textId="77777777" w:rsidR="00BB02C4" w:rsidRDefault="00C35C6B" w:rsidP="00BB02C4">
      <w:pPr>
        <w:spacing w:after="0" w:line="360" w:lineRule="auto"/>
        <w:ind w:left="1134" w:firstLine="567"/>
      </w:pPr>
      <w:r>
        <w:t>Restitusi bagi korban Tindak Pidana Perdagangan Orang (TPPO) merupakan konsekuensi logis dari kewajiban negara untuk melindungi hak kodrati warga negara.</w:t>
      </w:r>
      <w:r>
        <w:rPr>
          <w:rStyle w:val="FootnoteReference"/>
        </w:rPr>
        <w:footnoteReference w:id="18"/>
      </w:r>
      <w:r>
        <w:t xml:space="preserve"> Dalam kerangka kontrak sosial John Locke, negara hadir sebagai penjamin hak milik dan kebebasan individu, sehingga kewajiban untuk memfasilitasi restitusi bukan sekadar fungsi administratif, melainkan realisasi mandat moral untuk menjaga hak-hak dasar korban. Thomas Hill Green dan Robert Nozick memperluas gagasan ini,</w:t>
      </w:r>
      <w:r w:rsidR="00C84875">
        <w:rPr>
          <w:rStyle w:val="FootnoteReference"/>
        </w:rPr>
        <w:footnoteReference w:id="19"/>
      </w:r>
      <w:r>
        <w:t xml:space="preserve"> menekankan perlunya perlindungan aktif dan pemulihan hak properti serta kebebasan individu agar status moral korban dapat dikembalikan.</w:t>
      </w:r>
      <w:r w:rsidR="00C84875">
        <w:rPr>
          <w:rStyle w:val="FootnoteReference"/>
        </w:rPr>
        <w:footnoteReference w:id="20"/>
      </w:r>
      <w:r w:rsidR="00C84875">
        <w:t xml:space="preserve"> </w:t>
      </w:r>
      <w:r>
        <w:t>Prinsip keadilan korektif Aristoteles dan teori keadilan sosial John Rawls menegaskan bahwa restitusi tidak hanya mengoreksi kerugian individual,</w:t>
      </w:r>
      <w:r w:rsidR="00C84875">
        <w:rPr>
          <w:rStyle w:val="FootnoteReference"/>
        </w:rPr>
        <w:footnoteReference w:id="21"/>
      </w:r>
      <w:r>
        <w:t xml:space="preserve"> tetapi juga berfungsi sebagai mekanisme redistribusi keadilan sosial,</w:t>
      </w:r>
      <w:r w:rsidR="00C84875">
        <w:rPr>
          <w:rStyle w:val="FootnoteReference"/>
        </w:rPr>
        <w:footnoteReference w:id="22"/>
      </w:r>
      <w:r>
        <w:t xml:space="preserve"> sementara pendekatan keadilan restoratif Howard Zehr menambahkan dimensi relasional dan komunitarian, yang menekankan rekonsiliasi sosial dan pemulihan hubungan yang rusak akibat kejahatan.</w:t>
      </w:r>
      <w:r>
        <w:rPr>
          <w:rStyle w:val="FootnoteReference"/>
        </w:rPr>
        <w:footnoteReference w:id="23"/>
      </w:r>
    </w:p>
    <w:p w14:paraId="27B66871" w14:textId="77777777" w:rsidR="00BB02C4" w:rsidRDefault="00C84875" w:rsidP="00BB02C4">
      <w:pPr>
        <w:spacing w:after="0" w:line="360" w:lineRule="auto"/>
        <w:ind w:left="1134" w:firstLine="567"/>
      </w:pPr>
      <w:r>
        <w:t>Dalam konteks Indonesia, landasan restitusi diperkuat oleh nilai-nilai Pancasila dan konstitusi. Sila Kedua menuntut penghormatan terhadap martabat manusia, sedangkan Sila Kelima menegaskan keadilan sosial bagi seluruh rakyat, sehingga restitusi mencakup pemulihan materiil dan immateriil korban. Notonagoro menegaskan bahwa Pancasila bersifat integralistik, menyeimbangkan kepentingan individu, masyarakat, dan negara, sehingga perlindungan korban TPPO menjadi tanggung jawab kolektif.</w:t>
      </w:r>
      <w:r w:rsidRPr="00C84875">
        <w:rPr>
          <w:rStyle w:val="Heading2Char"/>
        </w:rPr>
        <w:t xml:space="preserve"> </w:t>
      </w:r>
      <w:r>
        <w:rPr>
          <w:rStyle w:val="FootnoteReference"/>
        </w:rPr>
        <w:footnoteReference w:id="24"/>
      </w:r>
      <w:r>
        <w:t xml:space="preserve"> </w:t>
      </w:r>
    </w:p>
    <w:p w14:paraId="1AD3B558" w14:textId="77777777" w:rsidR="00BB02C4" w:rsidRDefault="00C84875" w:rsidP="00BB02C4">
      <w:pPr>
        <w:spacing w:after="0" w:line="360" w:lineRule="auto"/>
        <w:ind w:left="1134" w:firstLine="567"/>
      </w:pPr>
      <w:r>
        <w:t xml:space="preserve">Pasal 28G ayat (1) dan Pasal 27 ayat (2) UUD 1945 menegaskan hak warga negara atas perlindungan diri, kehormatan, martabat, harta benda, serta pekerjaan </w:t>
      </w:r>
      <w:r>
        <w:lastRenderedPageBreak/>
        <w:t>dan penghidupan yang layak, yang secara langsung dilanggar oleh pelaku TPPO. Mekanisme penyitaan aset pelaku, sebagaimana diatur dalam Pasal 48–50 UU Nomor 21 Tahun 2007 dan diperkuat PERMA Nomor 1 Tahun 2022, menjadi instrumen afirmatif untuk memastikan restitusi terlaksana secara efektif, bukan sekadar formalitas hukum.</w:t>
      </w:r>
      <w:r w:rsidRPr="00C84875">
        <w:rPr>
          <w:rStyle w:val="FootnoteReference"/>
        </w:rPr>
        <w:t xml:space="preserve"> </w:t>
      </w:r>
      <w:r>
        <w:rPr>
          <w:rStyle w:val="FootnoteReference"/>
        </w:rPr>
        <w:footnoteReference w:id="25"/>
      </w:r>
    </w:p>
    <w:p w14:paraId="4DBDD69D" w14:textId="77777777" w:rsidR="00BB02C4" w:rsidRDefault="00C84875" w:rsidP="00BB02C4">
      <w:pPr>
        <w:spacing w:after="0" w:line="360" w:lineRule="auto"/>
        <w:ind w:left="1134" w:firstLine="567"/>
      </w:pPr>
      <w:r>
        <w:t xml:space="preserve">Pendekatan hukum progresif dan </w:t>
      </w:r>
      <w:r w:rsidRPr="00C84875">
        <w:rPr>
          <w:i/>
          <w:iCs/>
        </w:rPr>
        <w:t>human-centered law</w:t>
      </w:r>
      <w:r>
        <w:t xml:space="preserve"> menekankan bahwa restitusi harus berpihak pada korban sebagai subjek utama keadilan. Satjipto Rahardjo dan Eugen Ehrlich menegaskan bahwa hukum harus menjadi sarana pemulihan nilai kemanusiaan dan kesejahteraan korban, bukan sekadar penegakan formalitas legalistik.</w:t>
      </w:r>
      <w:r>
        <w:rPr>
          <w:rStyle w:val="FootnoteReference"/>
        </w:rPr>
        <w:footnoteReference w:id="26"/>
      </w:r>
      <w:r>
        <w:t xml:space="preserve"> Perlindungan represif sebagaimana dikemukakan Philipus M. Hadjon menekankan bahwa restitusi harus efektif, dimulai dari penyitaan aset sejak tahap awal penyidikan hingga pemberian kompensasi jika pelaku tidak mampu membayar.</w:t>
      </w:r>
      <w:r>
        <w:rPr>
          <w:rStyle w:val="FootnoteReference"/>
        </w:rPr>
        <w:footnoteReference w:id="27"/>
      </w:r>
      <w:r>
        <w:t xml:space="preserve"> Prinsip positive obligation dalam hukum HAM internasional dan Protokol Palermo, yang diadopsi melalui UU Nomor 21 Tahun 2007, memperkuat kewajiban negara untuk menjamin restitusi sebagai bagian integral dari hak asasi manusia</w:t>
      </w:r>
      <w:r w:rsidR="00C35C6B">
        <w:t>.</w:t>
      </w:r>
      <w:r w:rsidR="00C35C6B">
        <w:rPr>
          <w:rStyle w:val="FootnoteReference"/>
        </w:rPr>
        <w:footnoteReference w:id="28"/>
      </w:r>
    </w:p>
    <w:p w14:paraId="342BC0CE" w14:textId="77777777" w:rsidR="00BB02C4" w:rsidRDefault="00C84875" w:rsidP="00BB02C4">
      <w:pPr>
        <w:spacing w:after="0" w:line="360" w:lineRule="auto"/>
        <w:ind w:left="1134" w:firstLine="567"/>
      </w:pPr>
      <w:r>
        <w:t xml:space="preserve">Dimensi sosiologis restitusi menekankan pemulihan martabat, reintegrasi sosial, dan pengakuan resmi atas penderitaan korban. Nancy Fraser, Nils Christie, dan Roscoe Pound menyoroti fungsi </w:t>
      </w:r>
      <w:r w:rsidRPr="00C84875">
        <w:rPr>
          <w:i/>
          <w:iCs/>
        </w:rPr>
        <w:t>recognition justice</w:t>
      </w:r>
      <w:r>
        <w:t>, restitusi sebagai ruang partisipatif bagi korban, dan sebagai alat rekayasa sosial untuk menegaskan bahwa eksploitasi manusia tidak dapat ditoleransi</w:t>
      </w:r>
      <w:r w:rsidR="00BB02C4">
        <w:t>.</w:t>
      </w:r>
      <w:r w:rsidR="00BB02C4">
        <w:rPr>
          <w:rStyle w:val="FootnoteReference"/>
        </w:rPr>
        <w:footnoteReference w:id="29"/>
      </w:r>
      <w:r>
        <w:t xml:space="preserve"> </w:t>
      </w:r>
      <w:r w:rsidR="00BB02C4">
        <w:t>R</w:t>
      </w:r>
      <w:r>
        <w:t>estitusi yang memadai memperkuat reintegrasi korban dan mengembalikan status mereka sebagai warga negara penuh, sekaligus memperbaiki kepercayaan sosial yang terganggu akibat TPPO.</w:t>
      </w:r>
    </w:p>
    <w:p w14:paraId="0C9577CA" w14:textId="3C8D8A7E" w:rsidR="002F768E" w:rsidRDefault="00BB02C4" w:rsidP="00BB02C4">
      <w:pPr>
        <w:spacing w:after="0" w:line="360" w:lineRule="auto"/>
        <w:ind w:left="1134" w:firstLine="567"/>
      </w:pPr>
      <w:r>
        <w:t xml:space="preserve">Secara keseluruhan, restitusi TPPO di Indonesia merupakan harmonisasi antara filsafat Locke tentang hak kodrati, nilai Pancasila, jaminan konstitusi UUD 1945, prinsip hukum progresif, dan standar hukum internasional. Mekanisme ini menegaskan bahwa negara wajib memastikan restitusi dilaksanakan secara substantif, memulihkan martabat korban, memperbaiki kerusakan sosial, dan </w:t>
      </w:r>
      <w:r>
        <w:lastRenderedPageBreak/>
        <w:t>menjaga integritas moral negara hukum Indonesia, bukan sekadar sebagai simbol formalitas hukum.</w:t>
      </w:r>
    </w:p>
    <w:p w14:paraId="1D06D4B3" w14:textId="77777777" w:rsidR="00D64B8F" w:rsidRDefault="00D64B8F" w:rsidP="00BB02C4">
      <w:pPr>
        <w:spacing w:after="0" w:line="360" w:lineRule="auto"/>
        <w:ind w:left="1134" w:firstLine="567"/>
      </w:pPr>
    </w:p>
    <w:p w14:paraId="69CEE415" w14:textId="21688FD4" w:rsidR="00BB02C4" w:rsidRDefault="00BB02C4" w:rsidP="00BB02C4">
      <w:pPr>
        <w:pStyle w:val="Heading2"/>
        <w:numPr>
          <w:ilvl w:val="0"/>
          <w:numId w:val="9"/>
        </w:numPr>
        <w:tabs>
          <w:tab w:val="num" w:pos="720"/>
        </w:tabs>
        <w:spacing w:before="0" w:line="360" w:lineRule="auto"/>
        <w:ind w:hanging="357"/>
        <w:rPr>
          <w:rFonts w:cs="Times New Roman"/>
          <w:szCs w:val="24"/>
        </w:rPr>
      </w:pPr>
      <w:bookmarkStart w:id="9" w:name="_Toc195476906"/>
      <w:bookmarkStart w:id="10" w:name="_Toc198707917"/>
      <w:bookmarkStart w:id="11" w:name="_Toc198720224"/>
      <w:bookmarkStart w:id="12" w:name="_Toc200619975"/>
      <w:bookmarkStart w:id="13" w:name="_Toc200666586"/>
      <w:bookmarkStart w:id="14" w:name="_Toc204140914"/>
      <w:bookmarkStart w:id="15" w:name="_Toc209034633"/>
      <w:r w:rsidRPr="00BB02C4">
        <w:rPr>
          <w:lang w:val="en-GB"/>
        </w:rPr>
        <w:t>Kendala</w:t>
      </w:r>
      <w:r>
        <w:rPr>
          <w:rFonts w:cs="Times New Roman"/>
          <w:szCs w:val="24"/>
        </w:rPr>
        <w:t xml:space="preserve"> dalam Implementasi Regulasi Restitusi sebagai Upaya Perlindungan bagi Korban Tindak Pidana Perdagangan Orang</w:t>
      </w:r>
      <w:bookmarkEnd w:id="9"/>
      <w:bookmarkEnd w:id="10"/>
      <w:bookmarkEnd w:id="11"/>
      <w:bookmarkEnd w:id="12"/>
      <w:bookmarkEnd w:id="13"/>
      <w:bookmarkEnd w:id="14"/>
      <w:bookmarkEnd w:id="15"/>
    </w:p>
    <w:p w14:paraId="43627036" w14:textId="526A3AA8" w:rsidR="00F25711" w:rsidRPr="00F25711" w:rsidRDefault="00F25711" w:rsidP="00F25711">
      <w:pPr>
        <w:pStyle w:val="ListParagraph"/>
        <w:numPr>
          <w:ilvl w:val="0"/>
          <w:numId w:val="24"/>
        </w:numPr>
        <w:ind w:left="1418"/>
        <w:rPr>
          <w:b/>
          <w:bCs/>
        </w:rPr>
      </w:pPr>
      <w:r w:rsidRPr="00F25711">
        <w:rPr>
          <w:b/>
          <w:bCs/>
        </w:rPr>
        <w:t>Kendala Substansi Hukum</w:t>
      </w:r>
    </w:p>
    <w:p w14:paraId="32D870B4" w14:textId="03E71F18" w:rsidR="00BB02C4" w:rsidRDefault="00BB02C4" w:rsidP="00F25711">
      <w:pPr>
        <w:pStyle w:val="BodyText"/>
        <w:spacing w:line="360" w:lineRule="auto"/>
        <w:ind w:left="1418" w:right="3" w:firstLine="568"/>
      </w:pPr>
      <w:r>
        <w:t>Dimensi hukum terkait tindak pidana perdagangan orang (TPPO) memunculkan sejumlah tantangan yang kompleks, karena tidak hanya melibatkan penerapan sanksi pidana, tetapi juga mekanisme restitusi korban dan prosedur pengembalian aset. Dalam konteks Indonesia, Undang-Undang Nomor 21 Tahun 2007 menegaskan bahwa setiap perekrutan, pengangkutan, penampungan, pengiriman, pemindahan, atau penerimaan seseorang untuk tujuan eksploitasi merupakan tindak pidana, termasuk bila korban atau pihak yang menguasainya memberi persetujuan, karena terdapat unsur eksploitasi yang melanggar hak asasi manusia.</w:t>
      </w:r>
      <w:r>
        <w:rPr>
          <w:rStyle w:val="FootnoteReference"/>
          <w:lang w:val="id-ID"/>
        </w:rPr>
        <w:footnoteReference w:id="30"/>
      </w:r>
      <w:r>
        <w:rPr>
          <w:color w:val="FFFFFF" w:themeColor="background1"/>
          <w:lang w:val="id-ID"/>
        </w:rPr>
        <w:t>“</w:t>
      </w:r>
      <w:r>
        <w:t xml:space="preserve"> </w:t>
      </w:r>
    </w:p>
    <w:p w14:paraId="1B2F7E73" w14:textId="7CE61037" w:rsidR="00BB02C4" w:rsidRDefault="00BB02C4" w:rsidP="00F25711">
      <w:pPr>
        <w:pStyle w:val="BodyText"/>
        <w:spacing w:line="360" w:lineRule="auto"/>
        <w:ind w:left="1418" w:right="3" w:firstLine="568"/>
      </w:pPr>
      <w:r>
        <w:t>Ancaman pidana yang disiapkan cukup berat, mulai dari tiga hingga lima belas tahun penjara dan denda ratusan juta rupiah, bahkan dapat bertambah sepertiga bila korban mengalami kerugian fisik, psikologis, atau reproduktif, serta pidana seumur hidup bila korban meninggal.</w:t>
      </w:r>
      <w:r w:rsidR="00F25711">
        <w:rPr>
          <w:rStyle w:val="FootnoteReference"/>
          <w:lang w:val="id-ID"/>
        </w:rPr>
        <w:footnoteReference w:id="31"/>
      </w:r>
      <w:r>
        <w:t xml:space="preserve"> Meski demikian, penegakan hukum sering menghadapi kesulitan, antara lain dalam pembuktian unsur eksploitasi, lemahnya efek jera terhadap pelaku jaringan transnasional, koordinasi antarpenegak hukum yang belum optimal, dan perlindungan korban yang minim, baik secara fisik maupun psikologis.</w:t>
      </w:r>
      <w:r w:rsidR="00F25711">
        <w:rPr>
          <w:rStyle w:val="FootnoteReference"/>
          <w:lang w:val="id-ID"/>
        </w:rPr>
        <w:footnoteReference w:id="32"/>
      </w:r>
    </w:p>
    <w:p w14:paraId="3920B811" w14:textId="2336AF65" w:rsidR="00BB02C4" w:rsidRDefault="00BB02C4" w:rsidP="00F25711">
      <w:pPr>
        <w:pStyle w:val="BodyText"/>
        <w:spacing w:line="360" w:lineRule="auto"/>
        <w:ind w:left="1418" w:right="3" w:firstLine="568"/>
      </w:pPr>
      <w:r>
        <w:t xml:space="preserve">Pasal-pasal dari 2 hingga 12 UU No. 21 Tahun 2007 mengadopsi prinsip delik biasa, delik percobaan, dan delik permufakatan jahat, serta memperluas pertanggungjawaban pidana hingga pihak yang memanfaatkan korban TPPO, termasuk penyelenggara negara, dengan tambahan sanksi administrasi berupa pemecatan tidak hormat. Kendala implementasi juga muncul karena bukti tidak </w:t>
      </w:r>
      <w:r>
        <w:lastRenderedPageBreak/>
        <w:t xml:space="preserve">langsung seringkali sulit diperoleh, perlindungan korban domestik maupun internasional belum memadai, serta deteksi jaringan internasional yang cenderung tertutup. Perbandingan dengan sistem hukum Amerika Serikat menunjukkan pendekatan yang lebih sistematis terhadap restitusi korban TPPO, karena </w:t>
      </w:r>
      <w:r>
        <w:rPr>
          <w:rStyle w:val="Emphasis"/>
          <w:rFonts w:eastAsiaTheme="majorEastAsia"/>
        </w:rPr>
        <w:t>Trafficking Victims Protection Act</w:t>
      </w:r>
      <w:r>
        <w:t xml:space="preserve"> menekankan penegakan aset pelaku dan dukungan langsung bagi korban, termasuk layanan medis, psikologis, bantuan hukum, serta koordinasi lintas negara bagian dan federal yang mempercepat proses restitusi. Pendekatan ini menekankan responsivitas terhadap kebutuhan korban, berbeda dengan prosedur Indonesia yang lebih birokratis dan berlapis.</w:t>
      </w:r>
      <w:r w:rsidR="00F25711">
        <w:rPr>
          <w:rStyle w:val="FootnoteReference"/>
          <w:lang w:val="id-ID"/>
        </w:rPr>
        <w:footnoteReference w:id="33"/>
      </w:r>
    </w:p>
    <w:p w14:paraId="072FC945" w14:textId="5C9D777A" w:rsidR="00F25711" w:rsidRDefault="00BB02C4" w:rsidP="00D64B8F">
      <w:pPr>
        <w:pStyle w:val="BodyText"/>
        <w:spacing w:line="360" w:lineRule="auto"/>
        <w:ind w:left="1418" w:right="3" w:firstLine="568"/>
      </w:pPr>
      <w:r>
        <w:t>Dari aspek birokrasi, Pasal 48 UU No. 21 Tahun 2007 menjamin hak korban atau ahli waris atas restitusi berupa kompensasi kerugian materiil, penderitaan, biaya medis atau psikologis, serta kerugian lain akibat TPPO. Namun, pengajuan klaim memerlukan dokumen lengkap sesuai Pasal 5 Peraturan Mahkamah Agung No. 1 Tahun 2022, termasuk identitas pemohon dan korban, uraian tindak pidana, bukti kerugian, surat kuasa, dan dokumen pendukung tambahan. Pemeriksaan administrasi diatur dalam Pasal 13 yang mewajibkan panitera menilai kelengkapan dokumen dalam dua hari, dengan kesempatan perbaikan tujuh hari, dilanjutkan penunjukan hakim dan panitera pengganti, serta tahapan sidang diatur dalam Pasal 14 dengan batas maksimal 21 hari untuk putusan. Proses panjang ini, yang melibatkan pemeriksaan alat bukti, pemanggilan pihak ketiga, tanggapan terdakwa, hingga potensi banding, sering menyebabkan restitusi korban tertunda, terutama bila pelaku tidak memiliki aset atau kasus melibatkan beberapa terdakwa dengan peran berbeda.</w:t>
      </w:r>
    </w:p>
    <w:p w14:paraId="65A83D15" w14:textId="1748FE5A" w:rsidR="00F25711" w:rsidRPr="00F25711" w:rsidRDefault="00F25711" w:rsidP="00F25711">
      <w:pPr>
        <w:pStyle w:val="ListParagraph"/>
        <w:numPr>
          <w:ilvl w:val="0"/>
          <w:numId w:val="24"/>
        </w:numPr>
        <w:ind w:left="1418"/>
        <w:rPr>
          <w:b/>
          <w:bCs/>
        </w:rPr>
      </w:pPr>
      <w:r w:rsidRPr="00F25711">
        <w:rPr>
          <w:b/>
          <w:bCs/>
        </w:rPr>
        <w:t>Kendala Penegakan Hukum</w:t>
      </w:r>
    </w:p>
    <w:p w14:paraId="68583055" w14:textId="44ABC76A" w:rsidR="00F25711" w:rsidRDefault="00F25711" w:rsidP="00F25711">
      <w:pPr>
        <w:pStyle w:val="BodyText"/>
        <w:spacing w:line="360" w:lineRule="auto"/>
        <w:ind w:left="1418" w:right="3" w:firstLine="568"/>
      </w:pPr>
      <w:r>
        <w:t xml:space="preserve">Kendala dalam penegakan hukum terkait penyitaan aset pelaku untuk restitusi korban TPPO di Indonesia merupakan isu yang sangat kompleks dan multidimensional, yang melibatkan aspek normatif, struktural, administratif, dan filosofis. Meskipun UU Nomor 21 Tahun 2007 dan Peraturan Mahkamah Agung Nomor 1 Tahun 2022 secara jelas menjamin hak korban atas restitusi, implementasinya masih bergantung pada inisiatif korban atau kuasa hukumnya, </w:t>
      </w:r>
      <w:r>
        <w:lastRenderedPageBreak/>
        <w:t>sehingga proses penyitaan aset pelaku baru dapat dilakukan setelah putusan pengadilan memerintahkan restitusi.</w:t>
      </w:r>
      <w:r>
        <w:rPr>
          <w:rStyle w:val="FootnoteReference"/>
          <w:rFonts w:eastAsia="Calibri"/>
        </w:rPr>
        <w:footnoteReference w:id="34"/>
      </w:r>
      <w:r>
        <w:t xml:space="preserve"> Ketergantungan ini tidak realistis mengingat kondisi psikis dan ekonomi korban yang sangat rentan, sehingga mekanisme restitusi menjadi reaktif, bukan proaktif. Hal ini membuka peluang bagi pelaku untuk menyembunyikan atau mengalihkan aset sebelum eksekusi putusan, sehingga restitusi tidak terealisasi secara nyata.</w:t>
      </w:r>
    </w:p>
    <w:p w14:paraId="3A8F2FF2" w14:textId="5C3295AC" w:rsidR="00F25711" w:rsidRDefault="00F25711" w:rsidP="00F25711">
      <w:pPr>
        <w:pStyle w:val="BodyText"/>
        <w:spacing w:line="360" w:lineRule="auto"/>
        <w:ind w:left="1418" w:right="3" w:firstLine="568"/>
      </w:pPr>
      <w:r>
        <w:t>KUHAP saat ini mengatur penyitaan lebih banyak untuk kepentingan pembuktian atau pelaksanaan pidana pokok, bukan untuk menjamin pemulihan hak korban. Pasal 38 dan 39 KUHAP menegaskan pembatasan ini, sehingga penyitaan aset pelaku TPPO untuk tujuan restitusi sering tertunda.</w:t>
      </w:r>
      <w:r>
        <w:rPr>
          <w:rStyle w:val="FootnoteReference"/>
          <w:rFonts w:eastAsia="Calibri"/>
        </w:rPr>
        <w:footnoteReference w:id="35"/>
      </w:r>
      <w:r>
        <w:t xml:space="preserve"> Kekosongan hukum ini menciptakan paradoks di mana hak korban normatif diakui, tetapi hak tersebut tidak memiliki jaminan eksekusi praktis. Sebagai konsekuensi, negara hanya dapat menerapkan pidana pengganti berupa kurungan tambahan jika pelaku tidak membayar restitusi, yang jelas tidak memberikan manfaat ekonomis nyata bagi korban.</w:t>
      </w:r>
      <w:r>
        <w:rPr>
          <w:rStyle w:val="FootnoteReference"/>
          <w:rFonts w:eastAsia="Calibri"/>
        </w:rPr>
        <w:footnoteReference w:id="36"/>
      </w:r>
    </w:p>
    <w:p w14:paraId="34E43B54" w14:textId="77777777" w:rsidR="00F25711" w:rsidRDefault="00F25711" w:rsidP="00F25711">
      <w:pPr>
        <w:pStyle w:val="BodyText"/>
        <w:spacing w:line="360" w:lineRule="auto"/>
        <w:ind w:left="1418" w:right="3" w:firstLine="568"/>
      </w:pPr>
      <w:r>
        <w:t>Secara struktural, aparat penegak hukum belum memiliki kapasitas dan koordinasi memadai untuk melakukan asset tracing secara komprehensif, baik di dalam negeri maupun lintas negara, sehingga penyitaan aset bersifat parsial dan terlambat. Ketiadaan unit khusus atau database terintegrasi mempersulit pelacakan aset yang disembunyikan atau dialihkan ke pihak ketiga. Aspek kultural juga memperparah situasi, karena korban enggan menuntut restitusi akibat trauma, rasa takut, atau stigma sosial. Kondisi ini memperlihatkan bahwa restitusi di Indonesia masih bersifat simbolik dan formal, bukan substantif.</w:t>
      </w:r>
    </w:p>
    <w:p w14:paraId="7B7D56E0" w14:textId="74CCACF9" w:rsidR="00F25711" w:rsidRDefault="00F25711" w:rsidP="00F25711">
      <w:pPr>
        <w:pStyle w:val="BodyText"/>
        <w:spacing w:line="360" w:lineRule="auto"/>
        <w:ind w:left="1418" w:right="3" w:firstLine="568"/>
      </w:pPr>
      <w:r>
        <w:t xml:space="preserve">Perbandingan dengan negara lain memperjelas kesenjangan ini. Amerika Serikat melalui 18 U.S.C. § 1593 menetapkan restitusi mandatory bagi korban TPPO dan memungkinkan </w:t>
      </w:r>
      <w:r w:rsidRPr="00F25711">
        <w:rPr>
          <w:i/>
          <w:iCs/>
        </w:rPr>
        <w:t>pre-trial asset freezing</w:t>
      </w:r>
      <w:r>
        <w:t xml:space="preserve"> sehingga aset pelaku dibekukan sejak tahap pra-persidangan. Aset ini kemudian dilelang melalui Asset Forfeiture Fund untuk pemulihan korban, memastikan ketersediaan dana saat putusan dijatuhkan. Belanda menerapkan </w:t>
      </w:r>
      <w:r>
        <w:rPr>
          <w:rStyle w:val="Emphasis"/>
          <w:rFonts w:eastAsiaTheme="majorEastAsia"/>
        </w:rPr>
        <w:t>conservatoir beslag</w:t>
      </w:r>
      <w:r>
        <w:t xml:space="preserve"> yang </w:t>
      </w:r>
      <w:r>
        <w:lastRenderedPageBreak/>
        <w:t xml:space="preserve">memungkinkan penyitaan aset secara konservatif bersamaan dengan vonis pidana, sedangkan Filipina melalui </w:t>
      </w:r>
      <w:r>
        <w:rPr>
          <w:rStyle w:val="Emphasis"/>
          <w:rFonts w:eastAsiaTheme="majorEastAsia"/>
        </w:rPr>
        <w:t>Anti-Trafficking in Persons Act</w:t>
      </w:r>
      <w:r>
        <w:t xml:space="preserve"> menyediakan kompensasi negara terlebih dahulu ketika pelaku tidak mampu membayar, kemudian menagih pelaku. Pendekatan semacam ini menekankan prinsip </w:t>
      </w:r>
      <w:r w:rsidRPr="00F25711">
        <w:rPr>
          <w:i/>
          <w:iCs/>
        </w:rPr>
        <w:t>victim-centered justice</w:t>
      </w:r>
      <w:r>
        <w:t xml:space="preserve"> dengan pemulihan korban sebagai prioritas utama, bukan sekadar penghukuman pelaku.</w:t>
      </w:r>
      <w:r>
        <w:rPr>
          <w:rStyle w:val="FootnoteReference"/>
          <w:rFonts w:eastAsia="Calibri"/>
        </w:rPr>
        <w:footnoteReference w:id="37"/>
      </w:r>
    </w:p>
    <w:p w14:paraId="31666DD7" w14:textId="490E3B37" w:rsidR="00F25711" w:rsidRDefault="00F25711" w:rsidP="00F25711">
      <w:pPr>
        <w:pStyle w:val="BodyText"/>
        <w:spacing w:line="360" w:lineRule="auto"/>
        <w:ind w:left="1418" w:right="3" w:firstLine="568"/>
      </w:pPr>
      <w:r>
        <w:t>Dalam konteks Indonesia, regulasi yang bersifat reaktif ini berakibat pada hilangnya kesempatan untuk memulihkan hak korban secara efektif. Ketidaktegasan regulasi mengenai penyitaan aset, minimnya koordinasi antarpenegak hukum, dan kurangnya pemahaman aparat terhadap urgensi restitusi membuat hak korban seringkali tidak terwujud. Secara filosofis, hal ini bertentangan dengan prinsip John Locke tentang hak kodrati manusia, di mana pelanggaran terhadap hak harus diikuti dengan reparasi atau pemulihan,</w:t>
      </w:r>
      <w:r w:rsidR="00D64B8F">
        <w:rPr>
          <w:rStyle w:val="FootnoteReference"/>
          <w:rFonts w:eastAsia="Calibri"/>
        </w:rPr>
        <w:footnoteReference w:id="38"/>
      </w:r>
      <w:r>
        <w:t xml:space="preserve"> serta dengan prinsip integralistik hukum Pancasila menurut Notonagoro, yang menempatkan kepentingan individu sebagai bagian yang tidak terpisahkan dari kepentingan negara dan masyarakat.</w:t>
      </w:r>
      <w:r w:rsidR="00D64B8F">
        <w:rPr>
          <w:rStyle w:val="FootnoteReference"/>
          <w:rFonts w:eastAsia="Calibri"/>
        </w:rPr>
        <w:footnoteReference w:id="39"/>
      </w:r>
      <w:r>
        <w:t xml:space="preserve"> Satjipto Rahardjo juga menekankan bahwa hukum harus berpihak pada manusia, sehingga restitusi yang tidak terealisasi menunjukkan bahwa penegakan hukum kehilangan orientasi kemanusiaannya.</w:t>
      </w:r>
      <w:r w:rsidR="00D64B8F">
        <w:rPr>
          <w:rStyle w:val="FootnoteReference"/>
          <w:rFonts w:eastAsia="Calibri"/>
        </w:rPr>
        <w:footnoteReference w:id="40"/>
      </w:r>
    </w:p>
    <w:p w14:paraId="3FBA42AA" w14:textId="560F1EC5" w:rsidR="00F25711" w:rsidRDefault="00F25711" w:rsidP="00F25711">
      <w:pPr>
        <w:pStyle w:val="BodyText"/>
        <w:spacing w:line="360" w:lineRule="auto"/>
        <w:ind w:left="1418" w:right="3" w:firstLine="568"/>
      </w:pPr>
      <w:r>
        <w:t>Secara empiris, data LPSK Tahun 2024 menunjukkan bahwa meski permohonan restitusi meningkat signifikan, realisasi yang diterima korban masih rendah karena ketiadaan jaminan eksekusi aset pelaku sejak awal.</w:t>
      </w:r>
      <w:r w:rsidR="00D64B8F">
        <w:rPr>
          <w:rStyle w:val="FootnoteReference"/>
          <w:rFonts w:eastAsia="Calibri"/>
        </w:rPr>
        <w:footnoteReference w:id="41"/>
      </w:r>
      <w:r>
        <w:t xml:space="preserve"> Kasus-kasus di Batam maupun Cikarang memperlihatkan bahwa meski Perma No. 1 Tahun 2022 sudah memberikan kerangka hukum lebih jelas, implementasi tetap terbentur aspek legal-administratif, rendahnya pemahaman aparat, dan minimnya kesadaran korban. Tanpa reformasi prosedural dan paradigma penegakan hukum yang mengedepankan pemulihan korban, restitusi tetap hanya formalitas tanpa substansi.</w:t>
      </w:r>
    </w:p>
    <w:p w14:paraId="4DCEF3D1" w14:textId="23C3941C" w:rsidR="00F25711" w:rsidRDefault="00F25711" w:rsidP="00F25711">
      <w:pPr>
        <w:pStyle w:val="BodyText"/>
        <w:spacing w:line="360" w:lineRule="auto"/>
        <w:ind w:left="1418" w:right="3" w:firstLine="568"/>
      </w:pPr>
      <w:r>
        <w:t xml:space="preserve">Oleh karena itu, penerapan mekanisme penyitaan aset sejak tahap awal </w:t>
      </w:r>
      <w:r>
        <w:lastRenderedPageBreak/>
        <w:t xml:space="preserve">penyidikan menjadi langkah krusial untuk menjamin restitusi yang efektif. Pendekatan seperti pre-trial asset freezing di Amerika Serikat dan </w:t>
      </w:r>
      <w:r>
        <w:rPr>
          <w:rStyle w:val="Emphasis"/>
          <w:rFonts w:eastAsiaTheme="majorEastAsia"/>
        </w:rPr>
        <w:t>ontneming</w:t>
      </w:r>
      <w:r>
        <w:t xml:space="preserve"> di Belanda dapat menjadi model adaptasi bagi Indonesia. Dengan adanya penyitaan proaktif, pelaku tidak memiliki kesempatan untuk mengalihkan atau menghabiskan asetnya, dan negara dapat memastikan bahwa harta yang disita siap dieksekusi untuk pemulihan korban saat putusan dijatuhkan. Pendekatan ini sekaligus selaras dengan prinsip negara hukum Pancasila yang mengutamakan kemanusiaan dan keadilan substantif, menggeser paradigma penegakan hukum dari sekadar retributif menjadi victim-centered justice yang nyata.</w:t>
      </w:r>
    </w:p>
    <w:p w14:paraId="2115CE71" w14:textId="77777777" w:rsidR="00D64B8F" w:rsidRDefault="00D64B8F" w:rsidP="00F25711">
      <w:pPr>
        <w:pStyle w:val="BodyText"/>
        <w:spacing w:line="360" w:lineRule="auto"/>
        <w:ind w:left="1418" w:right="3" w:firstLine="568"/>
      </w:pPr>
    </w:p>
    <w:p w14:paraId="57530F66" w14:textId="1A1D1349" w:rsidR="00D64B8F" w:rsidRPr="00D64B8F" w:rsidRDefault="00D64B8F" w:rsidP="00D64B8F">
      <w:pPr>
        <w:pStyle w:val="Heading2"/>
        <w:numPr>
          <w:ilvl w:val="0"/>
          <w:numId w:val="9"/>
        </w:numPr>
        <w:tabs>
          <w:tab w:val="num" w:pos="720"/>
        </w:tabs>
        <w:spacing w:before="0" w:line="360" w:lineRule="auto"/>
        <w:ind w:hanging="357"/>
        <w:rPr>
          <w:bCs/>
          <w:lang w:val="en-GB"/>
        </w:rPr>
      </w:pPr>
      <w:r w:rsidRPr="00D64B8F">
        <w:rPr>
          <w:lang w:val="en-GB"/>
        </w:rPr>
        <w:t>Konsep</w:t>
      </w:r>
      <w:r w:rsidRPr="00D64B8F">
        <w:rPr>
          <w:b w:val="0"/>
          <w:lang w:val="en-GB"/>
        </w:rPr>
        <w:t xml:space="preserve"> </w:t>
      </w:r>
      <w:r w:rsidRPr="00D64B8F">
        <w:rPr>
          <w:bCs/>
          <w:lang w:val="en-GB"/>
        </w:rPr>
        <w:t>Penyitaan Harta Pelaku Sebagai Upaya Perlindungan Korban Dalam Pelaksanaan Restitusi Terhadap Tindak Pidana Perdagangan Orang</w:t>
      </w:r>
    </w:p>
    <w:p w14:paraId="26B06235" w14:textId="77777777" w:rsidR="00D64B8F" w:rsidRDefault="00D64B8F" w:rsidP="00D64B8F">
      <w:pPr>
        <w:pStyle w:val="BodyText"/>
        <w:spacing w:line="360" w:lineRule="auto"/>
        <w:ind w:left="1134" w:right="3" w:firstLine="568"/>
      </w:pPr>
      <w:r>
        <w:t>Penulis menekankan bahwa penyitaan memiliki peran ganda, yakni sebagai alat pembuktian pidana sekaligus sarana perlindungan korban, karena mekanisme ini dianggap lebih tepat dan efektif untuk memastikan pelaksanaan restitusi korban TPPO. Kegagalan restitusi selama ini lebih disebabkan oleh lemahnya penyitaan sejak tahap penyidikan, sehingga ketika pengadilan memerintahkan pembayaran, pelaku seringkali telah mengalihkan atau menghabiskan hartanya, membuat hak korban berhenti pada teks putusan. Dengan menekankan fungsi ganda penyitaan, aparat penegak hukum memiliki peluang lebih besar untuk menjaga ketersediaan harta pelaku dan menegaskan tanggung jawab individualnya, sejalan dengan Pasal 31 ayat (3) UU TPKS yang membuka jalan bagi penyitaan sebagai jaminan pemulihan korban.</w:t>
      </w:r>
    </w:p>
    <w:p w14:paraId="5A3E6B2F" w14:textId="77777777" w:rsidR="00D64B8F" w:rsidRDefault="00D64B8F" w:rsidP="00D64B8F">
      <w:pPr>
        <w:pStyle w:val="BodyText"/>
        <w:spacing w:line="360" w:lineRule="auto"/>
        <w:ind w:left="1134" w:right="3" w:firstLine="568"/>
      </w:pPr>
      <w:r>
        <w:t>Mekanisme kompensasi negara, meski bagian dari kewajiban perlindungan warga, sebaiknya dijadikan upaya terakhir, karena restitusi yang dijalankan melalui penyitaan menegaskan pertanggungjawaban pelaku dan menghindari beban publik. Praktik menunjukkan bahwa kegagalan restitusi lebih disebabkan oleh lemahnya pengamanan aset pelaku daripada keterbatasan dana negara. Dengan demikian, menekankan peran ganda penyitaan menjadi langkah paling relevan dan mendesak agar restitusi benar-benar terlaksana sesuai putusan pengadilan.</w:t>
      </w:r>
    </w:p>
    <w:p w14:paraId="7099B8E1" w14:textId="5F1AEC5C" w:rsidR="00D64B8F" w:rsidRDefault="00D64B8F" w:rsidP="00D64B8F">
      <w:pPr>
        <w:pStyle w:val="BodyText"/>
        <w:spacing w:line="360" w:lineRule="auto"/>
        <w:ind w:left="1134" w:right="3" w:firstLine="568"/>
      </w:pPr>
      <w:r>
        <w:t xml:space="preserve">Dalam konteks TPPO, penyitaan aset pelaku harus diposisikan sebagai langkah strategis sejak tahap awal penyidikan, bukan sekadar alat pembuktian. Karakter TPPO yang sistemik, terorganisir, dan eksploitatif membuat aset pelaku </w:t>
      </w:r>
      <w:r>
        <w:lastRenderedPageBreak/>
        <w:t xml:space="preserve">rentan dialihkan atau disembunyikan, sehingga penundaan penyitaan menghambat pemulihan hak korban melalui restitusi. Penyitaan awal tidak hanya menjamin keadilan prosedural, tetapi juga berfungsi sebagai proteksi terhadap nilai ekonomi yang semestinya dikembalikan kepada korban. TPPO merupakan pelanggaran terhadap </w:t>
      </w:r>
      <w:r w:rsidRPr="00D64B8F">
        <w:rPr>
          <w:i/>
          <w:iCs/>
        </w:rPr>
        <w:t>human dignity</w:t>
      </w:r>
      <w:r>
        <w:t>, sehingga pengamanan aset sejak awal menjadi kewajiban konstitusional, bukan pilihan kebijakan.</w:t>
      </w:r>
      <w:r w:rsidR="00241168">
        <w:rPr>
          <w:rStyle w:val="FootnoteReference"/>
        </w:rPr>
        <w:footnoteReference w:id="42"/>
      </w:r>
    </w:p>
    <w:p w14:paraId="2E011530" w14:textId="3E280F4A" w:rsidR="00D64B8F" w:rsidRDefault="00D64B8F" w:rsidP="00D64B8F">
      <w:pPr>
        <w:pStyle w:val="BodyText"/>
        <w:spacing w:line="360" w:lineRule="auto"/>
        <w:ind w:left="1134" w:right="3" w:firstLine="568"/>
      </w:pPr>
      <w:r>
        <w:t xml:space="preserve">Pendekatan </w:t>
      </w:r>
      <w:r w:rsidRPr="00D64B8F">
        <w:rPr>
          <w:i/>
          <w:iCs/>
        </w:rPr>
        <w:t>restorative justice</w:t>
      </w:r>
      <w:r>
        <w:t xml:space="preserve"> menekankan bahwa korban harus menjadi subjek utama yang memperoleh perlindungan dan pemulihan nyata. Persetujuan korban dalam konteks TPPO tidak membebaskan pelaku dari kewajiban restitusi karena relasi kuasa yang timpang, sehingga negara wajib bertindak aktif sebagai duty-bearer untuk memastikan pemulihan tanpa bergantung pada partisipasi korban. Instrumen internasional seperti Protokol Palermo dan ratifikasi UU Nomor 14 Tahun 2009 menegaskan bahwa negara wajib menjamin restitusi, kompensasi, dan rehabilitasi korban.</w:t>
      </w:r>
      <w:r w:rsidR="00241168">
        <w:rPr>
          <w:rStyle w:val="FootnoteReference"/>
        </w:rPr>
        <w:footnoteReference w:id="43"/>
      </w:r>
    </w:p>
    <w:p w14:paraId="556E2B64" w14:textId="6C311425" w:rsidR="00D64B8F" w:rsidRDefault="00D64B8F" w:rsidP="00D64B8F">
      <w:pPr>
        <w:pStyle w:val="BodyText"/>
        <w:spacing w:line="360" w:lineRule="auto"/>
        <w:ind w:left="1134" w:right="3" w:firstLine="568"/>
      </w:pPr>
      <w:r>
        <w:t>Dari perspektif teori keadilan korektif, restitusi menegaskan tanggung jawab individual pelaku dan berfungsi sebagai pemulihan moral bagi korban. Pemikiran John Locke menegaskan bahwa hak atas reparasi merupakan hak kodrati yang tidak dapat dicabut, sedangkan prinsip keadilan distributif John Rawls menekankan prioritas perlindungan bagi kelompok paling rentan, termasuk korban TPPO. Penyitaan sejak awal menjadi langkah moral, yuridis, dan filosofis yang memastikan restitusi dapat dilaksanakan efektif.</w:t>
      </w:r>
      <w:r w:rsidR="00241168">
        <w:rPr>
          <w:rStyle w:val="FootnoteReference"/>
        </w:rPr>
        <w:footnoteReference w:id="44"/>
      </w:r>
    </w:p>
    <w:p w14:paraId="33688E41" w14:textId="77777777" w:rsidR="00241168" w:rsidRDefault="00D64B8F" w:rsidP="00241168">
      <w:pPr>
        <w:pStyle w:val="BodyText"/>
        <w:spacing w:line="360" w:lineRule="auto"/>
        <w:ind w:left="1134" w:right="3" w:firstLine="568"/>
      </w:pPr>
      <w:r>
        <w:t>Secara konstitusional, penyitaan yang proaktif merealisasikan nilai kemanusiaan yang adil dan beradab, sesuai sila kedua dan kelima Pancasila, serta Pasal 28G ayat (1) UUD 1945, sehingga restitusi bagi korban TPPO bukan sekadar formalitas prosedural, tetapi pemulihan hak substantif.</w:t>
      </w:r>
      <w:r w:rsidR="00241168">
        <w:rPr>
          <w:rStyle w:val="FootnoteReference"/>
        </w:rPr>
        <w:footnoteReference w:id="45"/>
      </w:r>
      <w:r>
        <w:t xml:space="preserve"> Ketergantungan pada penyitaan pascaputusan mengabaikan aspek pencegahan pengalihan aset, mengurangi efektivitas restitusi, dan melemahkan fungsi hukum sebagai instrumen perlindungan dan pemulihan. Studi empiris menunjukkan bahwa restitusi yang terlambat atau tidak dilaksanakan membatasi pemulihan sosial-ekonomi korban </w:t>
      </w:r>
      <w:r>
        <w:lastRenderedPageBreak/>
        <w:t>dan mengubah restitusi menjadi janji normatif tanpa realisasi. Penyitaan preventif dan terstandarisasi menjadi kunci agar restitusi memiliki makna material dan simbolis, menegaskan martabat korban, dan memastikan efektivitas dalam penanganan TPPO.</w:t>
      </w:r>
      <w:r w:rsidR="00241168">
        <w:rPr>
          <w:rStyle w:val="FootnoteReference"/>
        </w:rPr>
        <w:footnoteReference w:id="46"/>
      </w:r>
    </w:p>
    <w:p w14:paraId="0BE532BD" w14:textId="654F2F84" w:rsidR="00241168" w:rsidRDefault="00241168" w:rsidP="00241168">
      <w:pPr>
        <w:pStyle w:val="BodyText"/>
        <w:spacing w:line="360" w:lineRule="auto"/>
        <w:ind w:left="1134" w:right="3" w:firstLine="568"/>
      </w:pPr>
      <w:r>
        <w:t>Menurut Runah, salah satu kendala utama dalam pelaksanaan restitusi bagi korban TPPO di pengadilan negeri adalah tidak adanya mekanisme pengamanan aset sejak awal, sehingga dana pemulihan sulit tersedia saat putusan dijatuhkan.</w:t>
      </w:r>
      <w:r>
        <w:rPr>
          <w:rStyle w:val="FootnoteReference"/>
        </w:rPr>
        <w:footnoteReference w:id="47"/>
      </w:r>
      <w:r>
        <w:t xml:space="preserve"> Reformasi hukum harus melampaui pengakuan normatif dan fokus pada aspek operasional, termasuk kemampuan negara untuk menyita, mengelola, dan mengalokasikan aset pelaku secara efektif sejak tahap penyidikan, demi menjamin keadilan substantif dan restoratif bagi korban. Penundaan penyitaan membuat asumsi bahwa pelaku akan tetap memiliki aset tersedia menjadi tidak realistis, terutama mengingat kejahatan TPPO kerap melibatkan jaringan internasional dan sistem keuangan kompleks yang mempermudah pengalihan aset. Keterlambatan ini mengakibatkan restitusi kehilangan nilai fungsionalnya, sekaligus berpotensi melanggar hak korban atas peradilan yang cepat dan efektif sesuai Pasal 17 ayat (2) UUD 1945.</w:t>
      </w:r>
      <w:r>
        <w:rPr>
          <w:rStyle w:val="FootnoteReference"/>
        </w:rPr>
        <w:footnoteReference w:id="48"/>
      </w:r>
    </w:p>
    <w:p w14:paraId="3911B2A2" w14:textId="77777777" w:rsidR="00241168" w:rsidRDefault="00241168" w:rsidP="00241168">
      <w:pPr>
        <w:pStyle w:val="BodyText"/>
        <w:spacing w:line="360" w:lineRule="auto"/>
        <w:ind w:left="1134" w:right="3" w:firstLine="568"/>
      </w:pPr>
      <w:r>
        <w:t xml:space="preserve">Penyitaan sejak awal bukan pelanggaran terhadap asas presumption of innocence, selama dijalankan dengan pengawasan yudisial yang ketat, karena bersifat preventif dan bertujuan melindungi hak korban serta menjaga integritas proses peradilan. Pendekatan ini sejalan dengan prinsip </w:t>
      </w:r>
      <w:r w:rsidRPr="00241168">
        <w:rPr>
          <w:i/>
          <w:iCs/>
        </w:rPr>
        <w:t>proportionality</w:t>
      </w:r>
      <w:r>
        <w:t xml:space="preserve"> dalam hukum pidana modern, yang membenarkan pembatasan hak milik individu demi kepentingan hukum yang lebih besar, yaitu pemulihan korban.</w:t>
      </w:r>
      <w:r>
        <w:rPr>
          <w:rStyle w:val="FootnoteReference"/>
        </w:rPr>
        <w:footnoteReference w:id="49"/>
      </w:r>
      <w:r>
        <w:t xml:space="preserve"> Dengan menempatkan penyitaan sebagai positive obligation, negara bertindak aktif untuk memastikan restitusi dapat diwujudkan secara nyata dan tidak sekadar formalitas prosedural. Reformasi sistem hukum acara pidana perlu menempatkan penyitaan sebagai instrumen utama untuk pemulihan korban, bukan hanya alat pembuktian delik.</w:t>
      </w:r>
    </w:p>
    <w:p w14:paraId="5ECDEAB9" w14:textId="05624EE7" w:rsidR="00241168" w:rsidRPr="00241168" w:rsidRDefault="00241168" w:rsidP="00241168">
      <w:pPr>
        <w:pStyle w:val="BodyText"/>
        <w:spacing w:line="360" w:lineRule="auto"/>
        <w:ind w:left="1134" w:right="3" w:firstLine="568"/>
      </w:pPr>
      <w:r>
        <w:t xml:space="preserve">Studi perbandingan menunjukkan praktik progresif di Amerika Serikat, </w:t>
      </w:r>
      <w:r>
        <w:lastRenderedPageBreak/>
        <w:t xml:space="preserve">Filipina, dan Belanda. Di Amerika, restitusi menjadi kewajiban hukum yang melekat sejak tahap penyidikan melalui </w:t>
      </w:r>
      <w:r w:rsidRPr="00241168">
        <w:rPr>
          <w:i/>
          <w:iCs/>
        </w:rPr>
        <w:t>ex parte seizure warrant</w:t>
      </w:r>
      <w:r>
        <w:t>, sementara aset yang dibekukan dikelola oleh U.S. Marshals Service untuk memastikan ketersediaannya bagi korban.</w:t>
      </w:r>
      <w:r>
        <w:rPr>
          <w:rStyle w:val="FootnoteReference"/>
        </w:rPr>
        <w:footnoteReference w:id="50"/>
      </w:r>
      <w:r>
        <w:t xml:space="preserve"> Filipina menggunakan </w:t>
      </w:r>
      <w:r w:rsidRPr="00241168">
        <w:rPr>
          <w:i/>
          <w:iCs/>
        </w:rPr>
        <w:t>freeze order</w:t>
      </w:r>
      <w:r>
        <w:t xml:space="preserve"> administratif dari AMLC sebelum putusan pengadilan untuk mengamankan aset secara preventif.</w:t>
      </w:r>
      <w:r>
        <w:rPr>
          <w:rStyle w:val="FootnoteReference"/>
        </w:rPr>
        <w:footnoteReference w:id="51"/>
      </w:r>
      <w:r>
        <w:t xml:space="preserve"> Di Belanda, negara melalui CJIB terlebih dahulu membayarkan restitusi kepada korban, kemudian menagih kembali kepada pelaku jika diperlukan, sehingga korban tidak bergantung pada kemampuan finansial pelaku. Ketiga model menekankan orientasi korban, integrasi penyitaan dengan restitusi, serta peran proaktif negara dalam pemulihan hak korba</w:t>
      </w:r>
      <w:r>
        <w:t>n.</w:t>
      </w:r>
      <w:r>
        <w:rPr>
          <w:rStyle w:val="FootnoteReference"/>
        </w:rPr>
        <w:footnoteReference w:id="52"/>
      </w:r>
    </w:p>
    <w:p w14:paraId="047837E1" w14:textId="6131FC6B" w:rsidR="00241168" w:rsidRDefault="00241168" w:rsidP="00241168">
      <w:pPr>
        <w:pStyle w:val="BodyText"/>
        <w:spacing w:line="360" w:lineRule="auto"/>
        <w:ind w:left="1134" w:right="3" w:firstLine="568"/>
      </w:pPr>
      <w:r>
        <w:t>Indonesia, dengan nilai dasar Pancasila, memiliki peluang mengadaptasi prinsip-prinsip ini secara kontekstual. Penguatan kewenangan jaksa untuk mengusulkan restitusi sejak tahap penyidikan, integrasi mekanisme penyitaan dalam KUHAP, dan pembentukan lembaga pengelola aset pelaku dapat meningkatkan efektivitas pemulihan korban. Kombinasi ketegasan hukum ala Amerika, fleksibilitas administratif ala Filipina, dan peran negara sebagai guarantor ala Belanda akan menghasilkan sistem restitusi yang berpihak pada korban, dapat dieksekusi, dan sejalan dengan kerangka hukum nasional.</w:t>
      </w:r>
      <w:r>
        <w:rPr>
          <w:rStyle w:val="FootnoteReference"/>
        </w:rPr>
        <w:footnoteReference w:id="53"/>
      </w:r>
    </w:p>
    <w:p w14:paraId="75DCE4DE" w14:textId="55AD839D" w:rsidR="00241168" w:rsidRDefault="00241168" w:rsidP="00241168">
      <w:pPr>
        <w:pStyle w:val="BodyText"/>
        <w:spacing w:line="360" w:lineRule="auto"/>
        <w:ind w:left="1134" w:right="3" w:firstLine="568"/>
      </w:pPr>
      <w:r>
        <w:t>Dengan demikian, penyusunan kebijakan restitusi harus menempatkan perlindungan sosial dan pemberdayaan korban sebagai tujuan utama, menjadikan restitusi sebagai bagian integral dari keadilan restoratif. Konsep penyitaan aset pelaku TPPO dalam kerangka ini dapat digambarkan sebagai berikut:</w:t>
      </w:r>
    </w:p>
    <w:p w14:paraId="7C9F09B4" w14:textId="40AC3DD9" w:rsidR="00241168" w:rsidRDefault="00241168" w:rsidP="00241168">
      <w:pPr>
        <w:pStyle w:val="BodyText"/>
        <w:spacing w:line="360" w:lineRule="auto"/>
        <w:ind w:left="1134" w:right="3" w:firstLine="568"/>
      </w:pPr>
      <w:r>
        <w:rPr>
          <w:noProof/>
        </w:rPr>
        <w:lastRenderedPageBreak/>
        <w:drawing>
          <wp:anchor distT="0" distB="0" distL="114300" distR="114300" simplePos="0" relativeHeight="251658240" behindDoc="0" locked="0" layoutInCell="1" allowOverlap="1" wp14:anchorId="2ACD8F17" wp14:editId="649701C1">
            <wp:simplePos x="0" y="0"/>
            <wp:positionH relativeFrom="column">
              <wp:posOffset>141889</wp:posOffset>
            </wp:positionH>
            <wp:positionV relativeFrom="paragraph">
              <wp:posOffset>219</wp:posOffset>
            </wp:positionV>
            <wp:extent cx="5731510" cy="308864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088640"/>
                    </a:xfrm>
                    <a:prstGeom prst="rect">
                      <a:avLst/>
                    </a:prstGeom>
                    <a:noFill/>
                    <a:ln>
                      <a:noFill/>
                    </a:ln>
                  </pic:spPr>
                </pic:pic>
              </a:graphicData>
            </a:graphic>
          </wp:anchor>
        </w:drawing>
      </w:r>
    </w:p>
    <w:p w14:paraId="2E0A87C0" w14:textId="042FD825" w:rsidR="00241168" w:rsidRDefault="00241168" w:rsidP="00241168">
      <w:pPr>
        <w:pStyle w:val="ListParagraph"/>
        <w:numPr>
          <w:ilvl w:val="0"/>
          <w:numId w:val="3"/>
        </w:numPr>
        <w:spacing w:after="0" w:line="360" w:lineRule="auto"/>
        <w:ind w:left="426" w:hanging="357"/>
      </w:pPr>
      <w:r w:rsidRPr="00241168">
        <w:rPr>
          <w:b/>
          <w:bCs/>
        </w:rPr>
        <w:t>Kesimpulan</w:t>
      </w:r>
      <w:r>
        <w:t xml:space="preserve"> </w:t>
      </w:r>
      <w:r w:rsidR="00197BB9" w:rsidRPr="00197BB9">
        <w:rPr>
          <w:b/>
          <w:bCs/>
        </w:rPr>
        <w:t>Dan Saran</w:t>
      </w:r>
    </w:p>
    <w:p w14:paraId="72B63507" w14:textId="07B120AC" w:rsidR="00241168" w:rsidRDefault="00197BB9" w:rsidP="00197BB9">
      <w:pPr>
        <w:pStyle w:val="ListParagraph"/>
        <w:spacing w:after="0" w:line="360" w:lineRule="auto"/>
        <w:ind w:left="426" w:firstLine="567"/>
      </w:pPr>
      <w:r w:rsidRPr="00197BB9">
        <w:t>Dari penjelasan diatas maka dapat penulis simpulkan bahwa:</w:t>
      </w:r>
    </w:p>
    <w:p w14:paraId="313F1F22" w14:textId="46FD1490" w:rsidR="00197BB9" w:rsidRDefault="00197BB9" w:rsidP="00197BB9">
      <w:pPr>
        <w:pStyle w:val="ListParagraph"/>
        <w:numPr>
          <w:ilvl w:val="0"/>
          <w:numId w:val="25"/>
        </w:numPr>
        <w:spacing w:after="0" w:line="360" w:lineRule="auto"/>
      </w:pPr>
      <w:r>
        <w:t>Tindak Pidana Perdagangan Orang (TPPO) layak dikenai restitusi karena merupakan kejahatan berat yang merampas hak asasi korban secara fisik, psikologis, dan sosial</w:t>
      </w:r>
      <w:r>
        <w:t>;</w:t>
      </w:r>
    </w:p>
    <w:p w14:paraId="2DB1DB9A" w14:textId="259A4DBA" w:rsidR="00197BB9" w:rsidRDefault="00197BB9" w:rsidP="00197BB9">
      <w:pPr>
        <w:pStyle w:val="ListParagraph"/>
        <w:numPr>
          <w:ilvl w:val="0"/>
          <w:numId w:val="25"/>
        </w:numPr>
        <w:spacing w:after="0" w:line="360" w:lineRule="auto"/>
      </w:pPr>
      <w:r>
        <w:t>Implementasi restitusi di Indonesia terhambat karena penyitaan aset masih fokus pada pembuktian, bukan jaminan pemulihan korban, sehingga putusan sulit direalisasikan akibat ketiadaan jaminan dan sistem pelacakan aset yang memadai</w:t>
      </w:r>
      <w:r>
        <w:t>;</w:t>
      </w:r>
    </w:p>
    <w:p w14:paraId="2BA4932A" w14:textId="670B8E2E" w:rsidR="00197BB9" w:rsidRDefault="00197BB9" w:rsidP="00197BB9">
      <w:pPr>
        <w:pStyle w:val="ListParagraph"/>
        <w:numPr>
          <w:ilvl w:val="0"/>
          <w:numId w:val="25"/>
        </w:numPr>
        <w:spacing w:after="0" w:line="360" w:lineRule="auto"/>
      </w:pPr>
      <w:r>
        <w:t>Penyitaan harta pelaku harus menjadi kewajiban hukum dalam seluruh perkara TPPO, bersifat proaktif tanpa tergantung permintaan korban, sehingga sejak awal penyidikan aset pelaku diamankan untuk tujuan pembuktian sekaligus menjamin restitusi, mencerminkan keadilan restoratif dan perlindungan nyata bagi korban.</w:t>
      </w:r>
    </w:p>
    <w:p w14:paraId="2201566A" w14:textId="221BC5E9" w:rsidR="00197BB9" w:rsidRDefault="00197BB9" w:rsidP="00197BB9">
      <w:pPr>
        <w:spacing w:after="0" w:line="360" w:lineRule="auto"/>
        <w:ind w:left="425" w:firstLine="567"/>
        <w:rPr>
          <w:rStyle w:val="fadeinm1hgl8"/>
          <w:rFonts w:cs="Times New Roman"/>
          <w:szCs w:val="24"/>
        </w:rPr>
      </w:pPr>
      <w:r>
        <w:t xml:space="preserve">Adapun </w:t>
      </w:r>
      <w:r>
        <w:rPr>
          <w:rStyle w:val="fadeinm1hgl8"/>
          <w:rFonts w:cs="Times New Roman"/>
          <w:szCs w:val="24"/>
        </w:rPr>
        <w:t>b</w:t>
      </w:r>
      <w:r>
        <w:rPr>
          <w:rStyle w:val="fadeinm1hgl8"/>
          <w:rFonts w:cs="Times New Roman"/>
          <w:szCs w:val="24"/>
        </w:rPr>
        <w:t>erdasarkan hasil analisis dan pembahasan dalam disertasi ini antara lain:</w:t>
      </w:r>
    </w:p>
    <w:p w14:paraId="1E843C29" w14:textId="4CD5A0D7" w:rsidR="00197BB9" w:rsidRPr="00197BB9" w:rsidRDefault="00197BB9" w:rsidP="00197BB9">
      <w:pPr>
        <w:pStyle w:val="ListParagraph"/>
        <w:numPr>
          <w:ilvl w:val="0"/>
          <w:numId w:val="26"/>
        </w:numPr>
        <w:spacing w:after="0" w:line="360" w:lineRule="auto"/>
        <w:rPr>
          <w:szCs w:val="24"/>
        </w:rPr>
      </w:pPr>
      <w:r>
        <w:t>Pemerintah dan aparat penegak hukum harus memperkuat pelaksanaan restitusi dalam kasus TPPO, menempatkannya bukan sebagai hukuman tambahan, tetapi sebagai kewajiban negara untuk menegakkan keadilan yang berpihak pada korban.</w:t>
      </w:r>
    </w:p>
    <w:p w14:paraId="3A8833AB" w14:textId="42DF012D" w:rsidR="00197BB9" w:rsidRPr="00197BB9" w:rsidRDefault="00197BB9" w:rsidP="00197BB9">
      <w:pPr>
        <w:pStyle w:val="ListParagraph"/>
        <w:numPr>
          <w:ilvl w:val="0"/>
          <w:numId w:val="26"/>
        </w:numPr>
        <w:spacing w:after="0" w:line="360" w:lineRule="auto"/>
        <w:rPr>
          <w:szCs w:val="24"/>
        </w:rPr>
      </w:pPr>
      <w:r>
        <w:t xml:space="preserve">Pemerintah dan pembuat undang-undang perlu merevisi KUHAP agar penyitaan berfungsi tidak hanya sebagai alat bukti, tetapi juga menjamin restitusi, dengan </w:t>
      </w:r>
      <w:r>
        <w:lastRenderedPageBreak/>
        <w:t>memungkinkan penyitaan sejak awal penyidikan dan pengelolaan aset pelaku hingga eksekusi restitusi secara efektif.</w:t>
      </w:r>
    </w:p>
    <w:p w14:paraId="003CF8F0" w14:textId="0D2A71A5" w:rsidR="00197BB9" w:rsidRPr="00197BB9" w:rsidRDefault="00197BB9" w:rsidP="00197BB9">
      <w:pPr>
        <w:pStyle w:val="ListParagraph"/>
        <w:numPr>
          <w:ilvl w:val="0"/>
          <w:numId w:val="26"/>
        </w:numPr>
        <w:spacing w:after="0" w:line="360" w:lineRule="auto"/>
        <w:rPr>
          <w:rStyle w:val="fadeinm1hgl8"/>
          <w:szCs w:val="24"/>
        </w:rPr>
      </w:pPr>
      <w:r>
        <w:t>Negara wajib melakukan penyitaan harta pelaku TPPO secara proaktif sejak awal penyidikan, sehingga penyitaan berfungsi ganda sebagai alat bukti dan jaminan perlindungan korban. Langkah ini mengamankan aset sebelum dialihkan, menegaskan keberpihakan negara pada pemulihan korban, membatasi ruang gerak pelaku, dan memperkuat keadilan restoratif berbasis perlindungan korban.</w:t>
      </w:r>
    </w:p>
    <w:p w14:paraId="70CF2652" w14:textId="77777777" w:rsidR="00197BB9" w:rsidRDefault="00197BB9" w:rsidP="00197BB9">
      <w:pPr>
        <w:spacing w:after="0" w:line="360" w:lineRule="auto"/>
        <w:jc w:val="center"/>
        <w:rPr>
          <w:b/>
          <w:bCs/>
        </w:rPr>
      </w:pPr>
    </w:p>
    <w:p w14:paraId="415A5AB2" w14:textId="75D112E7" w:rsidR="00197BB9" w:rsidRPr="00197BB9" w:rsidRDefault="00197BB9" w:rsidP="00197BB9">
      <w:pPr>
        <w:spacing w:after="0" w:line="360" w:lineRule="auto"/>
        <w:jc w:val="center"/>
        <w:rPr>
          <w:b/>
          <w:bCs/>
        </w:rPr>
      </w:pPr>
      <w:r w:rsidRPr="00197BB9">
        <w:rPr>
          <w:b/>
          <w:bCs/>
        </w:rPr>
        <w:t>DAFTAR PUSTAKA</w:t>
      </w:r>
    </w:p>
    <w:p w14:paraId="3F5F5216" w14:textId="77777777" w:rsidR="00197BB9" w:rsidRPr="00197BB9" w:rsidRDefault="00197BB9" w:rsidP="00197BB9">
      <w:pPr>
        <w:spacing w:after="0" w:line="360" w:lineRule="auto"/>
        <w:rPr>
          <w:b/>
          <w:bCs/>
        </w:rPr>
      </w:pPr>
    </w:p>
    <w:p w14:paraId="39E2B194" w14:textId="5ED14473" w:rsidR="00D64B8F" w:rsidRDefault="0068332B" w:rsidP="0068332B">
      <w:pPr>
        <w:pStyle w:val="BodyText"/>
        <w:spacing w:line="360" w:lineRule="auto"/>
        <w:ind w:left="0" w:right="3"/>
        <w:rPr>
          <w:b/>
          <w:bCs/>
          <w:u w:val="single"/>
        </w:rPr>
      </w:pPr>
      <w:r w:rsidRPr="0068332B">
        <w:rPr>
          <w:b/>
          <w:bCs/>
          <w:u w:val="single"/>
        </w:rPr>
        <w:t>Buku</w:t>
      </w:r>
    </w:p>
    <w:p w14:paraId="01220759" w14:textId="78A49D01" w:rsidR="0068332B" w:rsidRDefault="0068332B" w:rsidP="0068332B">
      <w:pPr>
        <w:pStyle w:val="NormalWeb"/>
        <w:ind w:left="720" w:hanging="720"/>
        <w:jc w:val="both"/>
      </w:pPr>
      <w:r>
        <w:t xml:space="preserve">Adji, Indriyanto Seno. </w:t>
      </w:r>
      <w:r>
        <w:rPr>
          <w:rStyle w:val="Emphasis"/>
          <w:rFonts w:eastAsiaTheme="majorEastAsia"/>
        </w:rPr>
        <w:t>Hukum Acara Pidana: Perspektif Global Dan Internasionalisasi Hukum Nasional</w:t>
      </w:r>
      <w:r>
        <w:t>. Jakarta: Sinar Grafika, 2017.</w:t>
      </w:r>
    </w:p>
    <w:p w14:paraId="11809975" w14:textId="38A53062" w:rsidR="0068332B" w:rsidRDefault="0068332B" w:rsidP="0068332B">
      <w:pPr>
        <w:pStyle w:val="NormalWeb"/>
        <w:ind w:left="720" w:hanging="720"/>
        <w:jc w:val="both"/>
      </w:pPr>
      <w:r>
        <w:t xml:space="preserve">Aprita, Ria Adihtya Serlika. </w:t>
      </w:r>
      <w:r>
        <w:rPr>
          <w:rStyle w:val="Emphasis"/>
          <w:rFonts w:eastAsiaTheme="majorEastAsia"/>
        </w:rPr>
        <w:t>Filsafat Hukum</w:t>
      </w:r>
      <w:r>
        <w:t>. Jakarta: Radja Grafindo Persada, 2020.</w:t>
      </w:r>
    </w:p>
    <w:p w14:paraId="0D8BD2DC" w14:textId="343DE895" w:rsidR="0068332B" w:rsidRDefault="0068332B" w:rsidP="0068332B">
      <w:pPr>
        <w:pStyle w:val="NormalWeb"/>
        <w:ind w:left="720" w:hanging="720"/>
        <w:jc w:val="both"/>
      </w:pPr>
      <w:r>
        <w:t xml:space="preserve">Arief, Barda Nawawi. </w:t>
      </w:r>
      <w:r>
        <w:rPr>
          <w:rStyle w:val="Emphasis"/>
          <w:rFonts w:eastAsiaTheme="majorEastAsia"/>
        </w:rPr>
        <w:t>Tujuan Dan Pedoman Pemidanaan</w:t>
      </w:r>
      <w:r>
        <w:t>. Semarang: Badan Penerbit Universitas Diponegoro, 2009.</w:t>
      </w:r>
    </w:p>
    <w:p w14:paraId="4824E720" w14:textId="461072D2" w:rsidR="0068332B" w:rsidRDefault="0068332B" w:rsidP="0068332B">
      <w:pPr>
        <w:pStyle w:val="NormalWeb"/>
        <w:ind w:left="720" w:hanging="720"/>
        <w:jc w:val="both"/>
      </w:pPr>
      <w:r>
        <w:t xml:space="preserve">Aristotle. </w:t>
      </w:r>
      <w:r>
        <w:rPr>
          <w:rStyle w:val="Emphasis"/>
          <w:rFonts w:eastAsiaTheme="majorEastAsia"/>
        </w:rPr>
        <w:t>Nicomachean Ethics</w:t>
      </w:r>
      <w:r>
        <w:t>. Translated by Terence Irwin. Indianapolis: Hackett, 1999.</w:t>
      </w:r>
    </w:p>
    <w:p w14:paraId="4AC3845D" w14:textId="0011C234" w:rsidR="0068332B" w:rsidRDefault="0068332B" w:rsidP="0068332B">
      <w:pPr>
        <w:pStyle w:val="NormalWeb"/>
        <w:ind w:left="720" w:hanging="720"/>
        <w:jc w:val="both"/>
      </w:pPr>
      <w:r>
        <w:t xml:space="preserve">Ediwarman dan Zulkarnain Sitompul. </w:t>
      </w:r>
      <w:r>
        <w:rPr>
          <w:rStyle w:val="Emphasis"/>
          <w:rFonts w:eastAsiaTheme="majorEastAsia"/>
        </w:rPr>
        <w:t>Hukum Pidana Khusus: Suatu Pengantar</w:t>
      </w:r>
      <w:r>
        <w:t>. Medan: USU Press, 2019.</w:t>
      </w:r>
    </w:p>
    <w:p w14:paraId="49B9BBC0" w14:textId="4453E52F" w:rsidR="0068332B" w:rsidRDefault="0068332B" w:rsidP="0068332B">
      <w:pPr>
        <w:pStyle w:val="NormalWeb"/>
        <w:ind w:left="720" w:hanging="720"/>
        <w:jc w:val="both"/>
      </w:pPr>
      <w:r>
        <w:t xml:space="preserve">Gultom, Maidin. </w:t>
      </w:r>
      <w:r>
        <w:rPr>
          <w:rStyle w:val="Emphasis"/>
          <w:rFonts w:eastAsiaTheme="majorEastAsia"/>
        </w:rPr>
        <w:t>Perlindungan Hukum Terhadap Anak Dan Perempuan</w:t>
      </w:r>
      <w:r>
        <w:t>. Bandung: Refika Aditama, 2013.</w:t>
      </w:r>
    </w:p>
    <w:p w14:paraId="75649807" w14:textId="618C20ED" w:rsidR="0068332B" w:rsidRDefault="0068332B" w:rsidP="0068332B">
      <w:pPr>
        <w:pStyle w:val="NormalWeb"/>
        <w:ind w:left="720" w:hanging="720"/>
        <w:jc w:val="both"/>
      </w:pPr>
      <w:r>
        <w:t xml:space="preserve">Green, Thomas Hill. </w:t>
      </w:r>
      <w:r>
        <w:rPr>
          <w:rStyle w:val="Emphasis"/>
          <w:rFonts w:eastAsiaTheme="majorEastAsia"/>
        </w:rPr>
        <w:t>Lectures on the Principles of Political Obligation</w:t>
      </w:r>
      <w:r>
        <w:t>. London: Longmans, Green and Co., 1941.</w:t>
      </w:r>
    </w:p>
    <w:p w14:paraId="2F29383C" w14:textId="57D81E4E" w:rsidR="0068332B" w:rsidRDefault="0068332B" w:rsidP="0068332B">
      <w:pPr>
        <w:pStyle w:val="NormalWeb"/>
        <w:ind w:left="720" w:hanging="720"/>
        <w:jc w:val="both"/>
      </w:pPr>
      <w:r>
        <w:t xml:space="preserve">Hadjon, Philipus M. </w:t>
      </w:r>
      <w:r>
        <w:rPr>
          <w:rStyle w:val="Emphasis"/>
          <w:rFonts w:eastAsiaTheme="majorEastAsia"/>
        </w:rPr>
        <w:t>Perlindungan Hukum bagi Rakyat Indonesia</w:t>
      </w:r>
      <w:r>
        <w:t>. Surabaya: PT Bina Ilmu, 1987.</w:t>
      </w:r>
    </w:p>
    <w:p w14:paraId="5B5F1AA8" w14:textId="190F79FE" w:rsidR="0068332B" w:rsidRDefault="0068332B" w:rsidP="0068332B">
      <w:pPr>
        <w:pStyle w:val="NormalWeb"/>
        <w:ind w:left="720" w:hanging="720"/>
        <w:jc w:val="both"/>
      </w:pPr>
      <w:r>
        <w:t xml:space="preserve">Hiariej, E.O. </w:t>
      </w:r>
      <w:r>
        <w:rPr>
          <w:rStyle w:val="Emphasis"/>
          <w:rFonts w:eastAsiaTheme="majorEastAsia"/>
        </w:rPr>
        <w:t>Asas Legalitas dan Penemuan Hukum dalam Hukum Pidana</w:t>
      </w:r>
      <w:r>
        <w:t>. Jakarta: Erlangga, 2012.</w:t>
      </w:r>
    </w:p>
    <w:p w14:paraId="6A8E7618" w14:textId="01C7CF15" w:rsidR="0068332B" w:rsidRDefault="0068332B" w:rsidP="0068332B">
      <w:pPr>
        <w:pStyle w:val="NormalWeb"/>
        <w:ind w:left="720" w:hanging="720"/>
        <w:jc w:val="both"/>
      </w:pPr>
      <w:r>
        <w:t xml:space="preserve">Juwana, Hikmahanto. </w:t>
      </w:r>
      <w:r>
        <w:rPr>
          <w:rStyle w:val="Emphasis"/>
          <w:rFonts w:eastAsiaTheme="majorEastAsia"/>
        </w:rPr>
        <w:t>Reformasi Hukum di Indonesia: Antara Harapan dan Kenyataan</w:t>
      </w:r>
      <w:r>
        <w:t>. Jakarta: Fakultas Hukum UI Press, 2015.</w:t>
      </w:r>
    </w:p>
    <w:p w14:paraId="76557977" w14:textId="696008E1" w:rsidR="0068332B" w:rsidRDefault="0068332B" w:rsidP="0068332B">
      <w:pPr>
        <w:pStyle w:val="NormalWeb"/>
        <w:ind w:left="720" w:hanging="720"/>
        <w:jc w:val="both"/>
      </w:pPr>
      <w:r>
        <w:t xml:space="preserve">Locke, John. </w:t>
      </w:r>
      <w:r>
        <w:rPr>
          <w:rStyle w:val="Emphasis"/>
          <w:rFonts w:eastAsiaTheme="majorEastAsia"/>
        </w:rPr>
        <w:t>Two Treatises of Government</w:t>
      </w:r>
      <w:r>
        <w:t>. Edited by Peter Laslett. Cambridge: Cambridge University Press, 1988.</w:t>
      </w:r>
    </w:p>
    <w:p w14:paraId="4821C902" w14:textId="24419F0C" w:rsidR="0068332B" w:rsidRDefault="0068332B" w:rsidP="0068332B">
      <w:pPr>
        <w:pStyle w:val="NormalWeb"/>
        <w:ind w:left="720" w:hanging="720"/>
        <w:jc w:val="both"/>
      </w:pPr>
      <w:r>
        <w:t xml:space="preserve">——. </w:t>
      </w:r>
      <w:r>
        <w:rPr>
          <w:rStyle w:val="Emphasis"/>
          <w:rFonts w:eastAsiaTheme="majorEastAsia"/>
        </w:rPr>
        <w:t>Two Treatises of Government</w:t>
      </w:r>
      <w:r>
        <w:t>. Cambridge: Cambridge University Press, 2021.</w:t>
      </w:r>
    </w:p>
    <w:p w14:paraId="53293874" w14:textId="047F4AC8" w:rsidR="0068332B" w:rsidRDefault="0068332B" w:rsidP="0068332B">
      <w:pPr>
        <w:pStyle w:val="NormalWeb"/>
        <w:ind w:left="720" w:hanging="720"/>
        <w:jc w:val="both"/>
      </w:pPr>
      <w:r>
        <w:lastRenderedPageBreak/>
        <w:t xml:space="preserve">Mertokusumo, S. </w:t>
      </w:r>
      <w:r>
        <w:rPr>
          <w:rStyle w:val="Emphasis"/>
          <w:rFonts w:eastAsiaTheme="majorEastAsia"/>
        </w:rPr>
        <w:t>Penemuan Hukum: Sebuah Pengantar</w:t>
      </w:r>
      <w:r>
        <w:t>. Yogyakarta: Liberty, 2000.</w:t>
      </w:r>
    </w:p>
    <w:p w14:paraId="6F67951A" w14:textId="22648FB5" w:rsidR="0068332B" w:rsidRDefault="0068332B" w:rsidP="0068332B">
      <w:pPr>
        <w:pStyle w:val="NormalWeb"/>
        <w:ind w:left="720" w:hanging="720"/>
        <w:jc w:val="both"/>
      </w:pPr>
      <w:r>
        <w:t xml:space="preserve">Nozick, Robert. </w:t>
      </w:r>
      <w:r>
        <w:rPr>
          <w:rStyle w:val="Emphasis"/>
          <w:rFonts w:eastAsiaTheme="majorEastAsia"/>
        </w:rPr>
        <w:t>Anarchy, State, and Utopia</w:t>
      </w:r>
      <w:r>
        <w:t>. New York: Basic Books, 1974.</w:t>
      </w:r>
    </w:p>
    <w:p w14:paraId="73CFF3EA" w14:textId="06E9DD50" w:rsidR="0068332B" w:rsidRDefault="0068332B" w:rsidP="0068332B">
      <w:pPr>
        <w:pStyle w:val="NormalWeb"/>
        <w:ind w:left="720" w:hanging="720"/>
        <w:jc w:val="both"/>
      </w:pPr>
      <w:r>
        <w:t xml:space="preserve">Notonagoro. </w:t>
      </w:r>
      <w:r>
        <w:rPr>
          <w:rStyle w:val="Emphasis"/>
          <w:rFonts w:eastAsiaTheme="majorEastAsia"/>
        </w:rPr>
        <w:t>Pancasila: Dasar Falsafah Negara</w:t>
      </w:r>
      <w:r>
        <w:t>. Jakarta: Bina Aksara, 1984.</w:t>
      </w:r>
    </w:p>
    <w:p w14:paraId="0BCD4063" w14:textId="54DBEF46" w:rsidR="0068332B" w:rsidRDefault="0068332B" w:rsidP="0068332B">
      <w:pPr>
        <w:pStyle w:val="NormalWeb"/>
        <w:ind w:left="720" w:hanging="720"/>
        <w:jc w:val="both"/>
      </w:pPr>
      <w:r>
        <w:t xml:space="preserve">——. </w:t>
      </w:r>
      <w:r>
        <w:rPr>
          <w:rStyle w:val="Emphasis"/>
          <w:rFonts w:eastAsiaTheme="majorEastAsia"/>
        </w:rPr>
        <w:t>Pancasila: Dasar Falsafah Negara</w:t>
      </w:r>
      <w:r>
        <w:t>. Jakarta: Pantjuran Tujuh, 2020.</w:t>
      </w:r>
    </w:p>
    <w:p w14:paraId="5C2BCA7D" w14:textId="14772686" w:rsidR="0068332B" w:rsidRDefault="0068332B" w:rsidP="0068332B">
      <w:pPr>
        <w:pStyle w:val="NormalWeb"/>
        <w:ind w:left="720" w:hanging="720"/>
        <w:jc w:val="both"/>
      </w:pPr>
      <w:r>
        <w:t xml:space="preserve">Pound, Roscoe. </w:t>
      </w:r>
      <w:r>
        <w:rPr>
          <w:rStyle w:val="Emphasis"/>
          <w:rFonts w:eastAsiaTheme="majorEastAsia"/>
        </w:rPr>
        <w:t>Interpretations of Legal History</w:t>
      </w:r>
      <w:r>
        <w:t>. Cambridge: Harvard University Press, 1923.</w:t>
      </w:r>
    </w:p>
    <w:p w14:paraId="170403EA" w14:textId="3A0DB135" w:rsidR="0068332B" w:rsidRDefault="0068332B" w:rsidP="0068332B">
      <w:pPr>
        <w:pStyle w:val="NormalWeb"/>
        <w:ind w:left="720" w:hanging="720"/>
        <w:jc w:val="both"/>
      </w:pPr>
      <w:r>
        <w:t xml:space="preserve">Priyandita, Gatra. </w:t>
      </w:r>
      <w:r>
        <w:rPr>
          <w:rStyle w:val="Emphasis"/>
          <w:rFonts w:eastAsiaTheme="majorEastAsia"/>
        </w:rPr>
        <w:t>Dimensi Kriminologi Dalam Tindak Pidana Perdagangan Orang</w:t>
      </w:r>
      <w:r>
        <w:t>. Yogyakarta: Thafa Media, 2020.</w:t>
      </w:r>
    </w:p>
    <w:p w14:paraId="1016EE12" w14:textId="3A53FF84" w:rsidR="0068332B" w:rsidRDefault="0068332B" w:rsidP="0068332B">
      <w:pPr>
        <w:pStyle w:val="NormalWeb"/>
        <w:ind w:left="720" w:hanging="720"/>
        <w:jc w:val="both"/>
      </w:pPr>
      <w:r>
        <w:t xml:space="preserve">Rahardjo, Satjipto. </w:t>
      </w:r>
      <w:r>
        <w:rPr>
          <w:rStyle w:val="Emphasis"/>
          <w:rFonts w:eastAsiaTheme="majorEastAsia"/>
        </w:rPr>
        <w:t>Hukum Progresif: Sebuah Sintesa Hukum Indonesia</w:t>
      </w:r>
      <w:r>
        <w:t>. Yogyakarta: Genta Publishing, 2009.</w:t>
      </w:r>
    </w:p>
    <w:p w14:paraId="5AB7D5A5" w14:textId="437E4CCF" w:rsidR="0068332B" w:rsidRDefault="0068332B" w:rsidP="0068332B">
      <w:pPr>
        <w:pStyle w:val="NormalWeb"/>
        <w:ind w:left="720" w:hanging="720"/>
        <w:jc w:val="both"/>
      </w:pPr>
      <w:r>
        <w:t xml:space="preserve">——. </w:t>
      </w:r>
      <w:r>
        <w:rPr>
          <w:rStyle w:val="Emphasis"/>
          <w:rFonts w:eastAsiaTheme="majorEastAsia"/>
        </w:rPr>
        <w:t>Hukum Progresif: Hukum yang Membebaskan</w:t>
      </w:r>
      <w:r>
        <w:t>. Jakarta: Kompas, 2022.</w:t>
      </w:r>
    </w:p>
    <w:p w14:paraId="598C021E" w14:textId="5F558394" w:rsidR="0068332B" w:rsidRDefault="0068332B" w:rsidP="0068332B">
      <w:pPr>
        <w:pStyle w:val="NormalWeb"/>
        <w:ind w:left="720" w:hanging="720"/>
        <w:jc w:val="both"/>
      </w:pPr>
      <w:r>
        <w:t xml:space="preserve">Rawls, John. </w:t>
      </w:r>
      <w:r>
        <w:rPr>
          <w:rStyle w:val="Emphasis"/>
          <w:rFonts w:eastAsiaTheme="majorEastAsia"/>
        </w:rPr>
        <w:t>A Theory of Justice</w:t>
      </w:r>
      <w:r>
        <w:t>. Cambridge: Harvard University Press, 1971.</w:t>
      </w:r>
    </w:p>
    <w:p w14:paraId="6B3A174E" w14:textId="6EA5B18F" w:rsidR="0068332B" w:rsidRDefault="0068332B" w:rsidP="0068332B">
      <w:pPr>
        <w:pStyle w:val="NormalWeb"/>
        <w:ind w:left="720" w:hanging="720"/>
        <w:jc w:val="both"/>
      </w:pPr>
      <w:r>
        <w:t xml:space="preserve">Weinrib, Ernest J. </w:t>
      </w:r>
      <w:r>
        <w:rPr>
          <w:rStyle w:val="Emphasis"/>
          <w:rFonts w:eastAsiaTheme="majorEastAsia"/>
        </w:rPr>
        <w:t>Corrective Justice</w:t>
      </w:r>
      <w:r>
        <w:t>. Oxford: Oxford University Press, 2012.</w:t>
      </w:r>
    </w:p>
    <w:p w14:paraId="2E9D0672" w14:textId="6599B142" w:rsidR="0068332B" w:rsidRDefault="0068332B" w:rsidP="0068332B">
      <w:pPr>
        <w:pStyle w:val="NormalWeb"/>
        <w:ind w:left="720" w:hanging="720"/>
        <w:jc w:val="both"/>
      </w:pPr>
      <w:r>
        <w:t xml:space="preserve">Walklate, Sandra. </w:t>
      </w:r>
      <w:r>
        <w:rPr>
          <w:rStyle w:val="Emphasis"/>
          <w:rFonts w:eastAsiaTheme="majorEastAsia"/>
        </w:rPr>
        <w:t>Imagining the Victim of Crime</w:t>
      </w:r>
      <w:r>
        <w:t>. Maidenhead: Open University Press, 2007.</w:t>
      </w:r>
    </w:p>
    <w:p w14:paraId="590D07AC" w14:textId="543229FC" w:rsidR="0068332B" w:rsidRDefault="0068332B" w:rsidP="0068332B">
      <w:pPr>
        <w:pStyle w:val="NormalWeb"/>
        <w:ind w:left="720" w:hanging="720"/>
        <w:jc w:val="both"/>
      </w:pPr>
      <w:r>
        <w:t xml:space="preserve">Zehr, Howard. </w:t>
      </w:r>
      <w:r>
        <w:rPr>
          <w:rStyle w:val="Emphasis"/>
          <w:rFonts w:eastAsiaTheme="majorEastAsia"/>
        </w:rPr>
        <w:t>Changing Lenses: Restorative Justice for Our Times</w:t>
      </w:r>
      <w:r>
        <w:t>. Scottdale: Herald Press, 2015.</w:t>
      </w:r>
    </w:p>
    <w:p w14:paraId="325D2EA5" w14:textId="77777777" w:rsidR="0068332B" w:rsidRDefault="0068332B" w:rsidP="0068332B">
      <w:pPr>
        <w:pStyle w:val="BodyText"/>
        <w:spacing w:line="360" w:lineRule="auto"/>
        <w:ind w:left="0" w:right="3"/>
        <w:rPr>
          <w:b/>
          <w:bCs/>
          <w:u w:val="single"/>
        </w:rPr>
      </w:pPr>
    </w:p>
    <w:p w14:paraId="1D3BCEDD" w14:textId="20F000D8" w:rsidR="0068332B" w:rsidRPr="0068332B" w:rsidRDefault="0068332B" w:rsidP="0068332B">
      <w:pPr>
        <w:pStyle w:val="BodyText"/>
        <w:spacing w:line="360" w:lineRule="auto"/>
        <w:ind w:left="0" w:right="3"/>
        <w:rPr>
          <w:b/>
          <w:bCs/>
          <w:u w:val="single"/>
        </w:rPr>
      </w:pPr>
      <w:r w:rsidRPr="0068332B">
        <w:rPr>
          <w:b/>
          <w:bCs/>
          <w:u w:val="single"/>
        </w:rPr>
        <w:t xml:space="preserve">Peraturan Perundang-Undangan </w:t>
      </w:r>
    </w:p>
    <w:p w14:paraId="05F9F2F5" w14:textId="77777777" w:rsidR="0068332B" w:rsidRDefault="0068332B" w:rsidP="0068332B">
      <w:pPr>
        <w:spacing w:after="0" w:line="360" w:lineRule="auto"/>
        <w:ind w:left="720" w:hanging="720"/>
        <w:rPr>
          <w:rFonts w:eastAsia="Times New Roman" w:cs="Times New Roman"/>
          <w:szCs w:val="24"/>
          <w:lang w:val="en-ID"/>
        </w:rPr>
      </w:pPr>
      <w:r>
        <w:rPr>
          <w:rFonts w:eastAsia="Times New Roman" w:cs="Times New Roman"/>
          <w:szCs w:val="24"/>
          <w:lang w:val="en-ID"/>
        </w:rPr>
        <w:t>Republik Indonesia</w:t>
      </w:r>
      <w:r>
        <w:rPr>
          <w:rFonts w:eastAsia="Times New Roman" w:cs="Times New Roman"/>
          <w:b/>
          <w:bCs/>
          <w:szCs w:val="24"/>
          <w:lang w:val="en-ID"/>
        </w:rPr>
        <w:t>.</w:t>
      </w:r>
      <w:r>
        <w:rPr>
          <w:rFonts w:eastAsia="Times New Roman" w:cs="Times New Roman"/>
          <w:szCs w:val="24"/>
          <w:lang w:val="en-ID"/>
        </w:rPr>
        <w:t xml:space="preserve"> </w:t>
      </w:r>
      <w:r>
        <w:rPr>
          <w:rFonts w:eastAsia="Times New Roman" w:cs="Times New Roman"/>
          <w:i/>
          <w:iCs/>
          <w:szCs w:val="24"/>
          <w:lang w:val="en-ID"/>
        </w:rPr>
        <w:t>Undang-Undang Dasar Negara Republik Indonesia Tahun 1945</w:t>
      </w:r>
      <w:r>
        <w:rPr>
          <w:rFonts w:eastAsia="Times New Roman" w:cs="Times New Roman"/>
          <w:szCs w:val="24"/>
          <w:lang w:val="en-ID"/>
        </w:rPr>
        <w:t>.</w:t>
      </w:r>
    </w:p>
    <w:p w14:paraId="60EA60B1" w14:textId="77777777" w:rsidR="0068332B" w:rsidRDefault="0068332B" w:rsidP="0068332B">
      <w:pPr>
        <w:spacing w:after="0" w:line="360" w:lineRule="auto"/>
        <w:ind w:left="720" w:hanging="720"/>
        <w:rPr>
          <w:rFonts w:eastAsia="Times New Roman" w:cs="Times New Roman"/>
          <w:szCs w:val="24"/>
          <w:lang w:val="en-ID"/>
        </w:rPr>
      </w:pPr>
      <w:r>
        <w:rPr>
          <w:rFonts w:eastAsia="Times New Roman" w:cs="Times New Roman"/>
          <w:szCs w:val="24"/>
          <w:lang w:val="en-ID"/>
        </w:rPr>
        <w:t>Indonesia</w:t>
      </w:r>
      <w:r>
        <w:rPr>
          <w:rFonts w:eastAsia="Times New Roman" w:cs="Times New Roman"/>
          <w:b/>
          <w:bCs/>
          <w:szCs w:val="24"/>
          <w:lang w:val="en-ID"/>
        </w:rPr>
        <w:t>.</w:t>
      </w:r>
      <w:r>
        <w:rPr>
          <w:rFonts w:eastAsia="Times New Roman" w:cs="Times New Roman"/>
          <w:szCs w:val="24"/>
          <w:lang w:val="en-ID"/>
        </w:rPr>
        <w:t xml:space="preserve"> </w:t>
      </w:r>
      <w:r>
        <w:rPr>
          <w:rFonts w:eastAsia="Times New Roman" w:cs="Times New Roman"/>
          <w:i/>
          <w:iCs/>
          <w:szCs w:val="24"/>
          <w:lang w:val="en-ID"/>
        </w:rPr>
        <w:t>Kitab Undang-Undang Hukum Acara Pidana (KUHAP)</w:t>
      </w:r>
      <w:r>
        <w:rPr>
          <w:rFonts w:eastAsia="Times New Roman" w:cs="Times New Roman"/>
          <w:szCs w:val="24"/>
          <w:lang w:val="en-ID"/>
        </w:rPr>
        <w:t>.</w:t>
      </w:r>
      <w:r>
        <w:rPr>
          <w:rFonts w:eastAsia="Times New Roman" w:cs="Times New Roman"/>
          <w:szCs w:val="24"/>
          <w:lang w:val="en-ID"/>
        </w:rPr>
        <w:br/>
        <w:t>Lembaran Negara Republik Indonesia Tahun 1981 Nomor 76, Tambahan Lembaran Negara Republik Indonesia Nomor 3209.</w:t>
      </w:r>
    </w:p>
    <w:p w14:paraId="1A8C4F47" w14:textId="77777777" w:rsidR="0068332B" w:rsidRDefault="0068332B" w:rsidP="0068332B">
      <w:pPr>
        <w:spacing w:after="0" w:line="360" w:lineRule="auto"/>
        <w:ind w:left="720" w:hanging="720"/>
        <w:rPr>
          <w:rFonts w:eastAsia="Times New Roman" w:cs="Times New Roman"/>
          <w:szCs w:val="24"/>
          <w:lang w:val="en-ID"/>
        </w:rPr>
      </w:pPr>
      <w:r>
        <w:rPr>
          <w:rFonts w:eastAsia="Times New Roman" w:cs="Times New Roman"/>
          <w:szCs w:val="24"/>
          <w:lang w:val="en-ID"/>
        </w:rPr>
        <w:t>Indonesia</w:t>
      </w:r>
      <w:r>
        <w:rPr>
          <w:rFonts w:eastAsia="Times New Roman" w:cs="Times New Roman"/>
          <w:b/>
          <w:bCs/>
          <w:szCs w:val="24"/>
          <w:lang w:val="en-ID"/>
        </w:rPr>
        <w:t>.</w:t>
      </w:r>
      <w:r>
        <w:rPr>
          <w:rFonts w:eastAsia="Times New Roman" w:cs="Times New Roman"/>
          <w:szCs w:val="24"/>
          <w:lang w:val="en-ID"/>
        </w:rPr>
        <w:t xml:space="preserve"> </w:t>
      </w:r>
      <w:r>
        <w:rPr>
          <w:rFonts w:eastAsia="Times New Roman" w:cs="Times New Roman"/>
          <w:i/>
          <w:iCs/>
          <w:szCs w:val="24"/>
          <w:lang w:val="en-ID"/>
        </w:rPr>
        <w:t>Undang-Undang Nomor 13 Tahun 2006 tentang Perlindungan Saksi dan Korban</w:t>
      </w:r>
      <w:r>
        <w:rPr>
          <w:rFonts w:eastAsia="Times New Roman" w:cs="Times New Roman"/>
          <w:szCs w:val="24"/>
          <w:lang w:val="en-ID"/>
        </w:rPr>
        <w:t>.</w:t>
      </w:r>
    </w:p>
    <w:p w14:paraId="13CA1CA1" w14:textId="77777777" w:rsidR="0068332B" w:rsidRDefault="0068332B" w:rsidP="0068332B">
      <w:pPr>
        <w:spacing w:after="0" w:line="360" w:lineRule="auto"/>
        <w:ind w:left="720" w:hanging="720"/>
        <w:rPr>
          <w:rFonts w:eastAsia="Times New Roman" w:cs="Times New Roman"/>
          <w:szCs w:val="24"/>
          <w:lang w:val="en-ID"/>
        </w:rPr>
      </w:pPr>
      <w:r>
        <w:rPr>
          <w:rFonts w:eastAsia="Times New Roman" w:cs="Times New Roman"/>
          <w:szCs w:val="24"/>
          <w:lang w:val="en-ID"/>
        </w:rPr>
        <w:t>Indonesia</w:t>
      </w:r>
      <w:r>
        <w:rPr>
          <w:rFonts w:eastAsia="Times New Roman" w:cs="Times New Roman"/>
          <w:b/>
          <w:bCs/>
          <w:szCs w:val="24"/>
          <w:lang w:val="en-ID"/>
        </w:rPr>
        <w:t>.</w:t>
      </w:r>
      <w:r>
        <w:rPr>
          <w:rFonts w:eastAsia="Times New Roman" w:cs="Times New Roman"/>
          <w:szCs w:val="24"/>
          <w:lang w:val="en-ID"/>
        </w:rPr>
        <w:t xml:space="preserve"> </w:t>
      </w:r>
      <w:r>
        <w:rPr>
          <w:rFonts w:eastAsia="Times New Roman" w:cs="Times New Roman"/>
          <w:i/>
          <w:iCs/>
          <w:szCs w:val="24"/>
          <w:lang w:val="en-ID"/>
        </w:rPr>
        <w:t>Undang-Undang Nomor 21 Tahun 2007 tentang Pemberantasan Tindak Pidana Perdagangan Orang</w:t>
      </w:r>
      <w:r>
        <w:rPr>
          <w:rFonts w:eastAsia="Times New Roman" w:cs="Times New Roman"/>
          <w:szCs w:val="24"/>
          <w:lang w:val="en-ID"/>
        </w:rPr>
        <w:t>.</w:t>
      </w:r>
      <w:r>
        <w:rPr>
          <w:rFonts w:eastAsia="Times New Roman" w:cs="Times New Roman"/>
          <w:szCs w:val="24"/>
          <w:lang w:val="en-ID"/>
        </w:rPr>
        <w:br/>
        <w:t>Lembaran Negara Republik Indonesia Tahun 2007 Nomor 58, Tambahan Lembaran Negara Republik Indonesia Nomor 4720.</w:t>
      </w:r>
    </w:p>
    <w:p w14:paraId="4BB90B0E" w14:textId="77777777" w:rsidR="0068332B" w:rsidRDefault="0068332B" w:rsidP="0068332B">
      <w:pPr>
        <w:spacing w:after="0" w:line="360" w:lineRule="auto"/>
        <w:ind w:left="720" w:hanging="720"/>
        <w:rPr>
          <w:rFonts w:eastAsia="Times New Roman" w:cs="Times New Roman"/>
          <w:szCs w:val="24"/>
          <w:lang w:val="en-ID"/>
        </w:rPr>
      </w:pPr>
      <w:r>
        <w:rPr>
          <w:rFonts w:eastAsia="Times New Roman" w:cs="Times New Roman"/>
          <w:szCs w:val="24"/>
          <w:lang w:val="en-ID"/>
        </w:rPr>
        <w:t>Indonesia</w:t>
      </w:r>
      <w:r>
        <w:rPr>
          <w:rFonts w:eastAsia="Times New Roman" w:cs="Times New Roman"/>
          <w:b/>
          <w:bCs/>
          <w:szCs w:val="24"/>
          <w:lang w:val="en-ID"/>
        </w:rPr>
        <w:t>.</w:t>
      </w:r>
      <w:r>
        <w:rPr>
          <w:rFonts w:eastAsia="Times New Roman" w:cs="Times New Roman"/>
          <w:szCs w:val="24"/>
          <w:lang w:val="en-ID"/>
        </w:rPr>
        <w:t xml:space="preserve"> </w:t>
      </w:r>
      <w:r>
        <w:rPr>
          <w:rFonts w:eastAsia="Times New Roman" w:cs="Times New Roman"/>
          <w:i/>
          <w:iCs/>
          <w:szCs w:val="24"/>
          <w:lang w:val="en-ID"/>
        </w:rPr>
        <w:t>Undang-Undang Nomor 31 Tahun 2014 tentang Perubahan atas Undang-Undang Nomor 13 Tahun 2006 tentang Perlindungan Saksi dan Korban</w:t>
      </w:r>
      <w:r>
        <w:rPr>
          <w:rFonts w:eastAsia="Times New Roman" w:cs="Times New Roman"/>
          <w:szCs w:val="24"/>
          <w:lang w:val="en-ID"/>
        </w:rPr>
        <w:t>. Lembaran Negara Republik Indonesia Tahun 2014 Nomor 165.</w:t>
      </w:r>
    </w:p>
    <w:p w14:paraId="14E9E544" w14:textId="77777777" w:rsidR="0068332B" w:rsidRDefault="0068332B" w:rsidP="0068332B">
      <w:pPr>
        <w:spacing w:after="0" w:line="360" w:lineRule="auto"/>
        <w:ind w:left="720" w:hanging="720"/>
        <w:rPr>
          <w:rFonts w:eastAsia="Times New Roman" w:cs="Times New Roman"/>
          <w:szCs w:val="24"/>
          <w:lang w:val="en-ID"/>
        </w:rPr>
      </w:pPr>
      <w:r>
        <w:rPr>
          <w:rFonts w:eastAsia="Times New Roman" w:cs="Times New Roman"/>
          <w:szCs w:val="24"/>
          <w:lang w:val="en-ID"/>
        </w:rPr>
        <w:lastRenderedPageBreak/>
        <w:t>Mahkamah Agung Republik Indonesia</w:t>
      </w:r>
      <w:r>
        <w:rPr>
          <w:rFonts w:eastAsia="Times New Roman" w:cs="Times New Roman"/>
          <w:b/>
          <w:bCs/>
          <w:szCs w:val="24"/>
          <w:lang w:val="en-ID"/>
        </w:rPr>
        <w:t>.</w:t>
      </w:r>
      <w:r>
        <w:rPr>
          <w:rFonts w:eastAsia="Times New Roman" w:cs="Times New Roman"/>
          <w:szCs w:val="24"/>
          <w:lang w:val="en-ID"/>
        </w:rPr>
        <w:t xml:space="preserve"> </w:t>
      </w:r>
      <w:r>
        <w:rPr>
          <w:rFonts w:eastAsia="Times New Roman" w:cs="Times New Roman"/>
          <w:i/>
          <w:iCs/>
          <w:szCs w:val="24"/>
          <w:lang w:val="en-ID"/>
        </w:rPr>
        <w:t>Peraturan Mahkamah Agung Nomor 1 Tahun 2022 tentang Tata Cara Penyelesaian Permohonan dan Pemberian Restitusi dan Kompensasi kepada Korban Tindak Pidana</w:t>
      </w:r>
      <w:r>
        <w:rPr>
          <w:rFonts w:eastAsia="Times New Roman" w:cs="Times New Roman"/>
          <w:szCs w:val="24"/>
          <w:lang w:val="en-ID"/>
        </w:rPr>
        <w:t>.</w:t>
      </w:r>
      <w:r>
        <w:rPr>
          <w:rFonts w:eastAsia="Times New Roman" w:cs="Times New Roman"/>
          <w:szCs w:val="24"/>
          <w:lang w:val="en-ID"/>
        </w:rPr>
        <w:br/>
        <w:t>Berita Negara Republik Indonesia Tahun 2022 Nomor 117.</w:t>
      </w:r>
    </w:p>
    <w:p w14:paraId="37F63EBF" w14:textId="300DBA02" w:rsidR="00D64B8F" w:rsidRDefault="00D64B8F" w:rsidP="0068332B">
      <w:pPr>
        <w:pStyle w:val="BodyText"/>
        <w:spacing w:line="360" w:lineRule="auto"/>
        <w:ind w:left="0" w:right="3"/>
        <w:rPr>
          <w:b/>
          <w:bCs/>
          <w:u w:val="single"/>
        </w:rPr>
      </w:pPr>
    </w:p>
    <w:p w14:paraId="19A5A2FD" w14:textId="6AD2C1C3" w:rsidR="0068332B" w:rsidRDefault="0068332B" w:rsidP="0068332B">
      <w:pPr>
        <w:pStyle w:val="BodyText"/>
        <w:spacing w:line="360" w:lineRule="auto"/>
        <w:ind w:left="0" w:right="3"/>
        <w:rPr>
          <w:b/>
          <w:bCs/>
          <w:u w:val="single"/>
        </w:rPr>
      </w:pPr>
      <w:r>
        <w:rPr>
          <w:b/>
          <w:bCs/>
          <w:u w:val="single"/>
        </w:rPr>
        <w:t>Sumber Lain</w:t>
      </w:r>
    </w:p>
    <w:p w14:paraId="147811E0" w14:textId="77777777"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t xml:space="preserve">Angkasa, Angkasa, et al. "Development of a Restitution Model in Optimizing Legal Protection for Victims of Human Trafficking in Indonesia." </w:t>
      </w:r>
      <w:r w:rsidRPr="0068332B">
        <w:rPr>
          <w:rFonts w:eastAsia="Times New Roman" w:cs="Times New Roman"/>
          <w:i/>
          <w:iCs/>
          <w:color w:val="000000" w:themeColor="text1"/>
          <w:szCs w:val="24"/>
          <w:lang w:val="en-ID"/>
        </w:rPr>
        <w:t>Journal of Indonesian Legal Studies</w:t>
      </w:r>
      <w:r w:rsidRPr="0068332B">
        <w:rPr>
          <w:rFonts w:eastAsia="Times New Roman" w:cs="Times New Roman"/>
          <w:color w:val="000000" w:themeColor="text1"/>
          <w:szCs w:val="24"/>
          <w:lang w:val="en-ID"/>
        </w:rPr>
        <w:t xml:space="preserve"> 8 (2023). </w:t>
      </w:r>
      <w:hyperlink r:id="rId9" w:tgtFrame="_new" w:history="1">
        <w:r w:rsidRPr="0068332B">
          <w:rPr>
            <w:rFonts w:eastAsia="Times New Roman" w:cs="Times New Roman"/>
            <w:color w:val="000000" w:themeColor="text1"/>
            <w:szCs w:val="24"/>
            <w:lang w:val="en-ID"/>
          </w:rPr>
          <w:t>https://doi.org/10.15294/jils.v8i1.67866</w:t>
        </w:r>
      </w:hyperlink>
      <w:r w:rsidRPr="0068332B">
        <w:rPr>
          <w:rFonts w:eastAsia="Times New Roman" w:cs="Times New Roman"/>
          <w:color w:val="000000" w:themeColor="text1"/>
          <w:szCs w:val="24"/>
          <w:lang w:val="en-ID"/>
        </w:rPr>
        <w:t>.</w:t>
      </w:r>
    </w:p>
    <w:p w14:paraId="5D5285C8" w14:textId="77777777"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t xml:space="preserve">Bawenti, S. "Aspek Hukum Dalam Tindak Pidana Kejahatan Perdagangan Manusia." </w:t>
      </w:r>
      <w:r w:rsidRPr="0068332B">
        <w:rPr>
          <w:rFonts w:eastAsia="Times New Roman" w:cs="Times New Roman"/>
          <w:i/>
          <w:iCs/>
          <w:color w:val="000000" w:themeColor="text1"/>
          <w:szCs w:val="24"/>
          <w:lang w:val="en-ID"/>
        </w:rPr>
        <w:t>Unsrat</w:t>
      </w:r>
      <w:r w:rsidRPr="0068332B">
        <w:rPr>
          <w:rFonts w:eastAsia="Times New Roman" w:cs="Times New Roman"/>
          <w:color w:val="000000" w:themeColor="text1"/>
          <w:szCs w:val="24"/>
          <w:lang w:val="en-ID"/>
        </w:rPr>
        <w:t xml:space="preserve"> 9, no. 1 (2020): 54–61.</w:t>
      </w:r>
    </w:p>
    <w:p w14:paraId="41E32777" w14:textId="77777777"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t xml:space="preserve">Beresford, Sarah. "Asset Recovery and Victim Rights: Balancing the Scales of Justice." </w:t>
      </w:r>
      <w:r w:rsidRPr="0068332B">
        <w:rPr>
          <w:rFonts w:eastAsia="Times New Roman" w:cs="Times New Roman"/>
          <w:i/>
          <w:iCs/>
          <w:color w:val="000000" w:themeColor="text1"/>
          <w:szCs w:val="24"/>
          <w:lang w:val="en-ID"/>
        </w:rPr>
        <w:t>Journal of Financial Crime</w:t>
      </w:r>
      <w:r w:rsidRPr="0068332B">
        <w:rPr>
          <w:rFonts w:eastAsia="Times New Roman" w:cs="Times New Roman"/>
          <w:color w:val="000000" w:themeColor="text1"/>
          <w:szCs w:val="24"/>
          <w:lang w:val="en-ID"/>
        </w:rPr>
        <w:t xml:space="preserve"> 31, no. 1 (2024): 128–30.</w:t>
      </w:r>
    </w:p>
    <w:p w14:paraId="426DE9F4" w14:textId="77777777"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t xml:space="preserve">Febriani, Suryadi Samudra Reni. "Tindak Pidana Perdagangan Wanita Untuk Tujuan Eksploitasi Seksual Komersial Pada Media Sosial." </w:t>
      </w:r>
      <w:r w:rsidRPr="0068332B">
        <w:rPr>
          <w:rFonts w:eastAsia="Times New Roman" w:cs="Times New Roman"/>
          <w:i/>
          <w:iCs/>
          <w:color w:val="000000" w:themeColor="text1"/>
          <w:szCs w:val="24"/>
          <w:lang w:val="en-ID"/>
        </w:rPr>
        <w:t>Ilmiah Publika</w:t>
      </w:r>
      <w:r w:rsidRPr="0068332B">
        <w:rPr>
          <w:rFonts w:eastAsia="Times New Roman" w:cs="Times New Roman"/>
          <w:color w:val="000000" w:themeColor="text1"/>
          <w:szCs w:val="24"/>
          <w:lang w:val="en-ID"/>
        </w:rPr>
        <w:t xml:space="preserve"> 9, no. 1 (2021): 88–100.</w:t>
      </w:r>
    </w:p>
    <w:p w14:paraId="0DB51ACC" w14:textId="77777777"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t xml:space="preserve">Falen Oktavionita, Ahmad Riyadh. "Legal Protection for Victims of Trafficking in Persons." </w:t>
      </w:r>
      <w:r w:rsidRPr="0068332B">
        <w:rPr>
          <w:rFonts w:eastAsia="Times New Roman" w:cs="Times New Roman"/>
          <w:i/>
          <w:iCs/>
          <w:color w:val="000000" w:themeColor="text1"/>
          <w:szCs w:val="24"/>
          <w:lang w:val="en-ID"/>
        </w:rPr>
        <w:t>Indonesian Journal of Innovation Studies</w:t>
      </w:r>
      <w:r w:rsidRPr="0068332B">
        <w:rPr>
          <w:rFonts w:eastAsia="Times New Roman" w:cs="Times New Roman"/>
          <w:color w:val="000000" w:themeColor="text1"/>
          <w:szCs w:val="24"/>
          <w:lang w:val="en-ID"/>
        </w:rPr>
        <w:t xml:space="preserve"> 13, no. 1 (2020): 1–12. </w:t>
      </w:r>
      <w:hyperlink r:id="rId10" w:tgtFrame="_new" w:history="1">
        <w:r w:rsidRPr="0068332B">
          <w:rPr>
            <w:rFonts w:eastAsia="Times New Roman" w:cs="Times New Roman"/>
            <w:color w:val="000000" w:themeColor="text1"/>
            <w:szCs w:val="24"/>
            <w:lang w:val="en-ID"/>
          </w:rPr>
          <w:t>https://doi.org/10.21070/ijler.v15i0.764</w:t>
        </w:r>
      </w:hyperlink>
      <w:r w:rsidRPr="0068332B">
        <w:rPr>
          <w:rFonts w:eastAsia="Times New Roman" w:cs="Times New Roman"/>
          <w:color w:val="000000" w:themeColor="text1"/>
          <w:szCs w:val="24"/>
          <w:lang w:val="en-ID"/>
        </w:rPr>
        <w:t>.</w:t>
      </w:r>
    </w:p>
    <w:p w14:paraId="77D1BFD3" w14:textId="77777777"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t xml:space="preserve">Firmansyah, Yohanes, et al. "Compensation for Fraud (Gambling) Operations Under The Guise of Investment – Restitution as A Complex or Easy Way Out Mechanism?" </w:t>
      </w:r>
      <w:r w:rsidRPr="0068332B">
        <w:rPr>
          <w:rFonts w:eastAsia="Times New Roman" w:cs="Times New Roman"/>
          <w:i/>
          <w:iCs/>
          <w:color w:val="000000" w:themeColor="text1"/>
          <w:szCs w:val="24"/>
          <w:lang w:val="en-ID"/>
        </w:rPr>
        <w:t>East Asian Journal of Multidisciplinary Research</w:t>
      </w:r>
      <w:r w:rsidRPr="0068332B">
        <w:rPr>
          <w:rFonts w:eastAsia="Times New Roman" w:cs="Times New Roman"/>
          <w:color w:val="000000" w:themeColor="text1"/>
          <w:szCs w:val="24"/>
          <w:lang w:val="en-ID"/>
        </w:rPr>
        <w:t xml:space="preserve"> 1, no. 3 (2022): 545–72. </w:t>
      </w:r>
      <w:hyperlink r:id="rId11" w:tgtFrame="_new" w:history="1">
        <w:r w:rsidRPr="0068332B">
          <w:rPr>
            <w:rFonts w:eastAsia="Times New Roman" w:cs="Times New Roman"/>
            <w:color w:val="000000" w:themeColor="text1"/>
            <w:szCs w:val="24"/>
            <w:lang w:val="en-ID"/>
          </w:rPr>
          <w:t>https://doi.org/10.55927/eajmr.v1i3.280</w:t>
        </w:r>
      </w:hyperlink>
      <w:r w:rsidRPr="0068332B">
        <w:rPr>
          <w:rFonts w:eastAsia="Times New Roman" w:cs="Times New Roman"/>
          <w:color w:val="000000" w:themeColor="text1"/>
          <w:szCs w:val="24"/>
          <w:lang w:val="en-ID"/>
        </w:rPr>
        <w:t>.</w:t>
      </w:r>
    </w:p>
    <w:p w14:paraId="44B8F8F0" w14:textId="77777777"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t xml:space="preserve">Hamzah, Andi, et al. "Pemidanaan Terhadap Perbuatan Membantu Pelarian Pelaku Tindak Pidana Perdagangan Orang Menurut Pasal 23 Undang-Undang Nomor 21 Tahun 2007." </w:t>
      </w:r>
      <w:r w:rsidRPr="0068332B">
        <w:rPr>
          <w:rFonts w:eastAsia="Times New Roman" w:cs="Times New Roman"/>
          <w:i/>
          <w:iCs/>
          <w:color w:val="000000" w:themeColor="text1"/>
          <w:szCs w:val="24"/>
          <w:lang w:val="en-ID"/>
        </w:rPr>
        <w:t>Hukum Pro Justitia</w:t>
      </w:r>
      <w:r w:rsidRPr="0068332B">
        <w:rPr>
          <w:rFonts w:eastAsia="Times New Roman" w:cs="Times New Roman"/>
          <w:color w:val="000000" w:themeColor="text1"/>
          <w:szCs w:val="24"/>
          <w:lang w:val="en-ID"/>
        </w:rPr>
        <w:t xml:space="preserve"> 1, no. 1 (2007): 1–14.</w:t>
      </w:r>
    </w:p>
    <w:p w14:paraId="0732EFA0" w14:textId="77777777"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t xml:space="preserve">Jang, Yuhyeong, et al. "Determining Economic Factors for Sex Trafficking in the United States Using Count Time Series Regression." </w:t>
      </w:r>
      <w:r w:rsidRPr="0068332B">
        <w:rPr>
          <w:rFonts w:eastAsia="Times New Roman" w:cs="Times New Roman"/>
          <w:i/>
          <w:iCs/>
          <w:color w:val="000000" w:themeColor="text1"/>
          <w:szCs w:val="24"/>
          <w:lang w:val="en-ID"/>
        </w:rPr>
        <w:t>Empirical Economics</w:t>
      </w:r>
      <w:r w:rsidRPr="0068332B">
        <w:rPr>
          <w:rFonts w:eastAsia="Times New Roman" w:cs="Times New Roman"/>
          <w:color w:val="000000" w:themeColor="text1"/>
          <w:szCs w:val="24"/>
          <w:lang w:val="en-ID"/>
        </w:rPr>
        <w:t xml:space="preserve"> 1, no. 1 (2024): 1–18. </w:t>
      </w:r>
      <w:hyperlink r:id="rId12" w:tgtFrame="_new" w:history="1">
        <w:r w:rsidRPr="0068332B">
          <w:rPr>
            <w:rFonts w:eastAsia="Times New Roman" w:cs="Times New Roman"/>
            <w:color w:val="000000" w:themeColor="text1"/>
            <w:szCs w:val="24"/>
            <w:lang w:val="en-ID"/>
          </w:rPr>
          <w:t>https://doi.org/10.1007/s00181-023-02549-w</w:t>
        </w:r>
      </w:hyperlink>
      <w:r w:rsidRPr="0068332B">
        <w:rPr>
          <w:rFonts w:eastAsia="Times New Roman" w:cs="Times New Roman"/>
          <w:color w:val="000000" w:themeColor="text1"/>
          <w:szCs w:val="24"/>
          <w:lang w:val="en-ID"/>
        </w:rPr>
        <w:t>.</w:t>
      </w:r>
    </w:p>
    <w:p w14:paraId="481F77D5" w14:textId="77777777"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t xml:space="preserve">Marzuki Wahid. "Reformulasi Sistem Peradilan Pidana dalam Konstitusi." </w:t>
      </w:r>
      <w:r w:rsidRPr="0068332B">
        <w:rPr>
          <w:rFonts w:eastAsia="Times New Roman" w:cs="Times New Roman"/>
          <w:i/>
          <w:iCs/>
          <w:color w:val="000000" w:themeColor="text1"/>
          <w:szCs w:val="24"/>
          <w:lang w:val="en-ID"/>
        </w:rPr>
        <w:t>Jurnal Konstitusi</w:t>
      </w:r>
      <w:r w:rsidRPr="0068332B">
        <w:rPr>
          <w:rFonts w:eastAsia="Times New Roman" w:cs="Times New Roman"/>
          <w:color w:val="000000" w:themeColor="text1"/>
          <w:szCs w:val="24"/>
          <w:lang w:val="en-ID"/>
        </w:rPr>
        <w:t xml:space="preserve"> 18, no. 3 (2023): 519.</w:t>
      </w:r>
    </w:p>
    <w:p w14:paraId="7A4514BF" w14:textId="77777777"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t xml:space="preserve">Nuraeny, Henny. "Implementasi Restitusi Bagi Korban Tindak Pidana Perdagangan Orang." </w:t>
      </w:r>
      <w:r w:rsidRPr="0068332B">
        <w:rPr>
          <w:rFonts w:eastAsia="Times New Roman" w:cs="Times New Roman"/>
          <w:i/>
          <w:iCs/>
          <w:color w:val="000000" w:themeColor="text1"/>
          <w:szCs w:val="24"/>
          <w:lang w:val="en-ID"/>
        </w:rPr>
        <w:t>Ranah Research: Journal of Multidisciplinary Research and Development</w:t>
      </w:r>
      <w:r w:rsidRPr="0068332B">
        <w:rPr>
          <w:rFonts w:eastAsia="Times New Roman" w:cs="Times New Roman"/>
          <w:color w:val="000000" w:themeColor="text1"/>
          <w:szCs w:val="24"/>
          <w:lang w:val="en-ID"/>
        </w:rPr>
        <w:t xml:space="preserve"> 7, no. 2 (2024): 955.</w:t>
      </w:r>
    </w:p>
    <w:p w14:paraId="4739D295" w14:textId="77777777"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lastRenderedPageBreak/>
        <w:t xml:space="preserve">Ramirez, Elena, dan Joy Santos. "Administrative Asset Freezing in Human Trafficking Cases: The Philippine Experience." </w:t>
      </w:r>
      <w:r w:rsidRPr="0068332B">
        <w:rPr>
          <w:rFonts w:eastAsia="Times New Roman" w:cs="Times New Roman"/>
          <w:i/>
          <w:iCs/>
          <w:color w:val="000000" w:themeColor="text1"/>
          <w:szCs w:val="24"/>
          <w:lang w:val="en-ID"/>
        </w:rPr>
        <w:t>Asian Journal of Criminal Law and Justice Reform</w:t>
      </w:r>
      <w:r w:rsidRPr="0068332B">
        <w:rPr>
          <w:rFonts w:eastAsia="Times New Roman" w:cs="Times New Roman"/>
          <w:color w:val="000000" w:themeColor="text1"/>
          <w:szCs w:val="24"/>
          <w:lang w:val="en-ID"/>
        </w:rPr>
        <w:t xml:space="preserve"> 5, no. 1 (2023): 75.</w:t>
      </w:r>
    </w:p>
    <w:p w14:paraId="105066E3" w14:textId="77777777"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t xml:space="preserve">Rosifany, Ony. "Perlindungan Hukum Terhadap Korban Kejahatan." </w:t>
      </w:r>
      <w:r w:rsidRPr="0068332B">
        <w:rPr>
          <w:rFonts w:eastAsia="Times New Roman" w:cs="Times New Roman"/>
          <w:i/>
          <w:iCs/>
          <w:color w:val="000000" w:themeColor="text1"/>
          <w:szCs w:val="24"/>
          <w:lang w:val="en-ID"/>
        </w:rPr>
        <w:t>Jurnal Legalitas</w:t>
      </w:r>
      <w:r w:rsidRPr="0068332B">
        <w:rPr>
          <w:rFonts w:eastAsia="Times New Roman" w:cs="Times New Roman"/>
          <w:color w:val="000000" w:themeColor="text1"/>
          <w:szCs w:val="24"/>
          <w:lang w:val="en-ID"/>
        </w:rPr>
        <w:t xml:space="preserve"> 2, no. 2 (2017): 20–30. </w:t>
      </w:r>
      <w:hyperlink r:id="rId13" w:tgtFrame="_new" w:history="1">
        <w:r w:rsidRPr="0068332B">
          <w:rPr>
            <w:rFonts w:eastAsia="Times New Roman" w:cs="Times New Roman"/>
            <w:color w:val="000000" w:themeColor="text1"/>
            <w:szCs w:val="24"/>
            <w:lang w:val="en-ID"/>
          </w:rPr>
          <w:t>http://ejurnal.untag-smd.ac.id/index.php/LG/article/view/3382/3293</w:t>
        </w:r>
      </w:hyperlink>
      <w:r w:rsidRPr="0068332B">
        <w:rPr>
          <w:rFonts w:eastAsia="Times New Roman" w:cs="Times New Roman"/>
          <w:color w:val="000000" w:themeColor="text1"/>
          <w:szCs w:val="24"/>
          <w:lang w:val="en-ID"/>
        </w:rPr>
        <w:t>.</w:t>
      </w:r>
    </w:p>
    <w:p w14:paraId="7787D440" w14:textId="2A2AA23A" w:rsidR="0068332B" w:rsidRPr="0068332B" w:rsidRDefault="0068332B" w:rsidP="0068332B">
      <w:pPr>
        <w:spacing w:before="100" w:beforeAutospacing="1" w:after="100" w:afterAutospacing="1" w:line="240" w:lineRule="auto"/>
        <w:ind w:left="720" w:hanging="720"/>
        <w:rPr>
          <w:rFonts w:eastAsia="Times New Roman" w:cs="Times New Roman"/>
          <w:color w:val="000000" w:themeColor="text1"/>
          <w:szCs w:val="24"/>
          <w:lang w:val="en-ID"/>
        </w:rPr>
      </w:pPr>
      <w:r w:rsidRPr="0068332B">
        <w:rPr>
          <w:rFonts w:eastAsia="Times New Roman" w:cs="Times New Roman"/>
          <w:color w:val="000000" w:themeColor="text1"/>
          <w:szCs w:val="24"/>
          <w:lang w:val="en-ID"/>
        </w:rPr>
        <w:t xml:space="preserve">Siburian, Riskyanti Juniver. "Pembaharuan Mekanisme Dalam Upaya Ganti Kerugian Korban Tindak Pidana." </w:t>
      </w:r>
      <w:r w:rsidRPr="0068332B">
        <w:rPr>
          <w:rFonts w:eastAsia="Times New Roman" w:cs="Times New Roman"/>
          <w:i/>
          <w:iCs/>
          <w:color w:val="000000" w:themeColor="text1"/>
          <w:szCs w:val="24"/>
          <w:lang w:val="en-ID"/>
        </w:rPr>
        <w:t>Indonesia Criminal Law Review</w:t>
      </w:r>
      <w:r w:rsidRPr="0068332B">
        <w:rPr>
          <w:rFonts w:eastAsia="Times New Roman" w:cs="Times New Roman"/>
          <w:color w:val="000000" w:themeColor="text1"/>
          <w:szCs w:val="24"/>
          <w:lang w:val="en-ID"/>
        </w:rPr>
        <w:t xml:space="preserve"> 1, no. 2 (2022). </w:t>
      </w:r>
      <w:hyperlink r:id="rId14" w:history="1">
        <w:r w:rsidRPr="0068332B">
          <w:rPr>
            <w:rStyle w:val="Hyperlink"/>
            <w:rFonts w:eastAsia="Times New Roman" w:cs="Times New Roman"/>
            <w:color w:val="000000" w:themeColor="text1"/>
            <w:szCs w:val="24"/>
            <w:u w:val="none"/>
            <w:lang w:val="en-ID"/>
          </w:rPr>
          <w:t>https://scholarhub.ui.ac.id/iclr/vol1/iss2/</w:t>
        </w:r>
      </w:hyperlink>
    </w:p>
    <w:p w14:paraId="7615EED3" w14:textId="399601ED" w:rsidR="0068332B" w:rsidRPr="0068332B" w:rsidRDefault="0068332B" w:rsidP="0068332B">
      <w:pPr>
        <w:pStyle w:val="NormalWeb"/>
        <w:ind w:left="720" w:hanging="720"/>
        <w:jc w:val="both"/>
        <w:rPr>
          <w:color w:val="000000" w:themeColor="text1"/>
        </w:rPr>
      </w:pPr>
      <w:r w:rsidRPr="0068332B">
        <w:rPr>
          <w:color w:val="000000" w:themeColor="text1"/>
        </w:rPr>
        <w:t xml:space="preserve">Siburian, Riskyanti Juniver. "Pembaharuan Mekanisme Dalam Upaya Ganti Kerugian Korban Tindak Pidana." </w:t>
      </w:r>
      <w:r w:rsidRPr="0068332B">
        <w:rPr>
          <w:rStyle w:val="Emphasis"/>
          <w:rFonts w:eastAsiaTheme="majorEastAsia"/>
          <w:color w:val="000000" w:themeColor="text1"/>
        </w:rPr>
        <w:t>Indonesia Criminal Law Review</w:t>
      </w:r>
      <w:r w:rsidRPr="0068332B">
        <w:rPr>
          <w:color w:val="000000" w:themeColor="text1"/>
        </w:rPr>
        <w:t xml:space="preserve"> 1, no. 2 (2022). https://scholarhub.ui.ac.id/iclr/vol1/iss2/4.</w:t>
      </w:r>
    </w:p>
    <w:p w14:paraId="4277F8AF" w14:textId="4AD4A1FC" w:rsidR="0068332B" w:rsidRPr="0068332B" w:rsidRDefault="0068332B" w:rsidP="0068332B">
      <w:pPr>
        <w:pStyle w:val="NormalWeb"/>
        <w:ind w:left="720" w:hanging="720"/>
        <w:jc w:val="both"/>
        <w:rPr>
          <w:color w:val="000000" w:themeColor="text1"/>
        </w:rPr>
      </w:pPr>
      <w:r w:rsidRPr="0068332B">
        <w:rPr>
          <w:color w:val="000000" w:themeColor="text1"/>
        </w:rPr>
        <w:t xml:space="preserve">Sulistiani, Lies. "Problematika Hak Restitusi Korban Pada Tindak Pidana Yang Diatur KUHP dan di Luar KUHP." </w:t>
      </w:r>
      <w:r w:rsidRPr="0068332B">
        <w:rPr>
          <w:rStyle w:val="Emphasis"/>
          <w:rFonts w:eastAsiaTheme="majorEastAsia"/>
          <w:color w:val="000000" w:themeColor="text1"/>
        </w:rPr>
        <w:t>Jurnal Bina Mulia Hukum</w:t>
      </w:r>
      <w:r w:rsidRPr="0068332B">
        <w:rPr>
          <w:color w:val="000000" w:themeColor="text1"/>
        </w:rPr>
        <w:t xml:space="preserve"> 7, no. 1 (2022): 81–101. </w:t>
      </w:r>
      <w:hyperlink r:id="rId15" w:tgtFrame="_new" w:history="1">
        <w:r w:rsidRPr="0068332B">
          <w:rPr>
            <w:rStyle w:val="Hyperlink"/>
            <w:color w:val="000000" w:themeColor="text1"/>
            <w:u w:val="none"/>
          </w:rPr>
          <w:t>https://doi.org/10.23920/jbmh.v7i1.948</w:t>
        </w:r>
      </w:hyperlink>
      <w:r w:rsidRPr="0068332B">
        <w:rPr>
          <w:color w:val="000000" w:themeColor="text1"/>
        </w:rPr>
        <w:t>.</w:t>
      </w:r>
    </w:p>
    <w:p w14:paraId="0F8C17EF" w14:textId="5A5725EC" w:rsidR="0068332B" w:rsidRPr="0068332B" w:rsidRDefault="0068332B" w:rsidP="0068332B">
      <w:pPr>
        <w:pStyle w:val="NormalWeb"/>
        <w:ind w:left="720" w:hanging="720"/>
        <w:jc w:val="both"/>
        <w:rPr>
          <w:color w:val="000000" w:themeColor="text1"/>
        </w:rPr>
      </w:pPr>
      <w:r w:rsidRPr="0068332B">
        <w:rPr>
          <w:color w:val="000000" w:themeColor="text1"/>
        </w:rPr>
        <w:t xml:space="preserve">Sulastri. "Perlindungan Hukum Terhadap Korban Perdagangan Orang Dalam Sistem Peradilan Pidana Indonesia." </w:t>
      </w:r>
      <w:r w:rsidRPr="0068332B">
        <w:rPr>
          <w:rStyle w:val="Emphasis"/>
          <w:rFonts w:eastAsiaTheme="majorEastAsia"/>
          <w:color w:val="000000" w:themeColor="text1"/>
        </w:rPr>
        <w:t>Jurnal Hukum dan Peradilan</w:t>
      </w:r>
      <w:r w:rsidRPr="0068332B">
        <w:rPr>
          <w:color w:val="000000" w:themeColor="text1"/>
        </w:rPr>
        <w:t xml:space="preserve"> 9, no. 2 (2019): 274.</w:t>
      </w:r>
    </w:p>
    <w:p w14:paraId="0C7EF4CF" w14:textId="5C56C5B8" w:rsidR="0068332B" w:rsidRPr="0068332B" w:rsidRDefault="0068332B" w:rsidP="0068332B">
      <w:pPr>
        <w:pStyle w:val="NormalWeb"/>
        <w:ind w:left="720" w:hanging="720"/>
        <w:jc w:val="both"/>
        <w:rPr>
          <w:color w:val="000000" w:themeColor="text1"/>
        </w:rPr>
      </w:pPr>
      <w:r w:rsidRPr="0068332B">
        <w:rPr>
          <w:color w:val="000000" w:themeColor="text1"/>
        </w:rPr>
        <w:t xml:space="preserve">Suseno, Jarot Jati Bagus. </w:t>
      </w:r>
      <w:r w:rsidRPr="0068332B">
        <w:rPr>
          <w:rStyle w:val="Emphasis"/>
          <w:rFonts w:eastAsiaTheme="majorEastAsia"/>
          <w:color w:val="000000" w:themeColor="text1"/>
        </w:rPr>
        <w:t>Rekontruksi Regulasi Restitusi Sebagai Upaya Perlindungan Korban Tindak Pidana Perdagangan Orang yang Berorientasi pada Nilai Keadilan</w:t>
      </w:r>
      <w:r w:rsidRPr="0068332B">
        <w:rPr>
          <w:color w:val="000000" w:themeColor="text1"/>
        </w:rPr>
        <w:t xml:space="preserve">. Skripsi, Universitas Islam Sultan Agung, 2022. </w:t>
      </w:r>
      <w:hyperlink r:id="rId16" w:tgtFrame="_new" w:history="1">
        <w:r w:rsidRPr="0068332B">
          <w:rPr>
            <w:rStyle w:val="Hyperlink"/>
            <w:color w:val="000000" w:themeColor="text1"/>
            <w:u w:val="none"/>
          </w:rPr>
          <w:t>https://repository.unissula.ac.id/30902/</w:t>
        </w:r>
      </w:hyperlink>
      <w:r w:rsidRPr="0068332B">
        <w:rPr>
          <w:color w:val="000000" w:themeColor="text1"/>
        </w:rPr>
        <w:t>.</w:t>
      </w:r>
    </w:p>
    <w:p w14:paraId="7D825986" w14:textId="07EC0EC5" w:rsidR="0068332B" w:rsidRPr="0068332B" w:rsidRDefault="0068332B" w:rsidP="0068332B">
      <w:pPr>
        <w:pStyle w:val="NormalWeb"/>
        <w:ind w:left="720" w:hanging="720"/>
        <w:jc w:val="both"/>
        <w:rPr>
          <w:color w:val="000000" w:themeColor="text1"/>
        </w:rPr>
      </w:pPr>
      <w:r w:rsidRPr="0068332B">
        <w:rPr>
          <w:color w:val="000000" w:themeColor="text1"/>
        </w:rPr>
        <w:t xml:space="preserve">Hamamah, Fatin. </w:t>
      </w:r>
      <w:r w:rsidRPr="0068332B">
        <w:rPr>
          <w:rStyle w:val="Emphasis"/>
          <w:rFonts w:eastAsiaTheme="majorEastAsia"/>
          <w:color w:val="000000" w:themeColor="text1"/>
        </w:rPr>
        <w:t>Konstruksi Pengaturan Kompensasi dan Restitusi dalam Memberikan Perlindungan Anak Sebagai Korban Kejahatan Seksual Berbasis Nilai Keadilan</w:t>
      </w:r>
      <w:r w:rsidRPr="0068332B">
        <w:rPr>
          <w:color w:val="000000" w:themeColor="text1"/>
        </w:rPr>
        <w:t xml:space="preserve">. Tesis, Universitas Islam Sultan Agung, 2020. </w:t>
      </w:r>
      <w:hyperlink r:id="rId17" w:tgtFrame="_new" w:history="1">
        <w:r w:rsidRPr="0068332B">
          <w:rPr>
            <w:rStyle w:val="Hyperlink"/>
            <w:color w:val="000000" w:themeColor="text1"/>
            <w:u w:val="none"/>
          </w:rPr>
          <w:t>https://repository.unissula.ac.id/18475/</w:t>
        </w:r>
      </w:hyperlink>
      <w:r w:rsidRPr="0068332B">
        <w:rPr>
          <w:color w:val="000000" w:themeColor="text1"/>
        </w:rPr>
        <w:t>.</w:t>
      </w:r>
    </w:p>
    <w:p w14:paraId="0CB16FF4" w14:textId="05FF56C3" w:rsidR="0068332B" w:rsidRPr="0068332B" w:rsidRDefault="0068332B" w:rsidP="0068332B">
      <w:pPr>
        <w:pStyle w:val="NormalWeb"/>
        <w:ind w:left="720" w:hanging="720"/>
        <w:jc w:val="both"/>
        <w:rPr>
          <w:color w:val="000000" w:themeColor="text1"/>
        </w:rPr>
      </w:pPr>
      <w:r w:rsidRPr="0068332B">
        <w:rPr>
          <w:color w:val="000000" w:themeColor="text1"/>
        </w:rPr>
        <w:t xml:space="preserve">Yuhelson. </w:t>
      </w:r>
      <w:r w:rsidRPr="0068332B">
        <w:rPr>
          <w:rStyle w:val="Emphasis"/>
          <w:rFonts w:eastAsiaTheme="majorEastAsia"/>
          <w:color w:val="000000" w:themeColor="text1"/>
        </w:rPr>
        <w:t>Corporate Criminal Accountability in Fulfilling the Right to Restitution of Victims of People Trafficking</w:t>
      </w:r>
      <w:r w:rsidRPr="0068332B">
        <w:rPr>
          <w:color w:val="000000" w:themeColor="text1"/>
        </w:rPr>
        <w:t xml:space="preserve">. Tesis, Universitas Jayabaya, 2023. </w:t>
      </w:r>
      <w:hyperlink r:id="rId18" w:tgtFrame="_new" w:history="1">
        <w:r w:rsidRPr="0068332B">
          <w:rPr>
            <w:rStyle w:val="Hyperlink"/>
            <w:color w:val="000000" w:themeColor="text1"/>
            <w:u w:val="none"/>
          </w:rPr>
          <w:t>https://repo.jayabaya.ac.id/4222/</w:t>
        </w:r>
      </w:hyperlink>
      <w:r w:rsidRPr="0068332B">
        <w:rPr>
          <w:color w:val="000000" w:themeColor="text1"/>
        </w:rPr>
        <w:t>.</w:t>
      </w:r>
    </w:p>
    <w:p w14:paraId="2DF06685" w14:textId="77777777" w:rsidR="0068332B" w:rsidRPr="0068332B" w:rsidRDefault="0068332B" w:rsidP="0068332B">
      <w:pPr>
        <w:spacing w:before="100" w:beforeAutospacing="1" w:after="100" w:afterAutospacing="1" w:line="240" w:lineRule="auto"/>
        <w:ind w:left="720"/>
        <w:jc w:val="left"/>
        <w:rPr>
          <w:rFonts w:eastAsia="Times New Roman" w:cs="Times New Roman"/>
          <w:szCs w:val="24"/>
          <w:lang w:val="en-ID"/>
        </w:rPr>
      </w:pPr>
    </w:p>
    <w:p w14:paraId="32604449" w14:textId="77777777" w:rsidR="0068332B" w:rsidRPr="0068332B" w:rsidRDefault="0068332B" w:rsidP="0068332B">
      <w:pPr>
        <w:pStyle w:val="BodyText"/>
        <w:spacing w:line="360" w:lineRule="auto"/>
        <w:ind w:left="0" w:right="3"/>
        <w:rPr>
          <w:b/>
          <w:bCs/>
          <w:u w:val="single"/>
        </w:rPr>
      </w:pPr>
    </w:p>
    <w:sectPr w:rsidR="0068332B" w:rsidRPr="006833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C5AB" w14:textId="77777777" w:rsidR="00A70972" w:rsidRDefault="00A70972" w:rsidP="003B30B5">
      <w:pPr>
        <w:spacing w:after="0" w:line="240" w:lineRule="auto"/>
      </w:pPr>
      <w:r>
        <w:separator/>
      </w:r>
    </w:p>
  </w:endnote>
  <w:endnote w:type="continuationSeparator" w:id="0">
    <w:p w14:paraId="48FC9BA5" w14:textId="77777777" w:rsidR="00A70972" w:rsidRDefault="00A70972" w:rsidP="003B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684E" w14:textId="77777777" w:rsidR="00A70972" w:rsidRDefault="00A70972" w:rsidP="003B30B5">
      <w:pPr>
        <w:spacing w:after="0" w:line="240" w:lineRule="auto"/>
      </w:pPr>
      <w:r>
        <w:separator/>
      </w:r>
    </w:p>
  </w:footnote>
  <w:footnote w:type="continuationSeparator" w:id="0">
    <w:p w14:paraId="360E52AA" w14:textId="77777777" w:rsidR="00A70972" w:rsidRDefault="00A70972" w:rsidP="003B30B5">
      <w:pPr>
        <w:spacing w:after="0" w:line="240" w:lineRule="auto"/>
      </w:pPr>
      <w:r>
        <w:continuationSeparator/>
      </w:r>
    </w:p>
  </w:footnote>
  <w:footnote w:id="1">
    <w:p w14:paraId="57A9177B" w14:textId="77777777" w:rsidR="003B30B5" w:rsidRDefault="003B30B5" w:rsidP="003B30B5">
      <w:pPr>
        <w:pStyle w:val="FootnoteText"/>
        <w:ind w:firstLine="567"/>
        <w:rPr>
          <w:rFonts w:cs="Times New Roman"/>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{"citationItems":[{"id":"ITEM-1","itemData":{"author":[{"dropping-particle":"","family":"Gultom","given":"Maidin","non-dropping-particle":"","parse-names":false,"suffix":""}],"id":"ITEM-1","issued":{"date-parts":[["2013"]]},"publisher":"Refika Aditama","publisher-place":"Bandung","title":"Perlindungan Hukum terhadap Anak dan Perempuan","type":"book"},"uris":["http://www.mendeley.com/documents/?uuid=0135f524-7ca1-4039-ba60-af99fc1be3ad"]}],"mendeley":{"formattedCitation":"Maidin Gultom, &lt;i&gt;Perlindungan Hukum Terhadap Anak Dan Perempuan&lt;/i&gt; (Bandung: Refika Aditama, 2013).","manualFormatting":"Maidin Gultom, Perlindungan Hukum Terhadap Anak Dan Perempuan (Bandung: Refika Aditama, 2013), hlm 2.","plainTextFormattedCitation":"Maidin Gultom, Perlindungan Hukum Terhadap Anak Dan Perempuan (Bandung: Refika Aditama, 2013).","previouslyFormattedCitation":"Maidin Gultom, &lt;i&gt;Perlindungan Hukum Terhadap Anak Dan Perempuan&lt;/i&gt; (Bandung: Refika Aditama, 2013)."},"properties":{"noteIndex":1},"schema":"https://github.com/citation-style-language/schema/raw/master/csl-citation.json"}</w:instrText>
      </w:r>
      <w:r>
        <w:rPr>
          <w:rFonts w:cs="Times New Roman"/>
        </w:rPr>
        <w:fldChar w:fldCharType="separate"/>
      </w:r>
      <w:r>
        <w:rPr>
          <w:rFonts w:cs="Times New Roman"/>
          <w:noProof/>
        </w:rPr>
        <w:t>Maidin Gultom, Perlindungan Hukum Terhadap Anak Dan Perempuan (Bandung: Refika Aditama, 2013), hlm 2.</w:t>
      </w:r>
      <w:r>
        <w:rPr>
          <w:rFonts w:cs="Times New Roman"/>
        </w:rPr>
        <w:fldChar w:fldCharType="end"/>
      </w:r>
    </w:p>
  </w:footnote>
  <w:footnote w:id="2">
    <w:p w14:paraId="0CF6A9F8" w14:textId="77777777" w:rsidR="003B30B5" w:rsidRDefault="003B30B5" w:rsidP="003B30B5">
      <w:pPr>
        <w:pStyle w:val="FootnoteText"/>
        <w:ind w:firstLine="567"/>
        <w:rPr>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{"citationItems":[{"id":"ITEM-1","itemData":{"DOI":"10.14710/gk.2018.3592","ISSN":"0852-0011","abstract":"Indonesia memiliki potensi Sumber Daya Alam yang melimpah, hal tersebut jelas menunjukan juga bawasannya Indonesia memiliki modal yang juga besar dan melimpah bagi Indonesia dalam ikhtiar membangun bangsa dan negara di berbagai aspek kehidupan berbangsa danbernegara. Berkaitan dengan hal tersebut maka dibutuhkan suatu bentuk sistem menegerial, sistem pola, serta sistem mekanisme dalam satu kerangka pembangunan nasional. Hal tersebut mampu terwujud dengan baik melalui politik hukum nasional. Namun demikian politik hukumpembangunan di berbagai daerah di tanah air hari-hari ini banyak mengalami berbagai konstipasi dalam pelaksanaannya. Keadaan tersebut jelas menghambat terwujudnya tujuan negara dan cita-cita bangsa sebagaimana terkristalkan dalam Pancasila dan alinea keempat UndangUndang Dasar Negara Kesatua Republik Indonesia Tahun 1945. Maka dari itu dibutuhkan politik hukum pembangunan yang holistik, eksklusif dan tersistematis secara paripurna, baik dalam skala lokal, nasional, regional, serta internasional, baik dalam kehidupan berekonomi,bersosial dan berbudaya, berpolitik, maupun dalam kehidupan berhukum.","author":[{"dropping-particle":"","family":"Warassih","given":"Esmi","non-dropping-particle":"","parse-names":false,"suffix":""}],"container-title":"Gema Keadilan","id":"ITEM-1","issue":"1","issued":{"date-parts":[["2018"]]},"page":"1-15","title":"Peran Politik Hukum Dalam Pembangunan Nasional","type":"article-journal","volume":"5"},"uris":["http://www.mendeley.com/documents/?uuid=492a47db-7513-49a5-b765-f531c2bcb1f6"]},{"id":"ITEM-2","itemData":{"author":[{"dropping-particle":"","family":"Barda Nawawi Arief","given":"","non-dropping-particle":"","parse-names":false,"suffix":""}],"id":"ITEM-2","issued":{"date-parts":[["2009"]]},"publisher":"Badan Penerbit Universitas Diponegoro","publisher-place":"Semarang","title":"Tujuan dan Pedoman Pemidanaan","type":"book"},"uris":["http://www.mendeley.com/documents/?uuid=b1996f64-7a51-4991-a748-f1da36ca2eb1"]}],"mendeley":{"formattedCitation":"Esmi Warassih, “Peran Politik Hukum Dalam Pembangunan Nasional,” &lt;i&gt;Gema Keadilan&lt;/i&gt; 5, no. 1 (2018): 1–15, https://doi.org/10.14710/gk.2018.3592; Barda Nawawi Arief, &lt;i&gt;Tujuan Dan Pedoman Pemidanaan&lt;/i&gt; (Semarang: Badan Penerbit Universitas Diponegoro, 2009).","manualFormatting":"Melindungi kesejahteraan sosial Indonesia dalam segala aspek kehidupan bermasyarakat, berbangsa, dan bernegara merupakan parameter dalam mencapai tujuan negara. Dari pernyataan tersebut, terlihat jelas bahwa tujuan negara yang menyangkut kesejahteraan masyarakat tidak berdiri sendiri melainkan merupakan satu kesatuan yang tidak terpisahkan dari kehidupan berbangsa dan bernegara. Perwujudan tujuan negara dan kesejahteraan masyarakat dapat dicapai melalui penerapan hukum yang menjadi sarana penting dalam kehidupan berbangsa dan bernegara. Lihat Esmi Warassih, “Peran Politik Hukum Dalam Pembangunan Nasional,” Gema Keadilan 5, no. 1 (2018): 1–15; Menurut Barda Nawawi Arief, dua kata kunci dari tujuan nasional yaitu “perlindungan masyarakat (social defence)” dan “kesejahteraan masyarakat (social welfare)”. Dua kata kunci ini menyoroti pentingnya menjaga keseimbangan dalam mencapai tujuan nasional. Kedua istilah ini sering digabungkan menjadi satu istilah, “perlindungan sosial”, karena juga meliputi kesejahteraan sosial. Lihat jugaBarda Nawawi Arief, Tujuan Dan Pedoman Pemidanaan (Semarang: Badan Penerbit Universitas Diponegoro, 2009), hlm 43.","plainTextFormattedCitation":"Esmi Warassih, “Peran Politik Hukum Dalam Pembangunan Nasional,” Gema Keadilan 5, no. 1 (2018): 1–15, https://doi.org/10.14710/gk.2018.3592; Barda Nawawi Arief, Tujuan Dan Pedoman Pemidanaan (Semarang: Badan Penerbit Universitas Diponegoro, 2009).","previouslyFormattedCitation":"Esmi Warassih, “Peran Politik Hukum Dalam Pembangunan Nasional,” &lt;i&gt;Gema Keadilan&lt;/i&gt; 5, no. 1 (2018): 1–15, https://doi.org/10.14710/gk.2018.3592; Barda Nawawi Arief, &lt;i&gt;Tujuan Dan Pedoman Pemidanaan&lt;/i&gt; (Semarang: Badan Penerbit Universitas Diponegoro, 2009)."},"properties":{"noteIndex":2},"schema":"https://github.com/citation-style-language/schema/raw/master/csl-citation.json"}</w:instrText>
      </w:r>
      <w:r>
        <w:rPr>
          <w:rFonts w:cs="Times New Roman"/>
        </w:rPr>
        <w:fldChar w:fldCharType="separate"/>
      </w:r>
      <w:r>
        <w:rPr>
          <w:rFonts w:cs="Times New Roman"/>
          <w:noProof/>
          <w:lang w:val="en-GB"/>
        </w:rPr>
        <w:t>Melindungi k</w:t>
      </w:r>
      <w:r>
        <w:rPr>
          <w:rFonts w:cs="Times New Roman"/>
          <w:noProof/>
        </w:rPr>
        <w:t xml:space="preserve">esejahteraan </w:t>
      </w:r>
      <w:r>
        <w:rPr>
          <w:rFonts w:cs="Times New Roman"/>
          <w:noProof/>
          <w:lang w:val="en-GB"/>
        </w:rPr>
        <w:t>sosial</w:t>
      </w:r>
      <w:r>
        <w:rPr>
          <w:rFonts w:cs="Times New Roman"/>
          <w:noProof/>
        </w:rPr>
        <w:t xml:space="preserve"> Indonesia dalam segala aspek kehidupan bermasyarakat, berbangsa, dan bernegara merupakan parameter dalam mencapai tujuan negara. Dari pernyataan tersebut, terlihat jelas bahwa tujuan negara yang menyangkut kesejahteraan masyarakat tidak berdiri sendiri melainkan merupakan satu kesatuan yang tidak terpisahkan dari kehidupan berbangsa dan bernegara. Perwujudan tujuan negara dan kesejahteraan masyarakat dapat dicapai melalui penerapan hukum yang menjadi sarana penting dalam kehidupan berbangsa dan bernegara</w:t>
      </w:r>
      <w:r>
        <w:rPr>
          <w:rFonts w:cs="Times New Roman"/>
          <w:noProof/>
          <w:lang w:val="en-GB"/>
        </w:rPr>
        <w:t>. Lihat E</w:t>
      </w:r>
      <w:r>
        <w:rPr>
          <w:rFonts w:cs="Times New Roman"/>
          <w:noProof/>
        </w:rPr>
        <w:t xml:space="preserve">smi Warassih, “Peran Politik Hukum Dalam Pembangunan Nasional,” </w:t>
      </w:r>
      <w:r>
        <w:rPr>
          <w:rFonts w:cs="Times New Roman"/>
          <w:i/>
          <w:noProof/>
        </w:rPr>
        <w:t>Gema Keadilan</w:t>
      </w:r>
      <w:r>
        <w:rPr>
          <w:rFonts w:cs="Times New Roman"/>
          <w:noProof/>
        </w:rPr>
        <w:t xml:space="preserve"> 5, no. 1 (2018): 1–15; Menurut Barda Nawawi Arief, dua kata kunci dari tujuan nasional yaitu “perlindungan masyarakat (</w:t>
      </w:r>
      <w:r>
        <w:rPr>
          <w:rFonts w:cs="Times New Roman"/>
          <w:i/>
          <w:iCs/>
          <w:noProof/>
        </w:rPr>
        <w:t>social defence</w:t>
      </w:r>
      <w:r>
        <w:rPr>
          <w:rFonts w:cs="Times New Roman"/>
          <w:noProof/>
        </w:rPr>
        <w:t>)” dan “kesejahteraan masyarakat (</w:t>
      </w:r>
      <w:r>
        <w:rPr>
          <w:rFonts w:cs="Times New Roman"/>
          <w:i/>
          <w:iCs/>
          <w:noProof/>
        </w:rPr>
        <w:t>social welfare</w:t>
      </w:r>
      <w:r>
        <w:rPr>
          <w:rFonts w:cs="Times New Roman"/>
          <w:noProof/>
        </w:rPr>
        <w:t>)”. Dua kata kunci ini menyoroti pentingnya menjaga keseimbangan dalam mencapai tujuan nasional. Kedua istilah ini sering digabungkan menjadi satu istilah, “perlindungan sosial”, karena juga meliputi kesejahteraan sosial</w:t>
      </w:r>
      <w:r>
        <w:rPr>
          <w:rFonts w:cs="Times New Roman"/>
          <w:noProof/>
          <w:lang w:val="en-GB"/>
        </w:rPr>
        <w:t>. Lihat juga</w:t>
      </w:r>
      <w:r>
        <w:rPr>
          <w:rFonts w:cs="Times New Roman"/>
          <w:noProof/>
        </w:rPr>
        <w:t xml:space="preserve">Barda Nawawi Arief, </w:t>
      </w:r>
      <w:r>
        <w:rPr>
          <w:rFonts w:cs="Times New Roman"/>
          <w:i/>
          <w:noProof/>
        </w:rPr>
        <w:t>Tujuan Dan Pedoman Pemidanaan</w:t>
      </w:r>
      <w:r>
        <w:rPr>
          <w:rFonts w:cs="Times New Roman"/>
          <w:noProof/>
        </w:rPr>
        <w:t xml:space="preserve"> (Semarang: Badan Penerbit Universitas Diponegoro, 2009)</w:t>
      </w:r>
      <w:r>
        <w:rPr>
          <w:rFonts w:cs="Times New Roman"/>
          <w:noProof/>
          <w:lang w:val="en-GB"/>
        </w:rPr>
        <w:t>, hlm 43</w:t>
      </w:r>
      <w:r>
        <w:rPr>
          <w:rFonts w:cs="Times New Roman"/>
          <w:noProof/>
        </w:rPr>
        <w:t>.</w:t>
      </w:r>
      <w:r>
        <w:rPr>
          <w:rFonts w:cs="Times New Roman"/>
        </w:rPr>
        <w:fldChar w:fldCharType="end"/>
      </w:r>
    </w:p>
  </w:footnote>
  <w:footnote w:id="3">
    <w:p w14:paraId="6DE3523A" w14:textId="77777777" w:rsidR="003B30B5" w:rsidRDefault="003B30B5" w:rsidP="003B30B5">
      <w:pPr>
        <w:pStyle w:val="FootnoteText"/>
        <w:ind w:firstLine="567"/>
        <w:rPr>
          <w:rFonts w:cs="Times New Roman"/>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{"citationItems":[{"id":"ITEM-1","itemData":{"DOI":"10.1007/s00181-023-02549-w","ISSN":"14358921","abstract":"The article presents a robust quantitative approach for determining significant economic factors for sex trafficking in the United States. The aim is to study monthly counts of sex trafficking-related convictions, and use a wide range of economic variables as covariates to investigate their effect on conviction counts. A count time series model is considered along with a regression setup to include economic time series as covariates (economic factors) to explain the counts on sex trafficking-related convictions. The statistical significance of these economic factors is investigated and the significant factors are ranked based on appropriate model selection methods. The inclusion of time-lagged versions of the economic factor time series in the regression model is also explored. Our findings indicate that economic factors relating to immigration policy, consumer price index and labor market regulations are the most significant in explaining sex trafficking convictions.","author":[{"dropping-particle":"","family":"Jang","given":"Yuhyeong","non-dropping-particle":"","parse-names":false,"suffix":""},{"dropping-particle":"","family":"Sundararajan","given":"Raanju R.","non-dropping-particle":"","parse-names":false,"suffix":""},{"dropping-particle":"","family":"Barreto-Souza","given":"Wagner","non-dropping-particle":"","parse-names":false,"suffix":""},{"dropping-particle":"","family":"Wheaton-Paramo","given":"Elizabeth","non-dropping-particle":"","parse-names":false,"suffix":""}],"container-title":"Empirical Economics","id":"ITEM-1","issue":"1","issued":{"date-parts":[["2024"]]},"page":"1-18","publisher":"Springer Berlin Heidelberg","title":"Determining Economic Factors For Sex Trafficking in The United States Using Count Time Series Regression","type":"article-journal","volume":"1"},"uris":["http://www.mendeley.com/documents/?uuid=58695c65-a5e2-4d9e-93d5-588f27d88606"]}],"mendeley":{"formattedCitation":"Yuhyeong Jang et al., “Determining Economic Factors For Sex Trafficking in The United States Using Count Time Series Regression,” &lt;i&gt;Empirical Economics&lt;/i&gt; 1, no. 1 (2024): 1–18, https://doi.org/10.1007/s00181-023-02549-w.","plainTextFormattedCitation":"Yuhyeong Jang et al., “Determining Economic Factors For Sex Trafficking in The United States Using Count Time Series Regression,” Empirical Economics 1, no. 1 (2024): 1–18, https://doi.org/10.1007/s00181-023-02549-w.","previouslyFormattedCitation":"Yuhyeong Jang et al., “Determining Economic Factors For Sex Trafficking in The United States Using Count Time Series Regression,” &lt;i&gt;Empirical Economics&lt;/i&gt; 1, no. 1 (2024): 1–18, https://doi.org/10.1007/s00181-023-02549-w."},"properties":{"noteIndex":3},"schema":"https://github.com/citation-style-language/schema/raw/master/csl-citation.json"}</w:instrText>
      </w:r>
      <w:r>
        <w:rPr>
          <w:rFonts w:cs="Times New Roman"/>
        </w:rPr>
        <w:fldChar w:fldCharType="separate"/>
      </w:r>
      <w:r>
        <w:rPr>
          <w:rFonts w:cs="Times New Roman"/>
          <w:noProof/>
        </w:rPr>
        <w:t xml:space="preserve">Yuhyeong Jang et al., “Determining Economic Factors For Sex Trafficking in The United States Using Count Time Series Regression,” </w:t>
      </w:r>
      <w:r>
        <w:rPr>
          <w:rFonts w:cs="Times New Roman"/>
          <w:i/>
          <w:noProof/>
        </w:rPr>
        <w:t>Empirical Economics</w:t>
      </w:r>
      <w:r>
        <w:rPr>
          <w:rFonts w:cs="Times New Roman"/>
          <w:noProof/>
        </w:rPr>
        <w:t xml:space="preserve"> 1, no. 1 (2024): 1–18, https://doi.org/10.1007/s00181-023-02549-w.</w:t>
      </w:r>
      <w:r>
        <w:rPr>
          <w:rFonts w:cs="Times New Roman"/>
        </w:rPr>
        <w:fldChar w:fldCharType="end"/>
      </w:r>
    </w:p>
  </w:footnote>
  <w:footnote w:id="4">
    <w:p w14:paraId="44D671AF" w14:textId="77777777" w:rsidR="003B30B5" w:rsidRDefault="003B30B5" w:rsidP="003B30B5">
      <w:pPr>
        <w:pStyle w:val="FootnoteText"/>
        <w:ind w:firstLine="567"/>
        <w:rPr>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{"citationItems":[{"id":"ITEM-1","itemData":{"DOI":"10.21070/ijler.v15i0.764.","abstract":"This study aims to determine the effect of augmented reality learning media on students' motivationandlearningoutcomesinelementarysocial studies subjects.Theresearchmethod used is quantitative experimental, pre experimental design, one group pretest-posttest. The data collection technique was done by giving pretest and posttest. Data analysis techniques usinginferential statisticsincludeparametricstatisticsusingpairedsamplet-test.Theresults of the study found that there was a big influence on the use of augmented reality learning media on students' motivation and learning outcomes in elementary social studies subjects. There are two aspects of increasing students' learning motivation including intrinsic and extrinsic aspects. Meanwhile, the increase in student learning outcomes in the cognitive domain is at levels C1, C2 and C3. The results of this study suggest that teachers, especially teachers at the elementary level, make more use of technology in making learning media, especially in social studies subjects. In addition to facilitating the planting of learning concepts, the use of technology-based learning media is also useful in making learning activities more interesting and making it easier for students to understand learning materials.","author":[{"dropping-particle":"","family":"Falen Oktavionita","given":"Ahmad Riyadh","non-dropping-particle":"","parse-names":false,"suffix":""}],"container-title":"Indonesian Journal of Innovation Studies","id":"ITEM-1","issue":"1","issued":{"date-parts":[["2020"]]},"page":"1-12","title":"Legal Protection for Victims of Trafficking in Persons From a Human Rights Perspective Perlindungan Hukum bagi Korban Tindak Pidana Perdagangan Orang Ditinjau dari Perspektif Hak Asasi Manusia","type":"article-journal","volume":"13"},"uris":["http://www.mendeley.com/documents/?uuid=696ec8fa-0dfb-4b6f-b9c2-9278c5250e20"]}],"mendeley":{"formattedCitation":"Ahmad Riyadh Falen Oktavionita, “Legal Protection for Victims of Trafficking in Persons From a Human Rights Perspective Perlindungan Hukum Bagi Korban Tindak Pidana Perdagangan Orang Ditinjau Dari Perspektif Hak Asasi Manusia,” &lt;i&gt;Indonesian Journal of Innovation Studies&lt;/i&gt; 13, no. 1 (2020): 1–12, https://doi.org/10.21070/ijler.v15i0.764.","plainTextFormattedCitation":"Ahmad Riyadh Falen Oktavionita, “Legal Protection for Victims of Trafficking in Persons From a Human Rights Perspective Perlindungan Hukum Bagi Korban Tindak Pidana Perdagangan Orang Ditinjau Dari Perspektif Hak Asasi Manusia,” Indonesian Journal of Innovation Studies 13, no. 1 (2020): 1–12, https://doi.org/10.21070/ijler.v15i0.764.","previouslyFormattedCitation":"Ahmad Riyadh Falen Oktavionita, “Legal Protection for Victims of Trafficking in Persons From a Human Rights Perspective Perlindungan Hukum Bagi Korban Tindak Pidana Perdagangan Orang Ditinjau Dari Perspektif Hak Asasi Manusia,” &lt;i&gt;Indonesian Journal of Innovation Studies&lt;/i&gt; 13, no. 1 (2020): 1–12, https://doi.org/10.21070/ijler.v15i0.764."},"properties":{"noteIndex":4},"schema":"https://github.com/citation-style-language/schema/raw/master/csl-citation.json"}</w:instrText>
      </w:r>
      <w:r>
        <w:rPr>
          <w:rFonts w:cs="Times New Roman"/>
        </w:rPr>
        <w:fldChar w:fldCharType="separate"/>
      </w:r>
      <w:r>
        <w:rPr>
          <w:rFonts w:cs="Times New Roman"/>
          <w:noProof/>
        </w:rPr>
        <w:t xml:space="preserve">Ahmad Riyadh Falen Oktavionita, “Legal Protection for Victims of Trafficking in Persons From a Human Rights Perspective Perlindungan Hukum Bagi Korban Tindak Pidana Perdagangan Orang Ditinjau Dari Perspektif Hak Asasi Manusia,” </w:t>
      </w:r>
      <w:r>
        <w:rPr>
          <w:rFonts w:cs="Times New Roman"/>
          <w:i/>
          <w:noProof/>
        </w:rPr>
        <w:t>Indonesian Journal of Innovation Studies</w:t>
      </w:r>
      <w:r>
        <w:rPr>
          <w:rFonts w:cs="Times New Roman"/>
          <w:noProof/>
        </w:rPr>
        <w:t xml:space="preserve"> 13, no. 1 (2020): 1–12, https://doi.org/10.21070/ijler.v15i0.764.</w:t>
      </w:r>
      <w:r>
        <w:rPr>
          <w:rFonts w:cs="Times New Roman"/>
        </w:rPr>
        <w:fldChar w:fldCharType="end"/>
      </w:r>
    </w:p>
  </w:footnote>
  <w:footnote w:id="5">
    <w:p w14:paraId="135AAAF0" w14:textId="77777777" w:rsidR="00530F10" w:rsidRDefault="00530F10" w:rsidP="00530F10">
      <w:pPr>
        <w:pStyle w:val="FootnoteText"/>
        <w:ind w:firstLine="567"/>
        <w:rPr>
          <w:rFonts w:cs="Times New Roman"/>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{"citationItems":[{"id":"ITEM-1","itemData":{"author":[{"dropping-particle":"","family":"Hamzah","given":"Andi","non-dropping-particle":"","parse-names":false,"suffix":""},{"dropping-particle":"","family":"Pidana","given":"Asas-asas Hukum","non-dropping-particle":"","parse-names":false,"suffix":""},{"dropping-particle":"","family":"Hukum","given":"Kamus","non-dropping-particle":"","parse-names":false,"suffix":""},{"dropping-particle":"","family":"Paramita","given":"Pradnya","non-dropping-particle":"","parse-names":false,"suffix":""},{"dropping-particle":"","family":"Hamzah","given":"Andi","non-dropping-particle":"","parse-names":false,"suffix":""}],"container-title":"Hukum Pro Justitia","id":"ITEM-1","issue":"1","issued":{"date-parts":[["2007"]]},"page":"1-14","title":"Pemidanaan Terhadap Perbuatan Membantu Pelarian Pelaku Tindak Pidana Perdagangan Orang Menurut Pasal 23 Undang-Undang Nomor 21 Tahun 2007","type":"article-journal","volume":"1"},"uris":["http://www.mendeley.com/documents/?uuid=10557569-65ec-44c1-be91-73ef321e58cb"]},{"id":"ITEM-2","itemData":{"abstract":"Upaya Preventif Dan Represif Terhadap Tindak Pidana Terorisme di Indonesia dalam rangka penanggulangan terhadap tindak pidana terorisme salah satu usaha penanggulangan kejahatan yang dilakukan adalah dengan menggunakan sarana penal yaitu menggunakan hukum pidana dengan sanksinya yang berupa pidana. Penanggulangan kejahatan dengan menggunakan hukum pidana merupakan cara yang paling tua, setua peradaban manusia itu sendiri. Akan tetapi ini tidak bararti bahwa penggunaan pidana sebagai salah satu cara untuk menanggulangi kejahatan. Langkah represif yang dilakukan oleh pemerintah dalam rangka melakukan penanggulangan terhadap tindak pidana terorisme adalah sebagai berikut Pembentukan Badan Penanggulangan Tindak Pidana Terorisme, serta pembentukan satuan khusus sebagai langkah pemberantasan tindak pidana terorisme. Penyerbuan terhadap tempat persembunyian pelaku terorisme. Penjatuhan sanksi pidana yang tegas terhadap pelaku tindak pidana terorisme yang telah terbukti bersalah berdasarkan bukti-bukti yang ada. Kemudian terkait dengan hambatan upaya preventif dan represif terhadap tindak pidana terorisme di Indonesia dalam pemberantasan Teorisme yang terjadi di Indonesia saat ini, meskipun Polri telah mampu melaksanakan tugasnya yaitu mengungkap dan menangkap para Pelaku, bukan berarti tidak mengalami berbagai kendala dan Pratik di lapangan maupun dalam tahap Penyidikannya, terutama dengan perangkat Undang-undang RI No. 15 tahun 2003 tentang Pemberantasan Tindak Pidana Terorisme, sehingga dalam penanggulangan secara preventif dan represif tindak berjalan secara maksimal. Hal ini terkait juga dalam hal: Penangkapan dan Penahanan, Kegiatan Pendahuluan (Precursor Activities) Terorisme sebagai suatu Tindak Pidana,","author":[{"dropping-particle":"","family":"Reni Febriani","given":"Suryadi Samudra","non-dropping-particle":"","parse-names":false,"suffix":""}],"container-title":"Ilmiah Publika","id":"ITEM-2","issue":"1","issued":{"date-parts":[["2021"]]},"page":"88-100","title":"Tindak Pidana Perdagangan Wanita Untuk Tujuan Eksploitasi Seksual Komersial Pada Media Sosial","type":"article-journal","volume":"9"},"uris":["http://www.mendeley.com/documents/?uuid=0bfc1dc9-a3fb-4569-bdca-bfa7e4d93d6a"]},{"id":"ITEM-3","itemData":{"abstract":"Tujuan dilakukannya penelitian ini adalah untuk mengetahui faktor-faktor apa yang menjadi penyebab dilakukannya tindak pidana perdagangan orang di Indonesia dan bagaimana aspek hukum dalam tindak pidana kejahatan perdagangan manusia. Dengan menggunakan metode penelitian yuridis normatif, disimpulkan: 1. Faktor-faktor yang menjadi penyebab terjadinya perdagangan manusia (trafficking person) yaitu: kemiskinan, kurangnya tingkat pendidikan, kurangnya akses informasi, perkawinan dan perceraian di usia dini, tawaran materi yang menggiurkan, kekerasan yang terjadi dalam rumah tangga, lapangan kerja yang terbatas, ketergantungan Indonesia pada negara asing, kerusuhan, bencana alam dan lemahnya penegakan hukum bagi trafficker. Kesemua faktor ini ditunjang lagi oleh ulah dari beberapa aparat pemerintah yang rendah moralnya dengan melakukan perbuatan melindungi perbuatan perdagangan manusia dengan bertindak sebagai pelindung sindikat/organisasi perdagangan manusia ini. 2. Aspek hukum Dalam Tindak Pidana kejahatan perdagangan manusia diatur dalam Pasal 58 UU No. 21 Tahun 2007 tentang Pemberantasan Tindak Pidana Perdagangan Orang, yang menyebutkan bahwa Pemerintah dan Pemerintah Daerah wajib membentuk gugus tugas yang beranggotakan wakil-wakil dari pemerintah, penegak hukum, organisasi masyarakat, lembaga swadaya masyarakat, organisasi profesi dan peneliti/akademisi. Disamping itu pemerintah membuat Nota Kesepahaman antara tujuh kementrian dan lembaga tinggi negara. Kata","author":[{"dropping-particle":"","family":"Bawenti","given":"S","non-dropping-particle":"","parse-names":false,"suffix":""}],"container-title":"Unsrat","id":"ITEM-3","issue":"1","issued":{"date-parts":[["2020"]]},"page":"54-61","title":"Aspek Hukum Dalam Tindak Pidana Kejahatan Perdagangan Manusia","type":"article-journal","volume":"9"},"uris":["http://www.mendeley.com/documents/?uuid=63ef5f4d-4dd1-457d-b8cb-342f971d3f85"]}],"mendeley":{"formattedCitation":"Andi Hamzah et al., “Pemidanaan Terhadap Perbuatan Membantu Pelarian Pelaku Tindak Pidana Perdagangan Orang Menurut Pasal 23 Undang-Undang Nomor 21 Tahun 2007,” &lt;i&gt;Hukum Pro Justitia&lt;/i&gt; 1, no. 1 (2007): 1–14; Suryadi Samudra Reni Febriani, “Tindak Pidana Perdagangan Wanita Untuk Tujuan Eksploitasi Seksual Komersial Pada Media Sosial,” &lt;i&gt;Ilmiah Publika&lt;/i&gt; 9, no. 1 (2021): 88–100; S Bawenti, “Aspek Hukum Dalam Tindak Pidana Kejahatan Perdagangan Manusia,” &lt;i&gt;Unsrat&lt;/i&gt; 9, no. 1 (2020): 54–61.","plainTextFormattedCitation":"Andi Hamzah et al., “Pemidanaan Terhadap Perbuatan Membantu Pelarian Pelaku Tindak Pidana Perdagangan Orang Menurut Pasal 23 Undang-Undang Nomor 21 Tahun 2007,” Hukum Pro Justitia 1, no. 1 (2007): 1–14; Suryadi Samudra Reni Febriani, “Tindak Pidana Perdagangan Wanita Untuk Tujuan Eksploitasi Seksual Komersial Pada Media Sosial,” Ilmiah Publika 9, no. 1 (2021): 88–100; S Bawenti, “Aspek Hukum Dalam Tindak Pidana Kejahatan Perdagangan Manusia,” Unsrat 9, no. 1 (2020): 54–61.","previouslyFormattedCitation":"Andi Hamzah et al., “Pemidanaan Terhadap Perbuatan Membantu Pelarian Pelaku Tindak Pidana Perdagangan Orang Menurut Pasal 23 Undang-Undang Nomor 21 Tahun 2007,” &lt;i&gt;Hukum Pro Justitia&lt;/i&gt; 1, no. 1 (2007): 1–14; Suryadi Samudra Reni Febriani, “Tindak Pidana Perdagangan Wanita Untuk Tujuan Eksploitasi Seksual Komersial Pada Media Sosial,” &lt;i&gt;Ilmiah Publika&lt;/i&gt; 9, no. 1 (2021): 88–100; S Bawenti, “Aspek Hukum Dalam Tindak Pidana Kejahatan Perdagangan Manusia,” &lt;i&gt;Unsrat&lt;/i&gt; 9, no. 1 (2020): 54–61."},"properties":{"noteIndex":5},"schema":"https://github.com/citation-style-language/schema/raw/master/csl-citation.json"}</w:instrText>
      </w:r>
      <w:r>
        <w:rPr>
          <w:rFonts w:cs="Times New Roman"/>
        </w:rPr>
        <w:fldChar w:fldCharType="separate"/>
      </w:r>
      <w:r>
        <w:rPr>
          <w:rFonts w:cs="Times New Roman"/>
          <w:noProof/>
        </w:rPr>
        <w:t xml:space="preserve">Andi Hamzah et al., “Pemidanaan Terhadap Perbuatan Membantu Pelarian Pelaku Tindak Pidana Perdagangan Orang Menurut Pasal 23 Undang-Undang Nomor 21 Tahun 2007,” </w:t>
      </w:r>
      <w:r>
        <w:rPr>
          <w:rFonts w:cs="Times New Roman"/>
          <w:i/>
          <w:noProof/>
        </w:rPr>
        <w:t>Hukum Pro Justitia</w:t>
      </w:r>
      <w:r>
        <w:rPr>
          <w:rFonts w:cs="Times New Roman"/>
          <w:noProof/>
        </w:rPr>
        <w:t xml:space="preserve"> 1, no. 1 (2007): 1–14; Suryadi Samudra Reni Febriani, “Tindak Pidana Perdagangan Wanita Untuk Tujuan Eksploitasi Seksual Komersial Pada Media Sosial,” </w:t>
      </w:r>
      <w:r>
        <w:rPr>
          <w:rFonts w:cs="Times New Roman"/>
          <w:i/>
          <w:noProof/>
        </w:rPr>
        <w:t>Ilmiah Publika</w:t>
      </w:r>
      <w:r>
        <w:rPr>
          <w:rFonts w:cs="Times New Roman"/>
          <w:noProof/>
        </w:rPr>
        <w:t xml:space="preserve"> 9, no. 1 (2021): 88–100; S Bawenti, “Aspek Hukum Dalam Tindak Pidana Kejahatan Perdagangan Manusia,” </w:t>
      </w:r>
      <w:r>
        <w:rPr>
          <w:rFonts w:cs="Times New Roman"/>
          <w:i/>
          <w:noProof/>
        </w:rPr>
        <w:t>Unsrat</w:t>
      </w:r>
      <w:r>
        <w:rPr>
          <w:rFonts w:cs="Times New Roman"/>
          <w:noProof/>
        </w:rPr>
        <w:t xml:space="preserve"> 9, no. 1 (2020): 54–61.</w:t>
      </w:r>
      <w:r>
        <w:rPr>
          <w:rFonts w:cs="Times New Roman"/>
        </w:rPr>
        <w:fldChar w:fldCharType="end"/>
      </w:r>
    </w:p>
  </w:footnote>
  <w:footnote w:id="6">
    <w:p w14:paraId="5A1693CE" w14:textId="77777777" w:rsidR="003B30B5" w:rsidRDefault="003B30B5" w:rsidP="003B30B5">
      <w:pPr>
        <w:pStyle w:val="FootnoteText"/>
        <w:ind w:firstLine="567"/>
        <w:rPr>
          <w:rFonts w:cs="Times New Roman"/>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{"citationItems":[{"id":"ITEM-1","itemData":{"abstract":"The problem of crime victims raises various problems in society in general and victims / victims of crime in particular. Legal protection for the community is very important because both groups and individuals can become victims or even as perpetrators of crime. Legal protection of crime victims as part of the protection of the people can be realized in various forms such as through restitution and compensation, medical services and legal aid. The protection of victims is an attempt to recover the losses suffered by the victims.","author":[{"dropping-particle":"","family":"Ony Rosifany","given":"","non-dropping-particle":"","parse-names":false,"suffix":""}],"container-title":"Jurnal Legalitas","id":"ITEM-1","issue":"2","issued":{"date-parts":[["2017"]]},"page":"20-30","title":"Perlindungan Hukum Terhadap Korban Kejahatan","type":"article-journal","volume":"2"},"uris":["http://www.mendeley.com/documents/?uuid=1e4c6e33-5275-40c6-bbb5-a9e74e1ad44a"]}],"mendeley":{"formattedCitation":"Ony Rosifany, “Perlindungan Hukum Terhadap Korban Kejahatan,” &lt;i&gt;Jurnal Legalitas&lt;/i&gt; 2, no. 2 (2017): 20–30, http://ejurnal.untag-smd.ac.id/index.php/LG/article/view/3382/3293.","plainTextFormattedCitation":"Ony Rosifany, “Perlindungan Hukum Terhadap Korban Kejahatan,” Jurnal Legalitas 2, no. 2 (2017): 20–30, http://ejurnal.untag-smd.ac.id/index.php/LG/article/view/3382/3293.","previouslyFormattedCitation":"Ony Rosifany, “Perlindungan Hukum Terhadap Korban Kejahatan,” &lt;i&gt;Jurnal Legalitas&lt;/i&gt; 2, no. 2 (2017): 20–30, http://ejurnal.untag-smd.ac.id/index.php/LG/article/view/3382/3293."},"properties":{"noteIndex":9},"schema":"https://github.com/citation-style-language/schema/raw/master/csl-citation.json"}</w:instrText>
      </w:r>
      <w:r>
        <w:rPr>
          <w:rFonts w:cs="Times New Roman"/>
        </w:rPr>
        <w:fldChar w:fldCharType="separate"/>
      </w:r>
      <w:r>
        <w:rPr>
          <w:rFonts w:cs="Times New Roman"/>
          <w:noProof/>
        </w:rPr>
        <w:t xml:space="preserve">Ony Rosifany, “Perlindungan Hukum Terhadap Korban Kejahatan,” </w:t>
      </w:r>
      <w:r>
        <w:rPr>
          <w:rFonts w:cs="Times New Roman"/>
          <w:i/>
          <w:noProof/>
        </w:rPr>
        <w:t>Jurnal Legalitas</w:t>
      </w:r>
      <w:r>
        <w:rPr>
          <w:rFonts w:cs="Times New Roman"/>
          <w:noProof/>
        </w:rPr>
        <w:t xml:space="preserve"> 2, no. 2 (2017): 20–30, http://ejurnal.untag-smd.ac.id/index.php/LG/article/view/3382/3293.</w:t>
      </w:r>
      <w:r>
        <w:rPr>
          <w:rFonts w:cs="Times New Roman"/>
        </w:rPr>
        <w:fldChar w:fldCharType="end"/>
      </w:r>
    </w:p>
  </w:footnote>
  <w:footnote w:id="7">
    <w:p w14:paraId="2F312BAA" w14:textId="77777777" w:rsidR="003B30B5" w:rsidRDefault="003B30B5" w:rsidP="003B30B5">
      <w:pPr>
        <w:spacing w:after="0"/>
        <w:ind w:firstLine="567"/>
        <w:rPr>
          <w:rFonts w:cs="Times New Roman"/>
          <w:sz w:val="20"/>
          <w:szCs w:val="20"/>
        </w:rPr>
      </w:pPr>
      <w:r>
        <w:rPr>
          <w:rStyle w:val="FootnoteReference"/>
          <w:rFonts w:cs="Times New Roman"/>
          <w:sz w:val="20"/>
          <w:szCs w:val="20"/>
        </w:rPr>
        <w:footnoteRef/>
      </w:r>
      <w:r>
        <w:rPr>
          <w:rFonts w:cs="Times New Roman"/>
          <w:sz w:val="20"/>
          <w:szCs w:val="20"/>
        </w:rPr>
        <w:t xml:space="preserve"> </w:t>
      </w:r>
      <w:r>
        <w:rPr>
          <w:rFonts w:cs="Times New Roman"/>
          <w:sz w:val="20"/>
          <w:szCs w:val="20"/>
        </w:rPr>
        <w:fldChar w:fldCharType="begin" w:fldLock="1"/>
      </w:r>
      <w:r>
        <w:rPr>
          <w:rFonts w:cs="Times New Roman"/>
          <w:sz w:val="20"/>
          <w:szCs w:val="20"/>
        </w:rPr>
        <w:instrText>ADDIN CSL_CITATION {"citationItems":[{"id":"ITEM-1","itemData":{"DOI":"10.55927/eajmr.v1i3.280","abstract":"The phenomenon of Foreign Exchange (Forex) that runs in the investment sector and can help the development of Indonesia. Currently, forex has become an endemic trend and has attracted the attention of many parties, both investors and the public in general. Foreign exchange or forex is a type of trade or transaction that trades the currency of a country against the currencies of other countries involving the main money markets in the world for 24 hours continuously, so in this case a legal protection is needed. Lately, it turns out that there are many cases of fake investments in the form of gambling under the guise of investment that have claimed many victims. The purpose of this study is to find out how to guarantee legal protection for the rights of victims of criminal acts and how to provide compensation and restitution mechanisms for victims of criminal acts of fraud (gambling under the guise of investment). Through normative legal research, it is concluded: 1. Legal protection guarantees for the rights of victims of criminal acts are very important considering that the consequences of criminal acts can cause a person to experience physical, psychological and property losses and suffering. Through the legislation guaranteeing the protection of the rights of victims, it is necessary to obtain legal certainty and justice as a result of the occurrence of a crime. 2. The mechanism for providing compensation and restitution to victims of criminal acts has been regulated in Government regulations no. 44 of 2008 concerning the Provision of Compensation, Restitution, and Assistance to Witnesses and Victims, which is the implementation of Law no. 13 of 2006. 3. Another alternative to the provision of restitution and compensation that can bridge the two sides, namely the victim and the state, is to provide compensation through the issuance of State Securities which can make the victim receive compensation, and the state gets an injection of funds in terms of development without hurt both sides","author":[{"dropping-particle":"","family":"Firmansyah","given":"Yohanes","non-dropping-particle":"","parse-names":false,"suffix":""},{"dropping-particle":"","family":"Imam Haryanto","given":"","non-dropping-particle":"","parse-names":false,"suffix":""},{"dropping-particle":"","family":"Tubagus Andri Purnama","given":"","non-dropping-particle":"","parse-names":false,"suffix":""},{"dropping-particle":"","family":"Edwin Destra","given":"","non-dropping-particle":"","parse-names":false,"suffix":""}],"container-title":"East Asian Journal of Multidisciplinary Research","id":"ITEM-1","issue":"3","issued":{"date-parts":[["2022"]]},"page":"545-572","title":"Compensation for Fraud (Gambling) Operations Under The Guise of Investment – Restitution as A Complex or Easy Way Out Mechanism? (Learning From Various Restitution And Law Cases In Indonesia)","type":"article-journal","volume":"1"},"uris":["http://www.mendeley.com/documents/?uuid=7a3f2972-2ad6-4129-b10b-40df96c17d90"]},{"id":"ITEM-2","itemData":{"author":[{"dropping-particle":"","family":"Siburian -","given":"Riskyanti Juniver","non-dropping-particle":"","parse-names":false,"suffix":""}],"container-title":"Indonesia Criminal Law Review","id":"ITEM-2","issue":"2","issued":{"date-parts":[["2022"]]},"page":"151-169","title":"Pembaharuan Mekanisme Dalam Upaya Ganti Kerugian Korban Tindak Pidana","type":"article-journal","volume":"1"},"uris":["http://www.mendeley.com/documents/?uuid=c8a4d745-76c2-4dd1-8949-3428f3325c6d"]}],"mendeley":{"formattedCitation":"Yohanes Firmansyah et al., “Compensation for Fraud (Gambling) Operations Under The Guise of Investment – Restitution as A Complex or Easy Way Out Mechanism? (Learning From Various Restitution And Law Cases In Indonesia),” &lt;i&gt;East Asian Journal of Multidisciplinary Research&lt;/i&gt; 1, no. 3 (2022): 545–72, https://doi.org/10.55927/eajmr.v1i3.280; Riskyanti Juniver Siburian -, “Pembaharuan Mekanisme Dalam Upaya Ganti Kerugian Korban Tindak Pidana,” &lt;i&gt;Indonesia Criminal Law Review&lt;/i&gt; 1, no. 2 (2022): 151–69, https://scholarhub.ui.ac.id/iclrAvailableat:https://scholarhub.ui.ac.id/iclr/vol1/iss2/4.","manualFormatting":" Dalam penyelesaian kasus-kasus kriminal, penegak hukum dan pemerintah lebih banyak berfokus pada pelaku dan hukumannya. Sayangnya, korban sering kali hanya diperlakukan sebagai saksi atau sumber informasi. Menurut Geis, selama ini kurang ada fokus untuk memberikan perlindungan hukum yang memadai bagi korban kejahatan, baik dalam hal dukungan emosional maupun ganti rugi. Hal ini mengakibatkan ketidakseimbangan di mana lebih banyak perhatian diberikan kepada pelaku kejahatan dan hak-haknya, sementara mengabaikan kebutuhan korban. Ketika disajikan sebagai bukti, informasi ini hanya berfungsi sebagai kesaksian, sehingga membatasi kemampuan korban untuk mengadvokasi hak-hak mereka. Geis berpendapat bahwa orang sering diperlakukan sebagai barang bukti dan bukan sebagai manusia. Lihat Yohanes Firmansyah et al., “Compensation for Fraud (Gambling) Operations Under The Guise of Investment – Restitution as A Complex or Easy Way Out Mechanism? (Learning From Various Restitution And Law Cases In Indonesia),” East Asian Journal of Multidisciplinary Research 1, no. 3 (2022): 545–72, https://doi.org/10.55927/eajmr.v1i3.280; Lihat juga dalam Riskyanti Juniver Siburian -, “Pembaharuan Mekanisme Dalam Upaya Ganti Kerugian Korban Tindak Pidana,” Indonesia Criminal Law Review 1, no. 2 (2022), https://scholarhub.ui.ac.id/iclrAvailableat:https://scholarhub.ui.ac.id/iclr/vol1/iss2/4.","plainTextFormattedCitation":"Yohanes Firmansyah et al., “Compensation for Fraud (Gambling) Operations Under The Guise of Investment – Restitution as A Complex or Easy Way Out Mechanism? (Learning From Various Restitution And Law Cases In Indonesia),” East Asian Journal of Multidisciplinary Research 1, no. 3 (2022): 545–72, https://doi.org/10.55927/eajmr.v1i3.280; Riskyanti Juniver Siburian -, “Pembaharuan Mekanisme Dalam Upaya Ganti Kerugian Korban Tindak Pidana,” Indonesia Criminal Law Review 1, no. 2 (2022): 151–69, https://scholarhub.ui.ac.id/iclrAvailableat:https://scholarhub.ui.ac.id/iclr/vol1/iss2/4.","previouslyFormattedCitation":"Yohanes Firmansyah et al., “Compensation for Fraud (Gambling) Operations Under The Guise of Investment – Restitution as A Complex or Easy Way Out Mechanism? (Learning From Various Restitution And Law Cases In Indonesia),” &lt;i&gt;East Asian Journal of Multidisciplinary Research&lt;/i&gt; 1, no. 3 (2022): 545–72, https://doi.org/10.55927/eajmr.v1i3.280; Riskyanti Juniver Siburian -, “Pembaharuan Mekanisme Dalam Upaya Ganti Kerugian Korban Tindak Pidana,” &lt;i&gt;Indonesia Criminal Law Review&lt;/i&gt; 1, no. 2 (2022): 151–69, https://scholarhub.ui.ac.id/iclrAvailableat:https://scholarhub.ui.ac.id/iclr/vol1/iss2/4."},"properties":{"noteIndex":10},"schema":"https://github.com/citation-style-language/schema/raw/master/csl-citation.json"}</w:instrText>
      </w:r>
      <w:r>
        <w:rPr>
          <w:rFonts w:cs="Times New Roman"/>
          <w:sz w:val="20"/>
          <w:szCs w:val="20"/>
        </w:rPr>
        <w:fldChar w:fldCharType="separate"/>
      </w:r>
      <w:r>
        <w:rPr>
          <w:rFonts w:cs="Times New Roman"/>
          <w:noProof/>
          <w:sz w:val="20"/>
          <w:szCs w:val="20"/>
        </w:rPr>
        <w:t xml:space="preserve"> Dalam penyelesaian kasus-kasus kriminal, penegak hukum dan pemerintah lebih banyak berfokus pada pelaku dan hukumannya. Sayangnya, korban sering kali hanya diperlakukan sebagai saksi atau sumber informasi. Menurut Geis, selama ini kurang ada fokus untuk memberikan perlindungan hukum yang memadai bagi korban kejahatan, baik dalam hal dukungan emosional maupun ganti rugi. Hal ini mengakibatkan ketidakseimbangan di mana lebih banyak perhatian diberikan kepada pelaku kejahatan dan hak-haknya, sementara mengabaikan kebutuhan korban. Ketika disajikan sebagai bukti, informasi ini hanya berfungsi sebagai kesaksian, sehingga membatasi kemampuan korban untuk mengadvokasi hak-hak mereka. Geis berpendapat bahwa orang sering diperlakukan sebagai barang bukti dan bukan sebagai manusia. Lihat Yohanes Firmansyah et al., “Compensation for Fraud (Gambling) Operations Under The Guise of Investment – Restitution as A Complex or Easy Way Out Mechanism? (Learning From Various Restitution And Law Cases In Indonesia),” </w:t>
      </w:r>
      <w:r>
        <w:rPr>
          <w:rFonts w:cs="Times New Roman"/>
          <w:i/>
          <w:noProof/>
          <w:sz w:val="20"/>
          <w:szCs w:val="20"/>
        </w:rPr>
        <w:t>East Asian Journal of Multidisciplinary Research</w:t>
      </w:r>
      <w:r>
        <w:rPr>
          <w:rFonts w:cs="Times New Roman"/>
          <w:noProof/>
          <w:sz w:val="20"/>
          <w:szCs w:val="20"/>
        </w:rPr>
        <w:t xml:space="preserve"> 1, no. 3 (2022): 545–72, https://doi.org/10.55927/eajmr.v1i3.280; Lihat juga dalam Riskyanti Juniver Siburian -, “Pembaharuan Mekanisme Dalam Upaya Ganti Kerugian Korban Tindak Pidana,” </w:t>
      </w:r>
      <w:r>
        <w:rPr>
          <w:rFonts w:cs="Times New Roman"/>
          <w:i/>
          <w:noProof/>
          <w:sz w:val="20"/>
          <w:szCs w:val="20"/>
        </w:rPr>
        <w:t>Indonesia Criminal Law Review</w:t>
      </w:r>
      <w:r>
        <w:rPr>
          <w:rFonts w:cs="Times New Roman"/>
          <w:noProof/>
          <w:sz w:val="20"/>
          <w:szCs w:val="20"/>
        </w:rPr>
        <w:t xml:space="preserve"> 1, no. 2 (2022), https://scholarhub.ui.ac.id/iclrAvailableat:https://scholarhub.ui.ac.id/iclr/vol1/iss2/4.</w:t>
      </w:r>
      <w:r>
        <w:rPr>
          <w:rFonts w:cs="Times New Roman"/>
          <w:sz w:val="20"/>
          <w:szCs w:val="20"/>
        </w:rPr>
        <w:fldChar w:fldCharType="end"/>
      </w:r>
    </w:p>
  </w:footnote>
  <w:footnote w:id="8">
    <w:p w14:paraId="16DE5337" w14:textId="77777777" w:rsidR="003B30B5" w:rsidRDefault="003B30B5" w:rsidP="003B30B5">
      <w:pPr>
        <w:pStyle w:val="FootnoteText"/>
        <w:ind w:firstLine="567"/>
        <w:rPr>
          <w:rFonts w:cs="Times New Roman"/>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{"citationItems":[{"id":"ITEM-1","itemData":{"DOI":"10.15294/jils.v8i1.67866","ISBN":"1362480606","ISSN":"25481592","abstract":"This study aims to develop a model for the effective implementation of restitution criminal sanctions against individuals involved in trafficking in persons. The findings of this research hold strategic significance in terms of providing legal protection to victims and enhancing the concept of restitution. The study focuses on evaluating the effectiveness of imposing restitution sanctions on traffickers through judicial decisions in Indonesia. By employing a sociological juridical approach, this research examines legal norms and court rulings pertaining to prosecutors' charges against individuals involved in trafficking crimes. The analysis of these judicial decisions reveals that out of the cases reviewed, only seven included restitution sanctions, and none of the perpetrators fulfilled their restitution obligations. Instead, the offenders prioritized serving prison sentences over compensating the victims. Consequently, it is essential for prosecutors to prioritize the prosecution of perpetrators under the Law on the Eradication of Criminal Acts of Individuals. Furthermore, judges should consider utilizing the Law on the Eradication of Non-Criminal Persons and emphasizing imprisonment as an alternative to restitution.","author":[{"dropping-particle":"","family":"Angkasa","given":"Angkasa","non-dropping-particle":"","parse-names":false,"suffix":""},{"dropping-particle":"","family":"Hendriana","given":"Rani","non-dropping-particle":"","parse-names":false,"suffix":""},{"dropping-particle":"","family":"Wamafma","given":"Filep","non-dropping-particle":"","parse-names":false,"suffix":""},{"dropping-particle":"","family":"Juanda","given":"Ogiandhafiz","non-dropping-particle":"","parse-names":false,"suffix":""},{"dropping-particle":"","family":"Nunna","given":"Bhanu Prakash","non-dropping-particle":"","parse-names":false,"suffix":""}],"container-title":"Journal of Indonesian Legal Studies","id":"ITEM-1","issue":"1","issued":{"date-parts":[["2023"]]},"number-of-pages":"93-128","title":"Development of a Restitution Model in Optimizing Legal Protection for Victims of Human Trafficking in Indonesia","type":"book","volume":"8"},"uris":["http://www.mendeley.com/documents/?uuid=2b1139b5-26cc-4557-bf0c-7f27538e213f"]}],"mendeley":{"formattedCitation":"Angkasa Angkasa et al., &lt;i&gt;Development of a Restitution Model in Optimizing Legal Protection for Victims of Human Trafficking in Indonesia&lt;/i&gt;, &lt;i&gt;Journal of Indonesian Legal Studies&lt;/i&gt;, vol. 8, 2023, https://doi.org/10.15294/jils.v8i1.67866.","plainTextFormattedCitation":"Angkasa Angkasa et al., Development of a Restitution Model in Optimizing Legal Protection for Victims of Human Trafficking in Indonesia, Journal of Indonesian Legal Studies, vol. 8, 2023, https://doi.org/10.15294/jils.v8i1.67866.","previouslyFormattedCitation":"Angkasa Angkasa et al., &lt;i&gt;Development of a Restitution Model in Optimizing Legal Protection for Victims of Human Trafficking in Indonesia&lt;/i&gt;, &lt;i&gt;Journal of Indonesian Legal Studies&lt;/i&gt;, vol. 8, 2023, https://doi.org/10.15294/jils.v8i1.67866."},"properties":{"noteIndex":12},"schema":"https://github.com/citation-style-language/schema/raw/master/csl-citation.json"}</w:instrText>
      </w:r>
      <w:r>
        <w:rPr>
          <w:rFonts w:cs="Times New Roman"/>
        </w:rPr>
        <w:fldChar w:fldCharType="separate"/>
      </w:r>
      <w:r>
        <w:rPr>
          <w:rFonts w:cs="Times New Roman"/>
          <w:noProof/>
        </w:rPr>
        <w:t xml:space="preserve">Angkasa Angkasa et al., </w:t>
      </w:r>
      <w:r>
        <w:rPr>
          <w:rFonts w:cs="Times New Roman"/>
          <w:i/>
          <w:noProof/>
        </w:rPr>
        <w:t>Development of a Restitution Model in Optimizing Legal Protection for Victims of Human Trafficking in Indonesia</w:t>
      </w:r>
      <w:r>
        <w:rPr>
          <w:rFonts w:cs="Times New Roman"/>
          <w:noProof/>
        </w:rPr>
        <w:t xml:space="preserve">, </w:t>
      </w:r>
      <w:r>
        <w:rPr>
          <w:rFonts w:cs="Times New Roman"/>
          <w:i/>
          <w:noProof/>
        </w:rPr>
        <w:t>Journal of Indonesian Legal Studies</w:t>
      </w:r>
      <w:r>
        <w:rPr>
          <w:rFonts w:cs="Times New Roman"/>
          <w:noProof/>
        </w:rPr>
        <w:t>, vol. 8, 2023, https://doi.org/10.15294/jils.v8i1.67866.</w:t>
      </w:r>
      <w:r>
        <w:rPr>
          <w:rFonts w:cs="Times New Roman"/>
        </w:rPr>
        <w:fldChar w:fldCharType="end"/>
      </w:r>
    </w:p>
  </w:footnote>
  <w:footnote w:id="9">
    <w:p w14:paraId="1C94CEFC" w14:textId="77777777" w:rsidR="00530F10" w:rsidRDefault="00530F10" w:rsidP="00530F10">
      <w:pPr>
        <w:pStyle w:val="FootnoteText"/>
        <w:ind w:firstLine="567"/>
        <w:rPr>
          <w:rFonts w:cs="Times New Roman"/>
          <w:lang w:val="en-GB"/>
        </w:rPr>
      </w:pPr>
      <w:r>
        <w:rPr>
          <w:rStyle w:val="FootnoteReference"/>
          <w:rFonts w:cs="Times New Roman"/>
        </w:rPr>
        <w:footnoteRef/>
      </w:r>
      <w:r>
        <w:rPr>
          <w:rFonts w:cs="Times New Roman"/>
        </w:rPr>
        <w:t xml:space="preserve"> </w:t>
      </w:r>
      <w:r>
        <w:rPr>
          <w:rFonts w:cs="Times New Roman"/>
          <w:lang w:val="en-GB"/>
        </w:rPr>
        <w:t xml:space="preserve"> </w:t>
      </w:r>
      <w:r>
        <w:rPr>
          <w:rFonts w:cs="Times New Roman"/>
        </w:rPr>
        <w:fldChar w:fldCharType="begin" w:fldLock="1"/>
      </w:r>
      <w:r>
        <w:rPr>
          <w:rFonts w:cs="Times New Roman"/>
        </w:rPr>
        <w:instrText>ADDIN CSL_CITATION {"citationItems":[{"id":"ITEM-1","itemData":{"DOI":"10.23920/jbmh.v7i1.948","ISSN":"2528-7273","abstract":"ABSTRAK\r Saat ini sistem peradilan pidana di Indonesia sudah banyak memberikan perhatian pada korban tindak pidana. Salah satu hak korban yang masih perlu didorong pemenuhannya adalah hak restitusi. Hak tersebut berkenaan dengan kerugian ekonomi atau kerugian materiel yang langsung sebagai akibat dari tindak pidana. Terjadi problematika pemenuhannya yang disebabkan pada pengaturan restitusi sebagai hak korban, masih terdapat beberapa kelemahan sehingga berpotensi menimbulkan permasalahan dalam implementasinya. Penelitian ini bertujuan untuk mengkaji kendala pada implementasi permohonan restitusi dan bagaimana menentukan jenis tindak pidana sebagai dasar dari permohonan restitusi oleh korban. Penelitian ini dilakukan dengan menggunakan metode yuridis normative empiris. Dari hasil kajian diperoleh kesimpulan, bahwa terdapat kekurang-jelasan dalam pengaturan restitusi pada undang-undang sehingga menimbulkan keragu-raguan penegak hukum dalam penerapannya. Dampak dari hal ini adalah terdapat potensi kegagalan atau penolakan dalam pengajuan restitusi oleh korban. Selanjutnya menentukan jenis tindak pidana yang dapat diajukan hak restitusinya oleh korban, harus didasarkan pada adanya syarat kerugian ekonomi yang dialami korban, terlepas dari jenis tindak pidananya. Sehingga tidak dipersoalkan apakah tindak pidana tersebut diatur pada KUHP atau diatur sebagai tindak pidana khusus di luar KUHP, serta apakah hak restitusi atas tindak pidana tersebut diatur secara tegas pada undang-undang tersebut ataukah tidak.\r Kata kunci: hak restitusi; kerugian ekonomi; korban.\r ABSTRACT\r Currently, the criminal justice system in Indonesia has given much attention to victims of criminal acts. One of the rights of victims that still needs to be fulfilled is the right to restitution. This right relates to economic loss or direct material loss as a result of a criminal act. There are problems with its fulfillment due to the regulation of restitution as a victim's right, there are still some weaknesses that have the potential to cause problems in its implementation. This study aims to examine the obstacles to the implementation of restitution requests and how to determine the type of crime as the basis for requests for restitution by victims. This research was conducted by using empirical normative juridical method. From the results of the study, it was concluded that there was a lack of clarity in the regulation of restitution in the law, causing doubts by law enforcement in its …","author":[{"dropping-particle":"","family":"Sulistiani","given":"Lies","non-dropping-particle":"","parse-names":false,"suffix":""}],"container-title":"Jurnal Bina Mulia Hukum","id":"ITEM-1","issue":"1","issued":{"date-parts":[["2022"]]},"page":"81-101","title":"Problematika Hak Restitusi Korban Pada Tindak Pidana Yang Diatur Kuhp Dan Di Luar Kuhp","type":"article-journal","volume":"7"},"uris":["http://www.mendeley.com/documents/?uuid=be81c018-f8f4-4e34-ba8c-115e304064fe"]}],"mendeley":{"formattedCitation":"Lies Sulistiani, “Problematika Hak Restitusi Korban Pada Tindak Pidana Yang Diatur Kuhp Dan Di Luar Kuhp,” &lt;i&gt;Jurnal Bina Mulia Hukum&lt;/i&gt; 7, no. 1 (2022): 81–101, https://doi.org/10.23920/jbmh.v7i1.948.","manualFormatting":"Faktanya, implementasi terkait restitusi tidak sejalan dengan pengaturannya. hal ini karena masih banyak hambatan dalam pemenuhan restitusi. Lihat diskusi lengkap dalam Lies Sulistiani, “Problematika Hak Restitusi Korban Pada Tindak Pidana Yang Diatur Kuhp Dan Di Luar Kuhp,” Jurnal Bina Mulia Hukum 7, no. 1 (2022): 81–101, https://doi.org/10.23920/jbmh.v7i1.948.","plainTextFormattedCitation":"Lies Sulistiani, “Problematika Hak Restitusi Korban Pada Tindak Pidana Yang Diatur Kuhp Dan Di Luar Kuhp,” Jurnal Bina Mulia Hukum 7, no. 1 (2022): 81–101, https://doi.org/10.23920/jbmh.v7i1.948.","previouslyFormattedCitation":"Lies Sulistiani, “Problematika Hak Restitusi Korban Pada Tindak Pidana Yang Diatur Kuhp Dan Di Luar Kuhp,” &lt;i&gt;Jurnal Bina Mulia Hukum&lt;/i&gt; 7, no. 1 (2022): 81–101, https://doi.org/10.23920/jbmh.v7i1.948."},"properties":{"noteIndex":13},"schema":"https://github.com/citation-style-language/schema/raw/master/csl-citation.json"}</w:instrText>
      </w:r>
      <w:r>
        <w:rPr>
          <w:rFonts w:cs="Times New Roman"/>
        </w:rPr>
        <w:fldChar w:fldCharType="separate"/>
      </w:r>
      <w:r>
        <w:rPr>
          <w:rFonts w:cs="Times New Roman"/>
          <w:noProof/>
          <w:lang w:val="en-GB"/>
        </w:rPr>
        <w:t>Faktanya, implementasi terkait restitusi tidak sejalan dengan pengaturannya. hal ini karena masih banyak hambatan dalam pemenuhan restitusi. Lihat diskusi lengkap dalam L</w:t>
      </w:r>
      <w:r>
        <w:rPr>
          <w:rFonts w:cs="Times New Roman"/>
          <w:noProof/>
        </w:rPr>
        <w:t xml:space="preserve">ies Sulistiani, “Problematika Hak Restitusi Korban Pada Tindak Pidana Yang Diatur Kuhp Dan Di Luar Kuhp,” </w:t>
      </w:r>
      <w:r>
        <w:rPr>
          <w:rFonts w:cs="Times New Roman"/>
          <w:i/>
          <w:noProof/>
        </w:rPr>
        <w:t>Jurnal Bina Mulia Hukum</w:t>
      </w:r>
      <w:r>
        <w:rPr>
          <w:rFonts w:cs="Times New Roman"/>
          <w:noProof/>
        </w:rPr>
        <w:t xml:space="preserve"> 7, no. 1 (2022): 81–101, https://doi.org/10.23920/jbmh.v7i1.948.</w:t>
      </w:r>
      <w:r>
        <w:rPr>
          <w:rFonts w:cs="Times New Roman"/>
        </w:rPr>
        <w:fldChar w:fldCharType="end"/>
      </w:r>
    </w:p>
  </w:footnote>
  <w:footnote w:id="10">
    <w:p w14:paraId="01E87BC4" w14:textId="77777777" w:rsidR="002F768E" w:rsidRDefault="002F768E" w:rsidP="002F768E">
      <w:pPr>
        <w:pStyle w:val="FootnoteText"/>
        <w:ind w:firstLine="567"/>
        <w:rPr>
          <w:lang w:val="en-GB"/>
        </w:rPr>
      </w:pPr>
      <w:r>
        <w:rPr>
          <w:rStyle w:val="FootnoteReference"/>
        </w:rPr>
        <w:footnoteRef/>
      </w:r>
      <w:r>
        <w:t xml:space="preserve"> </w:t>
      </w:r>
      <w:r>
        <w:rPr>
          <w:rFonts w:cs="Times New Roman"/>
        </w:rPr>
        <w:fldChar w:fldCharType="begin" w:fldLock="1"/>
      </w:r>
      <w:r>
        <w:rPr>
          <w:rFonts w:cs="Times New Roman"/>
        </w:rPr>
        <w:instrText>ADDIN CSL_CITATION {"citationItems":[{"id":"ITEM-1","itemData":{"author":[{"dropping-particle":"","family":"Serlika Aprita","given":"Ria Adihtya","non-dropping-particle":"","parse-names":false,"suffix":""}],"id":"ITEM-1","issued":{"date-parts":[["2020"]]},"publisher":"Radja Grafindo Persada","publisher-place":"Jakarta","title":"Filsafat Hukum","type":"book"},"uris":["http://www.mendeley.com/documents/?uuid=0da984d0-3685-4d9d-a42a-1fd195fc4105"]},{"id":"ITEM-2","itemData":{"author":[{"dropping-particle":"","family":"Hiariej","given":"E.O.","non-dropping-particle":"","parse-names":false,"suffix":""}],"id":"ITEM-2","issued":{"date-parts":[["2012"]]},"publisher":"Erlangga","publisher-place":"Jakarta","title":"Asas Legiltas dan Penemuan Hukum Dalam Hukum Pidana","type":"book"},"uris":["http://www.mendeley.com/documents/?uuid=dcd0433a-24c6-4521-850b-c8cb1c5725be"]},{"id":"ITEM-3","itemData":{"author":[{"dropping-particle":"","family":"Mertokusumo","given":"S.","non-dropping-particle":"","parse-names":false,"suffix":""}],"id":"ITEM-3","issued":{"date-parts":[["2000"]]},"publisher":"Liberty","publisher-place":"Yogyakarta","title":"Penemuan Hukum Sebuah Pengantar","type":"book"},"uris":["http://www.mendeley.com/documents/?uuid=61ef3934-8fb6-41a9-8c03-3cdab4c075fa"]}],"mendeley":{"formattedCitation":"Ria Adihtya Serlika Aprita, &lt;i&gt;Filsafat Hukum&lt;/i&gt; (Jakarta: Radja Grafindo Persada, 2020); E.O. Hiariej, &lt;i&gt;Asas Legiltas Dan Penemuan Hukum Dalam Hukum Pidana&lt;/i&gt; (Jakarta: Erlangga, 2012); S. Mertokusumo, &lt;i&gt;Penemuan Hukum Sebuah Pengantar&lt;/i&gt; (Yogyakarta: Liberty, 2000).","manualFormatting":" Dogma het recht hinkt achter de feiten ann yang berlaku di Indonesia didasarkan pada dua ajaran. Ajaran mazhab historis, yang dipelopori oleh Friedrich Carl von Savigny, menekankan bahwa hukum tidak diciptakan, melainkan berkembang bersama-sama dengan masyarakat. Selanjutnya, konsep teori keputusan, yang diperkenalkan di Indonesia oleh B. Ter Haar Bzn dalam bukunya Beginselen en Stelsel van het Adatrecht, mengusulkan bahwa hanya kebiasaan yang diakui oleh para penguasa (kepala adat) dalam keputusan-keputusan mereka yang dapat dianggap sebagai norma hukum. Dengan kata lain, hanya norma-norma yang sudah mendarah daging dalam kebiasaan masyarakat yang dapat diakui sebagai norma hukum. Norma hukum hanya dapat berkembang apabila aturan-aturannya diikuti secara konsisten. Akibatnya, norma-norma ini hanya akan berlaku untuk peristiwa-peristiwa yang biasa dialami atau pernah terjadi di masyarakat. Sederhananya, norma hukum tidak dapat dibuat atau dipaksakan untuk mengatur peristiwa yang belum pernah terjadi di masyarakat. Lihat Ria Adihtya Serlika Aprita, Filsafat Hukum (Jakarta: Radja Grafindo Persada, 2020), hlm 38; Lihat Juga E.O. Hiariej, Asas Legiltas Dan Penemuan Hukum Dalam Hukum Pidana (Jakarta: Erlangga, 2012), hlm 89; S. Mertokusumo, Penemuan Hukum Sebuah Pengantar (Yogyakarta: Liberty, 2000), hlm 18.","plainTextFormattedCitation":"Ria Adihtya Serlika Aprita, Filsafat Hukum (Jakarta: Radja Grafindo Persada, 2020); E.O. Hiariej, Asas Legiltas Dan Penemuan Hukum Dalam Hukum Pidana (Jakarta: Erlangga, 2012); S. Mertokusumo, Penemuan Hukum Sebuah Pengantar (Yogyakarta: Liberty, 2000).","previouslyFormattedCitation":"Ria Adihtya Serlika Aprita, &lt;i&gt;Filsafat Hukum&lt;/i&gt; (Jakarta: Radja Grafindo Persada, 2020); E.O. Hiariej, &lt;i&gt;Asas Legiltas Dan Penemuan Hukum Dalam Hukum Pidana&lt;/i&gt; (Jakarta: Erlangga, 2012); S. Mertokusumo, &lt;i&gt;Penemuan Hukum Sebuah Pengantar&lt;/i&gt; (Yogyakarta: Liberty, 2000)."},"properties":{"noteIndex":14},"schema":"https://github.com/citation-style-language/schema/raw/master/csl-citation.json"}</w:instrText>
      </w:r>
      <w:r>
        <w:rPr>
          <w:rFonts w:cs="Times New Roman"/>
        </w:rPr>
        <w:fldChar w:fldCharType="separate"/>
      </w:r>
      <w:r>
        <w:rPr>
          <w:rFonts w:cs="Times New Roman"/>
          <w:noProof/>
        </w:rPr>
        <w:t xml:space="preserve"> Dogma </w:t>
      </w:r>
      <w:r>
        <w:rPr>
          <w:rFonts w:eastAsia="Times New Roman" w:cs="Times New Roman"/>
          <w:i/>
          <w:noProof/>
        </w:rPr>
        <w:t>het recht hinkt achter de feiten ann</w:t>
      </w:r>
      <w:r>
        <w:rPr>
          <w:rFonts w:cs="Times New Roman"/>
          <w:noProof/>
        </w:rPr>
        <w:t xml:space="preserve"> yang berlaku di Indonesia didasarkan pada dua ajaran. Ajaran mazhab historis, yang dipelopori oleh Friedrich Carl von Savigny, menekankan bahwa hukum tidak diciptakan, melainkan berkembang bersama-sama dengan masyarakat. Selanjutnya, konsep teori keputusan, yang diperkenalkan di Indonesia oleh B. Ter Haar Bzn dalam bukunya </w:t>
      </w:r>
      <w:r>
        <w:rPr>
          <w:rFonts w:cs="Times New Roman"/>
          <w:i/>
          <w:iCs/>
          <w:noProof/>
        </w:rPr>
        <w:t>Beginselen en Stelsel van het Adatrecht,</w:t>
      </w:r>
      <w:r>
        <w:rPr>
          <w:rFonts w:cs="Times New Roman"/>
          <w:noProof/>
        </w:rPr>
        <w:t xml:space="preserve"> mengusulkan bahwa hanya kebiasaan yang diakui oleh para penguasa (kepala adat) dalam keputusan-keputusan mereka yang dapat dianggap sebagai norma hukum. Dengan kata lain, hanya norma-norma yang sudah mendarah daging dalam kebiasaan masyarakat yang dapat diakui sebagai norma hukum. Norma hukum hanya dapat berkembang apabila aturan-aturannya diikuti secara konsisten. Akibatnya, norma-norma ini hanya akan berlaku untuk peristiwa-peristiwa yang biasa dialami atau pernah terjadi di masyarakat. Sederhananya, norma hukum tidak dapat dibuat atau dipaksakan untuk mengatur peristiwa yang belum pernah terjadi di masyarakat. Lihat Ria Adihtya Serlika Aprita, </w:t>
      </w:r>
      <w:r>
        <w:rPr>
          <w:rFonts w:cs="Times New Roman"/>
          <w:i/>
          <w:noProof/>
        </w:rPr>
        <w:t>Filsafat Hukum</w:t>
      </w:r>
      <w:r>
        <w:rPr>
          <w:rFonts w:cs="Times New Roman"/>
          <w:noProof/>
        </w:rPr>
        <w:t xml:space="preserve"> (Jakarta: Radja Grafindo Persada, 2020), hlm 38; Lihat Juga E.O. Hiariej, </w:t>
      </w:r>
      <w:r>
        <w:rPr>
          <w:rFonts w:cs="Times New Roman"/>
          <w:i/>
          <w:noProof/>
        </w:rPr>
        <w:t>Asas Legiltas Dan Penemuan Hukum Dalam Hukum Pidana</w:t>
      </w:r>
      <w:r>
        <w:rPr>
          <w:rFonts w:cs="Times New Roman"/>
          <w:noProof/>
        </w:rPr>
        <w:t xml:space="preserve"> (Jakarta: Erlangga, 2012), hlm 89; S. Mertokusumo, </w:t>
      </w:r>
      <w:r>
        <w:rPr>
          <w:rFonts w:cs="Times New Roman"/>
          <w:i/>
          <w:noProof/>
        </w:rPr>
        <w:t>Penemuan Hukum Sebuah Pengantar</w:t>
      </w:r>
      <w:r>
        <w:rPr>
          <w:rFonts w:cs="Times New Roman"/>
          <w:noProof/>
        </w:rPr>
        <w:t xml:space="preserve"> (Yogyakarta: Liberty, 2000), hlm 18.</w:t>
      </w:r>
      <w:r>
        <w:rPr>
          <w:rFonts w:cs="Times New Roman"/>
        </w:rPr>
        <w:fldChar w:fldCharType="end"/>
      </w:r>
    </w:p>
  </w:footnote>
  <w:footnote w:id="11">
    <w:p w14:paraId="6CEB8053" w14:textId="77777777" w:rsidR="002F768E" w:rsidRDefault="002F768E" w:rsidP="002F768E">
      <w:pPr>
        <w:pStyle w:val="FootnoteText"/>
        <w:ind w:firstLine="567"/>
        <w:rPr>
          <w:rFonts w:cs="Times New Roman"/>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{"citationItems":[{"id":"ITEM-1","itemData":{"author":[{"dropping-particle":"","family":"Suseno","given":"Jarot Jati Bagus","non-dropping-particle":"","parse-names":false,"suffix":""}],"id":"ITEM-1","issued":{"date-parts":[["2022"]]},"publisher":"Universitas Islam Sultan Agung","title":"Rekontruksi Regulasi Restitusi sebagai Upaya Perlindungan Korban Tindak Pidana Perdagangan Orang yang berorientasi pada Nilai Keadilan","type":"thesis"},"uris":["http://www.mendeley.com/documents/?uuid=de0e8be1-8a46-45aa-a65c-7fe5609de562"]}],"mendeley":{"formattedCitation":"Jarot Jati Bagus Suseno, “Rekontruksi Regulasi Restitusi Sebagai Upaya Perlindungan Korban Tindak Pidana Perdagangan Orang Yang Berorientasi Pada Nilai Keadilan” (Universitas Islam Sultan Agung, 2022), https://repository.unissula.ac.id/30902/.","plainTextFormattedCitation":"Jarot Jati Bagus Suseno, “Rekontruksi Regulasi Restitusi Sebagai Upaya Perlindungan Korban Tindak Pidana Perdagangan Orang Yang Berorientasi Pada Nilai Keadilan” (Universitas Islam Sultan Agung, 2022), https://repository.unissula.ac.id/30902/.","previouslyFormattedCitation":"Jarot Jati Bagus Suseno, “Rekontruksi Regulasi Restitusi Sebagai Upaya Perlindungan Korban Tindak Pidana Perdagangan Orang Yang Berorientasi Pada Nilai Keadilan” (Universitas Islam Sultan Agung, 2022), https://repository.unissula.ac.id/30902/."},"properties":{"noteIndex":15},"schema":"https://github.com/citation-style-language/schema/raw/master/csl-citation.json"}</w:instrText>
      </w:r>
      <w:r>
        <w:rPr>
          <w:rFonts w:cs="Times New Roman"/>
        </w:rPr>
        <w:fldChar w:fldCharType="separate"/>
      </w:r>
      <w:r>
        <w:rPr>
          <w:rFonts w:cs="Times New Roman"/>
          <w:noProof/>
        </w:rPr>
        <w:t>Jarot Jati Bagus Suseno, “Rekontruksi Regulasi Restitusi Sebagai Upaya Perlindungan Korban Tindak Pidana Perdagangan Orang Yang Berorientasi Pada Nilai Keadilan” (Universitas Islam Sultan Agung, 2022), https://repository.unissula.ac.id/30902/.</w:t>
      </w:r>
      <w:r>
        <w:rPr>
          <w:rFonts w:cs="Times New Roman"/>
        </w:rPr>
        <w:fldChar w:fldCharType="end"/>
      </w:r>
    </w:p>
  </w:footnote>
  <w:footnote w:id="12">
    <w:p w14:paraId="37FEF128" w14:textId="77777777" w:rsidR="002F768E" w:rsidRDefault="002F768E" w:rsidP="002F768E">
      <w:pPr>
        <w:pStyle w:val="FootnoteText"/>
        <w:ind w:firstLine="567"/>
        <w:rPr>
          <w:rFonts w:cs="Times New Roman"/>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{"citationItems":[{"id":"ITEM-1","itemData":{"author":[{"dropping-particle":"","family":"Hamamah","given":"Fatin","non-dropping-particle":"","parse-names":false,"suffix":""}],"id":"ITEM-1","issued":{"date-parts":[["2020"]]},"publisher":"Universitas Islam Sultan Agung","title":"Konstruksi Pengaturan Kompensasi Dan Restitusi Dalam Memberikan Perlindungan Anak Sebagai Korban Kejahatan Seksual Berbasis Nilai Keadilan","type":"thesis"},"uris":["http://www.mendeley.com/documents/?uuid=b112beed-14d4-4784-a79a-f22b20337580"]}],"mendeley":{"formattedCitation":"Fatin Hamamah, “Konstruksi Pengaturan Kompensasi Dan Restitusi Dalam Memberikan Perlindungan Anak Sebagai Korban Kejahatan Seksual Berbasis Nilai Keadilan” (Universitas Islam Sultan Agung, 2020), https://repository.unissula.ac.id/18475/.","plainTextFormattedCitation":"Fatin Hamamah, “Konstruksi Pengaturan Kompensasi Dan Restitusi Dalam Memberikan Perlindungan Anak Sebagai Korban Kejahatan Seksual Berbasis Nilai Keadilan” (Universitas Islam Sultan Agung, 2020), https://repository.unissula.ac.id/18475/.","previouslyFormattedCitation":"Fatin Hamamah, “Konstruksi Pengaturan Kompensasi Dan Restitusi Dalam Memberikan Perlindungan Anak Sebagai Korban Kejahatan Seksual Berbasis Nilai Keadilan” (Universitas Islam Sultan Agung, 2020), https://repository.unissula.ac.id/18475/."},"properties":{"noteIndex":16},"schema":"https://github.com/citation-style-language/schema/raw/master/csl-citation.json"}</w:instrText>
      </w:r>
      <w:r>
        <w:rPr>
          <w:rFonts w:cs="Times New Roman"/>
        </w:rPr>
        <w:fldChar w:fldCharType="separate"/>
      </w:r>
      <w:r>
        <w:rPr>
          <w:rFonts w:cs="Times New Roman"/>
          <w:noProof/>
        </w:rPr>
        <w:t>Fatin Hamamah, “Konstruksi Pengaturan Kompensasi Dan Restitusi Dalam Memberikan Perlindungan Anak Sebagai Korban Kejahatan Seksual Berbasis Nilai Keadilan” (Universitas Islam Sultan Agung, 2020), https://repository.unissula.ac.id/18475/.</w:t>
      </w:r>
      <w:r>
        <w:rPr>
          <w:rFonts w:cs="Times New Roman"/>
        </w:rPr>
        <w:fldChar w:fldCharType="end"/>
      </w:r>
    </w:p>
  </w:footnote>
  <w:footnote w:id="13">
    <w:p w14:paraId="5952155C" w14:textId="77777777" w:rsidR="002F768E" w:rsidRDefault="002F768E" w:rsidP="002F768E">
      <w:pPr>
        <w:pStyle w:val="FootnoteText"/>
        <w:ind w:firstLine="567"/>
        <w:rPr>
          <w:rFonts w:cs="Times New Roman"/>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{"citationItems":[{"id":"ITEM-1","itemData":{"author":[{"dropping-particle":"","family":"Yuhelson","given":"","non-dropping-particle":"","parse-names":false,"suffix":""}],"id":"ITEM-1","issued":{"date-parts":[["2023"]]},"publisher":"Universitas Jayabaya","title":"Corporate Criminal Accountability In Fulfilling The Right To Restitution Of Victims Of People Trafficking","type":"thesis"},"uris":["http://www.mendeley.com/documents/?uuid=587e4c25-7cbf-43f1-8627-61d5f533bfc7"]}],"mendeley":{"formattedCitation":"Yuhelson, “Corporate Criminal Accountability In Fulfilling The Right To Restitution Of Victims Of People Trafficking” (Universitas Jayabaya, 2023), https://repo.jayabaya.ac.id/4222/.","plainTextFormattedCitation":"Yuhelson, “Corporate Criminal Accountability In Fulfilling The Right To Restitution Of Victims Of People Trafficking” (Universitas Jayabaya, 2023), https://repo.jayabaya.ac.id/4222/.","previouslyFormattedCitation":"Yuhelson, “Corporate Criminal Accountability In Fulfilling The Right To Restitution Of Victims Of People Trafficking” (Universitas Jayabaya, 2023), https://repo.jayabaya.ac.id/4222/."},"properties":{"noteIndex":17},"schema":"https://github.com/citation-style-language/schema/raw/master/csl-citation.json"}</w:instrText>
      </w:r>
      <w:r>
        <w:rPr>
          <w:rFonts w:cs="Times New Roman"/>
        </w:rPr>
        <w:fldChar w:fldCharType="separate"/>
      </w:r>
      <w:r>
        <w:rPr>
          <w:rFonts w:cs="Times New Roman"/>
          <w:noProof/>
        </w:rPr>
        <w:t>Yuhelson, “Corporate Criminal Accountability In Fulfilling The Right To Restitution Of Victims Of People Trafficking” (Universitas Jayabaya, 2023), https://repo.jayabaya.ac.id/4222/.</w:t>
      </w:r>
      <w:r>
        <w:rPr>
          <w:rFonts w:cs="Times New Roman"/>
        </w:rPr>
        <w:fldChar w:fldCharType="end"/>
      </w:r>
    </w:p>
  </w:footnote>
  <w:footnote w:id="14">
    <w:p w14:paraId="4627E38D" w14:textId="77777777" w:rsidR="00C35C6B" w:rsidRDefault="00C35C6B" w:rsidP="00C35C6B">
      <w:pPr>
        <w:pStyle w:val="FootnoteText"/>
        <w:ind w:firstLine="567"/>
      </w:pPr>
      <w:r>
        <w:rPr>
          <w:rStyle w:val="FootnoteReference"/>
        </w:rPr>
        <w:footnoteRef/>
      </w:r>
      <w:r>
        <w:t xml:space="preserve"> Ernest J. Weinrib, </w:t>
      </w:r>
      <w:r>
        <w:rPr>
          <w:rStyle w:val="Emphasis"/>
        </w:rPr>
        <w:t>Corrective Justice</w:t>
      </w:r>
      <w:r>
        <w:t xml:space="preserve"> (Oxford: Oxford University Press, 2012), hlm 45.</w:t>
      </w:r>
    </w:p>
  </w:footnote>
  <w:footnote w:id="15">
    <w:p w14:paraId="5762FEC8" w14:textId="77777777" w:rsidR="00C35C6B" w:rsidRDefault="00C35C6B" w:rsidP="00C35C6B">
      <w:pPr>
        <w:pStyle w:val="FootnoteText"/>
        <w:ind w:firstLine="567"/>
      </w:pPr>
      <w:r>
        <w:rPr>
          <w:rStyle w:val="FootnoteReference"/>
        </w:rPr>
        <w:footnoteRef/>
      </w:r>
      <w:r>
        <w:t xml:space="preserve"> </w:t>
      </w:r>
      <w:r>
        <w:rPr>
          <w:i/>
          <w:iCs/>
        </w:rPr>
        <w:t>Ibid</w:t>
      </w:r>
      <w:r>
        <w:t>., hlm 62.</w:t>
      </w:r>
    </w:p>
  </w:footnote>
  <w:footnote w:id="16">
    <w:p w14:paraId="72E6DC43" w14:textId="77777777" w:rsidR="00C35C6B" w:rsidRDefault="00C35C6B" w:rsidP="00C35C6B">
      <w:pPr>
        <w:pStyle w:val="FootnoteText"/>
        <w:ind w:firstLine="567"/>
      </w:pPr>
      <w:r>
        <w:rPr>
          <w:rStyle w:val="FootnoteReference"/>
        </w:rPr>
        <w:footnoteRef/>
      </w:r>
      <w:r>
        <w:t xml:space="preserve"> Sandra Walklate, </w:t>
      </w:r>
      <w:r>
        <w:rPr>
          <w:rStyle w:val="Emphasis"/>
        </w:rPr>
        <w:t>Imagining the Victim of Crime</w:t>
      </w:r>
      <w:r>
        <w:t xml:space="preserve"> (Maidenhead: Open University Press, 2007), hlm 89.</w:t>
      </w:r>
    </w:p>
  </w:footnote>
  <w:footnote w:id="17">
    <w:p w14:paraId="0A16F3A3" w14:textId="77777777" w:rsidR="00C35C6B" w:rsidRDefault="00C35C6B" w:rsidP="00C35C6B">
      <w:pPr>
        <w:pStyle w:val="FootnoteText"/>
        <w:ind w:firstLine="567"/>
      </w:pPr>
      <w:r>
        <w:rPr>
          <w:rStyle w:val="FootnoteReference"/>
        </w:rPr>
        <w:footnoteRef/>
      </w:r>
      <w:r>
        <w:t xml:space="preserve"> John Locke, </w:t>
      </w:r>
      <w:r>
        <w:rPr>
          <w:rStyle w:val="Emphasis"/>
        </w:rPr>
        <w:t>Two Treatises of Government</w:t>
      </w:r>
      <w:r>
        <w:t>, ed. Peter Laslett (Cambridge: Cambridge University Press, 1988), hlm 287.</w:t>
      </w:r>
    </w:p>
  </w:footnote>
  <w:footnote w:id="18">
    <w:p w14:paraId="00830B60" w14:textId="77777777" w:rsidR="00C35C6B" w:rsidRDefault="00C35C6B" w:rsidP="00C35C6B">
      <w:pPr>
        <w:pStyle w:val="FootnoteText"/>
        <w:ind w:firstLine="567"/>
      </w:pPr>
      <w:r>
        <w:rPr>
          <w:rStyle w:val="FootnoteReference"/>
        </w:rPr>
        <w:footnoteRef/>
      </w:r>
      <w:r>
        <w:t xml:space="preserve"> </w:t>
      </w:r>
      <w:r>
        <w:rPr>
          <w:i/>
          <w:iCs/>
        </w:rPr>
        <w:t>Ibid</w:t>
      </w:r>
      <w:r>
        <w:t>., hlm 350.</w:t>
      </w:r>
    </w:p>
  </w:footnote>
  <w:footnote w:id="19">
    <w:p w14:paraId="36C26E39" w14:textId="77777777" w:rsidR="00C84875" w:rsidRDefault="00C84875" w:rsidP="00C84875">
      <w:pPr>
        <w:pStyle w:val="FootnoteText"/>
        <w:ind w:firstLine="567"/>
      </w:pPr>
      <w:r>
        <w:rPr>
          <w:rStyle w:val="FootnoteReference"/>
        </w:rPr>
        <w:footnoteRef/>
      </w:r>
      <w:r>
        <w:t xml:space="preserve"> Thomas Hill Green, </w:t>
      </w:r>
      <w:r>
        <w:rPr>
          <w:rStyle w:val="Emphasis"/>
        </w:rPr>
        <w:t>Lectures on the Principles of Political Obligation</w:t>
      </w:r>
      <w:r>
        <w:t xml:space="preserve"> (London: Longmans, Green and Co., 1941), hlm 42.</w:t>
      </w:r>
    </w:p>
  </w:footnote>
  <w:footnote w:id="20">
    <w:p w14:paraId="2187F3CF" w14:textId="77777777" w:rsidR="00C84875" w:rsidRDefault="00C84875" w:rsidP="00C84875">
      <w:pPr>
        <w:pStyle w:val="FootnoteText"/>
        <w:ind w:firstLine="567"/>
      </w:pPr>
      <w:r>
        <w:rPr>
          <w:rStyle w:val="FootnoteReference"/>
        </w:rPr>
        <w:footnoteRef/>
      </w:r>
      <w:r>
        <w:t xml:space="preserve"> Robert Nozick, </w:t>
      </w:r>
      <w:r>
        <w:rPr>
          <w:rStyle w:val="Emphasis"/>
        </w:rPr>
        <w:t>Anarchy, State, and Utopia</w:t>
      </w:r>
      <w:r>
        <w:t xml:space="preserve"> (New York: Basic Books, 1974), hlm 152.</w:t>
      </w:r>
    </w:p>
  </w:footnote>
  <w:footnote w:id="21">
    <w:p w14:paraId="601B37FD" w14:textId="77777777" w:rsidR="00C84875" w:rsidRDefault="00C84875" w:rsidP="00C84875">
      <w:pPr>
        <w:pStyle w:val="FootnoteText"/>
        <w:ind w:firstLine="567"/>
      </w:pPr>
      <w:r>
        <w:rPr>
          <w:rStyle w:val="FootnoteReference"/>
        </w:rPr>
        <w:footnoteRef/>
      </w:r>
      <w:r>
        <w:t xml:space="preserve"> Aristotle, </w:t>
      </w:r>
      <w:r>
        <w:rPr>
          <w:rStyle w:val="Emphasis"/>
        </w:rPr>
        <w:t>Nicomachean Ethics</w:t>
      </w:r>
      <w:r>
        <w:t>, trans. Terence Irwin (Indianapolis: Hackett, 1999), 1131a.</w:t>
      </w:r>
    </w:p>
  </w:footnote>
  <w:footnote w:id="22">
    <w:p w14:paraId="12287BCE" w14:textId="77777777" w:rsidR="00C84875" w:rsidRDefault="00C84875" w:rsidP="00C84875">
      <w:pPr>
        <w:pStyle w:val="FootnoteText"/>
        <w:ind w:firstLine="567"/>
      </w:pPr>
      <w:r>
        <w:rPr>
          <w:rStyle w:val="FootnoteReference"/>
        </w:rPr>
        <w:footnoteRef/>
      </w:r>
      <w:r>
        <w:t xml:space="preserve"> John Rawls, </w:t>
      </w:r>
      <w:r>
        <w:rPr>
          <w:rStyle w:val="Emphasis"/>
        </w:rPr>
        <w:t>A Theory of Justice</w:t>
      </w:r>
      <w:r>
        <w:t xml:space="preserve"> (Cambridge: Harvard University Press, 1971), hlm 75.</w:t>
      </w:r>
    </w:p>
  </w:footnote>
  <w:footnote w:id="23">
    <w:p w14:paraId="1FE50E8C" w14:textId="77777777" w:rsidR="00C35C6B" w:rsidRDefault="00C35C6B" w:rsidP="00C35C6B">
      <w:pPr>
        <w:pStyle w:val="FootnoteText"/>
        <w:ind w:firstLine="567"/>
      </w:pPr>
      <w:r>
        <w:rPr>
          <w:rStyle w:val="FootnoteReference"/>
        </w:rPr>
        <w:footnoteRef/>
      </w:r>
      <w:r>
        <w:t xml:space="preserve"> Howard Zehr, </w:t>
      </w:r>
      <w:r>
        <w:rPr>
          <w:rStyle w:val="Emphasis"/>
        </w:rPr>
        <w:t>Changing Lenses: Restorative Justice for Our Times</w:t>
      </w:r>
      <w:r>
        <w:t xml:space="preserve"> (Scottdale: Herald Press, 2015), hlm 46.</w:t>
      </w:r>
    </w:p>
  </w:footnote>
  <w:footnote w:id="24">
    <w:p w14:paraId="75BDAB53" w14:textId="77777777" w:rsidR="00C84875" w:rsidRDefault="00C84875" w:rsidP="00C84875">
      <w:pPr>
        <w:pStyle w:val="FootnoteText"/>
        <w:ind w:firstLine="567"/>
      </w:pPr>
      <w:r>
        <w:rPr>
          <w:rStyle w:val="FootnoteReference"/>
        </w:rPr>
        <w:footnoteRef/>
      </w:r>
      <w:r>
        <w:t xml:space="preserve"> Notonagoro, </w:t>
      </w:r>
      <w:r>
        <w:rPr>
          <w:rStyle w:val="Emphasis"/>
        </w:rPr>
        <w:t>Pancasila: Dasar Falsafah Negara</w:t>
      </w:r>
      <w:r>
        <w:t xml:space="preserve"> (Jakarta: Bina Aksara, 1984), hlm 78.</w:t>
      </w:r>
    </w:p>
  </w:footnote>
  <w:footnote w:id="25">
    <w:p w14:paraId="7C9E0A62" w14:textId="77777777" w:rsidR="00C84875" w:rsidRDefault="00C84875" w:rsidP="00C84875">
      <w:pPr>
        <w:pStyle w:val="FootnoteText"/>
        <w:ind w:firstLine="567"/>
      </w:pPr>
      <w:r>
        <w:rPr>
          <w:rStyle w:val="FootnoteReference"/>
        </w:rPr>
        <w:footnoteRef/>
      </w:r>
      <w:r>
        <w:t xml:space="preserve"> Risalah Sidang BPUPKI dan PPKI (Jakarta: Sekretariat Negara RI, 1998), hlm 45.</w:t>
      </w:r>
    </w:p>
  </w:footnote>
  <w:footnote w:id="26">
    <w:p w14:paraId="2CB05771" w14:textId="77777777" w:rsidR="00C84875" w:rsidRDefault="00C84875" w:rsidP="00C84875">
      <w:pPr>
        <w:pStyle w:val="FootnoteText"/>
        <w:ind w:firstLine="567"/>
      </w:pPr>
      <w:r>
        <w:rPr>
          <w:rStyle w:val="FootnoteReference"/>
        </w:rPr>
        <w:footnoteRef/>
      </w:r>
      <w:r>
        <w:t xml:space="preserve"> Satjipto Rahardjo, </w:t>
      </w:r>
      <w:r>
        <w:rPr>
          <w:rStyle w:val="Emphasis"/>
        </w:rPr>
        <w:t>Hukum Progresif: Sebuah Sintesa Hukum Indonesia</w:t>
      </w:r>
      <w:r>
        <w:t xml:space="preserve"> (Yogyakarta: Genta Publishing, 2009), hlm 24.</w:t>
      </w:r>
    </w:p>
  </w:footnote>
  <w:footnote w:id="27">
    <w:p w14:paraId="06E5FF25" w14:textId="77777777" w:rsidR="00C84875" w:rsidRDefault="00C84875" w:rsidP="00C84875">
      <w:pPr>
        <w:pStyle w:val="FootnoteText"/>
        <w:ind w:firstLine="567"/>
      </w:pPr>
      <w:r>
        <w:rPr>
          <w:rStyle w:val="FootnoteReference"/>
        </w:rPr>
        <w:footnoteRef/>
      </w:r>
      <w:r>
        <w:t xml:space="preserve"> Philipus M. Hadjon, </w:t>
      </w:r>
      <w:r>
        <w:rPr>
          <w:rStyle w:val="Emphasis"/>
        </w:rPr>
        <w:t>Perlindungan Hukum bagi Rakyat Indonesia</w:t>
      </w:r>
      <w:r>
        <w:t xml:space="preserve"> (Surabaya: PT Bina Ilmu, 1987), hlm 25.</w:t>
      </w:r>
    </w:p>
  </w:footnote>
  <w:footnote w:id="28">
    <w:p w14:paraId="162FD4A9" w14:textId="77777777" w:rsidR="00C35C6B" w:rsidRDefault="00C35C6B" w:rsidP="00C35C6B">
      <w:pPr>
        <w:pStyle w:val="FootnoteText"/>
        <w:ind w:firstLine="567"/>
      </w:pPr>
      <w:r>
        <w:rPr>
          <w:rStyle w:val="FootnoteReference"/>
        </w:rPr>
        <w:footnoteRef/>
      </w:r>
      <w:r>
        <w:t xml:space="preserve"> </w:t>
      </w:r>
      <w:r>
        <w:rPr>
          <w:i/>
          <w:iCs/>
        </w:rPr>
        <w:t>Ibid</w:t>
      </w:r>
      <w:r>
        <w:t>., hlm 41.</w:t>
      </w:r>
    </w:p>
  </w:footnote>
  <w:footnote w:id="29">
    <w:p w14:paraId="74D54DDE" w14:textId="77777777" w:rsidR="00BB02C4" w:rsidRDefault="00BB02C4" w:rsidP="00BB02C4">
      <w:pPr>
        <w:pStyle w:val="FootnoteText"/>
        <w:ind w:firstLine="567"/>
      </w:pPr>
      <w:r>
        <w:rPr>
          <w:rStyle w:val="FootnoteReference"/>
        </w:rPr>
        <w:footnoteRef/>
      </w:r>
      <w:r>
        <w:t xml:space="preserve"> Roscoe Pound, </w:t>
      </w:r>
      <w:r>
        <w:rPr>
          <w:rStyle w:val="Emphasis"/>
        </w:rPr>
        <w:t>Interpretations of Legal History</w:t>
      </w:r>
      <w:r>
        <w:t xml:space="preserve"> (Cambridge: Harvard University Press, 1923), hlm 152.</w:t>
      </w:r>
    </w:p>
  </w:footnote>
  <w:footnote w:id="30">
    <w:p w14:paraId="0BEF13FB" w14:textId="77777777" w:rsidR="00BB02C4" w:rsidRDefault="00BB02C4" w:rsidP="00BB02C4">
      <w:pPr>
        <w:pStyle w:val="FootnoteText"/>
        <w:ind w:firstLine="567"/>
        <w:rPr>
          <w:rFonts w:cs="Times New Roman"/>
          <w:lang w:val="en-GB"/>
        </w:rPr>
      </w:pPr>
      <w:r>
        <w:rPr>
          <w:rStyle w:val="FootnoteReference"/>
          <w:rFonts w:cs="Times New Roman"/>
        </w:rPr>
        <w:footnoteRef/>
      </w:r>
      <w:r>
        <w:rPr>
          <w:rFonts w:cs="Times New Roman"/>
        </w:rPr>
        <w:t xml:space="preserve"> Undang-Undang Republik Indonesia Nomor 21 Tahun 2007 tentang Pemberantasan Tindak Pidana Perdagangan Orang, Lembaran Negara Republik Indonesia Tahun 2007 Nomor 58, Tambahan Lembaran Negara Republik Indonesia Nomor 4720.</w:t>
      </w:r>
    </w:p>
  </w:footnote>
  <w:footnote w:id="31">
    <w:p w14:paraId="5517B336" w14:textId="77777777" w:rsidR="00F25711" w:rsidRDefault="00F25711" w:rsidP="00F25711">
      <w:pPr>
        <w:pStyle w:val="FootnoteText"/>
        <w:ind w:firstLine="567"/>
        <w:rPr>
          <w:rFonts w:cs="Times New Roman"/>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{"citationItems":[{"id":"ITEM-1","itemData":{"author":[{"dropping-particle":"","family":"Priyandita","given":"Gatra","non-dropping-particle":"","parse-names":false,"suffix":""}],"id":"ITEM-1","issued":{"date-parts":[["2020"]]},"publisher":"Thafa Media","publisher-place":"Yogyakarta","title":"Dimensi Kriminologi dalam Tindak Pidana Perdagangan Orang","type":"book"},"uris":["http://www.mendeley.com/documents/?uuid=af55c723-c2f9-402a-87bd-e3eb8e0842f3"]}],"mendeley":{"formattedCitation":"Gatra Priyandita, &lt;i&gt;Dimensi Kriminologi Dalam Tindak Pidana Perdagangan Orang&lt;/i&gt; (Yogyakarta: Thafa Media, 2020).","manualFormatting":"Gatra Priyandita, Dimensi Kriminologi Dalam Tindak Pidana Perdagangan Orang (Yogyakarta: Thafa Media, 2020), hlm 106-110.","plainTextFormattedCitation":"Gatra Priyandita, Dimensi Kriminologi Dalam Tindak Pidana Perdagangan Orang (Yogyakarta: Thafa Media, 2020).","previouslyFormattedCitation":"Gatra Priyandita, &lt;i&gt;Dimensi Kriminologi Dalam Tindak Pidana Perdagangan Orang&lt;/i&gt; (Yogyakarta: Thafa Media, 2020)."},"properties":{"noteIndex":33},"schema":"https://github.com/citation-style-language/schema/raw/master/csl-citation.json"}</w:instrText>
      </w:r>
      <w:r>
        <w:rPr>
          <w:rFonts w:cs="Times New Roman"/>
        </w:rPr>
        <w:fldChar w:fldCharType="separate"/>
      </w:r>
      <w:r>
        <w:rPr>
          <w:rFonts w:cs="Times New Roman"/>
          <w:noProof/>
        </w:rPr>
        <w:t xml:space="preserve">Gatra Priyandita, </w:t>
      </w:r>
      <w:r>
        <w:rPr>
          <w:rFonts w:cs="Times New Roman"/>
          <w:i/>
          <w:noProof/>
        </w:rPr>
        <w:t>Dimensi Kriminologi Dalam Tindak Pidana Perdagangan Orang</w:t>
      </w:r>
      <w:r>
        <w:rPr>
          <w:rFonts w:cs="Times New Roman"/>
          <w:noProof/>
        </w:rPr>
        <w:t xml:space="preserve"> (Yogyakarta: Thafa Media, 2020), hlm 106-110.</w:t>
      </w:r>
      <w:r>
        <w:rPr>
          <w:rFonts w:cs="Times New Roman"/>
        </w:rPr>
        <w:fldChar w:fldCharType="end"/>
      </w:r>
    </w:p>
  </w:footnote>
  <w:footnote w:id="32">
    <w:p w14:paraId="54E8C281" w14:textId="77777777" w:rsidR="00F25711" w:rsidRDefault="00F25711" w:rsidP="00F25711">
      <w:pPr>
        <w:pStyle w:val="FootnoteText"/>
        <w:ind w:firstLine="567"/>
        <w:rPr>
          <w:rFonts w:cs="Times New Roman"/>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{"citationItems":[{"id":"ITEM-1","itemData":{"author":[{"dropping-particle":"","family":"Sitompul","given":"Ediwarman dan Zulkarnain","non-dropping-particle":"","parse-names":false,"suffix":""}],"id":"ITEM-1","issued":{"date-parts":[["2019"]]},"publisher":"USU press","publisher-place":"Medan","title":"Hukum Pidana Khusus: Suatu Pengantar","type":"book"},"uris":["http://www.mendeley.com/documents/?uuid=f32d81d1-3b5d-4c95-bdb6-4dd374420314"]}],"mendeley":{"formattedCitation":"Ediwarman dan Zulkarnain Sitompul, &lt;i&gt;Hukum Pidana Khusus: Suatu Pengantar&lt;/i&gt; (Medan: USU press, 2019).","manualFormatting":"Ediwarman dan Zulkarnain Sitompul, Hukum Pidana Khusus: Suatu Pengantar (Medan: USU press, 2019), hlm 221-224.","plainTextFormattedCitation":"Ediwarman dan Zulkarnain Sitompul, Hukum Pidana Khusus: Suatu Pengantar (Medan: USU press, 2019).","previouslyFormattedCitation":"Ediwarman dan Zulkarnain Sitompul, &lt;i&gt;Hukum Pidana Khusus: Suatu Pengantar&lt;/i&gt; (Medan: USU press, 2019)."},"properties":{"noteIndex":34},"schema":"https://github.com/citation-style-language/schema/raw/master/csl-citation.json"}</w:instrText>
      </w:r>
      <w:r>
        <w:rPr>
          <w:rFonts w:cs="Times New Roman"/>
        </w:rPr>
        <w:fldChar w:fldCharType="separate"/>
      </w:r>
      <w:r>
        <w:rPr>
          <w:rFonts w:cs="Times New Roman"/>
          <w:noProof/>
        </w:rPr>
        <w:t xml:space="preserve">Ediwarman dan Zulkarnain Sitompul, </w:t>
      </w:r>
      <w:r>
        <w:rPr>
          <w:rFonts w:cs="Times New Roman"/>
          <w:i/>
          <w:noProof/>
        </w:rPr>
        <w:t>Hukum Pidana Khusus: Suatu Pengantar</w:t>
      </w:r>
      <w:r>
        <w:rPr>
          <w:rFonts w:cs="Times New Roman"/>
          <w:noProof/>
        </w:rPr>
        <w:t xml:space="preserve"> (Medan: USU press, 2019), hlm 221-224.</w:t>
      </w:r>
      <w:r>
        <w:rPr>
          <w:rFonts w:cs="Times New Roman"/>
        </w:rPr>
        <w:fldChar w:fldCharType="end"/>
      </w:r>
    </w:p>
  </w:footnote>
  <w:footnote w:id="33">
    <w:p w14:paraId="366284C3" w14:textId="77777777" w:rsidR="00F25711" w:rsidRDefault="00F25711" w:rsidP="00F25711">
      <w:pPr>
        <w:pStyle w:val="FootnoteText"/>
        <w:ind w:firstLine="567"/>
        <w:rPr>
          <w:rFonts w:cs="Times New Roman"/>
          <w:lang w:val="en-GB"/>
        </w:rPr>
      </w:pPr>
      <w:r>
        <w:rPr>
          <w:rStyle w:val="FootnoteReference"/>
          <w:rFonts w:cs="Times New Roman"/>
        </w:rPr>
        <w:footnoteRef/>
      </w:r>
      <w:r>
        <w:rPr>
          <w:rFonts w:cs="Times New Roman"/>
        </w:rPr>
        <w:t xml:space="preserve"> </w:t>
      </w:r>
      <w:r>
        <w:rPr>
          <w:rFonts w:cs="Times New Roman"/>
        </w:rPr>
        <w:fldChar w:fldCharType="begin" w:fldLock="1"/>
      </w:r>
      <w:r>
        <w:rPr>
          <w:rFonts w:cs="Times New Roman"/>
        </w:rPr>
        <w:instrText>ADDIN CSL_CITATION {"citationItems":[{"id":"ITEM-1","itemData":{"author":[{"dropping-particle":"","family":"Lembaga Perlindungan Saksi dan Korban (LPSK)","given":"","non-dropping-particle":"","parse-names":false,"suffix":""}],"id":"ITEM-1","issued":{"date-parts":[["2022"]]},"publisher":"LPSK","publisher-place":"Jakarta","title":"Pedoman Identifikasi Korban TPPO dan Penegakan Hukum Terpadu","type":"book"},"uris":["http://www.mendeley.com/documents/?uuid=096f6be0-a376-4b62-a17f-68b448073963"]}],"mendeley":{"formattedCitation":"Lembaga Perlindungan Saksi dan Korban (LPSK), &lt;i&gt;Pedoman Identifikasi Korban TPPO Dan Penegakan Hukum Terpadu&lt;/i&gt; (Jakarta: LPSK, 2022).","manualFormatting":"Lembaga Perlindungan Saksi dan Korban (LPSK), Pedoman Identifikasi Korban TPPO Dan Penegakan Hukum Terpadu (Jakarta: LPSK, 2022), hlm 67-70.","plainTextFormattedCitation":"Lembaga Perlindungan Saksi dan Korban (LPSK), Pedoman Identifikasi Korban TPPO Dan Penegakan Hukum Terpadu (Jakarta: LPSK, 2022).","previouslyFormattedCitation":"Lembaga Perlindungan Saksi dan Korban (LPSK), &lt;i&gt;Pedoman Identifikasi Korban TPPO Dan Penegakan Hukum Terpadu&lt;/i&gt; (Jakarta: LPSK, 2022)."},"properties":{"noteIndex":35},"schema":"https://github.com/citation-style-language/schema/raw/master/csl-citation.json"}</w:instrText>
      </w:r>
      <w:r>
        <w:rPr>
          <w:rFonts w:cs="Times New Roman"/>
        </w:rPr>
        <w:fldChar w:fldCharType="separate"/>
      </w:r>
      <w:r>
        <w:rPr>
          <w:rFonts w:cs="Times New Roman"/>
          <w:noProof/>
        </w:rPr>
        <w:t xml:space="preserve">Lembaga Perlindungan Saksi dan Korban (LPSK), </w:t>
      </w:r>
      <w:r>
        <w:rPr>
          <w:rFonts w:cs="Times New Roman"/>
          <w:i/>
          <w:noProof/>
        </w:rPr>
        <w:t>Pedoman Identifikasi Korban TPPO Dan Penegakan Hukum Terpadu</w:t>
      </w:r>
      <w:r>
        <w:rPr>
          <w:rFonts w:cs="Times New Roman"/>
          <w:noProof/>
        </w:rPr>
        <w:t xml:space="preserve"> (Jakarta: LPSK, 2022), hlm 67-70.</w:t>
      </w:r>
      <w:r>
        <w:rPr>
          <w:rFonts w:cs="Times New Roman"/>
        </w:rPr>
        <w:fldChar w:fldCharType="end"/>
      </w:r>
    </w:p>
  </w:footnote>
  <w:footnote w:id="34">
    <w:p w14:paraId="4687FEB8" w14:textId="77777777" w:rsidR="00F25711" w:rsidRDefault="00F25711" w:rsidP="00F25711">
      <w:pPr>
        <w:pStyle w:val="FootnoteText"/>
        <w:ind w:firstLine="567"/>
        <w:rPr>
          <w:rFonts w:cs="Times New Roman"/>
          <w:lang w:val="en-GB"/>
        </w:rPr>
      </w:pPr>
      <w:r>
        <w:rPr>
          <w:rStyle w:val="FootnoteReference"/>
        </w:rPr>
        <w:footnoteRef/>
      </w:r>
      <w:r>
        <w:rPr>
          <w:rFonts w:cs="Times New Roman"/>
        </w:rPr>
        <w:t xml:space="preserve"> </w:t>
      </w:r>
      <w:r>
        <w:rPr>
          <w:rFonts w:cs="Times New Roman"/>
        </w:rPr>
        <w:fldChar w:fldCharType="begin" w:fldLock="1"/>
      </w:r>
      <w:r>
        <w:rPr>
          <w:rFonts w:cs="Times New Roman"/>
        </w:rPr>
        <w:instrText>ADDIN CSL_CITATION {"citationItems":[{"id":"ITEM-1","itemData":{"author":[{"dropping-particle":"","family":"Sulastri","given":"","non-dropping-particle":"","parse-names":false,"suffix":""}],"container-title":"Jurnal Hukum dan Peradilan","id":"ITEM-1","issue":"2","issued":{"date-parts":[["2019"]]},"page":"274","title":"Perlindungan Hukum terhadap Korban Perdagangan Orang dalam Sistem Peradilan Pidana Indonesia","type":"article-journal","volume":"9"},"uris":["http://www.mendeley.com/documents/?uuid=377b5a6f-3867-4ac5-9e3a-0fadbd5a6f00"]}],"mendeley":{"formattedCitation":"Sulastri, “Perlindungan Hukum Terhadap Korban Perdagangan Orang Dalam Sistem Peradilan Pidana Indonesia,” &lt;i&gt;Jurnal Hukum Dan Peradilan&lt;/i&gt; 9, no. 2 (2019): 274.","plainTextFormattedCitation":"Sulastri, “Perlindungan Hukum Terhadap Korban Perdagangan Orang Dalam Sistem Peradilan Pidana Indonesia,” Jurnal Hukum Dan Peradilan 9, no. 2 (2019): 274.","previouslyFormattedCitation":"Sulastri, “Perlindungan Hukum Terhadap Korban Perdagangan Orang Dalam Sistem Peradilan Pidana Indonesia,” &lt;i&gt;Jurnal Hukum Dan Peradilan&lt;/i&gt; 9, no. 2 (2019): 274."},"properties":{"noteIndex":50},"schema":"https://github.com/citation-style-language/schema/raw/master/csl-citation.json"}</w:instrText>
      </w:r>
      <w:r>
        <w:rPr>
          <w:rFonts w:cs="Times New Roman"/>
        </w:rPr>
        <w:fldChar w:fldCharType="separate"/>
      </w:r>
      <w:r>
        <w:rPr>
          <w:rFonts w:cs="Times New Roman"/>
          <w:noProof/>
        </w:rPr>
        <w:t xml:space="preserve">Sulastri, “Perlindungan Hukum Terhadap Korban Perdagangan Orang Dalam Sistem Peradilan Pidana Indonesia,” </w:t>
      </w:r>
      <w:r>
        <w:rPr>
          <w:rFonts w:cs="Times New Roman"/>
          <w:i/>
          <w:noProof/>
        </w:rPr>
        <w:t>Jurnal Hukum Dan Peradilan</w:t>
      </w:r>
      <w:r>
        <w:rPr>
          <w:rFonts w:cs="Times New Roman"/>
          <w:noProof/>
        </w:rPr>
        <w:t xml:space="preserve"> 9, no. 2 (2019): 274.</w:t>
      </w:r>
      <w:r>
        <w:rPr>
          <w:rFonts w:cs="Times New Roman"/>
        </w:rPr>
        <w:fldChar w:fldCharType="end"/>
      </w:r>
    </w:p>
  </w:footnote>
  <w:footnote w:id="35">
    <w:p w14:paraId="3E522780" w14:textId="77777777" w:rsidR="00F25711" w:rsidRDefault="00F25711" w:rsidP="00F25711">
      <w:pPr>
        <w:pStyle w:val="FootnoteText"/>
        <w:ind w:firstLine="567"/>
        <w:rPr>
          <w:rFonts w:cs="Times New Roman"/>
          <w:lang w:val="en-GB"/>
        </w:rPr>
      </w:pPr>
      <w:r>
        <w:rPr>
          <w:rStyle w:val="FootnoteReference"/>
        </w:rPr>
        <w:footnoteRef/>
      </w:r>
      <w:r>
        <w:rPr>
          <w:rFonts w:cs="Times New Roman"/>
        </w:rPr>
        <w:t xml:space="preserve"> </w:t>
      </w:r>
      <w:r>
        <w:rPr>
          <w:rFonts w:cs="Times New Roman"/>
        </w:rPr>
        <w:fldChar w:fldCharType="begin" w:fldLock="1"/>
      </w:r>
      <w:r>
        <w:rPr>
          <w:rFonts w:cs="Times New Roman"/>
        </w:rPr>
        <w:instrText>ADDIN CSL_CITATION {"citationItems":[{"id":"ITEM-1","itemData":{"author":[{"dropping-particle":"","family":"Adji","given":"Indriyanto Seno","non-dropping-particle":"","parse-names":false,"suffix":""}],"id":"ITEM-1","issued":{"date-parts":[["2017"]]},"publisher":"Sinar Grafika","publisher-place":"Jakarta","title":"Hukum Acara Pidana: Perspektif Global dan Internasionalisasi Hukum Nasional","type":"book"},"uris":["http://www.mendeley.com/documents/?uuid=9b8414b9-70fc-4577-9763-9221cfd96e84"]}],"mendeley":{"formattedCitation":"Indriyanto Seno Adji, &lt;i&gt;Hukum Acara Pidana: Perspektif Global Dan Internasionalisasi Hukum Nasional&lt;/i&gt; (Jakarta: Sinar Grafika, 2017).","plainTextFormattedCitation":"Indriyanto Seno Adji, Hukum Acara Pidana: Perspektif Global Dan Internasionalisasi Hukum Nasional (Jakarta: Sinar Grafika, 2017).","previouslyFormattedCitation":"Indriyanto Seno Adji, &lt;i&gt;Hukum Acara Pidana: Perspektif Global Dan Internasionalisasi Hukum Nasional&lt;/i&gt; (Jakarta: Sinar Grafika, 2017)."},"properties":{"noteIndex":51},"schema":"https://github.com/citation-style-language/schema/raw/master/csl-citation.json"}</w:instrText>
      </w:r>
      <w:r>
        <w:rPr>
          <w:rFonts w:cs="Times New Roman"/>
        </w:rPr>
        <w:fldChar w:fldCharType="separate"/>
      </w:r>
      <w:r>
        <w:rPr>
          <w:rFonts w:cs="Times New Roman"/>
          <w:noProof/>
        </w:rPr>
        <w:t xml:space="preserve">Indriyanto Seno Adji, </w:t>
      </w:r>
      <w:r>
        <w:rPr>
          <w:rFonts w:cs="Times New Roman"/>
          <w:i/>
          <w:noProof/>
        </w:rPr>
        <w:t>Hukum Acara Pidana: Perspektif Global Dan Internasionalisasi Hukum Nasional</w:t>
      </w:r>
      <w:r>
        <w:rPr>
          <w:rFonts w:cs="Times New Roman"/>
          <w:noProof/>
        </w:rPr>
        <w:t xml:space="preserve"> (Jakarta: Sinar Grafika, 2017)</w:t>
      </w:r>
      <w:r>
        <w:rPr>
          <w:rFonts w:cs="Times New Roman"/>
          <w:noProof/>
          <w:lang w:val="en-GB"/>
        </w:rPr>
        <w:t>, hlm 152</w:t>
      </w:r>
      <w:r>
        <w:rPr>
          <w:rFonts w:cs="Times New Roman"/>
          <w:noProof/>
        </w:rPr>
        <w:t>.</w:t>
      </w:r>
      <w:r>
        <w:rPr>
          <w:rFonts w:cs="Times New Roman"/>
        </w:rPr>
        <w:fldChar w:fldCharType="end"/>
      </w:r>
    </w:p>
  </w:footnote>
  <w:footnote w:id="36">
    <w:p w14:paraId="0592021F" w14:textId="77777777" w:rsidR="00F25711" w:rsidRDefault="00F25711" w:rsidP="00F25711">
      <w:pPr>
        <w:pStyle w:val="FootnoteText"/>
        <w:ind w:firstLine="567"/>
        <w:rPr>
          <w:rFonts w:cs="Times New Roman"/>
          <w:lang w:val="en-GB"/>
        </w:rPr>
      </w:pPr>
      <w:r>
        <w:rPr>
          <w:rStyle w:val="FootnoteReference"/>
        </w:rPr>
        <w:footnoteRef/>
      </w:r>
      <w:r>
        <w:rPr>
          <w:rFonts w:cs="Times New Roman"/>
        </w:rPr>
        <w:t xml:space="preserve"> </w:t>
      </w:r>
      <w:r>
        <w:rPr>
          <w:rFonts w:cs="Times New Roman"/>
        </w:rPr>
        <w:fldChar w:fldCharType="begin" w:fldLock="1"/>
      </w:r>
      <w:r>
        <w:rPr>
          <w:rFonts w:cs="Times New Roman"/>
        </w:rPr>
        <w:instrText>ADDIN CSL_CITATION {"citationItems":[{"id":"ITEM-1","itemData":{"author":[{"dropping-particle":"","family":"United Nations Office on Drugs and Crime (UNODC)","given":"","non-dropping-particle":"","parse-names":false,"suffix":""}],"id":"ITEM-1","issued":{"date-parts":[["2014"]]},"publisher":"United Nations","publisher-place":"New York","title":"Toolkit to Combat Trafficking in Persons","type":"book"},"uris":["http://www.mendeley.com/documents/?uuid=4d7fb6dc-7f4e-4900-bf6a-7573f7817b22"]}],"mendeley":{"formattedCitation":"United Nations Office on Drugs and Crime (UNODC), &lt;i&gt;Toolkit to Combat Trafficking in Persons&lt;/i&gt; (New York: United Nations, 2014).","plainTextFormattedCitation":"United Nations Office on Drugs and Crime (UNODC), Toolkit to Combat Trafficking in Persons (New York: United Nations, 2014).","previouslyFormattedCitation":"United Nations Office on Drugs and Crime (UNODC), &lt;i&gt;Toolkit to Combat Trafficking in Persons&lt;/i&gt; (New York: United Nations, 2014)."},"properties":{"noteIndex":52},"schema":"https://github.com/citation-style-language/schema/raw/master/csl-citation.json"}</w:instrText>
      </w:r>
      <w:r>
        <w:rPr>
          <w:rFonts w:cs="Times New Roman"/>
        </w:rPr>
        <w:fldChar w:fldCharType="separate"/>
      </w:r>
      <w:r>
        <w:rPr>
          <w:rFonts w:cs="Times New Roman"/>
          <w:noProof/>
        </w:rPr>
        <w:t xml:space="preserve">United Nations Office on Drugs and Crime (UNODC), </w:t>
      </w:r>
      <w:r>
        <w:rPr>
          <w:rFonts w:cs="Times New Roman"/>
          <w:i/>
          <w:noProof/>
        </w:rPr>
        <w:t>Toolkit to Combat Trafficking in Persons</w:t>
      </w:r>
      <w:r>
        <w:rPr>
          <w:rFonts w:cs="Times New Roman"/>
          <w:noProof/>
        </w:rPr>
        <w:t xml:space="preserve"> (New York: United Nations, 2014)</w:t>
      </w:r>
      <w:r>
        <w:rPr>
          <w:rFonts w:cs="Times New Roman"/>
          <w:noProof/>
          <w:lang w:val="en-GB"/>
        </w:rPr>
        <w:t>, hlm 207</w:t>
      </w:r>
      <w:r>
        <w:rPr>
          <w:rFonts w:cs="Times New Roman"/>
          <w:noProof/>
        </w:rPr>
        <w:t>.</w:t>
      </w:r>
      <w:r>
        <w:rPr>
          <w:rFonts w:cs="Times New Roman"/>
        </w:rPr>
        <w:fldChar w:fldCharType="end"/>
      </w:r>
    </w:p>
  </w:footnote>
  <w:footnote w:id="37">
    <w:p w14:paraId="4844F7B6" w14:textId="77777777" w:rsidR="00F25711" w:rsidRDefault="00F25711" w:rsidP="00F25711">
      <w:pPr>
        <w:pStyle w:val="FootnoteText"/>
        <w:ind w:firstLine="567"/>
        <w:rPr>
          <w:rFonts w:cs="Times New Roman"/>
          <w:lang w:val="en-GB"/>
        </w:rPr>
      </w:pPr>
      <w:r>
        <w:rPr>
          <w:rStyle w:val="FootnoteReference"/>
        </w:rPr>
        <w:footnoteRef/>
      </w:r>
      <w:r>
        <w:rPr>
          <w:rFonts w:cs="Times New Roman"/>
        </w:rPr>
        <w:t xml:space="preserve"> </w:t>
      </w:r>
      <w:r>
        <w:rPr>
          <w:rFonts w:cs="Times New Roman"/>
        </w:rPr>
        <w:fldChar w:fldCharType="begin" w:fldLock="1"/>
      </w:r>
      <w:r>
        <w:rPr>
          <w:rFonts w:cs="Times New Roman"/>
        </w:rPr>
        <w:instrText>ADDIN CSL_CITATION {"citationItems":[{"id":"ITEM-1","itemData":{"author":[{"dropping-particle":"","family":"Juwana","given":"Hikmahanto","non-dropping-particle":"","parse-names":false,"suffix":""}],"id":"ITEM-1","issued":{"date-parts":[["2015"]]},"publisher":"Fakultas Hukum UI Press","publisher-place":"Jakarta","title":"Reformasi Hukum di Indonesia: Antara Harapan dan Kenyataan","type":"book"},"uris":["http://www.mendeley.com/documents/?uuid=6b4fbcb2-741f-4159-9b2f-778b73ed4579"]}],"mendeley":{"formattedCitation":"Hikmahanto Juwana, &lt;i&gt;Reformasi Hukum Di Indonesia: Antara Harapan Dan Kenyataan&lt;/i&gt; (Jakarta: Fakultas Hukum UI Press, 2015).","plainTextFormattedCitation":"Hikmahanto Juwana, Reformasi Hukum Di Indonesia: Antara Harapan Dan Kenyataan (Jakarta: Fakultas Hukum UI Press, 2015)."},"properties":{"noteIndex":53},"schema":"https://github.com/citation-style-language/schema/raw/master/csl-citation.json"}</w:instrText>
      </w:r>
      <w:r>
        <w:rPr>
          <w:rFonts w:cs="Times New Roman"/>
        </w:rPr>
        <w:fldChar w:fldCharType="separate"/>
      </w:r>
      <w:r>
        <w:rPr>
          <w:rFonts w:cs="Times New Roman"/>
          <w:noProof/>
        </w:rPr>
        <w:t xml:space="preserve">Hikmahanto Juwana, </w:t>
      </w:r>
      <w:r>
        <w:rPr>
          <w:rFonts w:cs="Times New Roman"/>
          <w:i/>
          <w:noProof/>
        </w:rPr>
        <w:t>Reformasi Hukum Di Indonesia: Antara Harapan Dan Kenyataan</w:t>
      </w:r>
      <w:r>
        <w:rPr>
          <w:rFonts w:cs="Times New Roman"/>
          <w:noProof/>
        </w:rPr>
        <w:t xml:space="preserve"> (Jakarta: Fakultas Hukum UI Press, 2015)</w:t>
      </w:r>
      <w:r>
        <w:rPr>
          <w:rFonts w:cs="Times New Roman"/>
          <w:noProof/>
          <w:lang w:val="en-GB"/>
        </w:rPr>
        <w:t>, hlm 88</w:t>
      </w:r>
      <w:r>
        <w:rPr>
          <w:rFonts w:cs="Times New Roman"/>
          <w:noProof/>
        </w:rPr>
        <w:t>.</w:t>
      </w:r>
      <w:r>
        <w:rPr>
          <w:rFonts w:cs="Times New Roman"/>
        </w:rPr>
        <w:fldChar w:fldCharType="end"/>
      </w:r>
    </w:p>
  </w:footnote>
  <w:footnote w:id="38">
    <w:p w14:paraId="113D779D" w14:textId="77777777" w:rsidR="00D64B8F" w:rsidRDefault="00D64B8F" w:rsidP="00D64B8F">
      <w:pPr>
        <w:pStyle w:val="FootnoteText"/>
        <w:ind w:firstLine="567"/>
      </w:pPr>
      <w:r>
        <w:rPr>
          <w:rStyle w:val="FootnoteReference"/>
        </w:rPr>
        <w:footnoteRef/>
      </w:r>
      <w:r>
        <w:t xml:space="preserve"> John Locke, </w:t>
      </w:r>
      <w:r>
        <w:rPr>
          <w:rStyle w:val="Emphasis"/>
        </w:rPr>
        <w:t>Two Treatises of Government</w:t>
      </w:r>
      <w:r>
        <w:t xml:space="preserve"> (Cambridge: Cambridge University Press, 2021), hlm 127.</w:t>
      </w:r>
    </w:p>
  </w:footnote>
  <w:footnote w:id="39">
    <w:p w14:paraId="58F15443" w14:textId="77777777" w:rsidR="00D64B8F" w:rsidRDefault="00D64B8F" w:rsidP="00D64B8F">
      <w:pPr>
        <w:pStyle w:val="FootnoteText"/>
        <w:ind w:firstLine="567"/>
      </w:pPr>
      <w:r>
        <w:rPr>
          <w:rStyle w:val="FootnoteReference"/>
        </w:rPr>
        <w:footnoteRef/>
      </w:r>
      <w:r>
        <w:t xml:space="preserve"> Notonagoro, </w:t>
      </w:r>
      <w:r>
        <w:rPr>
          <w:rStyle w:val="Emphasis"/>
        </w:rPr>
        <w:t>Pancasila: Dasar Falsafah Negara</w:t>
      </w:r>
      <w:r>
        <w:t xml:space="preserve"> (Jakarta: Pantjuran Tujuh, 2020), hlm 87.</w:t>
      </w:r>
    </w:p>
  </w:footnote>
  <w:footnote w:id="40">
    <w:p w14:paraId="24A2DAA7" w14:textId="77777777" w:rsidR="00D64B8F" w:rsidRDefault="00D64B8F" w:rsidP="00D64B8F">
      <w:pPr>
        <w:pStyle w:val="FootnoteText"/>
        <w:ind w:firstLine="567"/>
      </w:pPr>
      <w:r>
        <w:rPr>
          <w:rStyle w:val="FootnoteReference"/>
        </w:rPr>
        <w:footnoteRef/>
      </w:r>
      <w:r>
        <w:t xml:space="preserve"> Satjipto Rahardjo, </w:t>
      </w:r>
      <w:r>
        <w:rPr>
          <w:rStyle w:val="Emphasis"/>
        </w:rPr>
        <w:t>Hukum Progresif: Hukum yang Membebaskan</w:t>
      </w:r>
      <w:r>
        <w:t xml:space="preserve"> (Jakarta: Kompas, 2022), hlm 64.</w:t>
      </w:r>
    </w:p>
  </w:footnote>
  <w:footnote w:id="41">
    <w:p w14:paraId="618C9689" w14:textId="77777777" w:rsidR="00D64B8F" w:rsidRDefault="00D64B8F" w:rsidP="00D64B8F">
      <w:pPr>
        <w:pStyle w:val="FootnoteText"/>
        <w:ind w:firstLine="567"/>
      </w:pPr>
      <w:r>
        <w:rPr>
          <w:rStyle w:val="FootnoteReference"/>
        </w:rPr>
        <w:footnoteRef/>
      </w:r>
      <w:r>
        <w:t xml:space="preserve"> LPSK, </w:t>
      </w:r>
      <w:r>
        <w:rPr>
          <w:rStyle w:val="Emphasis"/>
        </w:rPr>
        <w:t>Rekomendasi Kebijakan Pemenuhan Hak Restitusi Korban TPPO</w:t>
      </w:r>
      <w:r>
        <w:t xml:space="preserve"> (Jakarta: LPSK, 2024), hlm 22.</w:t>
      </w:r>
    </w:p>
  </w:footnote>
  <w:footnote w:id="42">
    <w:p w14:paraId="492D60C2" w14:textId="77777777" w:rsidR="00241168" w:rsidRDefault="00241168" w:rsidP="00241168">
      <w:pPr>
        <w:pStyle w:val="FootnoteText"/>
        <w:ind w:firstLine="567"/>
      </w:pPr>
      <w:r>
        <w:rPr>
          <w:rStyle w:val="FootnoteReference"/>
        </w:rPr>
        <w:footnoteRef/>
      </w:r>
      <w:r>
        <w:t xml:space="preserve"> United Nations Office on Drugs and Crime, </w:t>
      </w:r>
      <w:r>
        <w:rPr>
          <w:rStyle w:val="Emphasis"/>
        </w:rPr>
        <w:t>Global Report on Trafficking in Persons 2020</w:t>
      </w:r>
      <w:r>
        <w:t xml:space="preserve"> (New York: UNODC, 2020), hlm 15–16.</w:t>
      </w:r>
    </w:p>
  </w:footnote>
  <w:footnote w:id="43">
    <w:p w14:paraId="27A1B14B" w14:textId="77777777" w:rsidR="00241168" w:rsidRDefault="00241168" w:rsidP="00241168">
      <w:pPr>
        <w:pStyle w:val="FootnoteText"/>
        <w:ind w:firstLine="567"/>
      </w:pPr>
      <w:r>
        <w:rPr>
          <w:rStyle w:val="FootnoteReference"/>
        </w:rPr>
        <w:footnoteRef/>
      </w:r>
      <w:r>
        <w:t xml:space="preserve"> United Nations Office on Drugs and Crime, </w:t>
      </w:r>
      <w:r>
        <w:rPr>
          <w:rStyle w:val="Emphasis"/>
        </w:rPr>
        <w:t>Toolkit to Combat Trafficking in Persons</w:t>
      </w:r>
      <w:r>
        <w:t xml:space="preserve">, </w:t>
      </w:r>
      <w:r>
        <w:rPr>
          <w:i/>
          <w:iCs/>
        </w:rPr>
        <w:t>Op. Cit</w:t>
      </w:r>
      <w:r>
        <w:t>., hlm 92.</w:t>
      </w:r>
    </w:p>
  </w:footnote>
  <w:footnote w:id="44">
    <w:p w14:paraId="066928BD" w14:textId="77777777" w:rsidR="00241168" w:rsidRDefault="00241168" w:rsidP="00241168">
      <w:pPr>
        <w:pStyle w:val="FootnoteText"/>
        <w:ind w:firstLine="567"/>
      </w:pPr>
      <w:r>
        <w:rPr>
          <w:rStyle w:val="FootnoteReference"/>
        </w:rPr>
        <w:footnoteRef/>
      </w:r>
      <w:r>
        <w:t xml:space="preserve"> John Locke, </w:t>
      </w:r>
      <w:r>
        <w:rPr>
          <w:rStyle w:val="Emphasis"/>
        </w:rPr>
        <w:t>Two Treatises of Government</w:t>
      </w:r>
      <w:r>
        <w:t>, ed. Peter Laslett (Cambridge: Cambridge University Press, 1988), II, §6.</w:t>
      </w:r>
    </w:p>
  </w:footnote>
  <w:footnote w:id="45">
    <w:p w14:paraId="38F11D85" w14:textId="77777777" w:rsidR="00241168" w:rsidRDefault="00241168" w:rsidP="00241168">
      <w:pPr>
        <w:pStyle w:val="FootnoteText"/>
        <w:ind w:firstLine="567"/>
      </w:pPr>
      <w:r>
        <w:rPr>
          <w:rStyle w:val="FootnoteReference"/>
        </w:rPr>
        <w:footnoteRef/>
      </w:r>
      <w:r>
        <w:t xml:space="preserve"> Republik Indonesia, </w:t>
      </w:r>
      <w:r>
        <w:rPr>
          <w:rStyle w:val="Emphasis"/>
        </w:rPr>
        <w:t>Undang-Undang Dasar Negara Republik Indonesia Tahun 1945</w:t>
      </w:r>
      <w:r>
        <w:t>, Pasal 28G ayat (1).</w:t>
      </w:r>
    </w:p>
  </w:footnote>
  <w:footnote w:id="46">
    <w:p w14:paraId="20FA6C94" w14:textId="77777777" w:rsidR="00241168" w:rsidRDefault="00241168" w:rsidP="00241168">
      <w:pPr>
        <w:pStyle w:val="FootnoteText"/>
        <w:ind w:firstLine="567"/>
      </w:pPr>
      <w:r>
        <w:rPr>
          <w:rStyle w:val="FootnoteReference"/>
        </w:rPr>
        <w:footnoteRef/>
      </w:r>
      <w:r>
        <w:t xml:space="preserve"> Sulistiantini dan Savitri, </w:t>
      </w:r>
      <w:r>
        <w:rPr>
          <w:rStyle w:val="Emphasis"/>
        </w:rPr>
        <w:t>Effectiveness of Providing Restitution</w:t>
      </w:r>
      <w:r>
        <w:t xml:space="preserve">, </w:t>
      </w:r>
      <w:r>
        <w:rPr>
          <w:i/>
          <w:iCs/>
        </w:rPr>
        <w:t>Op</w:t>
      </w:r>
      <w:r>
        <w:t xml:space="preserve">. </w:t>
      </w:r>
      <w:r>
        <w:rPr>
          <w:i/>
          <w:iCs/>
        </w:rPr>
        <w:t>Cit</w:t>
      </w:r>
      <w:r>
        <w:t>., hlm179.</w:t>
      </w:r>
    </w:p>
  </w:footnote>
  <w:footnote w:id="47">
    <w:p w14:paraId="17833C97" w14:textId="77777777" w:rsidR="00241168" w:rsidRDefault="00241168" w:rsidP="00241168">
      <w:pPr>
        <w:pStyle w:val="FootnoteText"/>
        <w:ind w:firstLine="567"/>
      </w:pPr>
      <w:r>
        <w:rPr>
          <w:rStyle w:val="FootnoteReference"/>
        </w:rPr>
        <w:footnoteRef/>
      </w:r>
      <w:r>
        <w:t xml:space="preserve"> Henny Nuraeny, “Implementasi Restitusi Bagi Korban Tindak Pidana Perdagangan Orang,” </w:t>
      </w:r>
      <w:r>
        <w:rPr>
          <w:rStyle w:val="Emphasis"/>
        </w:rPr>
        <w:t>Ranah Research: Journal of Multidisciplinary Research and Development</w:t>
      </w:r>
      <w:r>
        <w:t> 7, no. 2 (2024): 955.</w:t>
      </w:r>
    </w:p>
  </w:footnote>
  <w:footnote w:id="48">
    <w:p w14:paraId="3C253E64" w14:textId="77777777" w:rsidR="00241168" w:rsidRDefault="00241168" w:rsidP="00241168">
      <w:pPr>
        <w:pStyle w:val="FootnoteText"/>
        <w:ind w:firstLine="567"/>
      </w:pPr>
      <w:r>
        <w:rPr>
          <w:rStyle w:val="FootnoteReference"/>
        </w:rPr>
        <w:footnoteRef/>
      </w:r>
      <w:r>
        <w:t xml:space="preserve"> Marzuki Wahid, “Reformulasi Sistem Peradilan Pidana dalam Konstitusi,” </w:t>
      </w:r>
      <w:r>
        <w:rPr>
          <w:rStyle w:val="Emphasis"/>
        </w:rPr>
        <w:t>Jurnal Konstitusi</w:t>
      </w:r>
      <w:r>
        <w:t xml:space="preserve"> 18, no. 3 (2023): 519.</w:t>
      </w:r>
    </w:p>
  </w:footnote>
  <w:footnote w:id="49">
    <w:p w14:paraId="23652062" w14:textId="77777777" w:rsidR="00241168" w:rsidRDefault="00241168" w:rsidP="00241168">
      <w:pPr>
        <w:pStyle w:val="FootnoteText"/>
        <w:ind w:firstLine="567"/>
      </w:pPr>
      <w:r>
        <w:rPr>
          <w:rStyle w:val="FootnoteReference"/>
        </w:rPr>
        <w:footnoteRef/>
      </w:r>
      <w:r>
        <w:t xml:space="preserve"> Sarah Beresford, “Asset Recovery and Victim Rights: Balancing the Scales of Justice,” </w:t>
      </w:r>
      <w:r>
        <w:rPr>
          <w:rStyle w:val="Emphasis"/>
        </w:rPr>
        <w:t>Journal of Financial Crime</w:t>
      </w:r>
      <w:r>
        <w:t xml:space="preserve"> 31, no. 1 (2024): 128–30.</w:t>
      </w:r>
    </w:p>
  </w:footnote>
  <w:footnote w:id="50">
    <w:p w14:paraId="4F497F39" w14:textId="77777777" w:rsidR="00241168" w:rsidRDefault="00241168" w:rsidP="00241168">
      <w:pPr>
        <w:pStyle w:val="FootnoteText"/>
        <w:ind w:firstLine="567"/>
      </w:pPr>
      <w:r>
        <w:rPr>
          <w:rStyle w:val="FootnoteReference"/>
        </w:rPr>
        <w:footnoteRef/>
      </w:r>
      <w:r>
        <w:t xml:space="preserve"> United States Code, Title 21 § 853: Criminal Forfeitures.</w:t>
      </w:r>
    </w:p>
  </w:footnote>
  <w:footnote w:id="51">
    <w:p w14:paraId="7FA7B4D0" w14:textId="77777777" w:rsidR="00241168" w:rsidRDefault="00241168" w:rsidP="00241168">
      <w:pPr>
        <w:pStyle w:val="FootnoteText"/>
        <w:ind w:firstLine="567"/>
      </w:pPr>
      <w:r>
        <w:rPr>
          <w:rStyle w:val="FootnoteReference"/>
        </w:rPr>
        <w:footnoteRef/>
      </w:r>
      <w:r>
        <w:t xml:space="preserve"> Anti-Money Laundering Council (AMLC), </w:t>
      </w:r>
      <w:r>
        <w:rPr>
          <w:rStyle w:val="Emphasis"/>
        </w:rPr>
        <w:t>Guidelines on the Implementation of Freeze Orders</w:t>
      </w:r>
      <w:r>
        <w:t>, 2021.</w:t>
      </w:r>
    </w:p>
  </w:footnote>
  <w:footnote w:id="52">
    <w:p w14:paraId="0DBC2E79" w14:textId="77777777" w:rsidR="00241168" w:rsidRDefault="00241168" w:rsidP="00241168">
      <w:pPr>
        <w:pStyle w:val="FootnoteText"/>
        <w:ind w:firstLine="567"/>
      </w:pPr>
      <w:r>
        <w:rPr>
          <w:rStyle w:val="FootnoteReference"/>
        </w:rPr>
        <w:footnoteRef/>
      </w:r>
      <w:r>
        <w:t xml:space="preserve"> Netherlands Ministry of Justice and Security, </w:t>
      </w:r>
      <w:r>
        <w:rPr>
          <w:rStyle w:val="Emphasis"/>
        </w:rPr>
        <w:t>Combating Financial Crime: Asset Recovery and Confiscation Policy</w:t>
      </w:r>
      <w:r>
        <w:t>, 2022.</w:t>
      </w:r>
    </w:p>
  </w:footnote>
  <w:footnote w:id="53">
    <w:p w14:paraId="7C9C3807" w14:textId="77777777" w:rsidR="00241168" w:rsidRDefault="00241168" w:rsidP="00241168">
      <w:pPr>
        <w:pStyle w:val="FootnoteText"/>
        <w:ind w:firstLine="567"/>
      </w:pPr>
      <w:r>
        <w:rPr>
          <w:rStyle w:val="FootnoteReference"/>
        </w:rPr>
        <w:footnoteRef/>
      </w:r>
      <w:r>
        <w:t xml:space="preserve"> Elena Ramirez and Joy Santos, “Administrative Asset Freezing in Human Trafficking Cases: The Philippine Experience,” </w:t>
      </w:r>
      <w:r>
        <w:rPr>
          <w:rStyle w:val="Emphasis"/>
        </w:rPr>
        <w:t>Asian Journal of Criminal Law and Justice Reform</w:t>
      </w:r>
      <w:r>
        <w:t xml:space="preserve"> 5, no. 1 (2023): 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025"/>
    <w:multiLevelType w:val="hybridMultilevel"/>
    <w:tmpl w:val="5C42EBAA"/>
    <w:lvl w:ilvl="0" w:tplc="B5503082">
      <w:start w:val="1"/>
      <w:numFmt w:val="upp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09BA62A5"/>
    <w:multiLevelType w:val="hybridMultilevel"/>
    <w:tmpl w:val="298C3D64"/>
    <w:lvl w:ilvl="0" w:tplc="A336CB62">
      <w:start w:val="1"/>
      <w:numFmt w:val="lowerLetter"/>
      <w:lvlText w:val="%1."/>
      <w:lvlJc w:val="left"/>
      <w:pPr>
        <w:ind w:left="6950" w:hanging="286"/>
      </w:pPr>
      <w:rPr>
        <w:rFonts w:ascii="Times New Roman" w:eastAsia="Times New Roman" w:hAnsi="Times New Roman" w:cs="Times New Roman" w:hint="default"/>
        <w:b w:val="0"/>
        <w:bCs w:val="0"/>
        <w:i w:val="0"/>
        <w:iCs w:val="0"/>
        <w:spacing w:val="-1"/>
        <w:w w:val="99"/>
        <w:sz w:val="24"/>
        <w:szCs w:val="24"/>
        <w:lang w:eastAsia="en-US" w:bidi="ar-SA"/>
      </w:rPr>
    </w:lvl>
    <w:lvl w:ilvl="1" w:tplc="04210019">
      <w:start w:val="1"/>
      <w:numFmt w:val="lowerLetter"/>
      <w:lvlText w:val="%2."/>
      <w:lvlJc w:val="left"/>
      <w:pPr>
        <w:ind w:left="4275" w:hanging="360"/>
      </w:pPr>
    </w:lvl>
    <w:lvl w:ilvl="2" w:tplc="0421001B">
      <w:start w:val="1"/>
      <w:numFmt w:val="lowerRoman"/>
      <w:lvlText w:val="%3."/>
      <w:lvlJc w:val="right"/>
      <w:pPr>
        <w:ind w:left="4995" w:hanging="180"/>
      </w:pPr>
    </w:lvl>
    <w:lvl w:ilvl="3" w:tplc="38090011">
      <w:start w:val="1"/>
      <w:numFmt w:val="decimal"/>
      <w:lvlText w:val="%4)"/>
      <w:lvlJc w:val="left"/>
      <w:pPr>
        <w:ind w:left="5715" w:hanging="360"/>
      </w:pPr>
    </w:lvl>
    <w:lvl w:ilvl="4" w:tplc="04210019">
      <w:start w:val="1"/>
      <w:numFmt w:val="lowerLetter"/>
      <w:lvlText w:val="%5."/>
      <w:lvlJc w:val="left"/>
      <w:pPr>
        <w:ind w:left="6435" w:hanging="360"/>
      </w:pPr>
    </w:lvl>
    <w:lvl w:ilvl="5" w:tplc="0421001B">
      <w:start w:val="1"/>
      <w:numFmt w:val="lowerRoman"/>
      <w:lvlText w:val="%6."/>
      <w:lvlJc w:val="right"/>
      <w:pPr>
        <w:ind w:left="7155" w:hanging="180"/>
      </w:pPr>
    </w:lvl>
    <w:lvl w:ilvl="6" w:tplc="0421000F">
      <w:start w:val="1"/>
      <w:numFmt w:val="decimal"/>
      <w:lvlText w:val="%7."/>
      <w:lvlJc w:val="left"/>
      <w:pPr>
        <w:ind w:left="7875" w:hanging="360"/>
      </w:pPr>
    </w:lvl>
    <w:lvl w:ilvl="7" w:tplc="04210019">
      <w:start w:val="1"/>
      <w:numFmt w:val="lowerLetter"/>
      <w:lvlText w:val="%8."/>
      <w:lvlJc w:val="left"/>
      <w:pPr>
        <w:ind w:left="8595" w:hanging="360"/>
      </w:pPr>
    </w:lvl>
    <w:lvl w:ilvl="8" w:tplc="0421001B">
      <w:start w:val="1"/>
      <w:numFmt w:val="lowerRoman"/>
      <w:lvlText w:val="%9."/>
      <w:lvlJc w:val="right"/>
      <w:pPr>
        <w:ind w:left="9315" w:hanging="180"/>
      </w:pPr>
    </w:lvl>
  </w:abstractNum>
  <w:abstractNum w:abstractNumId="2" w15:restartNumberingAfterBreak="0">
    <w:nsid w:val="0A76778A"/>
    <w:multiLevelType w:val="hybridMultilevel"/>
    <w:tmpl w:val="0F6611D2"/>
    <w:lvl w:ilvl="0" w:tplc="1B1C43E4">
      <w:start w:val="1"/>
      <w:numFmt w:val="decimal"/>
      <w:lvlText w:val="(%1)"/>
      <w:lvlJc w:val="left"/>
      <w:pPr>
        <w:ind w:left="1756" w:hanging="480"/>
      </w:p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start w:val="1"/>
      <w:numFmt w:val="decimal"/>
      <w:lvlText w:val="%4."/>
      <w:lvlJc w:val="left"/>
      <w:pPr>
        <w:ind w:left="3796" w:hanging="360"/>
      </w:pPr>
    </w:lvl>
    <w:lvl w:ilvl="4" w:tplc="38090019">
      <w:start w:val="1"/>
      <w:numFmt w:val="lowerLetter"/>
      <w:lvlText w:val="%5."/>
      <w:lvlJc w:val="left"/>
      <w:pPr>
        <w:ind w:left="4516" w:hanging="360"/>
      </w:pPr>
    </w:lvl>
    <w:lvl w:ilvl="5" w:tplc="3809001B">
      <w:start w:val="1"/>
      <w:numFmt w:val="lowerRoman"/>
      <w:lvlText w:val="%6."/>
      <w:lvlJc w:val="right"/>
      <w:pPr>
        <w:ind w:left="5236" w:hanging="180"/>
      </w:pPr>
    </w:lvl>
    <w:lvl w:ilvl="6" w:tplc="3809000F">
      <w:start w:val="1"/>
      <w:numFmt w:val="decimal"/>
      <w:lvlText w:val="%7."/>
      <w:lvlJc w:val="left"/>
      <w:pPr>
        <w:ind w:left="5956" w:hanging="360"/>
      </w:pPr>
    </w:lvl>
    <w:lvl w:ilvl="7" w:tplc="38090019">
      <w:start w:val="1"/>
      <w:numFmt w:val="lowerLetter"/>
      <w:lvlText w:val="%8."/>
      <w:lvlJc w:val="left"/>
      <w:pPr>
        <w:ind w:left="6676" w:hanging="360"/>
      </w:pPr>
    </w:lvl>
    <w:lvl w:ilvl="8" w:tplc="3809001B">
      <w:start w:val="1"/>
      <w:numFmt w:val="lowerRoman"/>
      <w:lvlText w:val="%9."/>
      <w:lvlJc w:val="right"/>
      <w:pPr>
        <w:ind w:left="7396" w:hanging="180"/>
      </w:pPr>
    </w:lvl>
  </w:abstractNum>
  <w:abstractNum w:abstractNumId="3" w15:restartNumberingAfterBreak="0">
    <w:nsid w:val="0B7B0E01"/>
    <w:multiLevelType w:val="hybridMultilevel"/>
    <w:tmpl w:val="9F7023D2"/>
    <w:lvl w:ilvl="0" w:tplc="B05E8518">
      <w:start w:val="1"/>
      <w:numFmt w:val="lowerLetter"/>
      <w:lvlText w:val="%1."/>
      <w:lvlJc w:val="left"/>
      <w:pPr>
        <w:ind w:left="1069" w:hanging="360"/>
      </w:pPr>
      <w:rPr>
        <w:rFonts w:hint="default"/>
        <w:b/>
        <w:bCs/>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0F043DCA"/>
    <w:multiLevelType w:val="hybridMultilevel"/>
    <w:tmpl w:val="412A32E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15:restartNumberingAfterBreak="0">
    <w:nsid w:val="10C92D9C"/>
    <w:multiLevelType w:val="multilevel"/>
    <w:tmpl w:val="97D8B84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02C7F"/>
    <w:multiLevelType w:val="hybridMultilevel"/>
    <w:tmpl w:val="6F3E3C2A"/>
    <w:lvl w:ilvl="0" w:tplc="38090011">
      <w:start w:val="1"/>
      <w:numFmt w:val="decimal"/>
      <w:lvlText w:val="%1)"/>
      <w:lvlJc w:val="left"/>
      <w:pPr>
        <w:ind w:left="3981" w:hanging="360"/>
      </w:pPr>
    </w:lvl>
    <w:lvl w:ilvl="1" w:tplc="04210019">
      <w:start w:val="1"/>
      <w:numFmt w:val="lowerLetter"/>
      <w:lvlText w:val="%2."/>
      <w:lvlJc w:val="left"/>
      <w:pPr>
        <w:ind w:left="4701" w:hanging="360"/>
      </w:pPr>
    </w:lvl>
    <w:lvl w:ilvl="2" w:tplc="0421001B">
      <w:start w:val="1"/>
      <w:numFmt w:val="lowerRoman"/>
      <w:lvlText w:val="%3."/>
      <w:lvlJc w:val="right"/>
      <w:pPr>
        <w:ind w:left="5421" w:hanging="180"/>
      </w:pPr>
    </w:lvl>
    <w:lvl w:ilvl="3" w:tplc="0421000F">
      <w:start w:val="1"/>
      <w:numFmt w:val="decimal"/>
      <w:lvlText w:val="%4."/>
      <w:lvlJc w:val="left"/>
      <w:pPr>
        <w:ind w:left="6141" w:hanging="360"/>
      </w:pPr>
    </w:lvl>
    <w:lvl w:ilvl="4" w:tplc="04210019">
      <w:start w:val="1"/>
      <w:numFmt w:val="lowerLetter"/>
      <w:lvlText w:val="%5."/>
      <w:lvlJc w:val="left"/>
      <w:pPr>
        <w:ind w:left="6861" w:hanging="360"/>
      </w:pPr>
    </w:lvl>
    <w:lvl w:ilvl="5" w:tplc="0421001B">
      <w:start w:val="1"/>
      <w:numFmt w:val="lowerRoman"/>
      <w:lvlText w:val="%6."/>
      <w:lvlJc w:val="right"/>
      <w:pPr>
        <w:ind w:left="7581" w:hanging="180"/>
      </w:pPr>
    </w:lvl>
    <w:lvl w:ilvl="6" w:tplc="0421000F">
      <w:start w:val="1"/>
      <w:numFmt w:val="decimal"/>
      <w:lvlText w:val="%7."/>
      <w:lvlJc w:val="left"/>
      <w:pPr>
        <w:ind w:left="8301" w:hanging="360"/>
      </w:pPr>
    </w:lvl>
    <w:lvl w:ilvl="7" w:tplc="04210019">
      <w:start w:val="1"/>
      <w:numFmt w:val="lowerLetter"/>
      <w:lvlText w:val="%8."/>
      <w:lvlJc w:val="left"/>
      <w:pPr>
        <w:ind w:left="9021" w:hanging="360"/>
      </w:pPr>
    </w:lvl>
    <w:lvl w:ilvl="8" w:tplc="0421001B">
      <w:start w:val="1"/>
      <w:numFmt w:val="lowerRoman"/>
      <w:lvlText w:val="%9."/>
      <w:lvlJc w:val="right"/>
      <w:pPr>
        <w:ind w:left="9741" w:hanging="180"/>
      </w:pPr>
    </w:lvl>
  </w:abstractNum>
  <w:abstractNum w:abstractNumId="7" w15:restartNumberingAfterBreak="0">
    <w:nsid w:val="11855020"/>
    <w:multiLevelType w:val="hybridMultilevel"/>
    <w:tmpl w:val="38C69546"/>
    <w:lvl w:ilvl="0" w:tplc="B298E95E">
      <w:start w:val="1"/>
      <w:numFmt w:val="decimal"/>
      <w:lvlText w:val="(%1)"/>
      <w:lvlJc w:val="left"/>
      <w:pPr>
        <w:ind w:left="1353" w:hanging="360"/>
      </w:pPr>
      <w:rPr>
        <w:rFonts w:ascii="Calibri" w:hAnsi="Calibri" w:cs="Calibri" w:hint="default"/>
        <w:sz w:val="22"/>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8" w15:restartNumberingAfterBreak="0">
    <w:nsid w:val="13347339"/>
    <w:multiLevelType w:val="hybridMultilevel"/>
    <w:tmpl w:val="8A124728"/>
    <w:lvl w:ilvl="0" w:tplc="310608F8">
      <w:start w:val="1"/>
      <w:numFmt w:val="decimal"/>
      <w:lvlText w:val="(%1)"/>
      <w:lvlJc w:val="left"/>
      <w:pPr>
        <w:ind w:left="1711" w:hanging="435"/>
      </w:p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start w:val="1"/>
      <w:numFmt w:val="decimal"/>
      <w:lvlText w:val="%4."/>
      <w:lvlJc w:val="left"/>
      <w:pPr>
        <w:ind w:left="3796" w:hanging="360"/>
      </w:pPr>
    </w:lvl>
    <w:lvl w:ilvl="4" w:tplc="38090019">
      <w:start w:val="1"/>
      <w:numFmt w:val="lowerLetter"/>
      <w:lvlText w:val="%5."/>
      <w:lvlJc w:val="left"/>
      <w:pPr>
        <w:ind w:left="4516" w:hanging="360"/>
      </w:pPr>
    </w:lvl>
    <w:lvl w:ilvl="5" w:tplc="3809001B">
      <w:start w:val="1"/>
      <w:numFmt w:val="lowerRoman"/>
      <w:lvlText w:val="%6."/>
      <w:lvlJc w:val="right"/>
      <w:pPr>
        <w:ind w:left="5236" w:hanging="180"/>
      </w:pPr>
    </w:lvl>
    <w:lvl w:ilvl="6" w:tplc="3809000F">
      <w:start w:val="1"/>
      <w:numFmt w:val="decimal"/>
      <w:lvlText w:val="%7."/>
      <w:lvlJc w:val="left"/>
      <w:pPr>
        <w:ind w:left="5956" w:hanging="360"/>
      </w:pPr>
    </w:lvl>
    <w:lvl w:ilvl="7" w:tplc="38090019">
      <w:start w:val="1"/>
      <w:numFmt w:val="lowerLetter"/>
      <w:lvlText w:val="%8."/>
      <w:lvlJc w:val="left"/>
      <w:pPr>
        <w:ind w:left="6676" w:hanging="360"/>
      </w:pPr>
    </w:lvl>
    <w:lvl w:ilvl="8" w:tplc="3809001B">
      <w:start w:val="1"/>
      <w:numFmt w:val="lowerRoman"/>
      <w:lvlText w:val="%9."/>
      <w:lvlJc w:val="right"/>
      <w:pPr>
        <w:ind w:left="7396" w:hanging="180"/>
      </w:pPr>
    </w:lvl>
  </w:abstractNum>
  <w:abstractNum w:abstractNumId="9" w15:restartNumberingAfterBreak="0">
    <w:nsid w:val="158F3E1D"/>
    <w:multiLevelType w:val="hybridMultilevel"/>
    <w:tmpl w:val="1F38EE7A"/>
    <w:lvl w:ilvl="0" w:tplc="632041D0">
      <w:start w:val="1"/>
      <w:numFmt w:val="decimal"/>
      <w:lvlText w:val="%1)"/>
      <w:lvlJc w:val="left"/>
      <w:pPr>
        <w:ind w:left="3229" w:hanging="360"/>
      </w:pPr>
      <w:rPr>
        <w:rFonts w:ascii="Times New Roman" w:eastAsia="Times New Roman" w:hAnsi="Times New Roman" w:cs="Times New Roman" w:hint="default"/>
        <w:b w:val="0"/>
        <w:bCs w:val="0"/>
        <w:i w:val="0"/>
        <w:iCs w:val="0"/>
        <w:spacing w:val="0"/>
        <w:w w:val="97"/>
        <w:sz w:val="24"/>
        <w:szCs w:val="24"/>
        <w:lang w:eastAsia="en-US" w:bidi="ar-SA"/>
      </w:rPr>
    </w:lvl>
    <w:lvl w:ilvl="1" w:tplc="377CF7E2">
      <w:start w:val="1"/>
      <w:numFmt w:val="lowerLetter"/>
      <w:lvlText w:val="%2."/>
      <w:lvlJc w:val="left"/>
      <w:pPr>
        <w:ind w:left="3589" w:hanging="360"/>
      </w:pPr>
      <w:rPr>
        <w:rFonts w:ascii="Times New Roman" w:eastAsia="Times New Roman" w:hAnsi="Times New Roman" w:cs="Times New Roman" w:hint="default"/>
        <w:b w:val="0"/>
        <w:bCs w:val="0"/>
        <w:i w:val="0"/>
        <w:iCs w:val="0"/>
        <w:spacing w:val="-1"/>
        <w:w w:val="99"/>
        <w:sz w:val="24"/>
        <w:szCs w:val="24"/>
        <w:lang w:eastAsia="en-US" w:bidi="ar-SA"/>
      </w:rPr>
    </w:lvl>
    <w:lvl w:ilvl="2" w:tplc="652E2FC2">
      <w:numFmt w:val="bullet"/>
      <w:lvlText w:val="•"/>
      <w:lvlJc w:val="left"/>
      <w:pPr>
        <w:ind w:left="4300" w:hanging="360"/>
      </w:pPr>
      <w:rPr>
        <w:lang w:eastAsia="en-US" w:bidi="ar-SA"/>
      </w:rPr>
    </w:lvl>
    <w:lvl w:ilvl="3" w:tplc="9984E47A">
      <w:numFmt w:val="bullet"/>
      <w:lvlText w:val="•"/>
      <w:lvlJc w:val="left"/>
      <w:pPr>
        <w:ind w:left="5020" w:hanging="360"/>
      </w:pPr>
      <w:rPr>
        <w:lang w:eastAsia="en-US" w:bidi="ar-SA"/>
      </w:rPr>
    </w:lvl>
    <w:lvl w:ilvl="4" w:tplc="AFA61810">
      <w:numFmt w:val="bullet"/>
      <w:lvlText w:val="•"/>
      <w:lvlJc w:val="left"/>
      <w:pPr>
        <w:ind w:left="5741" w:hanging="360"/>
      </w:pPr>
      <w:rPr>
        <w:lang w:eastAsia="en-US" w:bidi="ar-SA"/>
      </w:rPr>
    </w:lvl>
    <w:lvl w:ilvl="5" w:tplc="89564AC6">
      <w:numFmt w:val="bullet"/>
      <w:lvlText w:val="•"/>
      <w:lvlJc w:val="left"/>
      <w:pPr>
        <w:ind w:left="6461" w:hanging="360"/>
      </w:pPr>
      <w:rPr>
        <w:lang w:eastAsia="en-US" w:bidi="ar-SA"/>
      </w:rPr>
    </w:lvl>
    <w:lvl w:ilvl="6" w:tplc="E5FC9E7C">
      <w:numFmt w:val="bullet"/>
      <w:lvlText w:val="•"/>
      <w:lvlJc w:val="left"/>
      <w:pPr>
        <w:ind w:left="7181" w:hanging="360"/>
      </w:pPr>
      <w:rPr>
        <w:lang w:eastAsia="en-US" w:bidi="ar-SA"/>
      </w:rPr>
    </w:lvl>
    <w:lvl w:ilvl="7" w:tplc="8DB2515C">
      <w:numFmt w:val="bullet"/>
      <w:lvlText w:val="•"/>
      <w:lvlJc w:val="left"/>
      <w:pPr>
        <w:ind w:left="7902" w:hanging="360"/>
      </w:pPr>
      <w:rPr>
        <w:lang w:eastAsia="en-US" w:bidi="ar-SA"/>
      </w:rPr>
    </w:lvl>
    <w:lvl w:ilvl="8" w:tplc="CDB0934E">
      <w:numFmt w:val="bullet"/>
      <w:lvlText w:val="•"/>
      <w:lvlJc w:val="left"/>
      <w:pPr>
        <w:ind w:left="8622" w:hanging="360"/>
      </w:pPr>
      <w:rPr>
        <w:lang w:eastAsia="en-US" w:bidi="ar-SA"/>
      </w:rPr>
    </w:lvl>
  </w:abstractNum>
  <w:abstractNum w:abstractNumId="10" w15:restartNumberingAfterBreak="0">
    <w:nsid w:val="1A851431"/>
    <w:multiLevelType w:val="hybridMultilevel"/>
    <w:tmpl w:val="8D429C2A"/>
    <w:lvl w:ilvl="0" w:tplc="7DCEAD44">
      <w:start w:val="1"/>
      <w:numFmt w:val="decimal"/>
      <w:lvlText w:val="%1)"/>
      <w:lvlJc w:val="left"/>
      <w:pPr>
        <w:ind w:left="3229" w:hanging="360"/>
      </w:pPr>
      <w:rPr>
        <w:rFonts w:ascii="Times New Roman" w:eastAsia="Times New Roman" w:hAnsi="Times New Roman" w:cs="Times New Roman" w:hint="default"/>
        <w:b w:val="0"/>
        <w:bCs w:val="0"/>
        <w:i w:val="0"/>
        <w:iCs w:val="0"/>
        <w:spacing w:val="0"/>
        <w:w w:val="97"/>
        <w:sz w:val="24"/>
        <w:szCs w:val="24"/>
        <w:lang w:eastAsia="en-US" w:bidi="ar-SA"/>
      </w:rPr>
    </w:lvl>
    <w:lvl w:ilvl="1" w:tplc="9424A326">
      <w:start w:val="1"/>
      <w:numFmt w:val="lowerLetter"/>
      <w:lvlText w:val="%2."/>
      <w:lvlJc w:val="left"/>
      <w:pPr>
        <w:ind w:left="3589" w:hanging="360"/>
      </w:pPr>
      <w:rPr>
        <w:rFonts w:ascii="Times New Roman" w:eastAsia="Times New Roman" w:hAnsi="Times New Roman" w:cs="Times New Roman" w:hint="default"/>
        <w:b w:val="0"/>
        <w:bCs w:val="0"/>
        <w:i w:val="0"/>
        <w:iCs w:val="0"/>
        <w:spacing w:val="-1"/>
        <w:w w:val="99"/>
        <w:sz w:val="24"/>
        <w:szCs w:val="24"/>
        <w:lang w:eastAsia="en-US" w:bidi="ar-SA"/>
      </w:rPr>
    </w:lvl>
    <w:lvl w:ilvl="2" w:tplc="5F4C69D0">
      <w:numFmt w:val="bullet"/>
      <w:lvlText w:val="•"/>
      <w:lvlJc w:val="left"/>
      <w:pPr>
        <w:ind w:left="4300" w:hanging="360"/>
      </w:pPr>
      <w:rPr>
        <w:lang w:eastAsia="en-US" w:bidi="ar-SA"/>
      </w:rPr>
    </w:lvl>
    <w:lvl w:ilvl="3" w:tplc="C7DE162A">
      <w:numFmt w:val="bullet"/>
      <w:lvlText w:val="•"/>
      <w:lvlJc w:val="left"/>
      <w:pPr>
        <w:ind w:left="5020" w:hanging="360"/>
      </w:pPr>
      <w:rPr>
        <w:lang w:eastAsia="en-US" w:bidi="ar-SA"/>
      </w:rPr>
    </w:lvl>
    <w:lvl w:ilvl="4" w:tplc="CDC0F5B2">
      <w:numFmt w:val="bullet"/>
      <w:lvlText w:val="•"/>
      <w:lvlJc w:val="left"/>
      <w:pPr>
        <w:ind w:left="5741" w:hanging="360"/>
      </w:pPr>
      <w:rPr>
        <w:lang w:eastAsia="en-US" w:bidi="ar-SA"/>
      </w:rPr>
    </w:lvl>
    <w:lvl w:ilvl="5" w:tplc="4002F674">
      <w:numFmt w:val="bullet"/>
      <w:lvlText w:val="•"/>
      <w:lvlJc w:val="left"/>
      <w:pPr>
        <w:ind w:left="6461" w:hanging="360"/>
      </w:pPr>
      <w:rPr>
        <w:lang w:eastAsia="en-US" w:bidi="ar-SA"/>
      </w:rPr>
    </w:lvl>
    <w:lvl w:ilvl="6" w:tplc="694CF062">
      <w:numFmt w:val="bullet"/>
      <w:lvlText w:val="•"/>
      <w:lvlJc w:val="left"/>
      <w:pPr>
        <w:ind w:left="7181" w:hanging="360"/>
      </w:pPr>
      <w:rPr>
        <w:lang w:eastAsia="en-US" w:bidi="ar-SA"/>
      </w:rPr>
    </w:lvl>
    <w:lvl w:ilvl="7" w:tplc="802EDB32">
      <w:numFmt w:val="bullet"/>
      <w:lvlText w:val="•"/>
      <w:lvlJc w:val="left"/>
      <w:pPr>
        <w:ind w:left="7902" w:hanging="360"/>
      </w:pPr>
      <w:rPr>
        <w:lang w:eastAsia="en-US" w:bidi="ar-SA"/>
      </w:rPr>
    </w:lvl>
    <w:lvl w:ilvl="8" w:tplc="C5AAC742">
      <w:numFmt w:val="bullet"/>
      <w:lvlText w:val="•"/>
      <w:lvlJc w:val="left"/>
      <w:pPr>
        <w:ind w:left="8622" w:hanging="360"/>
      </w:pPr>
      <w:rPr>
        <w:lang w:eastAsia="en-US" w:bidi="ar-SA"/>
      </w:rPr>
    </w:lvl>
  </w:abstractNum>
  <w:abstractNum w:abstractNumId="11" w15:restartNumberingAfterBreak="0">
    <w:nsid w:val="1D4B7B6F"/>
    <w:multiLevelType w:val="multilevel"/>
    <w:tmpl w:val="40E01B7C"/>
    <w:lvl w:ilvl="0">
      <w:start w:val="1"/>
      <w:numFmt w:val="decimal"/>
      <w:lvlText w:val="%1)"/>
      <w:lvlJc w:val="left"/>
      <w:pPr>
        <w:ind w:left="2346" w:hanging="360"/>
      </w:pPr>
      <w:rPr>
        <w:vertAlign w:val="baseline"/>
      </w:rPr>
    </w:lvl>
    <w:lvl w:ilvl="1">
      <w:start w:val="1"/>
      <w:numFmt w:val="lowerLetter"/>
      <w:lvlText w:val="%2."/>
      <w:lvlJc w:val="left"/>
      <w:pPr>
        <w:ind w:left="2430" w:hanging="360"/>
      </w:pPr>
      <w:rPr>
        <w:vertAlign w:val="baseline"/>
      </w:rPr>
    </w:lvl>
    <w:lvl w:ilvl="2">
      <w:start w:val="1"/>
      <w:numFmt w:val="lowerRoman"/>
      <w:lvlText w:val="%3."/>
      <w:lvlJc w:val="right"/>
      <w:pPr>
        <w:ind w:left="3150" w:hanging="180"/>
      </w:pPr>
      <w:rPr>
        <w:vertAlign w:val="baseline"/>
      </w:rPr>
    </w:lvl>
    <w:lvl w:ilvl="3">
      <w:start w:val="1"/>
      <w:numFmt w:val="decimal"/>
      <w:lvlText w:val="%4."/>
      <w:lvlJc w:val="left"/>
      <w:pPr>
        <w:ind w:left="3870" w:hanging="360"/>
      </w:pPr>
      <w:rPr>
        <w:vertAlign w:val="baseline"/>
      </w:rPr>
    </w:lvl>
    <w:lvl w:ilvl="4">
      <w:start w:val="1"/>
      <w:numFmt w:val="lowerLetter"/>
      <w:lvlText w:val="%5."/>
      <w:lvlJc w:val="left"/>
      <w:pPr>
        <w:ind w:left="4590" w:hanging="360"/>
      </w:pPr>
      <w:rPr>
        <w:vertAlign w:val="baseline"/>
      </w:rPr>
    </w:lvl>
    <w:lvl w:ilvl="5">
      <w:start w:val="1"/>
      <w:numFmt w:val="lowerRoman"/>
      <w:lvlText w:val="%6."/>
      <w:lvlJc w:val="right"/>
      <w:pPr>
        <w:ind w:left="5310" w:hanging="180"/>
      </w:pPr>
      <w:rPr>
        <w:vertAlign w:val="baseline"/>
      </w:rPr>
    </w:lvl>
    <w:lvl w:ilvl="6">
      <w:start w:val="1"/>
      <w:numFmt w:val="decimal"/>
      <w:lvlText w:val="%7."/>
      <w:lvlJc w:val="left"/>
      <w:pPr>
        <w:ind w:left="6030" w:hanging="360"/>
      </w:pPr>
      <w:rPr>
        <w:vertAlign w:val="baseline"/>
      </w:rPr>
    </w:lvl>
    <w:lvl w:ilvl="7">
      <w:start w:val="1"/>
      <w:numFmt w:val="lowerLetter"/>
      <w:lvlText w:val="%8."/>
      <w:lvlJc w:val="left"/>
      <w:pPr>
        <w:ind w:left="6750" w:hanging="360"/>
      </w:pPr>
      <w:rPr>
        <w:vertAlign w:val="baseline"/>
      </w:rPr>
    </w:lvl>
    <w:lvl w:ilvl="8">
      <w:start w:val="1"/>
      <w:numFmt w:val="lowerRoman"/>
      <w:lvlText w:val="%9."/>
      <w:lvlJc w:val="right"/>
      <w:pPr>
        <w:ind w:left="7470" w:hanging="180"/>
      </w:pPr>
      <w:rPr>
        <w:vertAlign w:val="baseline"/>
      </w:rPr>
    </w:lvl>
  </w:abstractNum>
  <w:abstractNum w:abstractNumId="12" w15:restartNumberingAfterBreak="0">
    <w:nsid w:val="1FC4497B"/>
    <w:multiLevelType w:val="hybridMultilevel"/>
    <w:tmpl w:val="F362A5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2972384"/>
    <w:multiLevelType w:val="hybridMultilevel"/>
    <w:tmpl w:val="AF3C0810"/>
    <w:lvl w:ilvl="0" w:tplc="8B48C13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7B86FA1"/>
    <w:multiLevelType w:val="hybridMultilevel"/>
    <w:tmpl w:val="7BE0C7FC"/>
    <w:lvl w:ilvl="0" w:tplc="BBBCA7AE">
      <w:start w:val="1"/>
      <w:numFmt w:val="decimal"/>
      <w:lvlText w:val="%1)"/>
      <w:lvlJc w:val="left"/>
      <w:pPr>
        <w:ind w:left="3057" w:hanging="363"/>
      </w:pPr>
      <w:rPr>
        <w:rFonts w:ascii="Times New Roman" w:eastAsia="Times New Roman" w:hAnsi="Times New Roman" w:cs="Times New Roman" w:hint="default"/>
        <w:b w:val="0"/>
        <w:bCs w:val="0"/>
        <w:i w:val="0"/>
        <w:iCs w:val="0"/>
        <w:spacing w:val="0"/>
        <w:w w:val="97"/>
        <w:sz w:val="24"/>
        <w:szCs w:val="24"/>
        <w:lang w:eastAsia="en-US" w:bidi="ar-SA"/>
      </w:rPr>
    </w:lvl>
    <w:lvl w:ilvl="1" w:tplc="63923206">
      <w:start w:val="1"/>
      <w:numFmt w:val="lowerLetter"/>
      <w:lvlText w:val="%2."/>
      <w:lvlJc w:val="left"/>
      <w:pPr>
        <w:ind w:left="3491" w:hanging="360"/>
      </w:pPr>
      <w:rPr>
        <w:rFonts w:ascii="Times New Roman" w:eastAsia="Times New Roman" w:hAnsi="Times New Roman" w:cs="Times New Roman" w:hint="default"/>
        <w:b w:val="0"/>
        <w:bCs w:val="0"/>
        <w:i w:val="0"/>
        <w:iCs w:val="0"/>
        <w:spacing w:val="-1"/>
        <w:w w:val="99"/>
        <w:sz w:val="24"/>
        <w:szCs w:val="24"/>
        <w:lang w:eastAsia="en-US" w:bidi="ar-SA"/>
      </w:rPr>
    </w:lvl>
    <w:lvl w:ilvl="2" w:tplc="82380F5E">
      <w:numFmt w:val="bullet"/>
      <w:lvlText w:val="•"/>
      <w:lvlJc w:val="left"/>
      <w:pPr>
        <w:ind w:left="4229" w:hanging="360"/>
      </w:pPr>
      <w:rPr>
        <w:lang w:eastAsia="en-US" w:bidi="ar-SA"/>
      </w:rPr>
    </w:lvl>
    <w:lvl w:ilvl="3" w:tplc="C51AE7F4">
      <w:numFmt w:val="bullet"/>
      <w:lvlText w:val="•"/>
      <w:lvlJc w:val="left"/>
      <w:pPr>
        <w:ind w:left="4958" w:hanging="360"/>
      </w:pPr>
      <w:rPr>
        <w:lang w:eastAsia="en-US" w:bidi="ar-SA"/>
      </w:rPr>
    </w:lvl>
    <w:lvl w:ilvl="4" w:tplc="420ACE4C">
      <w:numFmt w:val="bullet"/>
      <w:lvlText w:val="•"/>
      <w:lvlJc w:val="left"/>
      <w:pPr>
        <w:ind w:left="5687" w:hanging="360"/>
      </w:pPr>
      <w:rPr>
        <w:lang w:eastAsia="en-US" w:bidi="ar-SA"/>
      </w:rPr>
    </w:lvl>
    <w:lvl w:ilvl="5" w:tplc="B616E7E4">
      <w:numFmt w:val="bullet"/>
      <w:lvlText w:val="•"/>
      <w:lvlJc w:val="left"/>
      <w:pPr>
        <w:ind w:left="6417" w:hanging="360"/>
      </w:pPr>
      <w:rPr>
        <w:lang w:eastAsia="en-US" w:bidi="ar-SA"/>
      </w:rPr>
    </w:lvl>
    <w:lvl w:ilvl="6" w:tplc="DA602BC0">
      <w:numFmt w:val="bullet"/>
      <w:lvlText w:val="•"/>
      <w:lvlJc w:val="left"/>
      <w:pPr>
        <w:ind w:left="7146" w:hanging="360"/>
      </w:pPr>
      <w:rPr>
        <w:lang w:eastAsia="en-US" w:bidi="ar-SA"/>
      </w:rPr>
    </w:lvl>
    <w:lvl w:ilvl="7" w:tplc="D37CB9E2">
      <w:numFmt w:val="bullet"/>
      <w:lvlText w:val="•"/>
      <w:lvlJc w:val="left"/>
      <w:pPr>
        <w:ind w:left="7875" w:hanging="360"/>
      </w:pPr>
      <w:rPr>
        <w:lang w:eastAsia="en-US" w:bidi="ar-SA"/>
      </w:rPr>
    </w:lvl>
    <w:lvl w:ilvl="8" w:tplc="A9CA2B5E">
      <w:numFmt w:val="bullet"/>
      <w:lvlText w:val="•"/>
      <w:lvlJc w:val="left"/>
      <w:pPr>
        <w:ind w:left="8604" w:hanging="360"/>
      </w:pPr>
      <w:rPr>
        <w:lang w:eastAsia="en-US" w:bidi="ar-SA"/>
      </w:rPr>
    </w:lvl>
  </w:abstractNum>
  <w:abstractNum w:abstractNumId="15" w15:restartNumberingAfterBreak="0">
    <w:nsid w:val="367F6302"/>
    <w:multiLevelType w:val="multilevel"/>
    <w:tmpl w:val="1436A496"/>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48A30EF"/>
    <w:multiLevelType w:val="hybridMultilevel"/>
    <w:tmpl w:val="DEDADBDA"/>
    <w:lvl w:ilvl="0" w:tplc="01D49E50">
      <w:start w:val="1"/>
      <w:numFmt w:val="decimal"/>
      <w:lvlText w:val="%1."/>
      <w:lvlJc w:val="left"/>
      <w:pPr>
        <w:ind w:left="1352" w:hanging="360"/>
      </w:pPr>
      <w:rPr>
        <w:rFonts w:cs="Times New Roman" w:hint="default"/>
      </w:rPr>
    </w:lvl>
    <w:lvl w:ilvl="1" w:tplc="38090019" w:tentative="1">
      <w:start w:val="1"/>
      <w:numFmt w:val="lowerLetter"/>
      <w:lvlText w:val="%2."/>
      <w:lvlJc w:val="left"/>
      <w:pPr>
        <w:ind w:left="2072" w:hanging="360"/>
      </w:pPr>
    </w:lvl>
    <w:lvl w:ilvl="2" w:tplc="3809001B" w:tentative="1">
      <w:start w:val="1"/>
      <w:numFmt w:val="lowerRoman"/>
      <w:lvlText w:val="%3."/>
      <w:lvlJc w:val="right"/>
      <w:pPr>
        <w:ind w:left="2792" w:hanging="180"/>
      </w:pPr>
    </w:lvl>
    <w:lvl w:ilvl="3" w:tplc="3809000F" w:tentative="1">
      <w:start w:val="1"/>
      <w:numFmt w:val="decimal"/>
      <w:lvlText w:val="%4."/>
      <w:lvlJc w:val="left"/>
      <w:pPr>
        <w:ind w:left="3512" w:hanging="360"/>
      </w:pPr>
    </w:lvl>
    <w:lvl w:ilvl="4" w:tplc="38090019" w:tentative="1">
      <w:start w:val="1"/>
      <w:numFmt w:val="lowerLetter"/>
      <w:lvlText w:val="%5."/>
      <w:lvlJc w:val="left"/>
      <w:pPr>
        <w:ind w:left="4232" w:hanging="360"/>
      </w:pPr>
    </w:lvl>
    <w:lvl w:ilvl="5" w:tplc="3809001B" w:tentative="1">
      <w:start w:val="1"/>
      <w:numFmt w:val="lowerRoman"/>
      <w:lvlText w:val="%6."/>
      <w:lvlJc w:val="right"/>
      <w:pPr>
        <w:ind w:left="4952" w:hanging="180"/>
      </w:pPr>
    </w:lvl>
    <w:lvl w:ilvl="6" w:tplc="3809000F" w:tentative="1">
      <w:start w:val="1"/>
      <w:numFmt w:val="decimal"/>
      <w:lvlText w:val="%7."/>
      <w:lvlJc w:val="left"/>
      <w:pPr>
        <w:ind w:left="5672" w:hanging="360"/>
      </w:pPr>
    </w:lvl>
    <w:lvl w:ilvl="7" w:tplc="38090019" w:tentative="1">
      <w:start w:val="1"/>
      <w:numFmt w:val="lowerLetter"/>
      <w:lvlText w:val="%8."/>
      <w:lvlJc w:val="left"/>
      <w:pPr>
        <w:ind w:left="6392" w:hanging="360"/>
      </w:pPr>
    </w:lvl>
    <w:lvl w:ilvl="8" w:tplc="3809001B" w:tentative="1">
      <w:start w:val="1"/>
      <w:numFmt w:val="lowerRoman"/>
      <w:lvlText w:val="%9."/>
      <w:lvlJc w:val="right"/>
      <w:pPr>
        <w:ind w:left="7112" w:hanging="180"/>
      </w:pPr>
    </w:lvl>
  </w:abstractNum>
  <w:abstractNum w:abstractNumId="17" w15:restartNumberingAfterBreak="0">
    <w:nsid w:val="44C45560"/>
    <w:multiLevelType w:val="hybridMultilevel"/>
    <w:tmpl w:val="2014E0E2"/>
    <w:lvl w:ilvl="0" w:tplc="0038C2AE">
      <w:start w:val="1"/>
      <w:numFmt w:val="decimal"/>
      <w:lvlText w:val="(%1)"/>
      <w:lvlJc w:val="left"/>
      <w:pPr>
        <w:ind w:left="1666" w:hanging="390"/>
      </w:p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start w:val="1"/>
      <w:numFmt w:val="decimal"/>
      <w:lvlText w:val="%4."/>
      <w:lvlJc w:val="left"/>
      <w:pPr>
        <w:ind w:left="3796" w:hanging="360"/>
      </w:pPr>
    </w:lvl>
    <w:lvl w:ilvl="4" w:tplc="38090019">
      <w:start w:val="1"/>
      <w:numFmt w:val="lowerLetter"/>
      <w:lvlText w:val="%5."/>
      <w:lvlJc w:val="left"/>
      <w:pPr>
        <w:ind w:left="4516" w:hanging="360"/>
      </w:pPr>
    </w:lvl>
    <w:lvl w:ilvl="5" w:tplc="3809001B">
      <w:start w:val="1"/>
      <w:numFmt w:val="lowerRoman"/>
      <w:lvlText w:val="%6."/>
      <w:lvlJc w:val="right"/>
      <w:pPr>
        <w:ind w:left="5236" w:hanging="180"/>
      </w:pPr>
    </w:lvl>
    <w:lvl w:ilvl="6" w:tplc="3809000F">
      <w:start w:val="1"/>
      <w:numFmt w:val="decimal"/>
      <w:lvlText w:val="%7."/>
      <w:lvlJc w:val="left"/>
      <w:pPr>
        <w:ind w:left="5956" w:hanging="360"/>
      </w:pPr>
    </w:lvl>
    <w:lvl w:ilvl="7" w:tplc="38090019">
      <w:start w:val="1"/>
      <w:numFmt w:val="lowerLetter"/>
      <w:lvlText w:val="%8."/>
      <w:lvlJc w:val="left"/>
      <w:pPr>
        <w:ind w:left="6676" w:hanging="360"/>
      </w:pPr>
    </w:lvl>
    <w:lvl w:ilvl="8" w:tplc="3809001B">
      <w:start w:val="1"/>
      <w:numFmt w:val="lowerRoman"/>
      <w:lvlText w:val="%9."/>
      <w:lvlJc w:val="right"/>
      <w:pPr>
        <w:ind w:left="7396" w:hanging="180"/>
      </w:pPr>
    </w:lvl>
  </w:abstractNum>
  <w:abstractNum w:abstractNumId="18" w15:restartNumberingAfterBreak="0">
    <w:nsid w:val="4E04464E"/>
    <w:multiLevelType w:val="hybridMultilevel"/>
    <w:tmpl w:val="1C02C006"/>
    <w:lvl w:ilvl="0" w:tplc="F09EA3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533E3629"/>
    <w:multiLevelType w:val="multilevel"/>
    <w:tmpl w:val="1996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1F64B3"/>
    <w:multiLevelType w:val="hybridMultilevel"/>
    <w:tmpl w:val="F07C4D86"/>
    <w:lvl w:ilvl="0" w:tplc="5F4C6772">
      <w:start w:val="1"/>
      <w:numFmt w:val="decimal"/>
      <w:lvlText w:val="%1)"/>
      <w:lvlJc w:val="left"/>
      <w:pPr>
        <w:ind w:left="3282" w:hanging="360"/>
      </w:pPr>
      <w:rPr>
        <w:rFonts w:ascii="Times New Roman" w:eastAsia="Times New Roman" w:hAnsi="Times New Roman" w:cs="Times New Roman" w:hint="default"/>
        <w:b w:val="0"/>
        <w:bCs w:val="0"/>
        <w:i w:val="0"/>
        <w:iCs w:val="0"/>
        <w:spacing w:val="0"/>
        <w:w w:val="97"/>
        <w:sz w:val="24"/>
        <w:szCs w:val="24"/>
        <w:lang w:eastAsia="en-US" w:bidi="ar-SA"/>
      </w:rPr>
    </w:lvl>
    <w:lvl w:ilvl="1" w:tplc="0166107C">
      <w:start w:val="1"/>
      <w:numFmt w:val="lowerLetter"/>
      <w:lvlText w:val="%2."/>
      <w:lvlJc w:val="left"/>
      <w:pPr>
        <w:ind w:left="3642" w:hanging="360"/>
      </w:pPr>
      <w:rPr>
        <w:rFonts w:ascii="Times New Roman" w:eastAsia="Times New Roman" w:hAnsi="Times New Roman" w:cs="Times New Roman" w:hint="default"/>
        <w:b w:val="0"/>
        <w:bCs w:val="0"/>
        <w:i w:val="0"/>
        <w:iCs w:val="0"/>
        <w:spacing w:val="-1"/>
        <w:w w:val="99"/>
        <w:sz w:val="24"/>
        <w:szCs w:val="24"/>
        <w:lang w:eastAsia="en-US" w:bidi="ar-SA"/>
      </w:rPr>
    </w:lvl>
    <w:lvl w:ilvl="2" w:tplc="C31475B0">
      <w:numFmt w:val="bullet"/>
      <w:lvlText w:val="•"/>
      <w:lvlJc w:val="left"/>
      <w:pPr>
        <w:ind w:left="4353" w:hanging="360"/>
      </w:pPr>
      <w:rPr>
        <w:lang w:eastAsia="en-US" w:bidi="ar-SA"/>
      </w:rPr>
    </w:lvl>
    <w:lvl w:ilvl="3" w:tplc="7520BF64">
      <w:numFmt w:val="bullet"/>
      <w:lvlText w:val="•"/>
      <w:lvlJc w:val="left"/>
      <w:pPr>
        <w:ind w:left="5067" w:hanging="360"/>
      </w:pPr>
      <w:rPr>
        <w:lang w:eastAsia="en-US" w:bidi="ar-SA"/>
      </w:rPr>
    </w:lvl>
    <w:lvl w:ilvl="4" w:tplc="DF30E546">
      <w:numFmt w:val="bullet"/>
      <w:lvlText w:val="•"/>
      <w:lvlJc w:val="left"/>
      <w:pPr>
        <w:ind w:left="5781" w:hanging="360"/>
      </w:pPr>
      <w:rPr>
        <w:lang w:eastAsia="en-US" w:bidi="ar-SA"/>
      </w:rPr>
    </w:lvl>
    <w:lvl w:ilvl="5" w:tplc="4C7C981C">
      <w:numFmt w:val="bullet"/>
      <w:lvlText w:val="•"/>
      <w:lvlJc w:val="left"/>
      <w:pPr>
        <w:ind w:left="6494" w:hanging="360"/>
      </w:pPr>
      <w:rPr>
        <w:lang w:eastAsia="en-US" w:bidi="ar-SA"/>
      </w:rPr>
    </w:lvl>
    <w:lvl w:ilvl="6" w:tplc="D3841042">
      <w:numFmt w:val="bullet"/>
      <w:lvlText w:val="•"/>
      <w:lvlJc w:val="left"/>
      <w:pPr>
        <w:ind w:left="7208" w:hanging="360"/>
      </w:pPr>
      <w:rPr>
        <w:lang w:eastAsia="en-US" w:bidi="ar-SA"/>
      </w:rPr>
    </w:lvl>
    <w:lvl w:ilvl="7" w:tplc="25603D78">
      <w:numFmt w:val="bullet"/>
      <w:lvlText w:val="•"/>
      <w:lvlJc w:val="left"/>
      <w:pPr>
        <w:ind w:left="7922" w:hanging="360"/>
      </w:pPr>
      <w:rPr>
        <w:lang w:eastAsia="en-US" w:bidi="ar-SA"/>
      </w:rPr>
    </w:lvl>
    <w:lvl w:ilvl="8" w:tplc="6FCA364A">
      <w:numFmt w:val="bullet"/>
      <w:lvlText w:val="•"/>
      <w:lvlJc w:val="left"/>
      <w:pPr>
        <w:ind w:left="8635" w:hanging="360"/>
      </w:pPr>
      <w:rPr>
        <w:lang w:eastAsia="en-US" w:bidi="ar-SA"/>
      </w:rPr>
    </w:lvl>
  </w:abstractNum>
  <w:abstractNum w:abstractNumId="21" w15:restartNumberingAfterBreak="0">
    <w:nsid w:val="5E274728"/>
    <w:multiLevelType w:val="hybridMultilevel"/>
    <w:tmpl w:val="12A80F54"/>
    <w:lvl w:ilvl="0" w:tplc="3809000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616818C1"/>
    <w:multiLevelType w:val="hybridMultilevel"/>
    <w:tmpl w:val="D8B2D482"/>
    <w:lvl w:ilvl="0" w:tplc="2878F9F8">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5374256"/>
    <w:multiLevelType w:val="hybridMultilevel"/>
    <w:tmpl w:val="60389ED4"/>
    <w:lvl w:ilvl="0" w:tplc="4600ECF6">
      <w:start w:val="1"/>
      <w:numFmt w:val="decimal"/>
      <w:lvlText w:val="%1."/>
      <w:lvlJc w:val="left"/>
      <w:pPr>
        <w:ind w:left="720" w:hanging="360"/>
      </w:pPr>
      <w:rPr>
        <w:rFonts w:eastAsiaTheme="majorEastAsia" w:cstheme="majorBidi"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70443A9"/>
    <w:multiLevelType w:val="hybridMultilevel"/>
    <w:tmpl w:val="D0FC0DD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69DB57B2"/>
    <w:multiLevelType w:val="hybridMultilevel"/>
    <w:tmpl w:val="F87EBDB0"/>
    <w:lvl w:ilvl="0" w:tplc="AA367BFC">
      <w:start w:val="1"/>
      <w:numFmt w:val="lowerLetter"/>
      <w:lvlText w:val="%1."/>
      <w:lvlJc w:val="left"/>
      <w:pPr>
        <w:ind w:left="2071" w:hanging="360"/>
      </w:pPr>
    </w:lvl>
    <w:lvl w:ilvl="1" w:tplc="38090019">
      <w:start w:val="1"/>
      <w:numFmt w:val="lowerLetter"/>
      <w:lvlText w:val="%2."/>
      <w:lvlJc w:val="left"/>
      <w:pPr>
        <w:ind w:left="2791" w:hanging="360"/>
      </w:pPr>
    </w:lvl>
    <w:lvl w:ilvl="2" w:tplc="3809001B">
      <w:start w:val="1"/>
      <w:numFmt w:val="lowerRoman"/>
      <w:lvlText w:val="%3."/>
      <w:lvlJc w:val="right"/>
      <w:pPr>
        <w:ind w:left="3511" w:hanging="180"/>
      </w:pPr>
    </w:lvl>
    <w:lvl w:ilvl="3" w:tplc="3809000F">
      <w:start w:val="1"/>
      <w:numFmt w:val="decimal"/>
      <w:lvlText w:val="%4."/>
      <w:lvlJc w:val="left"/>
      <w:pPr>
        <w:ind w:left="4231" w:hanging="360"/>
      </w:pPr>
    </w:lvl>
    <w:lvl w:ilvl="4" w:tplc="38090019">
      <w:start w:val="1"/>
      <w:numFmt w:val="lowerLetter"/>
      <w:lvlText w:val="%5."/>
      <w:lvlJc w:val="left"/>
      <w:pPr>
        <w:ind w:left="4951" w:hanging="360"/>
      </w:pPr>
    </w:lvl>
    <w:lvl w:ilvl="5" w:tplc="3809001B">
      <w:start w:val="1"/>
      <w:numFmt w:val="lowerRoman"/>
      <w:lvlText w:val="%6."/>
      <w:lvlJc w:val="right"/>
      <w:pPr>
        <w:ind w:left="5671" w:hanging="180"/>
      </w:pPr>
    </w:lvl>
    <w:lvl w:ilvl="6" w:tplc="3809000F">
      <w:start w:val="1"/>
      <w:numFmt w:val="decimal"/>
      <w:lvlText w:val="%7."/>
      <w:lvlJc w:val="left"/>
      <w:pPr>
        <w:ind w:left="6391" w:hanging="360"/>
      </w:pPr>
    </w:lvl>
    <w:lvl w:ilvl="7" w:tplc="38090019">
      <w:start w:val="1"/>
      <w:numFmt w:val="lowerLetter"/>
      <w:lvlText w:val="%8."/>
      <w:lvlJc w:val="left"/>
      <w:pPr>
        <w:ind w:left="7111" w:hanging="360"/>
      </w:pPr>
    </w:lvl>
    <w:lvl w:ilvl="8" w:tplc="3809001B">
      <w:start w:val="1"/>
      <w:numFmt w:val="lowerRoman"/>
      <w:lvlText w:val="%9."/>
      <w:lvlJc w:val="right"/>
      <w:pPr>
        <w:ind w:left="7831" w:hanging="180"/>
      </w:pPr>
    </w:lvl>
  </w:abstractNum>
  <w:abstractNum w:abstractNumId="26" w15:restartNumberingAfterBreak="0">
    <w:nsid w:val="6A9D5FBF"/>
    <w:multiLevelType w:val="hybridMultilevel"/>
    <w:tmpl w:val="5A026BDA"/>
    <w:lvl w:ilvl="0" w:tplc="001C8A4E">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7" w15:restartNumberingAfterBreak="0">
    <w:nsid w:val="70210472"/>
    <w:multiLevelType w:val="hybridMultilevel"/>
    <w:tmpl w:val="90E87E1C"/>
    <w:lvl w:ilvl="0" w:tplc="3809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70F40255"/>
    <w:multiLevelType w:val="hybridMultilevel"/>
    <w:tmpl w:val="2768091E"/>
    <w:lvl w:ilvl="0" w:tplc="14E88B0C">
      <w:start w:val="1"/>
      <w:numFmt w:val="lowerLetter"/>
      <w:lvlText w:val="%1."/>
      <w:lvlJc w:val="left"/>
      <w:pPr>
        <w:ind w:left="3491" w:hanging="360"/>
      </w:pPr>
      <w:rPr>
        <w:rFonts w:ascii="Times New Roman" w:eastAsia="Times New Roman" w:hAnsi="Times New Roman" w:cs="Times New Roman" w:hint="default"/>
        <w:b w:val="0"/>
        <w:bCs w:val="0"/>
        <w:i w:val="0"/>
        <w:iCs w:val="0"/>
        <w:spacing w:val="-1"/>
        <w:w w:val="99"/>
        <w:sz w:val="24"/>
        <w:szCs w:val="24"/>
        <w:lang w:eastAsia="en-US" w:bidi="ar-SA"/>
      </w:rPr>
    </w:lvl>
    <w:lvl w:ilvl="1" w:tplc="B608F92A">
      <w:numFmt w:val="bullet"/>
      <w:lvlText w:val="•"/>
      <w:lvlJc w:val="left"/>
      <w:pPr>
        <w:ind w:left="4156" w:hanging="360"/>
      </w:pPr>
      <w:rPr>
        <w:lang w:eastAsia="en-US" w:bidi="ar-SA"/>
      </w:rPr>
    </w:lvl>
    <w:lvl w:ilvl="2" w:tplc="7890D0E6">
      <w:numFmt w:val="bullet"/>
      <w:lvlText w:val="•"/>
      <w:lvlJc w:val="left"/>
      <w:pPr>
        <w:ind w:left="4812" w:hanging="360"/>
      </w:pPr>
      <w:rPr>
        <w:lang w:eastAsia="en-US" w:bidi="ar-SA"/>
      </w:rPr>
    </w:lvl>
    <w:lvl w:ilvl="3" w:tplc="A28AFCF4">
      <w:numFmt w:val="bullet"/>
      <w:lvlText w:val="•"/>
      <w:lvlJc w:val="left"/>
      <w:pPr>
        <w:ind w:left="5469" w:hanging="360"/>
      </w:pPr>
      <w:rPr>
        <w:lang w:eastAsia="en-US" w:bidi="ar-SA"/>
      </w:rPr>
    </w:lvl>
    <w:lvl w:ilvl="4" w:tplc="C99A93FC">
      <w:numFmt w:val="bullet"/>
      <w:lvlText w:val="•"/>
      <w:lvlJc w:val="left"/>
      <w:pPr>
        <w:ind w:left="6125" w:hanging="360"/>
      </w:pPr>
      <w:rPr>
        <w:lang w:eastAsia="en-US" w:bidi="ar-SA"/>
      </w:rPr>
    </w:lvl>
    <w:lvl w:ilvl="5" w:tplc="921257C6">
      <w:numFmt w:val="bullet"/>
      <w:lvlText w:val="•"/>
      <w:lvlJc w:val="left"/>
      <w:pPr>
        <w:ind w:left="6781" w:hanging="360"/>
      </w:pPr>
      <w:rPr>
        <w:lang w:eastAsia="en-US" w:bidi="ar-SA"/>
      </w:rPr>
    </w:lvl>
    <w:lvl w:ilvl="6" w:tplc="E2043C8A">
      <w:numFmt w:val="bullet"/>
      <w:lvlText w:val="•"/>
      <w:lvlJc w:val="left"/>
      <w:pPr>
        <w:ind w:left="7438" w:hanging="360"/>
      </w:pPr>
      <w:rPr>
        <w:lang w:eastAsia="en-US" w:bidi="ar-SA"/>
      </w:rPr>
    </w:lvl>
    <w:lvl w:ilvl="7" w:tplc="F5B47F5C">
      <w:numFmt w:val="bullet"/>
      <w:lvlText w:val="•"/>
      <w:lvlJc w:val="left"/>
      <w:pPr>
        <w:ind w:left="8094" w:hanging="360"/>
      </w:pPr>
      <w:rPr>
        <w:lang w:eastAsia="en-US" w:bidi="ar-SA"/>
      </w:rPr>
    </w:lvl>
    <w:lvl w:ilvl="8" w:tplc="855A579C">
      <w:numFmt w:val="bullet"/>
      <w:lvlText w:val="•"/>
      <w:lvlJc w:val="left"/>
      <w:pPr>
        <w:ind w:left="8750" w:hanging="360"/>
      </w:pPr>
      <w:rPr>
        <w:lang w:eastAsia="en-US" w:bidi="ar-SA"/>
      </w:rPr>
    </w:lvl>
  </w:abstractNum>
  <w:abstractNum w:abstractNumId="29" w15:restartNumberingAfterBreak="0">
    <w:nsid w:val="777761C1"/>
    <w:multiLevelType w:val="hybridMultilevel"/>
    <w:tmpl w:val="7346C9D4"/>
    <w:lvl w:ilvl="0" w:tplc="BE66CA2C">
      <w:start w:val="1"/>
      <w:numFmt w:val="decimal"/>
      <w:lvlText w:val="(%1)"/>
      <w:lvlJc w:val="left"/>
      <w:pPr>
        <w:ind w:left="1353" w:hanging="360"/>
      </w:pPr>
      <w:rPr>
        <w:rFonts w:ascii="Calibri" w:hAnsi="Calibri" w:cs="Calibri" w:hint="default"/>
        <w:sz w:val="22"/>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num w:numId="1">
    <w:abstractNumId w:val="13"/>
  </w:num>
  <w:num w:numId="2">
    <w:abstractNumId w:val="15"/>
  </w:num>
  <w:num w:numId="3">
    <w:abstractNumId w:val="2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23"/>
  </w:num>
  <w:num w:numId="25">
    <w:abstractNumId w:val="26"/>
  </w:num>
  <w:num w:numId="26">
    <w:abstractNumId w:val="16"/>
  </w:num>
  <w:num w:numId="27">
    <w:abstractNumId w:val="2"/>
  </w:num>
  <w:num w:numId="28">
    <w:abstractNumId w:val="1"/>
  </w:num>
  <w:num w:numId="29">
    <w:abstractNumId w:val="24"/>
  </w:num>
  <w:num w:numId="30">
    <w:abstractNumId w:val="21"/>
  </w:num>
  <w:num w:numId="31">
    <w:abstractNumId w:val="1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B5"/>
    <w:rsid w:val="00197BB9"/>
    <w:rsid w:val="00241168"/>
    <w:rsid w:val="002F768E"/>
    <w:rsid w:val="00323F80"/>
    <w:rsid w:val="003B30B5"/>
    <w:rsid w:val="00530F10"/>
    <w:rsid w:val="0068332B"/>
    <w:rsid w:val="007F11E5"/>
    <w:rsid w:val="0080344A"/>
    <w:rsid w:val="00937693"/>
    <w:rsid w:val="00A70972"/>
    <w:rsid w:val="00BB02C4"/>
    <w:rsid w:val="00C35C6B"/>
    <w:rsid w:val="00C84875"/>
    <w:rsid w:val="00D64B8F"/>
    <w:rsid w:val="00EE7AA9"/>
    <w:rsid w:val="00F257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42F8"/>
  <w15:chartTrackingRefBased/>
  <w15:docId w15:val="{46B5594C-6F55-43AE-A942-B089033B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0B5"/>
    <w:pPr>
      <w:spacing w:after="200" w:line="276" w:lineRule="auto"/>
      <w:jc w:val="both"/>
    </w:pPr>
    <w:rPr>
      <w:rFonts w:ascii="Times New Roman" w:eastAsia="Calibri" w:hAnsi="Times New Roman" w:cs="Calibri"/>
      <w:sz w:val="24"/>
      <w:lang w:val="en-US" w:eastAsia="en-ID"/>
    </w:rPr>
  </w:style>
  <w:style w:type="paragraph" w:styleId="Heading1">
    <w:name w:val="heading 1"/>
    <w:basedOn w:val="Normal"/>
    <w:next w:val="Normal"/>
    <w:link w:val="Heading1Char"/>
    <w:autoRedefine/>
    <w:uiPriority w:val="9"/>
    <w:qFormat/>
    <w:rsid w:val="00EE7AA9"/>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EE7AA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23F80"/>
    <w:pPr>
      <w:keepNext/>
      <w:keepLines/>
      <w:numPr>
        <w:numId w:val="2"/>
      </w:numPr>
      <w:spacing w:before="40" w:after="0"/>
      <w:ind w:hanging="360"/>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link w:val="Heading6Char"/>
    <w:uiPriority w:val="9"/>
    <w:qFormat/>
    <w:rsid w:val="003B30B5"/>
    <w:pPr>
      <w:spacing w:before="100" w:beforeAutospacing="1" w:after="100" w:afterAutospacing="1" w:line="240" w:lineRule="auto"/>
      <w:jc w:val="left"/>
      <w:outlineLvl w:val="5"/>
    </w:pPr>
    <w:rPr>
      <w:rFonts w:eastAsia="Times New Roman" w:cs="Times New Roman"/>
      <w:b/>
      <w:bCs/>
      <w:sz w:val="15"/>
      <w:szCs w:val="15"/>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23F8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EE7AA9"/>
    <w:rPr>
      <w:rFonts w:ascii="Times New Roman" w:eastAsiaTheme="majorEastAsia" w:hAnsi="Times New Roman" w:cstheme="majorBidi"/>
      <w:b/>
      <w:color w:val="0D0D0D" w:themeColor="text1" w:themeTint="F2"/>
      <w:sz w:val="24"/>
      <w:szCs w:val="32"/>
    </w:rPr>
  </w:style>
  <w:style w:type="character" w:customStyle="1" w:styleId="Heading2Char">
    <w:name w:val="Heading 2 Char"/>
    <w:basedOn w:val="DefaultParagraphFont"/>
    <w:link w:val="Heading2"/>
    <w:uiPriority w:val="9"/>
    <w:rsid w:val="00EE7AA9"/>
    <w:rPr>
      <w:rFonts w:ascii="Times New Roman" w:eastAsiaTheme="majorEastAsia" w:hAnsi="Times New Roman" w:cstheme="majorBidi"/>
      <w:b/>
      <w:color w:val="0D0D0D" w:themeColor="text1" w:themeTint="F2"/>
      <w:sz w:val="24"/>
      <w:szCs w:val="26"/>
    </w:rPr>
  </w:style>
  <w:style w:type="paragraph" w:styleId="NormalWeb">
    <w:name w:val="Normal (Web)"/>
    <w:basedOn w:val="Normal"/>
    <w:uiPriority w:val="99"/>
    <w:unhideWhenUsed/>
    <w:rsid w:val="003B30B5"/>
    <w:pPr>
      <w:spacing w:before="100" w:beforeAutospacing="1" w:after="100" w:afterAutospacing="1" w:line="240" w:lineRule="auto"/>
      <w:jc w:val="left"/>
    </w:pPr>
    <w:rPr>
      <w:rFonts w:eastAsia="Times New Roman" w:cs="Times New Roman"/>
      <w:szCs w:val="24"/>
      <w:lang w:val="en-ID"/>
    </w:rPr>
  </w:style>
  <w:style w:type="character" w:styleId="Emphasis">
    <w:name w:val="Emphasis"/>
    <w:basedOn w:val="DefaultParagraphFont"/>
    <w:uiPriority w:val="20"/>
    <w:qFormat/>
    <w:rsid w:val="003B30B5"/>
    <w:rPr>
      <w:i/>
      <w:iCs/>
    </w:rPr>
  </w:style>
  <w:style w:type="character" w:customStyle="1" w:styleId="Heading6Char">
    <w:name w:val="Heading 6 Char"/>
    <w:basedOn w:val="DefaultParagraphFont"/>
    <w:link w:val="Heading6"/>
    <w:uiPriority w:val="9"/>
    <w:rsid w:val="003B30B5"/>
    <w:rPr>
      <w:rFonts w:ascii="Times New Roman" w:eastAsia="Times New Roman" w:hAnsi="Times New Roman" w:cs="Times New Roman"/>
      <w:b/>
      <w:bCs/>
      <w:sz w:val="15"/>
      <w:szCs w:val="15"/>
      <w:lang w:eastAsia="en-ID"/>
    </w:rPr>
  </w:style>
  <w:style w:type="character" w:styleId="Strong">
    <w:name w:val="Strong"/>
    <w:basedOn w:val="DefaultParagraphFont"/>
    <w:uiPriority w:val="22"/>
    <w:qFormat/>
    <w:rsid w:val="003B30B5"/>
    <w:rPr>
      <w:b/>
      <w:bCs/>
    </w:rPr>
  </w:style>
  <w:style w:type="paragraph" w:styleId="ListParagraph">
    <w:name w:val="List Paragraph"/>
    <w:basedOn w:val="Normal"/>
    <w:uiPriority w:val="34"/>
    <w:qFormat/>
    <w:rsid w:val="003B30B5"/>
    <w:pPr>
      <w:ind w:left="720"/>
      <w:contextualSpacing/>
    </w:pPr>
  </w:style>
  <w:style w:type="paragraph" w:styleId="FootnoteText">
    <w:name w:val="footnote text"/>
    <w:basedOn w:val="Normal"/>
    <w:link w:val="FootnoteTextChar"/>
    <w:uiPriority w:val="99"/>
    <w:semiHidden/>
    <w:unhideWhenUsed/>
    <w:rsid w:val="003B30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0B5"/>
    <w:rPr>
      <w:rFonts w:ascii="Times New Roman" w:eastAsia="Calibri" w:hAnsi="Times New Roman" w:cs="Calibri"/>
      <w:sz w:val="20"/>
      <w:szCs w:val="20"/>
      <w:lang w:val="en-US" w:eastAsia="en-ID"/>
    </w:rPr>
  </w:style>
  <w:style w:type="character" w:styleId="FootnoteReference">
    <w:name w:val="footnote reference"/>
    <w:basedOn w:val="DefaultParagraphFont"/>
    <w:uiPriority w:val="99"/>
    <w:semiHidden/>
    <w:unhideWhenUsed/>
    <w:rsid w:val="003B30B5"/>
    <w:rPr>
      <w:vertAlign w:val="superscript"/>
    </w:rPr>
  </w:style>
  <w:style w:type="paragraph" w:styleId="BodyText">
    <w:name w:val="Body Text"/>
    <w:basedOn w:val="Normal"/>
    <w:link w:val="BodyTextChar"/>
    <w:uiPriority w:val="1"/>
    <w:unhideWhenUsed/>
    <w:qFormat/>
    <w:rsid w:val="00BB02C4"/>
    <w:pPr>
      <w:widowControl w:val="0"/>
      <w:autoSpaceDE w:val="0"/>
      <w:autoSpaceDN w:val="0"/>
      <w:spacing w:after="0" w:line="240" w:lineRule="auto"/>
      <w:ind w:left="1908"/>
    </w:pPr>
    <w:rPr>
      <w:rFonts w:eastAsia="Times New Roman" w:cs="Times New Roman"/>
      <w:szCs w:val="24"/>
      <w:lang w:val="en-ID" w:eastAsia="en-US"/>
    </w:rPr>
  </w:style>
  <w:style w:type="character" w:customStyle="1" w:styleId="BodyTextChar">
    <w:name w:val="Body Text Char"/>
    <w:basedOn w:val="DefaultParagraphFont"/>
    <w:link w:val="BodyText"/>
    <w:uiPriority w:val="1"/>
    <w:rsid w:val="00BB02C4"/>
    <w:rPr>
      <w:rFonts w:ascii="Times New Roman" w:eastAsia="Times New Roman" w:hAnsi="Times New Roman" w:cs="Times New Roman"/>
      <w:sz w:val="24"/>
      <w:szCs w:val="24"/>
    </w:rPr>
  </w:style>
  <w:style w:type="character" w:customStyle="1" w:styleId="fadeinm1hgl8">
    <w:name w:val="_fadein_m1hgl_8"/>
    <w:basedOn w:val="DefaultParagraphFont"/>
    <w:rsid w:val="00197BB9"/>
  </w:style>
  <w:style w:type="character" w:styleId="Hyperlink">
    <w:name w:val="Hyperlink"/>
    <w:basedOn w:val="DefaultParagraphFont"/>
    <w:uiPriority w:val="99"/>
    <w:unhideWhenUsed/>
    <w:rsid w:val="0068332B"/>
    <w:rPr>
      <w:color w:val="0000FF"/>
      <w:u w:val="single"/>
    </w:rPr>
  </w:style>
  <w:style w:type="character" w:styleId="UnresolvedMention">
    <w:name w:val="Unresolved Mention"/>
    <w:basedOn w:val="DefaultParagraphFont"/>
    <w:uiPriority w:val="99"/>
    <w:semiHidden/>
    <w:unhideWhenUsed/>
    <w:rsid w:val="00683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8193">
      <w:bodyDiv w:val="1"/>
      <w:marLeft w:val="0"/>
      <w:marRight w:val="0"/>
      <w:marTop w:val="0"/>
      <w:marBottom w:val="0"/>
      <w:divBdr>
        <w:top w:val="none" w:sz="0" w:space="0" w:color="auto"/>
        <w:left w:val="none" w:sz="0" w:space="0" w:color="auto"/>
        <w:bottom w:val="none" w:sz="0" w:space="0" w:color="auto"/>
        <w:right w:val="none" w:sz="0" w:space="0" w:color="auto"/>
      </w:divBdr>
    </w:div>
    <w:div w:id="91169907">
      <w:bodyDiv w:val="1"/>
      <w:marLeft w:val="0"/>
      <w:marRight w:val="0"/>
      <w:marTop w:val="0"/>
      <w:marBottom w:val="0"/>
      <w:divBdr>
        <w:top w:val="none" w:sz="0" w:space="0" w:color="auto"/>
        <w:left w:val="none" w:sz="0" w:space="0" w:color="auto"/>
        <w:bottom w:val="none" w:sz="0" w:space="0" w:color="auto"/>
        <w:right w:val="none" w:sz="0" w:space="0" w:color="auto"/>
      </w:divBdr>
      <w:divsChild>
        <w:div w:id="352921613">
          <w:marLeft w:val="0"/>
          <w:marRight w:val="0"/>
          <w:marTop w:val="0"/>
          <w:marBottom w:val="0"/>
          <w:divBdr>
            <w:top w:val="none" w:sz="0" w:space="0" w:color="auto"/>
            <w:left w:val="none" w:sz="0" w:space="0" w:color="auto"/>
            <w:bottom w:val="none" w:sz="0" w:space="0" w:color="auto"/>
            <w:right w:val="none" w:sz="0" w:space="0" w:color="auto"/>
          </w:divBdr>
          <w:divsChild>
            <w:div w:id="473374980">
              <w:marLeft w:val="0"/>
              <w:marRight w:val="0"/>
              <w:marTop w:val="0"/>
              <w:marBottom w:val="0"/>
              <w:divBdr>
                <w:top w:val="none" w:sz="0" w:space="0" w:color="auto"/>
                <w:left w:val="none" w:sz="0" w:space="0" w:color="auto"/>
                <w:bottom w:val="none" w:sz="0" w:space="0" w:color="auto"/>
                <w:right w:val="none" w:sz="0" w:space="0" w:color="auto"/>
              </w:divBdr>
              <w:divsChild>
                <w:div w:id="754135057">
                  <w:marLeft w:val="0"/>
                  <w:marRight w:val="0"/>
                  <w:marTop w:val="0"/>
                  <w:marBottom w:val="0"/>
                  <w:divBdr>
                    <w:top w:val="none" w:sz="0" w:space="0" w:color="auto"/>
                    <w:left w:val="none" w:sz="0" w:space="0" w:color="auto"/>
                    <w:bottom w:val="none" w:sz="0" w:space="0" w:color="auto"/>
                    <w:right w:val="none" w:sz="0" w:space="0" w:color="auto"/>
                  </w:divBdr>
                  <w:divsChild>
                    <w:div w:id="1692951670">
                      <w:marLeft w:val="0"/>
                      <w:marRight w:val="0"/>
                      <w:marTop w:val="0"/>
                      <w:marBottom w:val="0"/>
                      <w:divBdr>
                        <w:top w:val="none" w:sz="0" w:space="0" w:color="auto"/>
                        <w:left w:val="none" w:sz="0" w:space="0" w:color="auto"/>
                        <w:bottom w:val="none" w:sz="0" w:space="0" w:color="auto"/>
                        <w:right w:val="none" w:sz="0" w:space="0" w:color="auto"/>
                      </w:divBdr>
                      <w:divsChild>
                        <w:div w:id="641160914">
                          <w:marLeft w:val="0"/>
                          <w:marRight w:val="0"/>
                          <w:marTop w:val="0"/>
                          <w:marBottom w:val="0"/>
                          <w:divBdr>
                            <w:top w:val="none" w:sz="0" w:space="0" w:color="auto"/>
                            <w:left w:val="none" w:sz="0" w:space="0" w:color="auto"/>
                            <w:bottom w:val="none" w:sz="0" w:space="0" w:color="auto"/>
                            <w:right w:val="none" w:sz="0" w:space="0" w:color="auto"/>
                          </w:divBdr>
                          <w:divsChild>
                            <w:div w:id="2005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53841">
      <w:bodyDiv w:val="1"/>
      <w:marLeft w:val="0"/>
      <w:marRight w:val="0"/>
      <w:marTop w:val="0"/>
      <w:marBottom w:val="0"/>
      <w:divBdr>
        <w:top w:val="none" w:sz="0" w:space="0" w:color="auto"/>
        <w:left w:val="none" w:sz="0" w:space="0" w:color="auto"/>
        <w:bottom w:val="none" w:sz="0" w:space="0" w:color="auto"/>
        <w:right w:val="none" w:sz="0" w:space="0" w:color="auto"/>
      </w:divBdr>
    </w:div>
    <w:div w:id="195195699">
      <w:bodyDiv w:val="1"/>
      <w:marLeft w:val="0"/>
      <w:marRight w:val="0"/>
      <w:marTop w:val="0"/>
      <w:marBottom w:val="0"/>
      <w:divBdr>
        <w:top w:val="none" w:sz="0" w:space="0" w:color="auto"/>
        <w:left w:val="none" w:sz="0" w:space="0" w:color="auto"/>
        <w:bottom w:val="none" w:sz="0" w:space="0" w:color="auto"/>
        <w:right w:val="none" w:sz="0" w:space="0" w:color="auto"/>
      </w:divBdr>
    </w:div>
    <w:div w:id="208500269">
      <w:bodyDiv w:val="1"/>
      <w:marLeft w:val="0"/>
      <w:marRight w:val="0"/>
      <w:marTop w:val="0"/>
      <w:marBottom w:val="0"/>
      <w:divBdr>
        <w:top w:val="none" w:sz="0" w:space="0" w:color="auto"/>
        <w:left w:val="none" w:sz="0" w:space="0" w:color="auto"/>
        <w:bottom w:val="none" w:sz="0" w:space="0" w:color="auto"/>
        <w:right w:val="none" w:sz="0" w:space="0" w:color="auto"/>
      </w:divBdr>
    </w:div>
    <w:div w:id="435367678">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11997537">
      <w:bodyDiv w:val="1"/>
      <w:marLeft w:val="0"/>
      <w:marRight w:val="0"/>
      <w:marTop w:val="0"/>
      <w:marBottom w:val="0"/>
      <w:divBdr>
        <w:top w:val="none" w:sz="0" w:space="0" w:color="auto"/>
        <w:left w:val="none" w:sz="0" w:space="0" w:color="auto"/>
        <w:bottom w:val="none" w:sz="0" w:space="0" w:color="auto"/>
        <w:right w:val="none" w:sz="0" w:space="0" w:color="auto"/>
      </w:divBdr>
    </w:div>
    <w:div w:id="593781081">
      <w:bodyDiv w:val="1"/>
      <w:marLeft w:val="0"/>
      <w:marRight w:val="0"/>
      <w:marTop w:val="0"/>
      <w:marBottom w:val="0"/>
      <w:divBdr>
        <w:top w:val="none" w:sz="0" w:space="0" w:color="auto"/>
        <w:left w:val="none" w:sz="0" w:space="0" w:color="auto"/>
        <w:bottom w:val="none" w:sz="0" w:space="0" w:color="auto"/>
        <w:right w:val="none" w:sz="0" w:space="0" w:color="auto"/>
      </w:divBdr>
    </w:div>
    <w:div w:id="607272817">
      <w:bodyDiv w:val="1"/>
      <w:marLeft w:val="0"/>
      <w:marRight w:val="0"/>
      <w:marTop w:val="0"/>
      <w:marBottom w:val="0"/>
      <w:divBdr>
        <w:top w:val="none" w:sz="0" w:space="0" w:color="auto"/>
        <w:left w:val="none" w:sz="0" w:space="0" w:color="auto"/>
        <w:bottom w:val="none" w:sz="0" w:space="0" w:color="auto"/>
        <w:right w:val="none" w:sz="0" w:space="0" w:color="auto"/>
      </w:divBdr>
    </w:div>
    <w:div w:id="727190043">
      <w:bodyDiv w:val="1"/>
      <w:marLeft w:val="0"/>
      <w:marRight w:val="0"/>
      <w:marTop w:val="0"/>
      <w:marBottom w:val="0"/>
      <w:divBdr>
        <w:top w:val="none" w:sz="0" w:space="0" w:color="auto"/>
        <w:left w:val="none" w:sz="0" w:space="0" w:color="auto"/>
        <w:bottom w:val="none" w:sz="0" w:space="0" w:color="auto"/>
        <w:right w:val="none" w:sz="0" w:space="0" w:color="auto"/>
      </w:divBdr>
    </w:div>
    <w:div w:id="915669672">
      <w:bodyDiv w:val="1"/>
      <w:marLeft w:val="0"/>
      <w:marRight w:val="0"/>
      <w:marTop w:val="0"/>
      <w:marBottom w:val="0"/>
      <w:divBdr>
        <w:top w:val="none" w:sz="0" w:space="0" w:color="auto"/>
        <w:left w:val="none" w:sz="0" w:space="0" w:color="auto"/>
        <w:bottom w:val="none" w:sz="0" w:space="0" w:color="auto"/>
        <w:right w:val="none" w:sz="0" w:space="0" w:color="auto"/>
      </w:divBdr>
    </w:div>
    <w:div w:id="1007052148">
      <w:bodyDiv w:val="1"/>
      <w:marLeft w:val="0"/>
      <w:marRight w:val="0"/>
      <w:marTop w:val="0"/>
      <w:marBottom w:val="0"/>
      <w:divBdr>
        <w:top w:val="none" w:sz="0" w:space="0" w:color="auto"/>
        <w:left w:val="none" w:sz="0" w:space="0" w:color="auto"/>
        <w:bottom w:val="none" w:sz="0" w:space="0" w:color="auto"/>
        <w:right w:val="none" w:sz="0" w:space="0" w:color="auto"/>
      </w:divBdr>
    </w:div>
    <w:div w:id="1203324703">
      <w:bodyDiv w:val="1"/>
      <w:marLeft w:val="0"/>
      <w:marRight w:val="0"/>
      <w:marTop w:val="0"/>
      <w:marBottom w:val="0"/>
      <w:divBdr>
        <w:top w:val="none" w:sz="0" w:space="0" w:color="auto"/>
        <w:left w:val="none" w:sz="0" w:space="0" w:color="auto"/>
        <w:bottom w:val="none" w:sz="0" w:space="0" w:color="auto"/>
        <w:right w:val="none" w:sz="0" w:space="0" w:color="auto"/>
      </w:divBdr>
    </w:div>
    <w:div w:id="1272936203">
      <w:bodyDiv w:val="1"/>
      <w:marLeft w:val="0"/>
      <w:marRight w:val="0"/>
      <w:marTop w:val="0"/>
      <w:marBottom w:val="0"/>
      <w:divBdr>
        <w:top w:val="none" w:sz="0" w:space="0" w:color="auto"/>
        <w:left w:val="none" w:sz="0" w:space="0" w:color="auto"/>
        <w:bottom w:val="none" w:sz="0" w:space="0" w:color="auto"/>
        <w:right w:val="none" w:sz="0" w:space="0" w:color="auto"/>
      </w:divBdr>
    </w:div>
    <w:div w:id="1330014487">
      <w:bodyDiv w:val="1"/>
      <w:marLeft w:val="0"/>
      <w:marRight w:val="0"/>
      <w:marTop w:val="0"/>
      <w:marBottom w:val="0"/>
      <w:divBdr>
        <w:top w:val="none" w:sz="0" w:space="0" w:color="auto"/>
        <w:left w:val="none" w:sz="0" w:space="0" w:color="auto"/>
        <w:bottom w:val="none" w:sz="0" w:space="0" w:color="auto"/>
        <w:right w:val="none" w:sz="0" w:space="0" w:color="auto"/>
      </w:divBdr>
      <w:divsChild>
        <w:div w:id="1342973696">
          <w:marLeft w:val="0"/>
          <w:marRight w:val="0"/>
          <w:marTop w:val="0"/>
          <w:marBottom w:val="0"/>
          <w:divBdr>
            <w:top w:val="none" w:sz="0" w:space="0" w:color="auto"/>
            <w:left w:val="none" w:sz="0" w:space="0" w:color="auto"/>
            <w:bottom w:val="none" w:sz="0" w:space="0" w:color="auto"/>
            <w:right w:val="none" w:sz="0" w:space="0" w:color="auto"/>
          </w:divBdr>
          <w:divsChild>
            <w:div w:id="629554122">
              <w:marLeft w:val="0"/>
              <w:marRight w:val="0"/>
              <w:marTop w:val="0"/>
              <w:marBottom w:val="0"/>
              <w:divBdr>
                <w:top w:val="none" w:sz="0" w:space="0" w:color="auto"/>
                <w:left w:val="none" w:sz="0" w:space="0" w:color="auto"/>
                <w:bottom w:val="none" w:sz="0" w:space="0" w:color="auto"/>
                <w:right w:val="none" w:sz="0" w:space="0" w:color="auto"/>
              </w:divBdr>
              <w:divsChild>
                <w:div w:id="257099564">
                  <w:marLeft w:val="0"/>
                  <w:marRight w:val="0"/>
                  <w:marTop w:val="0"/>
                  <w:marBottom w:val="0"/>
                  <w:divBdr>
                    <w:top w:val="none" w:sz="0" w:space="0" w:color="auto"/>
                    <w:left w:val="none" w:sz="0" w:space="0" w:color="auto"/>
                    <w:bottom w:val="none" w:sz="0" w:space="0" w:color="auto"/>
                    <w:right w:val="none" w:sz="0" w:space="0" w:color="auto"/>
                  </w:divBdr>
                  <w:divsChild>
                    <w:div w:id="1876574216">
                      <w:marLeft w:val="0"/>
                      <w:marRight w:val="0"/>
                      <w:marTop w:val="0"/>
                      <w:marBottom w:val="0"/>
                      <w:divBdr>
                        <w:top w:val="none" w:sz="0" w:space="0" w:color="auto"/>
                        <w:left w:val="none" w:sz="0" w:space="0" w:color="auto"/>
                        <w:bottom w:val="none" w:sz="0" w:space="0" w:color="auto"/>
                        <w:right w:val="none" w:sz="0" w:space="0" w:color="auto"/>
                      </w:divBdr>
                      <w:divsChild>
                        <w:div w:id="1326711447">
                          <w:marLeft w:val="0"/>
                          <w:marRight w:val="0"/>
                          <w:marTop w:val="0"/>
                          <w:marBottom w:val="0"/>
                          <w:divBdr>
                            <w:top w:val="none" w:sz="0" w:space="0" w:color="auto"/>
                            <w:left w:val="none" w:sz="0" w:space="0" w:color="auto"/>
                            <w:bottom w:val="none" w:sz="0" w:space="0" w:color="auto"/>
                            <w:right w:val="none" w:sz="0" w:space="0" w:color="auto"/>
                          </w:divBdr>
                          <w:divsChild>
                            <w:div w:id="1329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810159">
      <w:bodyDiv w:val="1"/>
      <w:marLeft w:val="0"/>
      <w:marRight w:val="0"/>
      <w:marTop w:val="0"/>
      <w:marBottom w:val="0"/>
      <w:divBdr>
        <w:top w:val="none" w:sz="0" w:space="0" w:color="auto"/>
        <w:left w:val="none" w:sz="0" w:space="0" w:color="auto"/>
        <w:bottom w:val="none" w:sz="0" w:space="0" w:color="auto"/>
        <w:right w:val="none" w:sz="0" w:space="0" w:color="auto"/>
      </w:divBdr>
    </w:div>
    <w:div w:id="1396926249">
      <w:bodyDiv w:val="1"/>
      <w:marLeft w:val="0"/>
      <w:marRight w:val="0"/>
      <w:marTop w:val="0"/>
      <w:marBottom w:val="0"/>
      <w:divBdr>
        <w:top w:val="none" w:sz="0" w:space="0" w:color="auto"/>
        <w:left w:val="none" w:sz="0" w:space="0" w:color="auto"/>
        <w:bottom w:val="none" w:sz="0" w:space="0" w:color="auto"/>
        <w:right w:val="none" w:sz="0" w:space="0" w:color="auto"/>
      </w:divBdr>
    </w:div>
    <w:div w:id="1504970919">
      <w:bodyDiv w:val="1"/>
      <w:marLeft w:val="0"/>
      <w:marRight w:val="0"/>
      <w:marTop w:val="0"/>
      <w:marBottom w:val="0"/>
      <w:divBdr>
        <w:top w:val="none" w:sz="0" w:space="0" w:color="auto"/>
        <w:left w:val="none" w:sz="0" w:space="0" w:color="auto"/>
        <w:bottom w:val="none" w:sz="0" w:space="0" w:color="auto"/>
        <w:right w:val="none" w:sz="0" w:space="0" w:color="auto"/>
      </w:divBdr>
    </w:div>
    <w:div w:id="1561751116">
      <w:bodyDiv w:val="1"/>
      <w:marLeft w:val="0"/>
      <w:marRight w:val="0"/>
      <w:marTop w:val="0"/>
      <w:marBottom w:val="0"/>
      <w:divBdr>
        <w:top w:val="none" w:sz="0" w:space="0" w:color="auto"/>
        <w:left w:val="none" w:sz="0" w:space="0" w:color="auto"/>
        <w:bottom w:val="none" w:sz="0" w:space="0" w:color="auto"/>
        <w:right w:val="none" w:sz="0" w:space="0" w:color="auto"/>
      </w:divBdr>
    </w:div>
    <w:div w:id="1649823298">
      <w:bodyDiv w:val="1"/>
      <w:marLeft w:val="0"/>
      <w:marRight w:val="0"/>
      <w:marTop w:val="0"/>
      <w:marBottom w:val="0"/>
      <w:divBdr>
        <w:top w:val="none" w:sz="0" w:space="0" w:color="auto"/>
        <w:left w:val="none" w:sz="0" w:space="0" w:color="auto"/>
        <w:bottom w:val="none" w:sz="0" w:space="0" w:color="auto"/>
        <w:right w:val="none" w:sz="0" w:space="0" w:color="auto"/>
      </w:divBdr>
    </w:div>
    <w:div w:id="1818574779">
      <w:bodyDiv w:val="1"/>
      <w:marLeft w:val="0"/>
      <w:marRight w:val="0"/>
      <w:marTop w:val="0"/>
      <w:marBottom w:val="0"/>
      <w:divBdr>
        <w:top w:val="none" w:sz="0" w:space="0" w:color="auto"/>
        <w:left w:val="none" w:sz="0" w:space="0" w:color="auto"/>
        <w:bottom w:val="none" w:sz="0" w:space="0" w:color="auto"/>
        <w:right w:val="none" w:sz="0" w:space="0" w:color="auto"/>
      </w:divBdr>
    </w:div>
    <w:div w:id="1945922157">
      <w:bodyDiv w:val="1"/>
      <w:marLeft w:val="0"/>
      <w:marRight w:val="0"/>
      <w:marTop w:val="0"/>
      <w:marBottom w:val="0"/>
      <w:divBdr>
        <w:top w:val="none" w:sz="0" w:space="0" w:color="auto"/>
        <w:left w:val="none" w:sz="0" w:space="0" w:color="auto"/>
        <w:bottom w:val="none" w:sz="0" w:space="0" w:color="auto"/>
        <w:right w:val="none" w:sz="0" w:space="0" w:color="auto"/>
      </w:divBdr>
    </w:div>
    <w:div w:id="1975795013">
      <w:bodyDiv w:val="1"/>
      <w:marLeft w:val="0"/>
      <w:marRight w:val="0"/>
      <w:marTop w:val="0"/>
      <w:marBottom w:val="0"/>
      <w:divBdr>
        <w:top w:val="none" w:sz="0" w:space="0" w:color="auto"/>
        <w:left w:val="none" w:sz="0" w:space="0" w:color="auto"/>
        <w:bottom w:val="none" w:sz="0" w:space="0" w:color="auto"/>
        <w:right w:val="none" w:sz="0" w:space="0" w:color="auto"/>
      </w:divBdr>
    </w:div>
    <w:div w:id="1997369492">
      <w:bodyDiv w:val="1"/>
      <w:marLeft w:val="0"/>
      <w:marRight w:val="0"/>
      <w:marTop w:val="0"/>
      <w:marBottom w:val="0"/>
      <w:divBdr>
        <w:top w:val="none" w:sz="0" w:space="0" w:color="auto"/>
        <w:left w:val="none" w:sz="0" w:space="0" w:color="auto"/>
        <w:bottom w:val="none" w:sz="0" w:space="0" w:color="auto"/>
        <w:right w:val="none" w:sz="0" w:space="0" w:color="auto"/>
      </w:divBdr>
    </w:div>
    <w:div w:id="213840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ejurnal.untag-smd.ac.id/index.php/LG/article/view/3382/3293" TargetMode="External"/><Relationship Id="rId18" Type="http://schemas.openxmlformats.org/officeDocument/2006/relationships/hyperlink" Target="https://repo.jayabaya.ac.id/42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00181-023-02549-w" TargetMode="External"/><Relationship Id="rId17" Type="http://schemas.openxmlformats.org/officeDocument/2006/relationships/hyperlink" Target="https://repository.unissula.ac.id/18475/" TargetMode="External"/><Relationship Id="rId2" Type="http://schemas.openxmlformats.org/officeDocument/2006/relationships/numbering" Target="numbering.xml"/><Relationship Id="rId16" Type="http://schemas.openxmlformats.org/officeDocument/2006/relationships/hyperlink" Target="https://repository.unissula.ac.id/309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927/eajmr.v1i3.280" TargetMode="External"/><Relationship Id="rId5" Type="http://schemas.openxmlformats.org/officeDocument/2006/relationships/webSettings" Target="webSettings.xml"/><Relationship Id="rId15" Type="http://schemas.openxmlformats.org/officeDocument/2006/relationships/hyperlink" Target="https://doi.org/10.23920/jbmh.v7i1.948" TargetMode="External"/><Relationship Id="rId10" Type="http://schemas.openxmlformats.org/officeDocument/2006/relationships/hyperlink" Target="https://doi.org/10.21070/ijler.v15i0.76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5294/jils.v8i1.67866" TargetMode="External"/><Relationship Id="rId14" Type="http://schemas.openxmlformats.org/officeDocument/2006/relationships/hyperlink" Target="https://scholarhub.ui.ac.id/iclr/vol1/is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79EA9-0F61-46E9-81D8-4FC57E79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6535</Words>
  <Characters>37251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 640 G2</dc:creator>
  <cp:keywords/>
  <dc:description/>
  <cp:lastModifiedBy>HP ProBook 640 G2</cp:lastModifiedBy>
  <cp:revision>1</cp:revision>
  <dcterms:created xsi:type="dcterms:W3CDTF">2025-09-28T05:07:00Z</dcterms:created>
  <dcterms:modified xsi:type="dcterms:W3CDTF">2025-09-28T06:58:00Z</dcterms:modified>
</cp:coreProperties>
</file>