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DE643" w14:textId="06C24B3B" w:rsidR="00EB51FC" w:rsidRPr="00A877A0" w:rsidRDefault="00A877A0" w:rsidP="00EB51FC">
      <w:pPr>
        <w:pStyle w:val="Els-Title"/>
        <w:rPr>
          <w:szCs w:val="34"/>
          <w:lang w:val="id-ID"/>
        </w:rPr>
      </w:pPr>
      <w:r w:rsidRPr="00A877A0">
        <w:rPr>
          <w:szCs w:val="34"/>
        </w:rPr>
        <w:t xml:space="preserve">Strengthening Green Loyalty: How Green Marketing, Green Perceived Value, and Environmental Concern Drive Green Satisfaction—A Study of Uniqlo’s Consumer in Bandung </w:t>
      </w:r>
      <w:r w:rsidR="008E4889">
        <w:rPr>
          <w:szCs w:val="34"/>
        </w:rPr>
        <w:t>Metropolitan</w:t>
      </w:r>
    </w:p>
    <w:p w14:paraId="5AB77939" w14:textId="60616586" w:rsidR="00EB51FC" w:rsidRDefault="00661CF2" w:rsidP="00EB51FC">
      <w:pPr>
        <w:pStyle w:val="Els-Author"/>
        <w:rPr>
          <w:lang w:val="en-ID" w:eastAsia="zh-CN"/>
        </w:rPr>
      </w:pPr>
      <w:r>
        <w:t>Eka Septiarini</w:t>
      </w:r>
      <w:r w:rsidRPr="00661CF2">
        <w:rPr>
          <w:vertAlign w:val="superscript"/>
        </w:rPr>
        <w:t>a</w:t>
      </w:r>
      <w:r w:rsidR="00D16639">
        <w:rPr>
          <w:vertAlign w:val="superscript"/>
        </w:rPr>
        <w:t>*</w:t>
      </w:r>
      <w:r>
        <w:t>, Horas Djulius</w:t>
      </w:r>
      <w:r w:rsidRPr="00661CF2">
        <w:rPr>
          <w:vertAlign w:val="superscript"/>
        </w:rPr>
        <w:t>b</w:t>
      </w:r>
      <w:r>
        <w:t>, Dudung Juhana</w:t>
      </w:r>
      <w:r w:rsidRPr="00661CF2">
        <w:rPr>
          <w:vertAlign w:val="superscript"/>
        </w:rPr>
        <w:t>c</w:t>
      </w:r>
    </w:p>
    <w:p w14:paraId="4BB2543A" w14:textId="2F077F7C" w:rsidR="00EB51FC" w:rsidRDefault="00D16639" w:rsidP="00EB51FC">
      <w:pPr>
        <w:pStyle w:val="Els-Affiliation"/>
      </w:pPr>
      <w:r w:rsidRPr="00D16639">
        <w:rPr>
          <w:vertAlign w:val="superscript"/>
        </w:rPr>
        <w:t>a</w:t>
      </w:r>
      <w:r w:rsidR="004C3800">
        <w:t>Doctoral Student</w:t>
      </w:r>
      <w:r w:rsidR="00980C94">
        <w:t xml:space="preserve"> at </w:t>
      </w:r>
      <w:r w:rsidR="004C3800">
        <w:t>Universitas Pasundan Bandung</w:t>
      </w:r>
    </w:p>
    <w:p w14:paraId="48F144B1" w14:textId="66572F00" w:rsidR="00D16639" w:rsidRDefault="00D16639" w:rsidP="00EB51FC">
      <w:pPr>
        <w:pStyle w:val="Els-Affiliation"/>
      </w:pPr>
      <w:r w:rsidRPr="00D16639">
        <w:rPr>
          <w:vertAlign w:val="superscript"/>
        </w:rPr>
        <w:t>b</w:t>
      </w:r>
      <w:r w:rsidR="004C3800">
        <w:t>Lecturer at Universitas Pasundan Bandung</w:t>
      </w:r>
    </w:p>
    <w:p w14:paraId="66E5D98E" w14:textId="73F2C365" w:rsidR="00EB51FC" w:rsidRPr="00D16639" w:rsidRDefault="00D16639" w:rsidP="00D16639">
      <w:pPr>
        <w:pStyle w:val="Els-Affiliation"/>
        <w:rPr>
          <w:lang w:val="id-ID" w:eastAsia="zh-CN"/>
        </w:rPr>
      </w:pPr>
      <w:r w:rsidRPr="00D16639">
        <w:rPr>
          <w:vertAlign w:val="superscript"/>
        </w:rPr>
        <w:t>c</w:t>
      </w:r>
      <w:r w:rsidR="004C3800" w:rsidRPr="004C3800">
        <w:t xml:space="preserve"> </w:t>
      </w:r>
      <w:r w:rsidR="004C3800">
        <w:t xml:space="preserve">Lecturer at </w:t>
      </w:r>
      <w:r>
        <w:t>Sekolah Tinggi Ilmu Ekonomi Pasundan</w:t>
      </w:r>
      <w:r w:rsidR="00EB51FC">
        <w:rPr>
          <w:rFonts w:hint="eastAsia"/>
          <w:lang w:val="en-ID" w:eastAsia="zh-CN"/>
        </w:rPr>
        <w:t xml:space="preserve"> </w:t>
      </w:r>
    </w:p>
    <w:p w14:paraId="1AD81CF1" w14:textId="72F575D8" w:rsidR="00EB51FC" w:rsidRDefault="00EB51FC" w:rsidP="00EB51FC">
      <w:pPr>
        <w:pStyle w:val="Els-history"/>
      </w:pPr>
      <w:r>
        <w:rPr>
          <w:i/>
          <w:iCs/>
          <w:lang w:val="id-ID" w:eastAsia="en-ID"/>
        </w:rPr>
        <w:t>Corresponding author e</w:t>
      </w:r>
      <w:r>
        <w:rPr>
          <w:i/>
          <w:iCs/>
        </w:rPr>
        <w:t xml:space="preserve">-mail address: </w:t>
      </w:r>
      <w:hyperlink r:id="rId8" w:history="1">
        <w:r w:rsidR="00D16639" w:rsidRPr="00AC7642">
          <w:rPr>
            <w:rStyle w:val="Hyperlink"/>
            <w:rFonts w:ascii="Times New Roman" w:eastAsia="SimSun" w:hAnsi="Times New Roman"/>
          </w:rPr>
          <w:t>eka.septiarini@lecture.unjani.ac.id</w:t>
        </w:r>
      </w:hyperlink>
      <w:r w:rsidR="00D16639">
        <w:t xml:space="preserve"> </w:t>
      </w:r>
    </w:p>
    <w:p w14:paraId="40071D42" w14:textId="2BC52F9D" w:rsidR="00EB51FC" w:rsidRPr="00F46CFE" w:rsidRDefault="00EB51FC" w:rsidP="00F46CFE">
      <w:pPr>
        <w:pStyle w:val="Els-Abstract-head"/>
        <w:rPr>
          <w:sz w:val="20"/>
        </w:rPr>
      </w:pPr>
      <w:r w:rsidRPr="00D96421">
        <w:rPr>
          <w:sz w:val="20"/>
        </w:rPr>
        <w:t>Abstract</w:t>
      </w:r>
    </w:p>
    <w:p w14:paraId="79DDA438" w14:textId="26B3E7D2" w:rsidR="00EB51FC" w:rsidRPr="002D31AF" w:rsidRDefault="00F46CFE" w:rsidP="002D31AF">
      <w:pPr>
        <w:pStyle w:val="Els-body-text"/>
      </w:pPr>
      <w:r w:rsidRPr="00492839">
        <w:t>The objective of this study is to identify, examine, and analyze the influence of green marketing on green customer satisfaction, the influence of green perceived value on green customer satisfaction, the influence of environmental concern on green satisfaction, and the influence of green satisfaction on green customer loyalty of Uniqlo consumers in Bandung Metropolitan.</w:t>
      </w:r>
      <w:r w:rsidR="00980C94">
        <w:t xml:space="preserve"> </w:t>
      </w:r>
      <w:r w:rsidRPr="002D31AF">
        <w:t>Data were collected from respondents</w:t>
      </w:r>
      <w:r w:rsidR="002D31AF" w:rsidRPr="002D31AF">
        <w:t xml:space="preserve"> aged between 17 and 55 years old, residing in the Bandung Metropolitan area, and having purchased Uniqlo's green products at least twice in the past year.</w:t>
      </w:r>
      <w:r w:rsidR="002D31AF">
        <w:t xml:space="preserve"> The </w:t>
      </w:r>
      <w:r w:rsidRPr="00492839">
        <w:t xml:space="preserve">analysis was performed using </w:t>
      </w:r>
      <w:proofErr w:type="spellStart"/>
      <w:r w:rsidRPr="00492839">
        <w:t>Lisrel</w:t>
      </w:r>
      <w:proofErr w:type="spellEnd"/>
      <w:r w:rsidRPr="00492839">
        <w:t xml:space="preserve"> - Structural Equation Modeling version 8.8</w:t>
      </w:r>
      <w:r w:rsidR="00980C94">
        <w:t xml:space="preserve">. </w:t>
      </w:r>
      <w:r w:rsidRPr="00492839">
        <w:t xml:space="preserve">The findings reveal that green marketing, green perceived value, and environmental concern </w:t>
      </w:r>
      <w:proofErr w:type="spellStart"/>
      <w:r w:rsidRPr="00492839">
        <w:t>simultaniously</w:t>
      </w:r>
      <w:proofErr w:type="spellEnd"/>
      <w:r w:rsidRPr="00492839">
        <w:t xml:space="preserve"> contribute 73.6% to green customer satisfaction with Uniqlo in Bandung Metropolitan, while the remaining 26.4% is influenced by other variables. Partially, green marketing contributes 18.5%, green perceived value 24.4%, and environmental concern 30.7% to green satisfaction. Additionally, green satisfaction has been proven to have a significant influence of 79.9% on green loyalty among Uniqlo consumers</w:t>
      </w:r>
      <w:r w:rsidR="00980C94">
        <w:t xml:space="preserve"> in Bandung Metropolitans</w:t>
      </w:r>
      <w:r w:rsidRPr="00492839">
        <w:t>.</w:t>
      </w:r>
    </w:p>
    <w:p w14:paraId="46F1E3DE" w14:textId="3F0E4852" w:rsidR="00EB51FC" w:rsidRDefault="00EB51FC" w:rsidP="00EB51FC">
      <w:pPr>
        <w:rPr>
          <w:lang w:val="en-US"/>
        </w:rPr>
      </w:pPr>
      <w:r w:rsidRPr="00D96421">
        <w:rPr>
          <w:i/>
          <w:lang w:val="en-US"/>
        </w:rPr>
        <w:t xml:space="preserve">Keywords: </w:t>
      </w:r>
      <w:r w:rsidRPr="004943BD">
        <w:rPr>
          <w:lang w:val="en-US"/>
        </w:rPr>
        <w:t xml:space="preserve"> </w:t>
      </w:r>
      <w:r w:rsidR="00F46CFE">
        <w:rPr>
          <w:lang w:val="en-US"/>
        </w:rPr>
        <w:t>Green Marketing</w:t>
      </w:r>
      <w:r w:rsidR="00B06D23">
        <w:rPr>
          <w:lang w:val="en-US"/>
        </w:rPr>
        <w:t>, Green Perceived Value, Environmental Concern, Green Satisfaction, Green Loyalty</w:t>
      </w:r>
    </w:p>
    <w:p w14:paraId="48BF884D" w14:textId="77777777" w:rsidR="00EB51FC" w:rsidRDefault="00EB51FC" w:rsidP="00EB51FC">
      <w:pPr>
        <w:pStyle w:val="Els-keywords"/>
      </w:pPr>
    </w:p>
    <w:p w14:paraId="76DCC4D7" w14:textId="77777777" w:rsidR="00EB51FC" w:rsidRPr="00D96421" w:rsidRDefault="00EB51FC" w:rsidP="00EB51FC">
      <w:pPr>
        <w:pStyle w:val="Els-1storder-head"/>
        <w:rPr>
          <w:sz w:val="24"/>
          <w:szCs w:val="24"/>
        </w:rPr>
      </w:pPr>
      <w:r w:rsidRPr="00D96421">
        <w:rPr>
          <w:sz w:val="24"/>
          <w:szCs w:val="24"/>
        </w:rPr>
        <w:t>Introduction</w:t>
      </w:r>
    </w:p>
    <w:p w14:paraId="0F44CB1A" w14:textId="7B271DB5" w:rsidR="00FA6807" w:rsidRPr="00FA6807" w:rsidRDefault="00FA6807" w:rsidP="00FA6807">
      <w:pPr>
        <w:pStyle w:val="Els-body-text"/>
        <w:ind w:right="-28"/>
        <w:rPr>
          <w:sz w:val="22"/>
          <w:szCs w:val="22"/>
        </w:rPr>
      </w:pPr>
      <w:r w:rsidRPr="00FA6807">
        <w:rPr>
          <w:sz w:val="22"/>
          <w:szCs w:val="22"/>
        </w:rPr>
        <w:t>Global environmental changes have become a major issue attracting widespread attention, particularly in the context of sustainable development. Various environmental problems, such as increasing waste generation, water and air pollution, and global warming, pose serious challenges to ecosystem sustainability and societal well-being</w:t>
      </w:r>
      <w:r w:rsidR="008F4305">
        <w:rPr>
          <w:sz w:val="22"/>
          <w:szCs w:val="22"/>
        </w:rPr>
        <w:t xml:space="preserve"> </w:t>
      </w:r>
      <w:r w:rsidR="008F4305">
        <w:rPr>
          <w:sz w:val="22"/>
          <w:szCs w:val="22"/>
        </w:rPr>
        <w:fldChar w:fldCharType="begin" w:fldLock="1"/>
      </w:r>
      <w:r w:rsidR="00052AD6">
        <w:rPr>
          <w:sz w:val="22"/>
          <w:szCs w:val="22"/>
        </w:rPr>
        <w:instrText>ADDIN CSL_CITATION {"citationItems":[{"id":"ITEM-1","itemData":{"URL":"https://environment-indonesia.com/infographic3/10-masalah-besar-lingkungan-di-indonesia/","author":[{"dropping-particle":"","family":"Indonesia Environment and Energy","given":"","non-dropping-particle":"","parse-names":false,"suffix":""}],"container-title":"IEC2","id":"ITEM-1","issued":{"date-parts":[["2023"]]},"title":"10 Masalah Besar Lingkungan di Indonesia","type":"webpage"},"uris":["http://www.mendeley.com/documents/?uuid=33e1ebd1-b1ea-473c-a52c-f04d8c1016c0"]}],"mendeley":{"formattedCitation":"(Indonesia Environment and Energy, 2023)","plainTextFormattedCitation":"(Indonesia Environment and Energy, 2023)","previouslyFormattedCitation":"(Indonesia Environment and Energy, 2023)"},"properties":{"noteIndex":0},"schema":"https://github.com/citation-style-language/schema/raw/master/csl-citation.json"}</w:instrText>
      </w:r>
      <w:r w:rsidR="008F4305">
        <w:rPr>
          <w:sz w:val="22"/>
          <w:szCs w:val="22"/>
        </w:rPr>
        <w:fldChar w:fldCharType="separate"/>
      </w:r>
      <w:r w:rsidR="008F4305" w:rsidRPr="008F4305">
        <w:rPr>
          <w:noProof/>
          <w:sz w:val="22"/>
          <w:szCs w:val="22"/>
        </w:rPr>
        <w:t>(Indonesia Environment and Energy, 2023)</w:t>
      </w:r>
      <w:r w:rsidR="008F4305">
        <w:rPr>
          <w:sz w:val="22"/>
          <w:szCs w:val="22"/>
        </w:rPr>
        <w:fldChar w:fldCharType="end"/>
      </w:r>
      <w:r w:rsidRPr="00FA6807">
        <w:rPr>
          <w:sz w:val="22"/>
          <w:szCs w:val="22"/>
        </w:rPr>
        <w:t>.</w:t>
      </w:r>
    </w:p>
    <w:p w14:paraId="5D306B1A" w14:textId="29819DB1" w:rsidR="00FA6807" w:rsidRPr="00FA6807" w:rsidRDefault="00FA6807" w:rsidP="00FA6807">
      <w:pPr>
        <w:pStyle w:val="Els-body-text"/>
        <w:ind w:right="-28"/>
        <w:rPr>
          <w:sz w:val="22"/>
          <w:szCs w:val="22"/>
        </w:rPr>
      </w:pPr>
      <w:r w:rsidRPr="00FA6807">
        <w:rPr>
          <w:sz w:val="22"/>
          <w:szCs w:val="22"/>
        </w:rPr>
        <w:t>In Indonesia, waste management still faces multiple obstacles, with approximately 33.24% of waste being improperly managed</w:t>
      </w:r>
      <w:r w:rsidR="00052AD6">
        <w:rPr>
          <w:sz w:val="22"/>
          <w:szCs w:val="22"/>
        </w:rPr>
        <w:t xml:space="preserve"> </w:t>
      </w:r>
      <w:r w:rsidR="00052AD6">
        <w:rPr>
          <w:sz w:val="22"/>
          <w:szCs w:val="22"/>
        </w:rPr>
        <w:fldChar w:fldCharType="begin" w:fldLock="1"/>
      </w:r>
      <w:r w:rsidR="00052AD6">
        <w:rPr>
          <w:sz w:val="22"/>
          <w:szCs w:val="22"/>
        </w:rPr>
        <w:instrText>ADDIN CSL_CITATION {"citationItems":[{"id":"ITEM-1","itemData":{"URL":"https://goodstats.id/article/sampah-pakaian-makin-banyak-saatnya-sudahi-konsumsi-fast-fashion-BX10s","author":[{"dropping-particle":"","family":"National Waste Management Information System","given":"","non-dropping-particle":"","parse-names":false,"suffix":""}],"container-title":"GoodStats","id":"ITEM-1","issued":{"date-parts":[["2022"]]},"title":"Sampah Pakaian Makin Banyak, Saatnya Sudahi Konsumsi Fast Fashion","type":"webpage"},"uris":["http://www.mendeley.com/documents/?uuid=87e957bf-9168-4474-b27f-6ee40ae56ff4"]}],"mendeley":{"formattedCitation":"(National Waste Management Information System, 2022)","plainTextFormattedCitation":"(National Waste Management Information System, 2022)","previouslyFormattedCitation":"(National Waste Management Information System, 2022)"},"properties":{"noteIndex":0},"schema":"https://github.com/citation-style-language/schema/raw/master/csl-citation.json"}</w:instrText>
      </w:r>
      <w:r w:rsidR="00052AD6">
        <w:rPr>
          <w:sz w:val="22"/>
          <w:szCs w:val="22"/>
        </w:rPr>
        <w:fldChar w:fldCharType="separate"/>
      </w:r>
      <w:r w:rsidR="00052AD6" w:rsidRPr="00052AD6">
        <w:rPr>
          <w:noProof/>
          <w:sz w:val="22"/>
          <w:szCs w:val="22"/>
        </w:rPr>
        <w:t>(National Waste Management Information System, 2022)</w:t>
      </w:r>
      <w:r w:rsidR="00052AD6">
        <w:rPr>
          <w:sz w:val="22"/>
          <w:szCs w:val="22"/>
        </w:rPr>
        <w:fldChar w:fldCharType="end"/>
      </w:r>
      <w:r w:rsidRPr="00FA6807">
        <w:rPr>
          <w:sz w:val="22"/>
          <w:szCs w:val="22"/>
        </w:rPr>
        <w:t xml:space="preserve">. Household waste is the primary contributor, followed by plastic and organic waste, as well as industrial waste, exacerbating environmental degradation. This highlights the need for innovative approaches in waste management, one of which is adopting the circular economy concept as a sustainability strategy </w:t>
      </w:r>
      <w:r w:rsidR="00052AD6">
        <w:rPr>
          <w:sz w:val="22"/>
          <w:szCs w:val="22"/>
        </w:rPr>
        <w:fldChar w:fldCharType="begin" w:fldLock="1"/>
      </w:r>
      <w:r w:rsidR="00052AD6">
        <w:rPr>
          <w:sz w:val="22"/>
          <w:szCs w:val="22"/>
        </w:rPr>
        <w:instrText>ADDIN CSL_CITATION {"citationItems":[{"id":"ITEM-1","itemData":{"URL":"https://greengrowth.bappenas.go.id/indonesia-luncurkan-indeks-ekonomi-hijau-untuk-mengukur-transformasi-pembangunan-berkelanjutan/#:~:text=Ekonomi hijau merupakan salah satu,19 dan menuju pembangunan berkelanjutan","author":[{"dropping-particle":"","family":"Green Growth Bappenas","given":"","non-dropping-particle":"","parse-names":false,"suffix":""}],"container-title":"Green Growth Bappenas","id":"ITEM-1","issued":{"date-parts":[["2024"]]},"title":"Indonesia Luncurkan Indeks Ekonomi Hijau untuk Mengukur Transformasi Pembangunan Berkelanjutan","type":"webpage"},"uris":["http://www.mendeley.com/documents/?uuid=cca82a3f-f6c3-4971-8879-72c73fef3d2d"]}],"mendeley":{"formattedCitation":"(Green Growth Bappenas, 2024)","plainTextFormattedCitation":"(Green Growth Bappenas, 2024)","previouslyFormattedCitation":"(Green Growth Bappenas, 2024)"},"properties":{"noteIndex":0},"schema":"https://github.com/citation-style-language/schema/raw/master/csl-citation.json"}</w:instrText>
      </w:r>
      <w:r w:rsidR="00052AD6">
        <w:rPr>
          <w:sz w:val="22"/>
          <w:szCs w:val="22"/>
        </w:rPr>
        <w:fldChar w:fldCharType="separate"/>
      </w:r>
      <w:r w:rsidR="00052AD6" w:rsidRPr="00052AD6">
        <w:rPr>
          <w:noProof/>
          <w:sz w:val="22"/>
          <w:szCs w:val="22"/>
        </w:rPr>
        <w:t>(Green Growth Bappenas, 2024)</w:t>
      </w:r>
      <w:r w:rsidR="00052AD6">
        <w:rPr>
          <w:sz w:val="22"/>
          <w:szCs w:val="22"/>
        </w:rPr>
        <w:fldChar w:fldCharType="end"/>
      </w:r>
      <w:r w:rsidRPr="00FA6807">
        <w:rPr>
          <w:sz w:val="22"/>
          <w:szCs w:val="22"/>
        </w:rPr>
        <w:t>.</w:t>
      </w:r>
    </w:p>
    <w:p w14:paraId="2589A94D" w14:textId="0F3F0353" w:rsidR="00FA6807" w:rsidRPr="00FA6807" w:rsidRDefault="00FA6807" w:rsidP="00FA6807">
      <w:pPr>
        <w:pStyle w:val="Els-body-text"/>
        <w:ind w:right="-28"/>
        <w:rPr>
          <w:sz w:val="22"/>
          <w:szCs w:val="22"/>
        </w:rPr>
      </w:pPr>
      <w:r w:rsidRPr="00FA6807">
        <w:rPr>
          <w:sz w:val="22"/>
          <w:szCs w:val="22"/>
        </w:rPr>
        <w:lastRenderedPageBreak/>
        <w:t>The circular economy aims to extend product life cycles, reduce waste, and optimize the reuse of available resources. This concept aligns with Indonesia's Green Economy Strategy 2025–2045, which emphasizes reducing natural resource exploitation and improving efficiency in raw material utilization</w:t>
      </w:r>
      <w:r w:rsidR="00052AD6">
        <w:rPr>
          <w:sz w:val="22"/>
          <w:szCs w:val="22"/>
        </w:rPr>
        <w:t xml:space="preserve"> </w:t>
      </w:r>
      <w:r w:rsidR="00052AD6">
        <w:rPr>
          <w:sz w:val="22"/>
          <w:szCs w:val="22"/>
        </w:rPr>
        <w:fldChar w:fldCharType="begin" w:fldLock="1"/>
      </w:r>
      <w:r w:rsidR="001E75BD">
        <w:rPr>
          <w:sz w:val="22"/>
          <w:szCs w:val="22"/>
        </w:rPr>
        <w:instrText>ADDIN CSL_CITATION {"citationItems":[{"id":"ITEM-1","itemData":{"DOI":"10.12968/s2754-7744(23)70067-5","ISSN":"2754-7744","abstract":"A modular design approach and the use of new sustainable materials has helped Bang &amp; Olufsen develop the world’s first Cradle to Cradle Certified speaker for the consumer electronics industry","author":[{"dropping-particle":"","family":"Norman","given":"Helen","non-dropping-particle":"","parse-names":false,"suffix":""}],"container-title":"Consumer Electronics Test &amp; Development","id":"ITEM-1","issue":"2","issued":{"date-parts":[["2022"]]},"page":"6-7","title":"The Future is Circular","type":"article-journal","volume":"2021"},"uris":["http://www.mendeley.com/documents/?uuid=2b156ba1-d5c3-435f-83c3-2e462aeaef09"]}],"mendeley":{"formattedCitation":"(Norman, 2022)","plainTextFormattedCitation":"(Norman, 2022)","previouslyFormattedCitation":"(Norman, 2022)"},"properties":{"noteIndex":0},"schema":"https://github.com/citation-style-language/schema/raw/master/csl-citation.json"}</w:instrText>
      </w:r>
      <w:r w:rsidR="00052AD6">
        <w:rPr>
          <w:sz w:val="22"/>
          <w:szCs w:val="22"/>
        </w:rPr>
        <w:fldChar w:fldCharType="separate"/>
      </w:r>
      <w:r w:rsidR="00052AD6" w:rsidRPr="00052AD6">
        <w:rPr>
          <w:noProof/>
          <w:sz w:val="22"/>
          <w:szCs w:val="22"/>
        </w:rPr>
        <w:t>(Norman, 2022)</w:t>
      </w:r>
      <w:r w:rsidR="00052AD6">
        <w:rPr>
          <w:sz w:val="22"/>
          <w:szCs w:val="22"/>
        </w:rPr>
        <w:fldChar w:fldCharType="end"/>
      </w:r>
      <w:r w:rsidRPr="00FA6807">
        <w:rPr>
          <w:sz w:val="22"/>
          <w:szCs w:val="22"/>
        </w:rPr>
        <w:t>. The transition from a linear economy model of "take-make-dispose" to a circular economy is expected to balance economic growth and environmental preservation.</w:t>
      </w:r>
    </w:p>
    <w:p w14:paraId="2D30B52F" w14:textId="3DD1DC4C" w:rsidR="00FA6807" w:rsidRPr="00FA6807" w:rsidRDefault="00FA6807" w:rsidP="001E75BD">
      <w:pPr>
        <w:pStyle w:val="Els-body-text"/>
        <w:ind w:right="-28"/>
        <w:rPr>
          <w:sz w:val="22"/>
          <w:szCs w:val="22"/>
        </w:rPr>
      </w:pPr>
      <w:r w:rsidRPr="00FA6807">
        <w:rPr>
          <w:sz w:val="22"/>
          <w:szCs w:val="22"/>
        </w:rPr>
        <w:t>One of the sectors contributing significantly to environmental pollution is the fashion industry, particularly fast fashion. Over the past decade, textile waste production has increased significantly, driven by economic growth and high consumption patterns</w:t>
      </w:r>
      <w:r w:rsidR="001E75BD">
        <w:rPr>
          <w:sz w:val="22"/>
          <w:szCs w:val="22"/>
        </w:rPr>
        <w:t xml:space="preserve"> </w:t>
      </w:r>
      <w:r w:rsidR="001E75BD">
        <w:rPr>
          <w:sz w:val="22"/>
          <w:szCs w:val="22"/>
        </w:rPr>
        <w:fldChar w:fldCharType="begin" w:fldLock="1"/>
      </w:r>
      <w:r w:rsidR="006F483C">
        <w:rPr>
          <w:sz w:val="22"/>
          <w:szCs w:val="22"/>
        </w:rPr>
        <w:instrText>ADDIN CSL_CITATION {"citationItems":[{"id":"ITEM-1","itemData":{"DOI":"10.1108/SRJ-03-2019-0108","ISSN":"1758857X","abstract":"Purpose: This study aims to point out the importance and the relevance of sustainability issues and the need for their enhancement in the contemporary model of corporate social responsibility (CSR) as the top priority for business entities. Furthermore, it also highlights ways to enhance sustainability in the contemporary CSR model in the fast fashion industry of developing countries. Design/methodology/approach: Literature review has been extensively done through available databases, including ProQuest and ScienceDirect. Findings: This study delivers a full insight into the current state of research on the CSR model and sustainability in developing countries. The prevalent corporate environmental sustainability practices of global apparel brands are identified to propose ways to enhance sustainability in the contemporary CSR model. Research limitations/implications: The growth of fast fashion industry brings the risks of unsustainability to developing countries. Thus, it is a must for the garment and textile companies to enhance a sustainable CSR model through promoting sustainable leadership and integrating corporate culture. Originality/value: To the best of author’s knowledge, this study is the first to emphasise the role of sustainable leadership in promoting a sustainable CSR model in the fast fashion industry of developing countries.","author":[{"dropping-particle":"","family":"Nguyen","given":"Hoang Tien","non-dropping-particle":"","parse-names":false,"suffix":""},{"dropping-particle":"","family":"Le","given":"Doan Minh Duc","non-dropping-particle":"","parse-names":false,"suffix":""},{"dropping-particle":"","family":"Ho","given":"Thien Thong Minh","non-dropping-particle":"","parse-names":false,"suffix":""},{"dropping-particle":"","family":"Nguyen","given":"Phuong Mai","non-dropping-particle":"","parse-names":false,"suffix":""}],"container-title":"Social Responsibility Journal","id":"ITEM-1","issue":"4","issued":{"date-parts":[["2020"]]},"page":"578-591","title":"Enhancing sustainability in the contemporary model of CSR: a case of fast fashion industry in developing countries","type":"article-journal","volume":"17"},"uris":["http://www.mendeley.com/documents/?uuid=775cde39-ff56-40e6-a1bc-be115fb0b5fd"]}],"mendeley":{"formattedCitation":"(H. T. Nguyen et al., 2020)","plainTextFormattedCitation":"(H. T. Nguyen et al., 2020)","previouslyFormattedCitation":"(H. T. Nguyen et al., 2020)"},"properties":{"noteIndex":0},"schema":"https://github.com/citation-style-language/schema/raw/master/csl-citation.json"}</w:instrText>
      </w:r>
      <w:r w:rsidR="001E75BD">
        <w:rPr>
          <w:sz w:val="22"/>
          <w:szCs w:val="22"/>
        </w:rPr>
        <w:fldChar w:fldCharType="separate"/>
      </w:r>
      <w:r w:rsidR="006F483C" w:rsidRPr="006F483C">
        <w:rPr>
          <w:noProof/>
          <w:sz w:val="22"/>
          <w:szCs w:val="22"/>
        </w:rPr>
        <w:t>(H. T. Nguyen et al., 2020)</w:t>
      </w:r>
      <w:r w:rsidR="001E75BD">
        <w:rPr>
          <w:sz w:val="22"/>
          <w:szCs w:val="22"/>
        </w:rPr>
        <w:fldChar w:fldCharType="end"/>
      </w:r>
      <w:r w:rsidRPr="00FA6807">
        <w:rPr>
          <w:sz w:val="22"/>
          <w:szCs w:val="22"/>
        </w:rPr>
        <w:t xml:space="preserve">. Fast fashion, characterized by the mass production of inexpensive clothing, has drastically increased textile waste, making it the second-largest polluting industry after the oil sector </w:t>
      </w:r>
      <w:r w:rsidR="001E75BD">
        <w:rPr>
          <w:sz w:val="22"/>
          <w:szCs w:val="22"/>
        </w:rPr>
        <w:fldChar w:fldCharType="begin" w:fldLock="1"/>
      </w:r>
      <w:r w:rsidR="00C33EBA">
        <w:rPr>
          <w:sz w:val="22"/>
          <w:szCs w:val="22"/>
        </w:rPr>
        <w:instrText>ADDIN CSL_CITATION {"citationItems":[{"id":"ITEM-1","itemData":{"DOI":"10.1186/s12940-018-0433-7","ISSN":"1476069X","PMID":"30591057","abstract":"Fast fashion, inexpensive and widely available of-the-moment garments, has changed the way people buy and dispose of clothing. By selling large quantities of clothing at cheap prices, fast fashion has emerged as a dominant business model, causing garment consumption to skyrocket. While this transition is sometimes heralded as the \"democratization\" of fashion in which the latest styles are available to all classes of consumers, the human and environmental health risks associated with inexpensive clothing are hidden throughout the lifecycle of each garment. From the growth of water-intensive cotton, to the release of untreated dyes into local water sources, to worker's low wages and poor working conditions; the environmental and social costs involved in textile manufacturing are widespread. In this paper, we posit that negative externalities at each step of the fast fashion supply chain have created a global environmental justice dilemma. While fast fashion offers consumers an opportunity to buy more clothes for less, those who work in or live near textile manufacturing facilities bear a disproportionate burden of environmental health hazards. Furthermore, increased consumption patterns have also created millions of tons of textile waste in landfills and unregulated settings. This is particularly applicable to low and middle-income countries (LMICs) as much of this waste ends up in second-hand clothing markets. These LMICs often lack the supports and resources necessary to develop and enforce environmental and occupational safeguards to protect human health. We discuss the role of industry, policymakers, consumers, and scientists in promoting sustainable production and ethical consumption in an equitable manner.","author":[{"dropping-particle":"","family":"Bick","given":"Rachel","non-dropping-particle":"","parse-names":false,"suffix":""},{"dropping-particle":"","family":"Halsey","given":"Erika","non-dropping-particle":"","parse-names":false,"suffix":""},{"dropping-particle":"","family":"Ekenga","given":"Christine C.","non-dropping-particle":"","parse-names":false,"suffix":""}],"container-title":"Environmental Health: A Global Access Science Source","id":"ITEM-1","issue":"1","issued":{"date-parts":[["2018"]]},"page":"1-4","publisher":"Environmental Health","title":"The global environmental injustice of fast fashion","type":"article-journal","volume":"17"},"uris":["http://www.mendeley.com/documents/?uuid=1f574f5f-da18-4ca2-bb14-40c66bede0a3"]}],"mendeley":{"formattedCitation":"(Bick et al., 2018)","plainTextFormattedCitation":"(Bick et al., 2018)","previouslyFormattedCitation":"(Bick et al., 2018)"},"properties":{"noteIndex":0},"schema":"https://github.com/citation-style-language/schema/raw/master/csl-citation.json"}</w:instrText>
      </w:r>
      <w:r w:rsidR="001E75BD">
        <w:rPr>
          <w:sz w:val="22"/>
          <w:szCs w:val="22"/>
        </w:rPr>
        <w:fldChar w:fldCharType="separate"/>
      </w:r>
      <w:r w:rsidR="001E75BD" w:rsidRPr="001E75BD">
        <w:rPr>
          <w:noProof/>
          <w:sz w:val="22"/>
          <w:szCs w:val="22"/>
        </w:rPr>
        <w:t>(Bick et al., 2018)</w:t>
      </w:r>
      <w:r w:rsidR="001E75BD">
        <w:rPr>
          <w:sz w:val="22"/>
          <w:szCs w:val="22"/>
        </w:rPr>
        <w:fldChar w:fldCharType="end"/>
      </w:r>
      <w:r w:rsidRPr="00FA6807">
        <w:rPr>
          <w:sz w:val="22"/>
          <w:szCs w:val="22"/>
        </w:rPr>
        <w:t>.</w:t>
      </w:r>
    </w:p>
    <w:p w14:paraId="40A3871E" w14:textId="02775BA1" w:rsidR="00FA6807" w:rsidRPr="00FA6807" w:rsidRDefault="00FA6807" w:rsidP="00FA6807">
      <w:pPr>
        <w:pStyle w:val="Els-body-text"/>
        <w:ind w:right="-28"/>
        <w:rPr>
          <w:sz w:val="22"/>
          <w:szCs w:val="22"/>
        </w:rPr>
      </w:pPr>
      <w:r w:rsidRPr="00FA6807">
        <w:rPr>
          <w:sz w:val="22"/>
          <w:szCs w:val="22"/>
        </w:rPr>
        <w:t>Globally, clothing consumption is projected to reach 102 million tons by 2030</w:t>
      </w:r>
      <w:r w:rsidR="00C33EBA">
        <w:rPr>
          <w:sz w:val="22"/>
          <w:szCs w:val="22"/>
        </w:rPr>
        <w:t xml:space="preserve"> </w:t>
      </w:r>
      <w:r w:rsidR="00C33EBA">
        <w:rPr>
          <w:sz w:val="22"/>
          <w:szCs w:val="22"/>
        </w:rPr>
        <w:fldChar w:fldCharType="begin" w:fldLock="1"/>
      </w:r>
      <w:r w:rsidR="004C6298">
        <w:rPr>
          <w:sz w:val="22"/>
          <w:szCs w:val="22"/>
        </w:rPr>
        <w:instrText>ADDIN CSL_CITATION {"citationItems":[{"id":"ITEM-1","itemData":{"DOI":"10.25105/dim.v19i1.15154","ISSN":"1693-6337","abstract":"Industri fashion berkembang secara signifikan, terutama selama 20 tahun terakhir.Meningkatnya kebutuhan masyarakat dalam berbusana membuat peningkatandalam produksi pakaian yang menimbulkan industri fast fashion. Fast fashionadalah istilah yang digunakan untuk menggambarkan desain pakaian yang cepatdan mengikuti trend. Fast fashion sangat mengikuti trend pakaian diproduksisecara massal dan cepat akibat maraknya fast fashion menyebabkan produksidan konsumsi berlebih, sehingga menimbulkan tumpukan limbah tekstil yangdapat menyebabkan emisi berbahaya ke udara, air, dan tanah. Limbah fashionmerupakan limbah terbesar urutan kedua setelah sampah plastik. Sebanyak92 juta sampah industri tekstil berakhir di tempat pembuangan sampah setiaptahun. Pewarna kain dibuang ke sungai tanpa pengolahan sebanyak 40.000-50.000 ton per tahun. Tingginya dampak Industri fashion pada lingkungansehingga menjadi latar belakang dalam pembuatan karya. Perkembanganmode juga dipengaruhi oleh media promosi terutama pada foto. Foto dianggapsebagai media yang dapat merepresentasikan dan mempromosikan dengan baik. Fotografi sangat berpengaruh pada perkembangan trend fashion. Penulismenggunakan Fotografi Ilustrasi dengan tujuan mengampanyekan dampaklimbah tekstil kepada masyarakat dan menghasilkan sebuah pergerakan. Metodepenelitian yang dipilih secara kualitatif meliputi observasi, menganalisis visualdan studi data dan studi literatur yang sudah ada. Observasi yang dilakukanpenulis berupa wawancara dan acuan pada buku yang membahas mengenailimbah fashion. Pada pembuatan foto menggunakan artificial lighting sebagaisumber cahaya yang digunakan. Hasil pada penelitian foto dengan tujuanCampaign limbah tekstil dapat diilustrasikan dan dibuat agar dapat mengajakmasyarakat dan penggiat fashion memperhatikan dampak lingkungan limbahtekstil.","author":[{"dropping-particle":"","family":"Sangrawati","given":"Malcheni","non-dropping-particle":"","parse-names":false,"suffix":""},{"dropping-particle":"","family":"Purnama","given":"Pongky Adhi","non-dropping-particle":"","parse-names":false,"suffix":""},{"dropping-particle":"","family":"Candrastuti","given":"Ratih","non-dropping-particle":"","parse-names":false,"suffix":""}],"container-title":"Jurnal Dimensi Seni Rupa dan Desain","id":"ITEM-1","issue":"1","issued":{"date-parts":[["2022"]]},"page":"49-68","title":"Fashion Campaign Limbah Tekstil Dalam Fotografi Ilustrasi","type":"article-journal","volume":"19"},"uris":["http://www.mendeley.com/documents/?uuid=d2fa42a5-dfe3-42a9-a711-8fc2a6305c5b"]}],"mendeley":{"formattedCitation":"(Sangrawati et al., 2022)","plainTextFormattedCitation":"(Sangrawati et al., 2022)","previouslyFormattedCitation":"(Sangrawati et al., 2022)"},"properties":{"noteIndex":0},"schema":"https://github.com/citation-style-language/schema/raw/master/csl-citation.json"}</w:instrText>
      </w:r>
      <w:r w:rsidR="00C33EBA">
        <w:rPr>
          <w:sz w:val="22"/>
          <w:szCs w:val="22"/>
        </w:rPr>
        <w:fldChar w:fldCharType="separate"/>
      </w:r>
      <w:r w:rsidR="00C33EBA" w:rsidRPr="00C33EBA">
        <w:rPr>
          <w:noProof/>
          <w:sz w:val="22"/>
          <w:szCs w:val="22"/>
        </w:rPr>
        <w:t>(Sangrawati et al., 2022)</w:t>
      </w:r>
      <w:r w:rsidR="00C33EBA">
        <w:rPr>
          <w:sz w:val="22"/>
          <w:szCs w:val="22"/>
        </w:rPr>
        <w:fldChar w:fldCharType="end"/>
      </w:r>
      <w:r w:rsidRPr="00FA6807">
        <w:rPr>
          <w:sz w:val="22"/>
          <w:szCs w:val="22"/>
        </w:rPr>
        <w:t>. Unfortunately, most garments are only used for a short period, with 66% ending up as waste, 19% being incinerated, and only 15% being recycled</w:t>
      </w:r>
      <w:r w:rsidR="004C6298">
        <w:rPr>
          <w:sz w:val="22"/>
          <w:szCs w:val="22"/>
        </w:rPr>
        <w:t xml:space="preserve"> </w:t>
      </w:r>
      <w:r w:rsidR="004C6298">
        <w:rPr>
          <w:sz w:val="22"/>
          <w:szCs w:val="22"/>
        </w:rPr>
        <w:fldChar w:fldCharType="begin" w:fldLock="1"/>
      </w:r>
      <w:r w:rsidR="004C6298">
        <w:rPr>
          <w:sz w:val="22"/>
          <w:szCs w:val="22"/>
        </w:rPr>
        <w:instrText>ADDIN CSL_CITATION {"citationItems":[{"id":"ITEM-1","itemData":{"URL":"https://theroundup.org/textile-waste-statistics/","author":[{"dropping-particle":"","family":"Ruiz","given":"Arabella","non-dropping-particle":"","parse-names":false,"suffix":""}],"container-title":"TheRoundup.Org","id":"ITEM-1","issued":{"date-parts":[["2024"]]},"title":"17 Most Worrying Textile Waste Statistics &amp; Facts","type":"webpage"},"uris":["http://www.mendeley.com/documents/?uuid=164b3f7d-56d7-49fa-9cb5-06d0700a344d"]}],"mendeley":{"formattedCitation":"(Ruiz, 2024)","plainTextFormattedCitation":"(Ruiz, 2024)","previouslyFormattedCitation":"(Ruiz, 2024)"},"properties":{"noteIndex":0},"schema":"https://github.com/citation-style-language/schema/raw/master/csl-citation.json"}</w:instrText>
      </w:r>
      <w:r w:rsidR="004C6298">
        <w:rPr>
          <w:sz w:val="22"/>
          <w:szCs w:val="22"/>
        </w:rPr>
        <w:fldChar w:fldCharType="separate"/>
      </w:r>
      <w:r w:rsidR="004C6298" w:rsidRPr="004C6298">
        <w:rPr>
          <w:noProof/>
          <w:sz w:val="22"/>
          <w:szCs w:val="22"/>
        </w:rPr>
        <w:t>(Ruiz, 2024)</w:t>
      </w:r>
      <w:r w:rsidR="004C6298">
        <w:rPr>
          <w:sz w:val="22"/>
          <w:szCs w:val="22"/>
        </w:rPr>
        <w:fldChar w:fldCharType="end"/>
      </w:r>
      <w:r w:rsidRPr="00FA6807">
        <w:rPr>
          <w:sz w:val="22"/>
          <w:szCs w:val="22"/>
        </w:rPr>
        <w:t>. Furthermore, the fashion industry accounts for 10% of global carbon emissions and consumes 20% of the world's total water usage</w:t>
      </w:r>
      <w:r w:rsidR="004C6298">
        <w:rPr>
          <w:sz w:val="22"/>
          <w:szCs w:val="22"/>
        </w:rPr>
        <w:t xml:space="preserve"> </w:t>
      </w:r>
      <w:r w:rsidR="004C6298">
        <w:rPr>
          <w:sz w:val="22"/>
          <w:szCs w:val="22"/>
        </w:rPr>
        <w:fldChar w:fldCharType="begin" w:fldLock="1"/>
      </w:r>
      <w:r w:rsidR="004C6298">
        <w:rPr>
          <w:sz w:val="22"/>
          <w:szCs w:val="22"/>
        </w:rPr>
        <w:instrText>ADDIN CSL_CITATION {"citationItems":[{"id":"ITEM-1","itemData":{"DOI":"10.3390/su12072809","ISSN":"20711050","abstract":"The significant changes which have occurred in the competitive scenario in which fashion companies operate, combined with deep transformation in the lifestyles of final consumers, translate into the need to redefine the business models. Starting from a general overview of the emerging trends today affecting the fashion industry, the paper will devote particular attention to the analysis of the most important phenomena that are influencing this market and the drivers for long-lasting competitiveness: sustainability and attention to the so-called circular economy. According to the literature, from the consumer behavior's point of view, the younger generations are paying growing attention to these issues. In light of these considerations, this paper aimed to analyze how sustainability and circular economy principles are influencing the perception of the fashion world among the new generations of consumers. After mapping the emerging trends in the fashion industry and analyzing the role of sustainability from both the demand and supply side, this paper presents the results of a survey conducted through an anonymous questionnaire made in collaboration with Insubria University. The results of the survey describe the students' behaviour as regards fashion's emerging trends, with particular attention to sustainability issues and the application of circular economy principles. The survey results were analyzed from both a descriptive and quantitative point of view with the aim to check the different perceptions as regards sustainable fashion and circular economy in fashion, focusing mainly on the so-called Generation Z. The results of the analysis proved to be consistent with the theoretical framework and confirm the relevance of sustainability issues in the fashion industry today in driving the demand of Generation Z, by considering a gender perspective. Moreover, the circular economy is descriptively analyzed with the aim to understand the relevance of the different facets for the entire sample of respondents.","author":[{"dropping-particle":"","family":"Gazzola","given":"Patrizia","non-dropping-particle":"","parse-names":false,"suffix":""},{"dropping-particle":"","family":"Pavione","given":"Enrica","non-dropping-particle":"","parse-names":false,"suffix":""},{"dropping-particle":"","family":"Pezzetti","given":"Roberta","non-dropping-particle":"","parse-names":false,"suffix":""},{"dropping-particle":"","family":"Grechi","given":"Daniele","non-dropping-particle":"","parse-names":false,"suffix":""}],"container-title":"Sustainability (Switzerland)","id":"ITEM-1","issue":"7","issued":{"date-parts":[["2020"]]},"page":"1-19","title":"Trends in the fashion industry. The perception of sustainability and circular economy: A gender/generation quantitative approach","type":"article-journal","volume":"12"},"uris":["http://www.mendeley.com/documents/?uuid=867a9023-c493-446d-82bb-d523392feb85"]}],"mendeley":{"formattedCitation":"(Gazzola et al., 2020)","plainTextFormattedCitation":"(Gazzola et al., 2020)","previouslyFormattedCitation":"(Gazzola et al., 2020)"},"properties":{"noteIndex":0},"schema":"https://github.com/citation-style-language/schema/raw/master/csl-citation.json"}</w:instrText>
      </w:r>
      <w:r w:rsidR="004C6298">
        <w:rPr>
          <w:sz w:val="22"/>
          <w:szCs w:val="22"/>
        </w:rPr>
        <w:fldChar w:fldCharType="separate"/>
      </w:r>
      <w:r w:rsidR="004C6298" w:rsidRPr="004C6298">
        <w:rPr>
          <w:noProof/>
          <w:sz w:val="22"/>
          <w:szCs w:val="22"/>
        </w:rPr>
        <w:t>(Gazzola et al., 2020)</w:t>
      </w:r>
      <w:r w:rsidR="004C6298">
        <w:rPr>
          <w:sz w:val="22"/>
          <w:szCs w:val="22"/>
        </w:rPr>
        <w:fldChar w:fldCharType="end"/>
      </w:r>
      <w:r w:rsidRPr="00FA6807">
        <w:rPr>
          <w:sz w:val="22"/>
          <w:szCs w:val="22"/>
        </w:rPr>
        <w:t>.</w:t>
      </w:r>
    </w:p>
    <w:p w14:paraId="5C8368D5" w14:textId="7C9FC9B7" w:rsidR="00FA6807" w:rsidRPr="00FA6807" w:rsidRDefault="00FA6807" w:rsidP="00FA6807">
      <w:pPr>
        <w:pStyle w:val="Els-body-text"/>
        <w:ind w:right="-28"/>
        <w:rPr>
          <w:sz w:val="22"/>
          <w:szCs w:val="22"/>
        </w:rPr>
      </w:pPr>
      <w:r w:rsidRPr="00FA6807">
        <w:rPr>
          <w:sz w:val="22"/>
          <w:szCs w:val="22"/>
        </w:rPr>
        <w:t>In Indonesia, the fashion industry has also experienced rapid growth. As the fourth most populous country in the world, the textile industry is one of the key sectors supporting the national economy</w:t>
      </w:r>
      <w:r w:rsidR="004C6298">
        <w:rPr>
          <w:sz w:val="22"/>
          <w:szCs w:val="22"/>
        </w:rPr>
        <w:t xml:space="preserve"> </w:t>
      </w:r>
      <w:r w:rsidR="004C6298">
        <w:rPr>
          <w:sz w:val="22"/>
          <w:szCs w:val="22"/>
        </w:rPr>
        <w:fldChar w:fldCharType="begin" w:fldLock="1"/>
      </w:r>
      <w:r w:rsidR="004C6298">
        <w:rPr>
          <w:sz w:val="22"/>
          <w:szCs w:val="22"/>
        </w:rPr>
        <w:instrText>ADDIN CSL_CITATION {"citationItems":[{"id":"ITEM-1","itemData":{"URL":"https://www.worldometers.info/world-population/indonesia-population/","author":[{"dropping-particle":"","family":"Worldometers","given":"","non-dropping-particle":"","parse-names":false,"suffix":""}],"container-title":"worldometer","id":"ITEM-1","issued":{"date-parts":[["2023"]]},"title":"Indonesia Population","type":"webpage"},"uris":["http://www.mendeley.com/documents/?uuid=b9a89657-93a5-4ae9-ae38-67fc3ce6b09b"]}],"mendeley":{"formattedCitation":"(Worldometers, 2023)","plainTextFormattedCitation":"(Worldometers, 2023)","previouslyFormattedCitation":"(Worldometers, 2023)"},"properties":{"noteIndex":0},"schema":"https://github.com/citation-style-language/schema/raw/master/csl-citation.json"}</w:instrText>
      </w:r>
      <w:r w:rsidR="004C6298">
        <w:rPr>
          <w:sz w:val="22"/>
          <w:szCs w:val="22"/>
        </w:rPr>
        <w:fldChar w:fldCharType="separate"/>
      </w:r>
      <w:r w:rsidR="004C6298" w:rsidRPr="004C6298">
        <w:rPr>
          <w:noProof/>
          <w:sz w:val="22"/>
          <w:szCs w:val="22"/>
        </w:rPr>
        <w:t>(Worldometers, 2023)</w:t>
      </w:r>
      <w:r w:rsidR="004C6298">
        <w:rPr>
          <w:sz w:val="22"/>
          <w:szCs w:val="22"/>
        </w:rPr>
        <w:fldChar w:fldCharType="end"/>
      </w:r>
      <w:r w:rsidRPr="00FA6807">
        <w:rPr>
          <w:sz w:val="22"/>
          <w:szCs w:val="22"/>
        </w:rPr>
        <w:t>. However, this expansion has also led to an increase in textile waste, which currently constitutes 2.5% of the total national waste volume</w:t>
      </w:r>
      <w:r w:rsidR="004C6298">
        <w:rPr>
          <w:sz w:val="22"/>
          <w:szCs w:val="22"/>
        </w:rPr>
        <w:t xml:space="preserve"> </w:t>
      </w:r>
      <w:r w:rsidR="004C6298">
        <w:rPr>
          <w:sz w:val="22"/>
          <w:szCs w:val="22"/>
        </w:rPr>
        <w:fldChar w:fldCharType="begin" w:fldLock="1"/>
      </w:r>
      <w:r w:rsidR="00C52E06">
        <w:rPr>
          <w:sz w:val="22"/>
          <w:szCs w:val="22"/>
        </w:rPr>
        <w:instrText>ADDIN CSL_CITATION {"citationItems":[{"id":"ITEM-1","itemData":{"URL":"https://goodstats.id/article/sampah-pakaian-makin-banyak-saatnya-sudahi-konsumsi-fast-fashion-BX10s","author":[{"dropping-particle":"","family":"National Waste Management Information System","given":"","non-dropping-particle":"","parse-names":false,"suffix":""}],"container-title":"GoodStats","id":"ITEM-1","issued":{"date-parts":[["2022"]]},"title":"Sampah Pakaian Makin Banyak, Saatnya Sudahi Konsumsi Fast Fashion","type":"webpage"},"uris":["http://www.mendeley.com/documents/?uuid=87e957bf-9168-4474-b27f-6ee40ae56ff4"]}],"mendeley":{"formattedCitation":"(National Waste Management Information System, 2022)","plainTextFormattedCitation":"(National Waste Management Information System, 2022)","previouslyFormattedCitation":"(National Waste Management Information System, 2022)"},"properties":{"noteIndex":0},"schema":"https://github.com/citation-style-language/schema/raw/master/csl-citation.json"}</w:instrText>
      </w:r>
      <w:r w:rsidR="004C6298">
        <w:rPr>
          <w:sz w:val="22"/>
          <w:szCs w:val="22"/>
        </w:rPr>
        <w:fldChar w:fldCharType="separate"/>
      </w:r>
      <w:r w:rsidR="004C6298" w:rsidRPr="004C6298">
        <w:rPr>
          <w:noProof/>
          <w:sz w:val="22"/>
          <w:szCs w:val="22"/>
        </w:rPr>
        <w:t>(National Waste Management Information System, 2022)</w:t>
      </w:r>
      <w:r w:rsidR="004C6298">
        <w:rPr>
          <w:sz w:val="22"/>
          <w:szCs w:val="22"/>
        </w:rPr>
        <w:fldChar w:fldCharType="end"/>
      </w:r>
      <w:r w:rsidRPr="00FA6807">
        <w:rPr>
          <w:sz w:val="22"/>
          <w:szCs w:val="22"/>
        </w:rPr>
        <w:t>. If this trend continues, the negative environmental impact will become even more severe and difficult to control.</w:t>
      </w:r>
    </w:p>
    <w:p w14:paraId="3859928A" w14:textId="14BD1C88" w:rsidR="00FA6807" w:rsidRPr="00FA6807" w:rsidRDefault="00FA6807" w:rsidP="00FA6807">
      <w:pPr>
        <w:pStyle w:val="Els-body-text"/>
        <w:ind w:right="-28"/>
        <w:rPr>
          <w:sz w:val="22"/>
          <w:szCs w:val="22"/>
        </w:rPr>
      </w:pPr>
      <w:r w:rsidRPr="00FA6807">
        <w:rPr>
          <w:sz w:val="22"/>
          <w:szCs w:val="22"/>
        </w:rPr>
        <w:t>As awareness of the environmental impact of fast fashion increases, the concept of sustainable fashion has emerged as an alternative solution. Sustainable fashion promotes higher-quality products with longer lifespans and the use of more environmentally friendly materials</w:t>
      </w:r>
      <w:r w:rsidR="00C52E06">
        <w:rPr>
          <w:sz w:val="22"/>
          <w:szCs w:val="22"/>
        </w:rPr>
        <w:t xml:space="preserve"> </w:t>
      </w:r>
      <w:r w:rsidR="00C52E06">
        <w:rPr>
          <w:sz w:val="22"/>
          <w:szCs w:val="22"/>
        </w:rPr>
        <w:fldChar w:fldCharType="begin" w:fldLock="1"/>
      </w:r>
      <w:r w:rsidR="00C52E06">
        <w:rPr>
          <w:sz w:val="22"/>
          <w:szCs w:val="22"/>
        </w:rPr>
        <w:instrText>ADDIN CSL_CITATION {"citationItems":[{"id":"ITEM-1","itemData":{"DOI":"10.3390/su10072270","ISSN":"20711050","abstract":"The study seeks to explore and synthesize current issues in Slow Fashion and discuss potential future directions of the industry. While there are multiple definitions of the term, Slow Fashion typically describes long-lasting, locally manufactured clothing, primarily made from sustainably sourced fair-trade fabrics. It affords latitude to individual style, fosters education about clothing and emphasizes durability. While several challenges regarding the implementation of Slow Fashion principles in current society remain, the study offers an overview of the current state, and presents a fashion matrix-based framework for outlining the position of the Slow Fashion movement within industry-specific fashion segments and uses the matrix to present current knowledge and review future challenges. The support of networks serves as an indispensable tool for Slow Fashion designers, keeping them abreast of the competition.","author":[{"dropping-particle":"","family":"Štefko","given":"Róbert","non-dropping-particle":"","parse-names":false,"suffix":""},{"dropping-particle":"","family":"Steffek","given":"Vladimira","non-dropping-particle":"","parse-names":false,"suffix":""}],"container-title":"Sustainability (Switzerland)","id":"ITEM-1","issue":"7","issued":{"date-parts":[["2018"]]},"page":"1-11","title":"Key issues in Slow Fashion: Current challenges and future perspectives","type":"article-journal","volume":"10"},"uris":["http://www.mendeley.com/documents/?uuid=44a765cb-5ee1-4722-87a6-7b8799a8586f"]}],"mendeley":{"formattedCitation":"(Štefko &amp; Steffek, 2018)","plainTextFormattedCitation":"(Štefko &amp; Steffek, 2018)","previouslyFormattedCitation":"(Štefko &amp; Steffek, 2018)"},"properties":{"noteIndex":0},"schema":"https://github.com/citation-style-language/schema/raw/master/csl-citation.json"}</w:instrText>
      </w:r>
      <w:r w:rsidR="00C52E06">
        <w:rPr>
          <w:sz w:val="22"/>
          <w:szCs w:val="22"/>
        </w:rPr>
        <w:fldChar w:fldCharType="separate"/>
      </w:r>
      <w:r w:rsidR="00C52E06" w:rsidRPr="00C52E06">
        <w:rPr>
          <w:noProof/>
          <w:sz w:val="22"/>
          <w:szCs w:val="22"/>
        </w:rPr>
        <w:t>(Štefko &amp; Steffek, 2018)</w:t>
      </w:r>
      <w:r w:rsidR="00C52E06">
        <w:rPr>
          <w:sz w:val="22"/>
          <w:szCs w:val="22"/>
        </w:rPr>
        <w:fldChar w:fldCharType="end"/>
      </w:r>
      <w:r w:rsidRPr="00FA6807">
        <w:rPr>
          <w:sz w:val="22"/>
          <w:szCs w:val="22"/>
        </w:rPr>
        <w:t>. However, public awareness of sustainable fashion remains relatively low. Studies indicate that only 28% of Indonesians have a deep understanding of sustainable fashion products</w:t>
      </w:r>
      <w:r w:rsidR="00C52E06">
        <w:rPr>
          <w:sz w:val="22"/>
          <w:szCs w:val="22"/>
        </w:rPr>
        <w:t xml:space="preserve"> </w:t>
      </w:r>
      <w:r w:rsidR="00C52E06">
        <w:rPr>
          <w:sz w:val="22"/>
          <w:szCs w:val="22"/>
        </w:rPr>
        <w:fldChar w:fldCharType="begin" w:fldLock="1"/>
      </w:r>
      <w:r w:rsidR="00C52E06">
        <w:rPr>
          <w:sz w:val="22"/>
          <w:szCs w:val="22"/>
        </w:rPr>
        <w:instrText>ADDIN CSL_CITATION {"citationItems":[{"id":"ITEM-1","itemData":{"URL":"https://databoks.katadata.co.id/press-release/2021/11/30/survei-kic-baru-28-persen-konsumen-memahami-produk-hijau","author":[{"dropping-particle":"","family":"Katadata Insight Center","given":"","non-dropping-particle":"","parse-names":false,"suffix":""}],"container-title":"databoks","id":"ITEM-1","issued":{"date-parts":[["2021"]]},"title":"Survei KIC: Baru 28 Persen Konsumen Memahami Produk Hijau","type":"webpage"},"uris":["http://www.mendeley.com/documents/?uuid=10bd5867-f520-4f8b-b924-5e76d779f84d"]}],"mendeley":{"formattedCitation":"(Katadata Insight Center, 2021)","plainTextFormattedCitation":"(Katadata Insight Center, 2021)","previouslyFormattedCitation":"(Katadata Insight Center, 2021)"},"properties":{"noteIndex":0},"schema":"https://github.com/citation-style-language/schema/raw/master/csl-citation.json"}</w:instrText>
      </w:r>
      <w:r w:rsidR="00C52E06">
        <w:rPr>
          <w:sz w:val="22"/>
          <w:szCs w:val="22"/>
        </w:rPr>
        <w:fldChar w:fldCharType="separate"/>
      </w:r>
      <w:r w:rsidR="00C52E06" w:rsidRPr="00C52E06">
        <w:rPr>
          <w:noProof/>
          <w:sz w:val="22"/>
          <w:szCs w:val="22"/>
        </w:rPr>
        <w:t>(Katadata Insight Center, 2021)</w:t>
      </w:r>
      <w:r w:rsidR="00C52E06">
        <w:rPr>
          <w:sz w:val="22"/>
          <w:szCs w:val="22"/>
        </w:rPr>
        <w:fldChar w:fldCharType="end"/>
      </w:r>
      <w:r w:rsidRPr="00FA6807">
        <w:rPr>
          <w:sz w:val="22"/>
          <w:szCs w:val="22"/>
        </w:rPr>
        <w:t>. Therefore, effective green marketing strategies are needed to enhance consumer awareness and interest in sustainable fashion.</w:t>
      </w:r>
    </w:p>
    <w:p w14:paraId="5F5785D5" w14:textId="088780D0" w:rsidR="00FA6807" w:rsidRPr="00FA6807" w:rsidRDefault="00FA6807" w:rsidP="00FA6807">
      <w:pPr>
        <w:pStyle w:val="Els-body-text"/>
        <w:ind w:right="-28"/>
        <w:rPr>
          <w:sz w:val="22"/>
          <w:szCs w:val="22"/>
        </w:rPr>
      </w:pPr>
      <w:r w:rsidRPr="00FA6807">
        <w:rPr>
          <w:sz w:val="22"/>
          <w:szCs w:val="22"/>
        </w:rPr>
        <w:t>Research by</w:t>
      </w:r>
      <w:r w:rsidR="00C52E06">
        <w:rPr>
          <w:sz w:val="22"/>
          <w:szCs w:val="22"/>
        </w:rPr>
        <w:t xml:space="preserve"> </w:t>
      </w:r>
      <w:r w:rsidR="00C52E06">
        <w:rPr>
          <w:sz w:val="22"/>
          <w:szCs w:val="22"/>
        </w:rPr>
        <w:fldChar w:fldCharType="begin" w:fldLock="1"/>
      </w:r>
      <w:r w:rsidR="00F4517D">
        <w:rPr>
          <w:sz w:val="22"/>
          <w:szCs w:val="22"/>
        </w:rPr>
        <w:instrText>ADDIN CSL_CITATION {"citationItems":[{"id":"ITEM-1","itemData":{"DOI":"10.31274/itaa.8830","abstract":"TGNC is an umbrella term for a community of people whose gender expression does not align with the cultural expectations of their assigned sex at birth (Center for LGBTQIA+ Student Success, 2019). There are numerous ways people in the TGNC community experience and navigate their gender, gender expression, and gender roles. Some individuals have a desire and interest in transitioning and \"passing\" as another gender, while other individuals may feel a rejection to the binary-gender system. Overall, there are numerous identities that fall under the TGNC umbrella that people identify within (Tate, Ledbetter, &amp; Youssef, 2013). In this study, we examine TGNC individual's experiences with the negotiation of identity through different embodied practices while traveling to different geographic locations. There has been significant literature in tourism on the experiences of the lesbian, gay, bisexual, and/or queer people, (i.e., Therkelsen et al., 2013; Vorobjovas-Pinta &amp; Robards, 2017) in addition to more recent work on traveling experiences of TGNC individuals (Olson &amp; Reddy-Best, 2019). Yet, there is a lack of research examining the intersections of travel, appearance, and the body for TGNC individuals. Using Foucault's (1977) concept of panopticism, we explore the relationships between power, the perceived viewer, and TGNC bodies and bodily practices. How are bodies monitored and how does this impact negotiations of identity through dress when moving into familiar or unfamiliar spaces? Focault (1975) offers the concept of panopticism by arguing that the shape of the early 18 th century prism system in which the central panoptic-shaped tower and the surrounding circular cells with prison mates serves as a metaphor for controlled power and surveillance. In this sense, the prisoners are constantly unaware of their surveillance status and thus regulating their own behavior due to the outside system. We use a Foucauldian discourse analysis focusing on power relationships between TGNC individuals, their embodied practices, and society. Due to the limited research on TGNC individual's experiences with appearance negotiation, we used a qualitative approach where we conducted 14 in-depth interviews after approval from the Institutional Review Board. This study is part of a larger study where we were examining TGNC individual's experiences with traveling and appearance-related practices. We invited participants who were 18 years or older, identified in the TGNC commun…","author":[{"dropping-particle":"","family":"Cameron","given":"Bruce","non-dropping-particle":"","parse-names":false,"suffix":""},{"dropping-particle":"","family":"Kafi","given":"Abdullahil","non-dropping-particle":"","parse-names":false,"suffix":""}],"id":"ITEM-1","issued":{"date-parts":[["2019","1","1"]]},"number-of-pages":"3-5","title":"Investigating Consumers Online Clothing Buying Behavior Through the Lens of Extended Unified Theory of Acceptance and the Use of Technology","type":"report"},"uris":["http://www.mendeley.com/documents/?uuid=4e468cba-1022-4a9b-913c-ff37a1d145ae"]}],"mendeley":{"formattedCitation":"(Cameron &amp; Kafi, 2019)","plainTextFormattedCitation":"(Cameron &amp; Kafi, 2019)","previouslyFormattedCitation":"(Cameron &amp; Kafi, 2019)"},"properties":{"noteIndex":0},"schema":"https://github.com/citation-style-language/schema/raw/master/csl-citation.json"}</w:instrText>
      </w:r>
      <w:r w:rsidR="00C52E06">
        <w:rPr>
          <w:sz w:val="22"/>
          <w:szCs w:val="22"/>
        </w:rPr>
        <w:fldChar w:fldCharType="separate"/>
      </w:r>
      <w:r w:rsidR="00C52E06" w:rsidRPr="00C52E06">
        <w:rPr>
          <w:noProof/>
          <w:sz w:val="22"/>
          <w:szCs w:val="22"/>
        </w:rPr>
        <w:t>(Cameron &amp; Kafi, 2019)</w:t>
      </w:r>
      <w:r w:rsidR="00C52E06">
        <w:rPr>
          <w:sz w:val="22"/>
          <w:szCs w:val="22"/>
        </w:rPr>
        <w:fldChar w:fldCharType="end"/>
      </w:r>
      <w:r w:rsidRPr="00FA6807">
        <w:rPr>
          <w:sz w:val="22"/>
          <w:szCs w:val="22"/>
        </w:rPr>
        <w:t xml:space="preserve"> highlights that global consumers are becoming increasingly aware of the importance of transparency in clothing production processes. Environmentally conscious consumers tend to prefer brands that implement sustainability principles. Although eco-friendly fashion trends are gaining traction, the compound annual growth rate (CAGR) in this sector declined by -3.24% in 2020</w:t>
      </w:r>
      <w:r w:rsidR="00C52E06">
        <w:rPr>
          <w:sz w:val="22"/>
          <w:szCs w:val="22"/>
        </w:rPr>
        <w:t xml:space="preserve"> </w:t>
      </w:r>
      <w:r w:rsidR="00C52E06">
        <w:rPr>
          <w:sz w:val="22"/>
          <w:szCs w:val="22"/>
        </w:rPr>
        <w:fldChar w:fldCharType="begin" w:fldLock="1"/>
      </w:r>
      <w:r w:rsidR="00AE2295">
        <w:rPr>
          <w:sz w:val="22"/>
          <w:szCs w:val="22"/>
        </w:rPr>
        <w:instrText>ADDIN CSL_CITATION {"citationItems":[{"id":"ITEM-1","itemData":{"URL":"https://www.businesswire.com/news/home/20200619005202/en/Global-Ethical-Fashion-Market-to-Reach-8.25-Billion-by-2023-COVID-19-Adjusted---ResearchAndMarkets.com","author":[{"dropping-particle":"","family":"Business Wire","given":"","non-dropping-particle":"","parse-names":false,"suffix":""}],"container-title":"businesswire","id":"ITEM-1","issued":{"date-parts":[["2020"]]},"title":"Global Ethical Fashion Market to Reach $8.25 Billion by 2023 (COVID-19 Adjusted)","type":"webpage"},"uris":["http://www.mendeley.com/documents/?uuid=e01b20e9-48a9-4119-9aed-70621a6c0020"]}],"mendeley":{"formattedCitation":"(Business Wire, 2020)","plainTextFormattedCitation":"(Business Wire, 2020)","previouslyFormattedCitation":"(Business Wire, 2020)"},"properties":{"noteIndex":0},"schema":"https://github.com/citation-style-language/schema/raw/master/csl-citation.json"}</w:instrText>
      </w:r>
      <w:r w:rsidR="00C52E06">
        <w:rPr>
          <w:sz w:val="22"/>
          <w:szCs w:val="22"/>
        </w:rPr>
        <w:fldChar w:fldCharType="separate"/>
      </w:r>
      <w:r w:rsidR="00C52E06" w:rsidRPr="00C52E06">
        <w:rPr>
          <w:noProof/>
          <w:sz w:val="22"/>
          <w:szCs w:val="22"/>
        </w:rPr>
        <w:t>(Business Wire, 2020)</w:t>
      </w:r>
      <w:r w:rsidR="00C52E06">
        <w:rPr>
          <w:sz w:val="22"/>
          <w:szCs w:val="22"/>
        </w:rPr>
        <w:fldChar w:fldCharType="end"/>
      </w:r>
      <w:r w:rsidRPr="00FA6807">
        <w:rPr>
          <w:sz w:val="22"/>
          <w:szCs w:val="22"/>
        </w:rPr>
        <w:t>. This indicates ongoing challenges in educating consumers and fostering collective awareness of responsible consumption.</w:t>
      </w:r>
    </w:p>
    <w:p w14:paraId="3BB62415" w14:textId="3D6D5DC0" w:rsidR="00FA6807" w:rsidRPr="00FA6807" w:rsidRDefault="00FA6807" w:rsidP="00FA6807">
      <w:pPr>
        <w:pStyle w:val="Els-body-text"/>
        <w:ind w:right="-28"/>
        <w:rPr>
          <w:sz w:val="22"/>
          <w:szCs w:val="22"/>
        </w:rPr>
      </w:pPr>
      <w:r w:rsidRPr="00FA6807">
        <w:rPr>
          <w:sz w:val="22"/>
          <w:szCs w:val="22"/>
        </w:rPr>
        <w:t>As one of the leading global fast fashion brands, Uniqlo has begun transitioning to more sustainable business practices through green marketing strategies and environmental awareness campaigns. However, the company faces several challenges in maintaining consumer loyalty. In 2020, Uniqlo's revenue declined by 109.6 billion yen (-26.9% YoY), with an operational loss of 12.7 billion yen</w:t>
      </w:r>
      <w:r w:rsidR="00AE2295">
        <w:rPr>
          <w:sz w:val="22"/>
          <w:szCs w:val="22"/>
        </w:rPr>
        <w:t xml:space="preserve"> </w:t>
      </w:r>
      <w:r w:rsidR="00AE2295">
        <w:rPr>
          <w:sz w:val="22"/>
          <w:szCs w:val="22"/>
        </w:rPr>
        <w:fldChar w:fldCharType="begin" w:fldLock="1"/>
      </w:r>
      <w:r w:rsidR="00AE2295">
        <w:rPr>
          <w:sz w:val="22"/>
          <w:szCs w:val="22"/>
        </w:rPr>
        <w:instrText>ADDIN CSL_CITATION {"citationItems":[{"id":"ITEM-1","itemData":{"URL":"https://www.fastretailing.com/eng/ir/news/2210131800.html","author":[{"dropping-particle":"","family":"Fast Retailing","given":"","non-dropping-particle":"","parse-names":false,"suffix":""}],"container-title":"fast retailing","id":"ITEM-1","issued":{"date-parts":[["2022"]]},"title":"Results Summary for Fiscal 2022 (Year to August 31, 2022)","type":"webpage"},"uris":["http://www.mendeley.com/documents/?uuid=7807b652-d203-4273-949a-e19911ad6846"]}],"mendeley":{"formattedCitation":"(Fast Retailing, 2022)","plainTextFormattedCitation":"(Fast Retailing, 2022)","previouslyFormattedCitation":"(Fast Retailing, 2022)"},"properties":{"noteIndex":0},"schema":"https://github.com/citation-style-language/schema/raw/master/csl-citation.json"}</w:instrText>
      </w:r>
      <w:r w:rsidR="00AE2295">
        <w:rPr>
          <w:sz w:val="22"/>
          <w:szCs w:val="22"/>
        </w:rPr>
        <w:fldChar w:fldCharType="separate"/>
      </w:r>
      <w:r w:rsidR="00AE2295" w:rsidRPr="00AE2295">
        <w:rPr>
          <w:noProof/>
          <w:sz w:val="22"/>
          <w:szCs w:val="22"/>
        </w:rPr>
        <w:t>(Fast Retailing, 2022)</w:t>
      </w:r>
      <w:r w:rsidR="00AE2295">
        <w:rPr>
          <w:sz w:val="22"/>
          <w:szCs w:val="22"/>
        </w:rPr>
        <w:fldChar w:fldCharType="end"/>
      </w:r>
      <w:r w:rsidRPr="00FA6807">
        <w:rPr>
          <w:sz w:val="22"/>
          <w:szCs w:val="22"/>
        </w:rPr>
        <w:t xml:space="preserve">. This downward trend continued in 2022, with a 17.4% drop in operating profit </w:t>
      </w:r>
      <w:r w:rsidR="00AE2295">
        <w:rPr>
          <w:sz w:val="22"/>
          <w:szCs w:val="22"/>
        </w:rPr>
        <w:fldChar w:fldCharType="begin" w:fldLock="1"/>
      </w:r>
      <w:r w:rsidR="00AE2295">
        <w:rPr>
          <w:sz w:val="22"/>
          <w:szCs w:val="22"/>
        </w:rPr>
        <w:instrText>ADDIN CSL_CITATION {"citationItems":[{"id":"ITEM-1","itemData":{"URL":"https://www.fastretailing.com/eng/ir/news/2210131800.html","author":[{"dropping-particle":"","family":"Fast Retailing","given":"","non-dropping-particle":"","parse-names":false,"suffix":""}],"container-title":"fast retailing","id":"ITEM-1","issued":{"date-parts":[["2022"]]},"title":"Results Summary for Fiscal 2022 (Year to August 31, 2022)","type":"webpage"},"uris":["http://www.mendeley.com/documents/?uuid=7807b652-d203-4273-949a-e19911ad6846"]}],"mendeley":{"formattedCitation":"(Fast Retailing, 2022)","plainTextFormattedCitation":"(Fast Retailing, 2022)","previouslyFormattedCitation":"(Fast Retailing, 2022)"},"properties":{"noteIndex":0},"schema":"https://github.com/citation-style-language/schema/raw/master/csl-citation.json"}</w:instrText>
      </w:r>
      <w:r w:rsidR="00AE2295">
        <w:rPr>
          <w:sz w:val="22"/>
          <w:szCs w:val="22"/>
        </w:rPr>
        <w:fldChar w:fldCharType="separate"/>
      </w:r>
      <w:r w:rsidR="00AE2295" w:rsidRPr="00AE2295">
        <w:rPr>
          <w:noProof/>
          <w:sz w:val="22"/>
          <w:szCs w:val="22"/>
        </w:rPr>
        <w:t>(Fast Retailing, 2022)</w:t>
      </w:r>
      <w:r w:rsidR="00AE2295">
        <w:rPr>
          <w:sz w:val="22"/>
          <w:szCs w:val="22"/>
        </w:rPr>
        <w:fldChar w:fldCharType="end"/>
      </w:r>
      <w:r w:rsidRPr="00FA6807">
        <w:rPr>
          <w:sz w:val="22"/>
          <w:szCs w:val="22"/>
        </w:rPr>
        <w:t xml:space="preserve">. Several factors contributed to this decline, including consumer dissatisfaction with products, changes in consumption patterns due to the pandemic, and increasing demand for more sustainable fashion products </w:t>
      </w:r>
      <w:r w:rsidR="00AE2295">
        <w:rPr>
          <w:sz w:val="22"/>
          <w:szCs w:val="22"/>
        </w:rPr>
        <w:fldChar w:fldCharType="begin" w:fldLock="1"/>
      </w:r>
      <w:r w:rsidR="00AE2295">
        <w:rPr>
          <w:sz w:val="22"/>
          <w:szCs w:val="22"/>
        </w:rPr>
        <w:instrText>ADDIN CSL_CITATION {"citationItems":[{"id":"ITEM-1","itemData":{"ISSN":"2807-4246","abstract":"This research is purposed to examine the relationship between service quality, customer trust, and customer satisfaction on Uniqlo customer loyalty. The analysis unit in this research is the individual, namely customers who have made purchases at Uniqlo more than three times. The data collecting technique in this study were a survey method with the collecting tool being a questionnaire. The results of this study are service quality, customer trust, and customer satisfaction towards customer loyalty.","author":[{"dropping-particle":"","family":"Fatihah","given":"Mutiara","non-dropping-particle":"","parse-names":false,"suffix":""}],"container-title":"Journal Of Social Science Research","id":"ITEM-1","issue":"2","issued":{"date-parts":[["2023"]]},"page":"14180-14191","title":"The Influence Of Service Quality, Customer Trust, And Customer Satisfaction On Uniqlo's Customer Loyalty","type":"article-journal","volume":"3"},"uris":["http://www.mendeley.com/documents/?uuid=fd0023f1-f330-4be0-9294-473c39bfc336"]}],"mendeley":{"formattedCitation":"(Fatihah, 2023)","plainTextFormattedCitation":"(Fatihah, 2023)","previouslyFormattedCitation":"(Fatihah, 2023)"},"properties":{"noteIndex":0},"schema":"https://github.com/citation-style-language/schema/raw/master/csl-citation.json"}</w:instrText>
      </w:r>
      <w:r w:rsidR="00AE2295">
        <w:rPr>
          <w:sz w:val="22"/>
          <w:szCs w:val="22"/>
        </w:rPr>
        <w:fldChar w:fldCharType="separate"/>
      </w:r>
      <w:r w:rsidR="00AE2295" w:rsidRPr="00AE2295">
        <w:rPr>
          <w:noProof/>
          <w:sz w:val="22"/>
          <w:szCs w:val="22"/>
        </w:rPr>
        <w:t>(Fatihah, 2023)</w:t>
      </w:r>
      <w:r w:rsidR="00AE2295">
        <w:rPr>
          <w:sz w:val="22"/>
          <w:szCs w:val="22"/>
        </w:rPr>
        <w:fldChar w:fldCharType="end"/>
      </w:r>
      <w:r w:rsidRPr="00FA6807">
        <w:rPr>
          <w:sz w:val="22"/>
          <w:szCs w:val="22"/>
        </w:rPr>
        <w:t>.</w:t>
      </w:r>
    </w:p>
    <w:p w14:paraId="0E786844" w14:textId="44B162B2" w:rsidR="00EB51FC" w:rsidRPr="00D96421" w:rsidRDefault="00FA6807" w:rsidP="00FA6807">
      <w:pPr>
        <w:pStyle w:val="Els-body-text"/>
        <w:ind w:right="-28"/>
        <w:rPr>
          <w:sz w:val="22"/>
          <w:szCs w:val="22"/>
        </w:rPr>
      </w:pPr>
      <w:r w:rsidRPr="00FA6807">
        <w:rPr>
          <w:sz w:val="22"/>
          <w:szCs w:val="22"/>
        </w:rPr>
        <w:t xml:space="preserve">In response to shifting consumer behavior trends post-pandemic, Uniqlo launched the "Unlocking </w:t>
      </w:r>
      <w:proofErr w:type="gramStart"/>
      <w:r w:rsidRPr="00FA6807">
        <w:rPr>
          <w:sz w:val="22"/>
          <w:szCs w:val="22"/>
        </w:rPr>
        <w:t>The</w:t>
      </w:r>
      <w:proofErr w:type="gramEnd"/>
      <w:r w:rsidRPr="00FA6807">
        <w:rPr>
          <w:sz w:val="22"/>
          <w:szCs w:val="22"/>
        </w:rPr>
        <w:t xml:space="preserve"> Power of Clothing" initiative in 2021. This campaign aims to reinforce the company's commitment to sustainability by incorporating recycled materials, reducing production waste, and implementing clothing recycling programs</w:t>
      </w:r>
      <w:r w:rsidR="00AE2295">
        <w:rPr>
          <w:sz w:val="22"/>
          <w:szCs w:val="22"/>
        </w:rPr>
        <w:t xml:space="preserve"> </w:t>
      </w:r>
      <w:r w:rsidR="00AE2295">
        <w:rPr>
          <w:sz w:val="22"/>
          <w:szCs w:val="22"/>
        </w:rPr>
        <w:fldChar w:fldCharType="begin" w:fldLock="1"/>
      </w:r>
      <w:r w:rsidR="0091359B">
        <w:rPr>
          <w:sz w:val="22"/>
          <w:szCs w:val="22"/>
        </w:rPr>
        <w:instrText>ADDIN CSL_CITATION {"citationItems":[{"id":"ITEM-1","itemData":{"author":[{"dropping-particle":"","family":"Uniqlo Sustainabilty Report","given":"","non-dropping-particle":"","parse-names":false,"suffix":""}],"id":"ITEM-1","issued":{"date-parts":[["2022"]]},"title":"Uniqlo Sustainabilty Report","type":"article-journal"},"uris":["http://www.mendeley.com/documents/?uuid=b461eef6-149b-4091-a751-f5bef2cd5732"]}],"mendeley":{"formattedCitation":"(Uniqlo Sustainabilty Report, 2022)","plainTextFormattedCitation":"(Uniqlo Sustainabilty Report, 2022)","previouslyFormattedCitation":"(Uniqlo Sustainabilty Report, 2022)"},"properties":{"noteIndex":0},"schema":"https://github.com/citation-style-language/schema/raw/master/csl-citation.json"}</w:instrText>
      </w:r>
      <w:r w:rsidR="00AE2295">
        <w:rPr>
          <w:sz w:val="22"/>
          <w:szCs w:val="22"/>
        </w:rPr>
        <w:fldChar w:fldCharType="separate"/>
      </w:r>
      <w:r w:rsidR="00AE2295" w:rsidRPr="00AE2295">
        <w:rPr>
          <w:noProof/>
          <w:sz w:val="22"/>
          <w:szCs w:val="22"/>
        </w:rPr>
        <w:t>(Uniqlo Sustainabilty Report, 2022)</w:t>
      </w:r>
      <w:r w:rsidR="00AE2295">
        <w:rPr>
          <w:sz w:val="22"/>
          <w:szCs w:val="22"/>
        </w:rPr>
        <w:fldChar w:fldCharType="end"/>
      </w:r>
      <w:r w:rsidRPr="00FA6807">
        <w:rPr>
          <w:sz w:val="22"/>
          <w:szCs w:val="22"/>
        </w:rPr>
        <w:t>. However, further research is needed to evaluate the effectiveness of these strategies in enhancing consumer loyalty and satisfaction. By understanding the factors influencing consumer behavior and the effectiveness of green marketing strategies, this research aims to contribute to the development of a more environmentally responsible fashion industry that prioritizes long-term sustainability.</w:t>
      </w:r>
    </w:p>
    <w:p w14:paraId="3C44AB6E" w14:textId="205E3603" w:rsidR="00EB51FC" w:rsidRPr="00D96421" w:rsidRDefault="00FA6807" w:rsidP="00EB51FC">
      <w:pPr>
        <w:pStyle w:val="Els-1storder-head"/>
        <w:rPr>
          <w:sz w:val="24"/>
          <w:szCs w:val="24"/>
        </w:rPr>
      </w:pPr>
      <w:r>
        <w:rPr>
          <w:sz w:val="24"/>
          <w:szCs w:val="24"/>
        </w:rPr>
        <w:lastRenderedPageBreak/>
        <w:t>Conceptual Structure</w:t>
      </w:r>
    </w:p>
    <w:p w14:paraId="317173AD" w14:textId="1A4E86D9" w:rsidR="00EB51FC" w:rsidRDefault="00FA6807" w:rsidP="00EB51FC">
      <w:pPr>
        <w:pStyle w:val="Els-2ndorder-head"/>
        <w:rPr>
          <w:b/>
          <w:i w:val="0"/>
          <w:lang w:val="id-ID"/>
        </w:rPr>
      </w:pPr>
      <w:r>
        <w:rPr>
          <w:b/>
          <w:i w:val="0"/>
        </w:rPr>
        <w:t>Green Marketing, Green Perceived Value and Environmental Concern to Green Satisfaction</w:t>
      </w:r>
    </w:p>
    <w:p w14:paraId="1419B613" w14:textId="3E5F6623" w:rsidR="00C13550" w:rsidRPr="00C13550" w:rsidRDefault="00F4517D" w:rsidP="00C13550">
      <w:pPr>
        <w:pStyle w:val="Els-body-text"/>
        <w:rPr>
          <w:lang w:val="id-ID"/>
        </w:rPr>
      </w:pPr>
      <w:r>
        <w:rPr>
          <w:lang w:val="id-ID"/>
        </w:rPr>
        <w:fldChar w:fldCharType="begin" w:fldLock="1"/>
      </w:r>
      <w:r>
        <w:rPr>
          <w:lang w:val="id-ID"/>
        </w:rPr>
        <w:instrText>ADDIN CSL_CITATION {"citationItems":[{"id":"ITEM-1","itemData":{"abstract":"See, stats, and : https : / / www . researchgate . net / publication / 268502673 The satisfaction Conference CITATIONS 9 READS 5 , 886 2 , including : Dr . Rashad London 268 SEE All - text , letting . Available : Dr . Rashad Retrieved : 25 Abstract . Green revolution , going green , environmental protection , sustainable life style , sustainable development , protecting our earth and many more have become a natural phenomenon in our everyday life . Green marketing is a tool used by many companies in various industries to follow this trend . There have been a lot of literature review on green marketing over the years , this paper analysis the impact of green marketing strategies on customer satisfaction and environmental safety using comprehensive literature review . As a result , this paper can be used by researchers who need to find out the impact of green marketing on customer satisfaction and environmental safety .","author":[{"dropping-particle":"","family":"Yazdanifard","given":"Rashad","non-dropping-particle":"","parse-names":false,"suffix":""},{"dropping-particle":"","family":"Mercy","given":"Igbazua Erdoo","non-dropping-particle":"","parse-names":false,"suffix":""}],"container-title":"International Conference on Computer Communication and Management","id":"ITEM-1","issue":"January 2011","issued":{"date-parts":[["2011"]]},"page":"637-641","title":"The impact of Green Marketing on Customer satisfaction and Envi- ronmental safety","type":"article-journal","volume":"5"},"uris":["http://www.mendeley.com/documents/?uuid=73bd57b7-5090-4826-9cb3-a663d29b5cfa"]}],"mendeley":{"formattedCitation":"(Yazdanifard &amp; Mercy, 2011)","manualFormatting":"Yazdanifard &amp; Mercy (2011)","plainTextFormattedCitation":"(Yazdanifard &amp; Mercy, 2011)","previouslyFormattedCitation":"(Yazdanifard &amp; Mercy, 2011)"},"properties":{"noteIndex":0},"schema":"https://github.com/citation-style-language/schema/raw/master/csl-citation.json"}</w:instrText>
      </w:r>
      <w:r>
        <w:rPr>
          <w:lang w:val="id-ID"/>
        </w:rPr>
        <w:fldChar w:fldCharType="separate"/>
      </w:r>
      <w:r w:rsidRPr="00F4517D">
        <w:rPr>
          <w:noProof/>
          <w:lang w:val="id-ID"/>
        </w:rPr>
        <w:t xml:space="preserve">Yazdanifard &amp; Mercy </w:t>
      </w:r>
      <w:r>
        <w:rPr>
          <w:noProof/>
        </w:rPr>
        <w:t>(</w:t>
      </w:r>
      <w:r w:rsidRPr="00F4517D">
        <w:rPr>
          <w:noProof/>
          <w:lang w:val="id-ID"/>
        </w:rPr>
        <w:t>2011)</w:t>
      </w:r>
      <w:r>
        <w:rPr>
          <w:lang w:val="id-ID"/>
        </w:rPr>
        <w:fldChar w:fldCharType="end"/>
      </w:r>
      <w:r>
        <w:t xml:space="preserve"> </w:t>
      </w:r>
      <w:r w:rsidR="00C13550" w:rsidRPr="00C13550">
        <w:rPr>
          <w:lang w:val="id-ID"/>
        </w:rPr>
        <w:t>found that effective green marketing strategies not only enhance environmental awareness but also positively impact customer satisfaction by adding value to green products. Furthermore</w:t>
      </w:r>
      <w:r>
        <w:t xml:space="preserve">, </w:t>
      </w:r>
      <w:r>
        <w:fldChar w:fldCharType="begin" w:fldLock="1"/>
      </w:r>
      <w:r>
        <w:instrText>ADDIN CSL_CITATION {"citationItems":[{"id":"ITEM-1","itemData":{"author":[{"dropping-particle":"","family":"Suki","given":"Norbayah Mohd","non-dropping-particle":"","parse-names":false,"suffix":""}],"container-title":"Journal of Consumer Behavior","id":"ITEM-1","issue":"5","issued":{"date-parts":[["2019"]]},"page":"392-406","title":"Green product purchase intention: Impact of green perceived value, environmental concern, and green trust","type":"article-journal","volume":"18"},"uris":["http://www.mendeley.com/documents/?uuid=bc1dd336-627d-4931-8f12-dbdeab840a17"]}],"mendeley":{"formattedCitation":"(Suki, 2019)","manualFormatting":"Suki (2019)","plainTextFormattedCitation":"(Suki, 2019)","previouslyFormattedCitation":"(Suki, 2019)"},"properties":{"noteIndex":0},"schema":"https://github.com/citation-style-language/schema/raw/master/csl-citation.json"}</w:instrText>
      </w:r>
      <w:r>
        <w:fldChar w:fldCharType="separate"/>
      </w:r>
      <w:r w:rsidRPr="00F4517D">
        <w:rPr>
          <w:noProof/>
        </w:rPr>
        <w:t xml:space="preserve">Suki </w:t>
      </w:r>
      <w:r>
        <w:rPr>
          <w:noProof/>
        </w:rPr>
        <w:t>(</w:t>
      </w:r>
      <w:r w:rsidRPr="00F4517D">
        <w:rPr>
          <w:noProof/>
        </w:rPr>
        <w:t>2019)</w:t>
      </w:r>
      <w:r>
        <w:fldChar w:fldCharType="end"/>
      </w:r>
      <w:r>
        <w:t xml:space="preserve"> </w:t>
      </w:r>
      <w:r w:rsidR="00C13550" w:rsidRPr="00C13550">
        <w:rPr>
          <w:lang w:val="id-ID"/>
        </w:rPr>
        <w:t>revealed that green perceived value, which includes customers' perceptions of the functional and emotional benefits of green products, has a direct effect on customer satisfaction and increases brand trust. Additionally</w:t>
      </w:r>
      <w:r>
        <w:t xml:space="preserve"> </w:t>
      </w:r>
      <w:r>
        <w:fldChar w:fldCharType="begin" w:fldLock="1"/>
      </w:r>
      <w:r w:rsidR="002511CF">
        <w:instrText>ADDIN CSL_CITATION {"citationItems":[{"id":"ITEM-1","itemData":{"author":[{"dropping-particle":"","family":"Martinez","given":"P.","non-dropping-particle":"","parse-names":false,"suffix":""}],"container-title":"Journal of Sustainable Marketing","id":"ITEM-1","issue":"3","issued":{"date-parts":[["2022"]]},"page":"45-60","title":"Environmental concern and customer satisfaction: The role of green marketing strategies","type":"article-journal","volume":"8"},"uris":["http://www.mendeley.com/documents/?uuid=de208842-4c8f-4332-8808-b2af790ef081"]}],"mendeley":{"formattedCitation":"(Martinez, 2022)","manualFormatting":"Martinez (2022)","plainTextFormattedCitation":"(Martinez, 2022)","previouslyFormattedCitation":"(Martinez, 2022)"},"properties":{"noteIndex":0},"schema":"https://github.com/citation-style-language/schema/raw/master/csl-citation.json"}</w:instrText>
      </w:r>
      <w:r>
        <w:fldChar w:fldCharType="separate"/>
      </w:r>
      <w:r w:rsidRPr="00F4517D">
        <w:rPr>
          <w:noProof/>
        </w:rPr>
        <w:t xml:space="preserve">Martinez </w:t>
      </w:r>
      <w:r>
        <w:rPr>
          <w:noProof/>
        </w:rPr>
        <w:t>(</w:t>
      </w:r>
      <w:r w:rsidRPr="00F4517D">
        <w:rPr>
          <w:noProof/>
        </w:rPr>
        <w:t>2022)</w:t>
      </w:r>
      <w:r>
        <w:fldChar w:fldCharType="end"/>
      </w:r>
      <w:r w:rsidR="00C13550" w:rsidRPr="00C13550">
        <w:rPr>
          <w:lang w:val="id-ID"/>
        </w:rPr>
        <w:t xml:space="preserve"> asserted that the higher consumers' environmental awareness, the greater their satisfaction with green products, as their purchasing decisions align with their sustainability values. Thus, the combination of green marketing implementation, customers’ perceived value of green products, and environmental concern collectively contributes to improving customer satisfaction with sustainable products. Therefore, the researcher proposes a hypothesis</w:t>
      </w:r>
    </w:p>
    <w:p w14:paraId="686F9015" w14:textId="396AACB4" w:rsidR="00EB51FC" w:rsidRPr="003D0100" w:rsidRDefault="00C13550" w:rsidP="00C13550">
      <w:pPr>
        <w:pStyle w:val="Els-body-text"/>
        <w:rPr>
          <w:lang w:val="id-ID"/>
        </w:rPr>
      </w:pPr>
      <w:r w:rsidRPr="00C13550">
        <w:rPr>
          <w:lang w:val="id-ID"/>
        </w:rPr>
        <w:t>H1: Green marketing, green perceived value and environmental concern simultaneously have a positive effect to green satisfaction.</w:t>
      </w:r>
    </w:p>
    <w:p w14:paraId="1AF76679" w14:textId="152091FD" w:rsidR="00EB51FC" w:rsidRDefault="00C13550" w:rsidP="00EB51FC">
      <w:pPr>
        <w:pStyle w:val="Els-2ndorder-head"/>
        <w:rPr>
          <w:b/>
          <w:i w:val="0"/>
          <w:lang w:val="id-ID"/>
        </w:rPr>
      </w:pPr>
      <w:r>
        <w:rPr>
          <w:b/>
          <w:i w:val="0"/>
        </w:rPr>
        <w:t>Green Marketing to Green Satisfaction</w:t>
      </w:r>
    </w:p>
    <w:p w14:paraId="792B2D48" w14:textId="52A51075" w:rsidR="000662A0" w:rsidRPr="000662A0" w:rsidRDefault="000662A0" w:rsidP="000662A0">
      <w:pPr>
        <w:pStyle w:val="Els-body-text"/>
        <w:rPr>
          <w:rStyle w:val="tlid-translation"/>
          <w:rFonts w:ascii="Times New Roman" w:hAnsi="Times New Roman"/>
          <w:lang w:val="en"/>
        </w:rPr>
      </w:pPr>
      <w:r w:rsidRPr="000662A0">
        <w:rPr>
          <w:rStyle w:val="tlid-translation"/>
          <w:rFonts w:ascii="Times New Roman" w:hAnsi="Times New Roman"/>
          <w:lang w:val="en"/>
        </w:rPr>
        <w:t xml:space="preserve">Effective green marketing can enhance consumer satisfaction with green products. Clear and transparent communication about the environmental benefits of a product can increase consumer trust and satisfaction </w:t>
      </w:r>
      <w:r w:rsidR="002511CF">
        <w:rPr>
          <w:rStyle w:val="tlid-translation"/>
          <w:rFonts w:ascii="Times New Roman" w:hAnsi="Times New Roman"/>
          <w:lang w:val="en"/>
        </w:rPr>
        <w:fldChar w:fldCharType="begin" w:fldLock="1"/>
      </w:r>
      <w:r w:rsidR="002511CF">
        <w:rPr>
          <w:rStyle w:val="tlid-translation"/>
          <w:rFonts w:ascii="Times New Roman" w:hAnsi="Times New Roman"/>
          <w:lang w:val="en"/>
        </w:rPr>
        <w:instrText>ADDIN CSL_CITATION {"citationItems":[{"id":"ITEM-1","itemData":{"author":[{"dropping-particle":"","family":"Kang","given":"J. W.","non-dropping-particle":"","parse-names":false,"suffix":""},{"dropping-particle":"","family":"Namkung","given":"Y.","non-dropping-particle":"","parse-names":false,"suffix":""}],"container-title":"Sustainability","id":"ITEM-1","issue":"10","issued":{"date-parts":[["2018"]]},"page":"3568","title":"The role of perceived corporate social responsibility in the airline industry","type":"article-journal","volume":"10"},"uris":["http://www.mendeley.com/documents/?uuid=cae25ef7-b157-4130-a044-758c5c2963ec"]},{"id":"ITEM-2","itemData":{"DOI":"10.1016/j.jclepro.2018.09.172","ISSN":"09596526","abstract":"Sustainable consumption and production is identified as one of the essential requirements for sustainable development. Due to different economic conditions and socio-cultural factors, sustainable consumption and production requires a diverse focus in developing and developed economies. To date, few efforts have been made to systematically compare the status of sustainable consumption and production and its direction from the perspective of developing and developed economies. This paper provides a literature review of published articles in international scientific journals related to sustainable consumption and production between 1998 and 2018 inclusive. Three carefully designed questions are proposed and answered in this article, forming the basis for conducting a comprehensive comparative analysis of the differences and challenges in sustainable consumption and production practices within developed and developing economies. The findings strongly suggest that countries in Europe hold international leadership in sustainable consumption and production practices. This finding, alongside others, is analyzed and discussed in greater detail in this paper, resulting in the articulation of gaps and future research opportunities in the current body of the literature.","author":[{"dropping-particle":"","family":"Wang","given":"Chao","non-dropping-particle":"","parse-names":false,"suffix":""},{"dropping-particle":"","family":"Ghadimi","given":"Pezhman","non-dropping-particle":"","parse-names":false,"suffix":""},{"dropping-particle":"","family":"Lim","given":"Ming K.","non-dropping-particle":"","parse-names":false,"suffix":""},{"dropping-particle":"","family":"Tseng","given":"Ming Lang","non-dropping-particle":"","parse-names":false,"suffix":""}],"container-title":"Journal of Cleaner Production","id":"ITEM-2","issued":{"date-parts":[["2019"]]},"page":"741-754","publisher":"Elsevier Ltd","title":"A literature review of sustainable consumption and production: A comparative analysis in developed and developing economies","type":"article-journal","volume":"206"},"uris":["http://www.mendeley.com/documents/?uuid=9297a68e-3879-46c4-b3b2-e801846caab8"]},{"id":"ITEM-3","itemData":{"author":[{"dropping-particle":"","family":"White","given":"K.","non-dropping-particle":"","parse-names":false,"suffix":""},{"dropping-particle":"","family":"Hardisty","given":"D. J.","non-dropping-particle":"","parse-names":false,"suffix":""},{"dropping-particle":"","family":"Habib","given":"R","non-dropping-particle":"","parse-names":false,"suffix":""}],"container-title":"Harvard Business Review","id":"ITEM-3","issue":"4","issued":{"date-parts":[["2019"]]},"page":"124-133","title":"The elusive green consumer","type":"article-journal","volume":"97"},"uris":["http://www.mendeley.com/documents/?uuid=7e7c5375-7589-41e0-ae8f-1466ec06d6fb"]}],"mendeley":{"formattedCitation":"(Kang &amp; Namkung, 2018; Wang et al., 2019; White et al., 2019)","plainTextFormattedCitation":"(Kang &amp; Namkung, 2018; Wang et al., 2019; White et al., 2019)","previouslyFormattedCitation":"(Kang &amp; Namkung, 2018; Wang et al., 2019; White et al., 2019)"},"properties":{"noteIndex":0},"schema":"https://github.com/citation-style-language/schema/raw/master/csl-citation.json"}</w:instrText>
      </w:r>
      <w:r w:rsidR="002511CF">
        <w:rPr>
          <w:rStyle w:val="tlid-translation"/>
          <w:rFonts w:ascii="Times New Roman" w:hAnsi="Times New Roman"/>
          <w:lang w:val="en"/>
        </w:rPr>
        <w:fldChar w:fldCharType="separate"/>
      </w:r>
      <w:r w:rsidR="002511CF" w:rsidRPr="002511CF">
        <w:rPr>
          <w:rStyle w:val="tlid-translation"/>
          <w:rFonts w:ascii="Times New Roman" w:hAnsi="Times New Roman"/>
          <w:noProof/>
          <w:lang w:val="en"/>
        </w:rPr>
        <w:t>(Kang &amp; Namkung, 2018; Wang et al., 2019; White et al., 2019)</w:t>
      </w:r>
      <w:r w:rsidR="002511CF">
        <w:rPr>
          <w:rStyle w:val="tlid-translation"/>
          <w:rFonts w:ascii="Times New Roman" w:hAnsi="Times New Roman"/>
          <w:lang w:val="en"/>
        </w:rPr>
        <w:fldChar w:fldCharType="end"/>
      </w:r>
      <w:r w:rsidR="002511CF">
        <w:rPr>
          <w:rStyle w:val="tlid-translation"/>
          <w:rFonts w:ascii="Times New Roman" w:hAnsi="Times New Roman"/>
          <w:lang w:val="en"/>
        </w:rPr>
        <w:t>.</w:t>
      </w:r>
      <w:r w:rsidRPr="000662A0">
        <w:rPr>
          <w:rStyle w:val="tlid-translation"/>
          <w:rFonts w:ascii="Times New Roman" w:hAnsi="Times New Roman"/>
          <w:lang w:val="en"/>
        </w:rPr>
        <w:t xml:space="preserve"> Furthermore, research shows that the green marketing mix, including product, price, promotion, and distribution, positively impacts green customer satisfaction</w:t>
      </w:r>
      <w:r w:rsidR="002511CF">
        <w:rPr>
          <w:rStyle w:val="tlid-translation"/>
          <w:rFonts w:ascii="Times New Roman" w:hAnsi="Times New Roman"/>
          <w:lang w:val="en"/>
        </w:rPr>
        <w:t xml:space="preserve"> </w:t>
      </w:r>
      <w:r w:rsidR="002511CF">
        <w:rPr>
          <w:rStyle w:val="tlid-translation"/>
          <w:rFonts w:ascii="Times New Roman" w:hAnsi="Times New Roman"/>
          <w:lang w:val="en"/>
        </w:rPr>
        <w:fldChar w:fldCharType="begin" w:fldLock="1"/>
      </w:r>
      <w:r w:rsidR="002511CF">
        <w:rPr>
          <w:rStyle w:val="tlid-translation"/>
          <w:rFonts w:ascii="Times New Roman" w:hAnsi="Times New Roman"/>
          <w:lang w:val="en"/>
        </w:rPr>
        <w:instrText>ADDIN CSL_CITATION {"citationItems":[{"id":"ITEM-1","itemData":{"DOI":"10.1016/j.ecolecon.2019.01.025","ISSN":"09218009","abstract":"The aim of this study is to investigate the psychological factors that predict the sustainable purchase behaviour of educated young consumers. The study has been performed on 425 young consumers. To predict the power of considered variables, structural equation modeling was employed. Results indicate that the drive for environmental responsibility, spirituality and perceived consumer effectiveness are the key psychological determinants of consumers’ sustainable purchase decisions. Outcomes of the study will be valuable to policy strategist and government organizations in designing campaigns to encourage sustainable purchasing practices among young consumers. Promotion of sustainable purchase behaviour might help in reducing the damaging effects of unplanned purchases on environment and society.","author":[{"dropping-particle":"","family":"Joshi","given":"Yatish","non-dropping-particle":"","parse-names":false,"suffix":""},{"dropping-particle":"","family":"Rahman","given":"Zillur","non-dropping-particle":"","parse-names":false,"suffix":""}],"container-title":"Ecological Economics","id":"ITEM-1","issue":"1270","issued":{"date-parts":[["2019"]]},"page":"235-243","publisher":"Elsevier","title":"Consumers’ Sustainable Purchase Behaviour: Modeling the Impact of Psychological Factors","type":"article-journal","volume":"159"},"uris":["http://www.mendeley.com/documents/?uuid=5d09881d-49bb-44df-91d3-aec94ab6edff"]}],"mendeley":{"formattedCitation":"(Joshi &amp; Rahman, 2019)","plainTextFormattedCitation":"(Joshi &amp; Rahman, 2019)","previouslyFormattedCitation":"(Joshi &amp; Rahman, 2019)"},"properties":{"noteIndex":0},"schema":"https://github.com/citation-style-language/schema/raw/master/csl-citation.json"}</w:instrText>
      </w:r>
      <w:r w:rsidR="002511CF">
        <w:rPr>
          <w:rStyle w:val="tlid-translation"/>
          <w:rFonts w:ascii="Times New Roman" w:hAnsi="Times New Roman"/>
          <w:lang w:val="en"/>
        </w:rPr>
        <w:fldChar w:fldCharType="separate"/>
      </w:r>
      <w:r w:rsidR="002511CF" w:rsidRPr="002511CF">
        <w:rPr>
          <w:rStyle w:val="tlid-translation"/>
          <w:rFonts w:ascii="Times New Roman" w:hAnsi="Times New Roman"/>
          <w:noProof/>
          <w:lang w:val="en"/>
        </w:rPr>
        <w:t>(Joshi &amp; Rahman, 2019)</w:t>
      </w:r>
      <w:r w:rsidR="002511CF">
        <w:rPr>
          <w:rStyle w:val="tlid-translation"/>
          <w:rFonts w:ascii="Times New Roman" w:hAnsi="Times New Roman"/>
          <w:lang w:val="en"/>
        </w:rPr>
        <w:fldChar w:fldCharType="end"/>
      </w:r>
      <w:r w:rsidRPr="000662A0">
        <w:rPr>
          <w:rStyle w:val="tlid-translation"/>
          <w:rFonts w:ascii="Times New Roman" w:hAnsi="Times New Roman"/>
          <w:lang w:val="en"/>
        </w:rPr>
        <w:t xml:space="preserve">. </w:t>
      </w:r>
    </w:p>
    <w:p w14:paraId="269B1E53" w14:textId="67B17ADD" w:rsidR="000662A0" w:rsidRPr="000662A0" w:rsidRDefault="000662A0" w:rsidP="005A382B">
      <w:pPr>
        <w:pStyle w:val="Els-body-text"/>
        <w:rPr>
          <w:rStyle w:val="tlid-translation"/>
          <w:rFonts w:ascii="Times New Roman" w:hAnsi="Times New Roman"/>
          <w:lang w:val="en"/>
        </w:rPr>
      </w:pPr>
      <w:r w:rsidRPr="000662A0">
        <w:rPr>
          <w:rStyle w:val="tlid-translation"/>
          <w:rFonts w:ascii="Times New Roman" w:hAnsi="Times New Roman"/>
          <w:lang w:val="en"/>
        </w:rPr>
        <w:t xml:space="preserve">Moreover, effective marketing communication, such as the use of eco-friendly packaging and advertising, enhances consumer satisfaction as it fosters a sense of participation in environmental protection efforts. Research also indicates that green promotion and green pricing have a significant impact on increasing </w:t>
      </w:r>
      <w:r w:rsidR="005A382B">
        <w:rPr>
          <w:rStyle w:val="tlid-translation"/>
          <w:rFonts w:ascii="Times New Roman" w:hAnsi="Times New Roman"/>
          <w:lang w:val="en"/>
        </w:rPr>
        <w:t xml:space="preserve">green </w:t>
      </w:r>
      <w:r w:rsidRPr="000662A0">
        <w:rPr>
          <w:rStyle w:val="tlid-translation"/>
          <w:rFonts w:ascii="Times New Roman" w:hAnsi="Times New Roman"/>
          <w:lang w:val="en"/>
        </w:rPr>
        <w:t>customer satisfaction, followed by the quality of green products and the competence of sales personnel in conveying sustainability values.</w:t>
      </w:r>
      <w:r w:rsidR="005A382B">
        <w:rPr>
          <w:rStyle w:val="tlid-translation"/>
          <w:rFonts w:ascii="Times New Roman" w:hAnsi="Times New Roman"/>
          <w:lang w:val="en"/>
        </w:rPr>
        <w:t xml:space="preserve"> </w:t>
      </w:r>
      <w:r w:rsidRPr="000662A0">
        <w:rPr>
          <w:rStyle w:val="tlid-translation"/>
          <w:rFonts w:ascii="Times New Roman" w:hAnsi="Times New Roman"/>
          <w:lang w:val="en"/>
        </w:rPr>
        <w:t>Considering what was observed regarding green marketing and green satisfaction, the present study proposed the following hypothesis:</w:t>
      </w:r>
    </w:p>
    <w:p w14:paraId="2022F891" w14:textId="27E70A87" w:rsidR="00EB51FC" w:rsidRDefault="000662A0" w:rsidP="000662A0">
      <w:pPr>
        <w:pStyle w:val="Els-body-text"/>
        <w:rPr>
          <w:rStyle w:val="tlid-translation"/>
          <w:rFonts w:asciiTheme="majorBidi" w:hAnsiTheme="majorBidi" w:cstheme="majorBidi"/>
          <w:lang w:val="en"/>
        </w:rPr>
      </w:pPr>
      <w:r w:rsidRPr="000662A0">
        <w:rPr>
          <w:rStyle w:val="tlid-translation"/>
          <w:rFonts w:ascii="Times New Roman" w:hAnsi="Times New Roman"/>
          <w:lang w:val="en"/>
        </w:rPr>
        <w:t>H2: Green marketing positively influences green satisfaction of Uniqlo’s customer.</w:t>
      </w:r>
    </w:p>
    <w:p w14:paraId="662891A3" w14:textId="44BF6B2D" w:rsidR="00C13550" w:rsidRDefault="00C13550" w:rsidP="00C13550">
      <w:pPr>
        <w:pStyle w:val="Els-2ndorder-head"/>
        <w:rPr>
          <w:b/>
          <w:i w:val="0"/>
          <w:lang w:val="id-ID"/>
        </w:rPr>
      </w:pPr>
      <w:r>
        <w:rPr>
          <w:b/>
          <w:i w:val="0"/>
        </w:rPr>
        <w:t>Green Perceived Value to Green Satisfaction</w:t>
      </w:r>
    </w:p>
    <w:p w14:paraId="51078217" w14:textId="1440AEAD" w:rsidR="00991C20" w:rsidRPr="00991C20" w:rsidRDefault="00991C20" w:rsidP="00991C20">
      <w:pPr>
        <w:pStyle w:val="Els-body-text"/>
        <w:rPr>
          <w:rStyle w:val="tlid-translation"/>
          <w:rFonts w:ascii="Times New Roman" w:hAnsi="Times New Roman"/>
          <w:lang w:val="en"/>
        </w:rPr>
      </w:pPr>
      <w:r w:rsidRPr="00991C20">
        <w:rPr>
          <w:rStyle w:val="tlid-translation"/>
          <w:rFonts w:ascii="Times New Roman" w:hAnsi="Times New Roman"/>
          <w:lang w:val="en"/>
        </w:rPr>
        <w:t xml:space="preserve">The higher the consumers’ green perceived value, the higher their satisfaction levels. Consumers who perceive that green products offer greater benefits than the costs incurred tend to be more satisfied </w:t>
      </w:r>
      <w:r w:rsidR="002511CF">
        <w:rPr>
          <w:rStyle w:val="tlid-translation"/>
          <w:rFonts w:ascii="Times New Roman" w:hAnsi="Times New Roman"/>
          <w:lang w:val="en"/>
        </w:rPr>
        <w:fldChar w:fldCharType="begin" w:fldLock="1"/>
      </w:r>
      <w:r w:rsidR="00F637E4">
        <w:rPr>
          <w:rStyle w:val="tlid-translation"/>
          <w:rFonts w:ascii="Times New Roman" w:hAnsi="Times New Roman"/>
          <w:lang w:val="en"/>
        </w:rPr>
        <w:instrText>ADDIN CSL_CITATION {"citationItems":[{"id":"ITEM-1","itemData":{"DOI":"10.1016/j.jclepro.2018.09.172","ISSN":"09596526","abstract":"Sustainable consumption and production is identified as one of the essential requirements for sustainable development. Due to different economic conditions and socio-cultural factors, sustainable consumption and production requires a diverse focus in developing and developed economies. To date, few efforts have been made to systematically compare the status of sustainable consumption and production and its direction from the perspective of developing and developed economies. This paper provides a literature review of published articles in international scientific journals related to sustainable consumption and production between 1998 and 2018 inclusive. Three carefully designed questions are proposed and answered in this article, forming the basis for conducting a comprehensive comparative analysis of the differences and challenges in sustainable consumption and production practices within developed and developing economies. The findings strongly suggest that countries in Europe hold international leadership in sustainable consumption and production practices. This finding, alongside others, is analyzed and discussed in greater detail in this paper, resulting in the articulation of gaps and future research opportunities in the current body of the literature.","author":[{"dropping-particle":"","family":"Wang","given":"Chao","non-dropping-particle":"","parse-names":false,"suffix":""},{"dropping-particle":"","family":"Ghadimi","given":"Pezhman","non-dropping-particle":"","parse-names":false,"suffix":""},{"dropping-particle":"","family":"Lim","given":"Ming K.","non-dropping-particle":"","parse-names":false,"suffix":""},{"dropping-particle":"","family":"Tseng","given":"Ming Lang","non-dropping-particle":"","parse-names":false,"suffix":""}],"container-title":"Journal of Cleaner Production","id":"ITEM-1","issued":{"date-parts":[["2019"]]},"page":"741-754","publisher":"Elsevier Ltd","title":"A literature review of sustainable consumption and production: A comparative analysis in developed and developing economies","type":"article-journal","volume":"206"},"uris":["http://www.mendeley.com/documents/?uuid=9297a68e-3879-46c4-b3b2-e801846caab8"]},{"id":"ITEM-2","itemData":{"DOI":"10.1016/j.jretai.2012.10.001","ISSN":"00224359","abstract":"Knowledge regarding the barriers to green consumption is of increasing importance as retail organizations place greater emphasis on the environment in evaluating performance in adherence with the triple-bottom line approach. The objective of this research is to investigate individual barriers that affect consumers' evaluations of the green products found in retail outlets. The research presented utilizes a critical incident qualitative study and two quantitative studies to examine the factors associated with non-green purchase behaviors. In addition, findings from an experiment suggest that altering the number and form of informational product cues may overcome purchase barriers. These factors are discussed, as are the implications of the research for stakeholders of retail organizations. © 2012 .","author":[{"dropping-particle":"","family":"Gleim","given":"Mark R.","non-dropping-particle":"","parse-names":false,"suffix":""},{"dropping-particle":"","family":"Smith","given":"Jeffery S.","non-dropping-particle":"","parse-names":false,"suffix":""},{"dropping-particle":"","family":"Andrews","given":"Demetra","non-dropping-particle":"","parse-names":false,"suffix":""},{"dropping-particle":"","family":"Cronin","given":"J. Joseph","non-dropping-particle":"","parse-names":false,"suffix":""}],"container-title":"Journal of Retailing","id":"ITEM-2","issue":"1","issued":{"date-parts":[["2013"]]},"page":"44-61","publisher":"New York University","title":"Against the Green: A Multi-method Examination of the Barriers to Green Consumption","type":"article-journal","volume":"89"},"uris":["http://www.mendeley.com/documents/?uuid=174f4f30-56f1-462b-881c-daedc354b385"]},{"id":"ITEM-3","itemData":{"DOI":"10.1016/j.ecolecon.2019.01.025","ISSN":"09218009","abstract":"The aim of this study is to investigate the psychological factors that predict the sustainable purchase behaviour of educated young consumers. The study has been performed on 425 young consumers. To predict the power of considered variables, structural equation modeling was employed. Results indicate that the drive for environmental responsibility, spirituality and perceived consumer effectiveness are the key psychological determinants of consumers’ sustainable purchase decisions. Outcomes of the study will be valuable to policy strategist and government organizations in designing campaigns to encourage sustainable purchasing practices among young consumers. Promotion of sustainable purchase behaviour might help in reducing the damaging effects of unplanned purchases on environment and society.","author":[{"dropping-particle":"","family":"Joshi","given":"Yatish","non-dropping-particle":"","parse-names":false,"suffix":""},{"dropping-particle":"","family":"Rahman","given":"Zillur","non-dropping-particle":"","parse-names":false,"suffix":""}],"container-title":"Ecological Economics","id":"ITEM-3","issue":"1270","issued":{"date-parts":[["2019"]]},"page":"235-243","publisher":"Elsevier","title":"Consumers’ Sustainable Purchase Behaviour: Modeling the Impact of Psychological Factors","type":"article-journal","volume":"159"},"uris":["http://www.mendeley.com/documents/?uuid=5d09881d-49bb-44df-91d3-aec94ab6edff"]}],"mendeley":{"formattedCitation":"(Gleim et al., 2013; Joshi &amp; Rahman, 2019; Wang et al., 2019)","plainTextFormattedCitation":"(Gleim et al., 2013; Joshi &amp; Rahman, 2019; Wang et al., 2019)","previouslyFormattedCitation":"(Gleim et al., 2013; Joshi &amp; Rahman, 2019; Wang et al., 2019)"},"properties":{"noteIndex":0},"schema":"https://github.com/citation-style-language/schema/raw/master/csl-citation.json"}</w:instrText>
      </w:r>
      <w:r w:rsidR="002511CF">
        <w:rPr>
          <w:rStyle w:val="tlid-translation"/>
          <w:rFonts w:ascii="Times New Roman" w:hAnsi="Times New Roman"/>
          <w:lang w:val="en"/>
        </w:rPr>
        <w:fldChar w:fldCharType="separate"/>
      </w:r>
      <w:r w:rsidR="002511CF" w:rsidRPr="002511CF">
        <w:rPr>
          <w:rStyle w:val="tlid-translation"/>
          <w:rFonts w:ascii="Times New Roman" w:hAnsi="Times New Roman"/>
          <w:noProof/>
          <w:lang w:val="en"/>
        </w:rPr>
        <w:t>(Gleim et al., 2013; Joshi &amp; Rahman, 2019; Wang et al., 2019)</w:t>
      </w:r>
      <w:r w:rsidR="002511CF">
        <w:rPr>
          <w:rStyle w:val="tlid-translation"/>
          <w:rFonts w:ascii="Times New Roman" w:hAnsi="Times New Roman"/>
          <w:lang w:val="en"/>
        </w:rPr>
        <w:fldChar w:fldCharType="end"/>
      </w:r>
      <w:r w:rsidRPr="00991C20">
        <w:rPr>
          <w:rStyle w:val="tlid-translation"/>
          <w:rFonts w:ascii="Times New Roman" w:hAnsi="Times New Roman"/>
          <w:lang w:val="en"/>
        </w:rPr>
        <w:t xml:space="preserve">. Other studies reveal that high green perceived value reflects the alignment between consumer expectations and green product attributes, thereby increasing satisfaction </w:t>
      </w:r>
      <w:r w:rsidR="00F637E4">
        <w:rPr>
          <w:rStyle w:val="tlid-translation"/>
          <w:rFonts w:ascii="Times New Roman" w:hAnsi="Times New Roman"/>
          <w:lang w:val="en"/>
        </w:rPr>
        <w:fldChar w:fldCharType="begin" w:fldLock="1"/>
      </w:r>
      <w:r w:rsidR="006F483C">
        <w:rPr>
          <w:rStyle w:val="tlid-translation"/>
          <w:rFonts w:ascii="Times New Roman" w:hAnsi="Times New Roman"/>
          <w:lang w:val="en"/>
        </w:rPr>
        <w:instrText>ADDIN CSL_CITATION {"citationItems":[{"id":"ITEM-1","itemData":{"DOI":"10.1108/SRJ-03-2019-0108","ISSN":"1758857X","abstract":"Purpose: This study aims to point out the importance and the relevance of sustainability issues and the need for their enhancement in the contemporary model of corporate social responsibility (CSR) as the top priority for business entities. Furthermore, it also highlights ways to enhance sustainability in the contemporary CSR model in the fast fashion industry of developing countries. Design/methodology/approach: Literature review has been extensively done through available databases, including ProQuest and ScienceDirect. Findings: This study delivers a full insight into the current state of research on the CSR model and sustainability in developing countries. The prevalent corporate environmental sustainability practices of global apparel brands are identified to propose ways to enhance sustainability in the contemporary CSR model. Research limitations/implications: The growth of fast fashion industry brings the risks of unsustainability to developing countries. Thus, it is a must for the garment and textile companies to enhance a sustainable CSR model through promoting sustainable leadership and integrating corporate culture. Originality/value: To the best of author’s knowledge, this study is the first to emphasise the role of sustainable leadership in promoting a sustainable CSR model in the fast fashion industry of developing countries.","author":[{"dropping-particle":"","family":"Nguyen","given":"Hoang Tien","non-dropping-particle":"","parse-names":false,"suffix":""},{"dropping-particle":"","family":"Le","given":"Doan Minh Duc","non-dropping-particle":"","parse-names":false,"suffix":""},{"dropping-particle":"","family":"Ho","given":"Thien Thong Minh","non-dropping-particle":"","parse-names":false,"suffix":""},{"dropping-particle":"","family":"Nguyen","given":"Phuong Mai","non-dropping-particle":"","parse-names":false,"suffix":""}],"container-title":"Social Responsibility Journal","id":"ITEM-1","issue":"4","issued":{"date-parts":[["2020"]]},"page":"578-591","title":"Enhancing sustainability in the contemporary model of CSR: a case of fast fashion industry in developing countries","type":"article-journal","volume":"17"},"uris":["http://www.mendeley.com/documents/?uuid=775cde39-ff56-40e6-a1bc-be115fb0b5fd"]}],"mendeley":{"formattedCitation":"(H. T. Nguyen et al., 2020)","plainTextFormattedCitation":"(H. T. Nguyen et al., 2020)","previouslyFormattedCitation":"(H. T. Nguyen et al., 2020)"},"properties":{"noteIndex":0},"schema":"https://github.com/citation-style-language/schema/raw/master/csl-citation.json"}</w:instrText>
      </w:r>
      <w:r w:rsidR="00F637E4">
        <w:rPr>
          <w:rStyle w:val="tlid-translation"/>
          <w:rFonts w:ascii="Times New Roman" w:hAnsi="Times New Roman"/>
          <w:lang w:val="en"/>
        </w:rPr>
        <w:fldChar w:fldCharType="separate"/>
      </w:r>
      <w:r w:rsidR="006F483C" w:rsidRPr="006F483C">
        <w:rPr>
          <w:rStyle w:val="tlid-translation"/>
          <w:rFonts w:ascii="Times New Roman" w:hAnsi="Times New Roman"/>
          <w:noProof/>
          <w:lang w:val="en"/>
        </w:rPr>
        <w:t>(H. T. Nguyen et al., 2020)</w:t>
      </w:r>
      <w:r w:rsidR="00F637E4">
        <w:rPr>
          <w:rStyle w:val="tlid-translation"/>
          <w:rFonts w:ascii="Times New Roman" w:hAnsi="Times New Roman"/>
          <w:lang w:val="en"/>
        </w:rPr>
        <w:fldChar w:fldCharType="end"/>
      </w:r>
      <w:r w:rsidRPr="00991C20">
        <w:rPr>
          <w:rStyle w:val="tlid-translation"/>
          <w:rFonts w:ascii="Times New Roman" w:hAnsi="Times New Roman"/>
          <w:lang w:val="en"/>
        </w:rPr>
        <w:t>.</w:t>
      </w:r>
    </w:p>
    <w:p w14:paraId="07FDF012" w14:textId="474FA4A8" w:rsidR="00991C20" w:rsidRPr="00991C20" w:rsidRDefault="00991C20" w:rsidP="005A382B">
      <w:pPr>
        <w:pStyle w:val="Els-body-text"/>
        <w:rPr>
          <w:rStyle w:val="tlid-translation"/>
          <w:rFonts w:ascii="Times New Roman" w:hAnsi="Times New Roman"/>
          <w:lang w:val="en"/>
        </w:rPr>
      </w:pPr>
      <w:r w:rsidRPr="00991C20">
        <w:rPr>
          <w:rStyle w:val="tlid-translation"/>
          <w:rFonts w:ascii="Times New Roman" w:hAnsi="Times New Roman"/>
          <w:lang w:val="en"/>
        </w:rPr>
        <w:t>Based on previous studies, green perceived value is a crucial factor in determining consumer satisfaction with environmentally friendly products. Research indicates that the higher the value a product provides and the more it aligns with consumer expectations, the greater the satisfaction experienced, both functionally and emotionally. Green products that meet expectations and offer tangible benefits in supporting environmental sustainability can significantly enhance customer satisfaction.</w:t>
      </w:r>
      <w:r w:rsidR="005A382B">
        <w:rPr>
          <w:rStyle w:val="tlid-translation"/>
          <w:rFonts w:ascii="Times New Roman" w:hAnsi="Times New Roman"/>
          <w:lang w:val="en"/>
        </w:rPr>
        <w:t xml:space="preserve"> </w:t>
      </w:r>
      <w:r w:rsidRPr="00991C20">
        <w:rPr>
          <w:rStyle w:val="tlid-translation"/>
          <w:rFonts w:ascii="Times New Roman" w:hAnsi="Times New Roman"/>
          <w:lang w:val="en"/>
        </w:rPr>
        <w:t>Considering what is stated from previous studies about green perceived value and green satisfaction the present study presents the following hypothesis:</w:t>
      </w:r>
    </w:p>
    <w:p w14:paraId="3D680A75" w14:textId="33EFA348" w:rsidR="00C13550" w:rsidRPr="00C13550" w:rsidRDefault="00991C20" w:rsidP="00991C20">
      <w:pPr>
        <w:pStyle w:val="Els-body-text"/>
        <w:rPr>
          <w:lang w:val="id-ID"/>
        </w:rPr>
      </w:pPr>
      <w:r w:rsidRPr="00991C20">
        <w:rPr>
          <w:rStyle w:val="tlid-translation"/>
          <w:rFonts w:ascii="Times New Roman" w:hAnsi="Times New Roman"/>
          <w:lang w:val="en"/>
        </w:rPr>
        <w:t>H3: Green perceived value positively influences green satisfaction of Uniqlo’s customer.</w:t>
      </w:r>
    </w:p>
    <w:p w14:paraId="698B9C80" w14:textId="70A3C6B1" w:rsidR="00C13550" w:rsidRDefault="00B304C1" w:rsidP="00C13550">
      <w:pPr>
        <w:pStyle w:val="Els-2ndorder-head"/>
        <w:rPr>
          <w:b/>
          <w:i w:val="0"/>
          <w:lang w:val="id-ID"/>
        </w:rPr>
      </w:pPr>
      <w:r>
        <w:rPr>
          <w:b/>
          <w:i w:val="0"/>
        </w:rPr>
        <w:t>Environmental Concern</w:t>
      </w:r>
      <w:r w:rsidR="00C13550">
        <w:rPr>
          <w:b/>
          <w:i w:val="0"/>
        </w:rPr>
        <w:t xml:space="preserve"> to Green Satisfaction</w:t>
      </w:r>
    </w:p>
    <w:p w14:paraId="3C429B82" w14:textId="0B773E18" w:rsidR="00991C20" w:rsidRPr="00991C20" w:rsidRDefault="00991C20" w:rsidP="00991C20">
      <w:pPr>
        <w:pStyle w:val="Els-body-text"/>
        <w:rPr>
          <w:rStyle w:val="tlid-translation"/>
          <w:rFonts w:ascii="Times New Roman" w:hAnsi="Times New Roman"/>
          <w:lang w:val="en"/>
        </w:rPr>
      </w:pPr>
      <w:r w:rsidRPr="00991C20">
        <w:rPr>
          <w:rStyle w:val="tlid-translation"/>
          <w:rFonts w:ascii="Times New Roman" w:hAnsi="Times New Roman"/>
          <w:lang w:val="en"/>
        </w:rPr>
        <w:t xml:space="preserve">Consumers with a high level of environmental concern are more likely to be satisfied with green products because these products align with their values and beliefs </w:t>
      </w:r>
      <w:r w:rsidR="00E31B72">
        <w:rPr>
          <w:rStyle w:val="tlid-translation"/>
          <w:rFonts w:ascii="Times New Roman" w:hAnsi="Times New Roman"/>
          <w:lang w:val="en"/>
        </w:rPr>
        <w:fldChar w:fldCharType="begin" w:fldLock="1"/>
      </w:r>
      <w:r w:rsidR="006F483C">
        <w:rPr>
          <w:rStyle w:val="tlid-translation"/>
          <w:rFonts w:ascii="Times New Roman" w:hAnsi="Times New Roman"/>
          <w:lang w:val="en"/>
        </w:rPr>
        <w:instrText>ADDIN CSL_CITATION {"citationItems":[{"id":"ITEM-1","itemData":{"author":[{"dropping-particle":"","family":"White","given":"K.","non-dropping-particle":"","parse-names":false,"suffix":""},{"dropping-particle":"","family":"Hardisty","given":"D. J.","non-dropping-particle":"","parse-names":false,"suffix":""},{"dropping-particle":"","family":"Habib","given":"R","non-dropping-particle":"","parse-names":false,"suffix":""}],"container-title":"Harvard Business Review","id":"ITEM-1","issue":"4","issued":{"date-parts":[["2019"]]},"page":"124-133","title":"The elusive green consumer","type":"article-journal","volume":"97"},"uris":["http://www.mendeley.com/documents/?uuid=7e7c5375-7589-41e0-ae8f-1466ec06d6fb"]},{"id":"ITEM-2","itemData":{"DOI":"10.1108/SRJ-03-2019-0108","ISSN":"1758857X","abstract":"Purpose: This study aims to point out the importance and the relevance of sustainability issues and the need for their enhancement in the contemporary model of corporate social responsibility (CSR) as the top priority for business entities. Furthermore, it also highlights ways to enhance sustainability in the contemporary CSR model in the fast fashion industry of developing countries. Design/methodology/approach: Literature review has been extensively done through available databases, including ProQuest and ScienceDirect. Findings: This study delivers a full insight into the current state of research on the CSR model and sustainability in developing countries. The prevalent corporate environmental sustainability practices of global apparel brands are identified to propose ways to enhance sustainability in the contemporary CSR model. Research limitations/implications: The growth of fast fashion industry brings the risks of unsustainability to developing countries. Thus, it is a must for the garment and textile companies to enhance a sustainable CSR model through promoting sustainable leadership and integrating corporate culture. Originality/value: To the best of author’s knowledge, this study is the first to emphasise the role of sustainable leadership in promoting a sustainable CSR model in the fast fashion industry of developing countries.","author":[{"dropping-particle":"","family":"Nguyen","given":"Hoang Tien","non-dropping-particle":"","parse-names":false,"suffix":""},{"dropping-particle":"","family":"Le","given":"Doan Minh Duc","non-dropping-particle":"","parse-names":false,"suffix":""},{"dropping-particle":"","family":"Ho","given":"Thien Thong Minh","non-dropping-particle":"","parse-names":false,"suffix":""},{"dropping-particle":"","family":"Nguyen","given":"Phuong Mai","non-dropping-particle":"","parse-names":false,"suffix":""}],"container-title":"Social Responsibility Journal","id":"ITEM-2","issue":"4","issued":{"date-parts":[["2020"]]},"page":"578-591","title":"Enhancing sustainability in the contemporary model of CSR: a case of fast fashion industry in developing countries","type":"article-journal","volume":"17"},"uris":["http://www.mendeley.com/documents/?uuid=775cde39-ff56-40e6-a1bc-be115fb0b5fd"]},{"id":"ITEM-3","itemData":{"DOI":"10.1016/j.jclepro.2017.05.204","ISSN":"09596526","abstract":"Promotion of green purchasing is one of the ways to minimize the environmental impact of products and achieve sustainability. The research on green marketing and green purchase behavior has recently become a subject of study. This review of 80 papers published from 2011 to 2017 on green purchase behavior revealed that most of the studies were conducted during the last three years. Moreover, the review showed that authors obtained different results of the analysis of the green products in general (including all green products) purchase behavior. Thus, we suggested that the future researchers consider categories to which particular green products could be attributed, since different factors influence the purchase of separate products differently. In addition, we proposed a model for the analysis of green personal care products purchase behavior, giving particular attention to the health consciousness as the main determinant with brand and quality variables, in regard to the color and styling cosmetics products. This study provides insight for future research, policy makers and marketing managers seeking the promotion of green products purchase behavior.","author":[{"dropping-particle":"","family":"Liobikienė","given":"Genovaitė","non-dropping-particle":"","parse-names":false,"suffix":""},{"dropping-particle":"","family":"Bernatonienė","given":"Jurga","non-dropping-particle":"","parse-names":false,"suffix":""}],"container-title":"Journal of Cleaner Production","id":"ITEM-3","issued":{"date-parts":[["2017"]]},"page":"109-120","title":"Why determinants of green purchase cannot be treated equally? The case of green cosmetics: Literature review","type":"article-journal","volume":"162"},"uris":["http://www.mendeley.com/documents/?uuid=125bc986-83bc-4b96-bcda-d2bb3469609f"]}],"mendeley":{"formattedCitation":"(Liobikienė &amp; Bernatonienė, 2017; H. T. Nguyen et al., 2020; White et al., 2019)","plainTextFormattedCitation":"(Liobikienė &amp; Bernatonienė, 2017; H. T. Nguyen et al., 2020; White et al., 2019)","previouslyFormattedCitation":"(Liobikienė &amp; Bernatonienė, 2017; H. T. Nguyen et al., 2020; White et al., 2019)"},"properties":{"noteIndex":0},"schema":"https://github.com/citation-style-language/schema/raw/master/csl-citation.json"}</w:instrText>
      </w:r>
      <w:r w:rsidR="00E31B72">
        <w:rPr>
          <w:rStyle w:val="tlid-translation"/>
          <w:rFonts w:ascii="Times New Roman" w:hAnsi="Times New Roman"/>
          <w:lang w:val="en"/>
        </w:rPr>
        <w:fldChar w:fldCharType="separate"/>
      </w:r>
      <w:r w:rsidR="006F483C" w:rsidRPr="006F483C">
        <w:rPr>
          <w:rStyle w:val="tlid-translation"/>
          <w:rFonts w:ascii="Times New Roman" w:hAnsi="Times New Roman"/>
          <w:noProof/>
          <w:lang w:val="en"/>
        </w:rPr>
        <w:t>(Liobikienė &amp; Bernatonienė, 2017; H. T. Nguyen et al., 2020; White et al., 2019)</w:t>
      </w:r>
      <w:r w:rsidR="00E31B72">
        <w:rPr>
          <w:rStyle w:val="tlid-translation"/>
          <w:rFonts w:ascii="Times New Roman" w:hAnsi="Times New Roman"/>
          <w:lang w:val="en"/>
        </w:rPr>
        <w:fldChar w:fldCharType="end"/>
      </w:r>
      <w:r w:rsidRPr="00991C20">
        <w:rPr>
          <w:rStyle w:val="tlid-translation"/>
          <w:rFonts w:ascii="Times New Roman" w:hAnsi="Times New Roman"/>
          <w:lang w:val="en"/>
        </w:rPr>
        <w:t xml:space="preserve">. Research findings indicate that individuals with strong environmental concerns tend to be more selective in choosing green products, which positively affects their satisfaction </w:t>
      </w:r>
      <w:r w:rsidR="00E31B72">
        <w:rPr>
          <w:rStyle w:val="tlid-translation"/>
          <w:rFonts w:ascii="Times New Roman" w:hAnsi="Times New Roman"/>
          <w:lang w:val="en"/>
        </w:rPr>
        <w:fldChar w:fldCharType="begin" w:fldLock="1"/>
      </w:r>
      <w:r w:rsidR="00E31B72">
        <w:rPr>
          <w:rStyle w:val="tlid-translation"/>
          <w:rFonts w:ascii="Times New Roman" w:hAnsi="Times New Roman"/>
          <w:lang w:val="en"/>
        </w:rPr>
        <w:instrText>ADDIN CSL_CITATION {"citationItems":[{"id":"ITEM-1","itemData":{"DOI":"10.1016/j.jclepro.2018.09.172","ISSN":"09596526","abstract":"Sustainable consumption and production is identified as one of the essential requirements for sustainable development. Due to different economic conditions and socio-cultural factors, sustainable consumption and production requires a diverse focus in developing and developed economies. To date, few efforts have been made to systematically compare the status of sustainable consumption and production and its direction from the perspective of developing and developed economies. This paper provides a literature review of published articles in international scientific journals related to sustainable consumption and production between 1998 and 2018 inclusive. Three carefully designed questions are proposed and answered in this article, forming the basis for conducting a comprehensive comparative analysis of the differences and challenges in sustainable consumption and production practices within developed and developing economies. The findings strongly suggest that countries in Europe hold international leadership in sustainable consumption and production practices. This finding, alongside others, is analyzed and discussed in greater detail in this paper, resulting in the articulation of gaps and future research opportunities in the current body of the literature.","author":[{"dropping-particle":"","family":"Wang","given":"Chao","non-dropping-particle":"","parse-names":false,"suffix":""},{"dropping-particle":"","family":"Ghadimi","given":"Pezhman","non-dropping-particle":"","parse-names":false,"suffix":""},{"dropping-particle":"","family":"Lim","given":"Ming K.","non-dropping-particle":"","parse-names":false,"suffix":""},{"dropping-particle":"","family":"Tseng","given":"Ming Lang","non-dropping-particle":"","parse-names":false,"suffix":""}],"container-title":"Journal of Cleaner Production","id":"ITEM-1","issued":{"date-parts":[["2019"]]},"page":"741-754","publisher":"Elsevier Ltd","title":"A literature review of sustainable consumption and production: A comparative analysis in developed and developing economies","type":"article-journal","volume":"206"},"uris":["http://www.mendeley.com/documents/?uuid=9297a68e-3879-46c4-b3b2-e801846caab8"]}],"mendeley":{"formattedCitation":"(Wang et al., 2019)","plainTextFormattedCitation":"(Wang et al., 2019)","previouslyFormattedCitation":"(Wang et al., 2019)"},"properties":{"noteIndex":0},"schema":"https://github.com/citation-style-language/schema/raw/master/csl-citation.json"}</w:instrText>
      </w:r>
      <w:r w:rsidR="00E31B72">
        <w:rPr>
          <w:rStyle w:val="tlid-translation"/>
          <w:rFonts w:ascii="Times New Roman" w:hAnsi="Times New Roman"/>
          <w:lang w:val="en"/>
        </w:rPr>
        <w:fldChar w:fldCharType="separate"/>
      </w:r>
      <w:r w:rsidR="00E31B72" w:rsidRPr="00E31B72">
        <w:rPr>
          <w:rStyle w:val="tlid-translation"/>
          <w:rFonts w:ascii="Times New Roman" w:hAnsi="Times New Roman"/>
          <w:noProof/>
          <w:lang w:val="en"/>
        </w:rPr>
        <w:t>(Wang et al., 2019)</w:t>
      </w:r>
      <w:r w:rsidR="00E31B72">
        <w:rPr>
          <w:rStyle w:val="tlid-translation"/>
          <w:rFonts w:ascii="Times New Roman" w:hAnsi="Times New Roman"/>
          <w:lang w:val="en"/>
        </w:rPr>
        <w:fldChar w:fldCharType="end"/>
      </w:r>
      <w:r w:rsidRPr="00991C20">
        <w:rPr>
          <w:rStyle w:val="tlid-translation"/>
          <w:rFonts w:ascii="Times New Roman" w:hAnsi="Times New Roman"/>
          <w:lang w:val="en"/>
        </w:rPr>
        <w:t>.</w:t>
      </w:r>
    </w:p>
    <w:p w14:paraId="6235A838" w14:textId="77777777" w:rsidR="00991C20" w:rsidRPr="00991C20" w:rsidRDefault="00991C20" w:rsidP="00991C20">
      <w:pPr>
        <w:pStyle w:val="Els-body-text"/>
        <w:rPr>
          <w:rStyle w:val="tlid-translation"/>
          <w:rFonts w:ascii="Times New Roman" w:hAnsi="Times New Roman"/>
          <w:lang w:val="en"/>
        </w:rPr>
      </w:pPr>
      <w:r w:rsidRPr="00991C20">
        <w:rPr>
          <w:rStyle w:val="tlid-translation"/>
          <w:rFonts w:ascii="Times New Roman" w:hAnsi="Times New Roman"/>
          <w:lang w:val="en"/>
        </w:rPr>
        <w:lastRenderedPageBreak/>
        <w:t>Consumers with high environmental concern evaluate a product’s compliance with green standards before making a purchase. They experience greater satisfaction when green products align with their personal principles. Furthermore, the present study presents the following hypothesis:</w:t>
      </w:r>
    </w:p>
    <w:p w14:paraId="2BFFBB89" w14:textId="3F835C23" w:rsidR="00C13550" w:rsidRPr="00C13550" w:rsidRDefault="00991C20" w:rsidP="00991C20">
      <w:pPr>
        <w:pStyle w:val="Els-body-text"/>
        <w:rPr>
          <w:lang w:val="id-ID"/>
        </w:rPr>
      </w:pPr>
      <w:r w:rsidRPr="00991C20">
        <w:rPr>
          <w:rStyle w:val="tlid-translation"/>
          <w:rFonts w:ascii="Times New Roman" w:hAnsi="Times New Roman"/>
          <w:lang w:val="en"/>
        </w:rPr>
        <w:t>H4: Environmental concern positively influences green satisfaction of Uniqlo’s customer.</w:t>
      </w:r>
    </w:p>
    <w:p w14:paraId="560A7507" w14:textId="2B62CAEC" w:rsidR="00B304C1" w:rsidRDefault="00B304C1" w:rsidP="00B304C1">
      <w:pPr>
        <w:pStyle w:val="Els-2ndorder-head"/>
        <w:rPr>
          <w:b/>
          <w:i w:val="0"/>
          <w:lang w:val="id-ID"/>
        </w:rPr>
      </w:pPr>
      <w:r>
        <w:rPr>
          <w:b/>
          <w:i w:val="0"/>
        </w:rPr>
        <w:t>Green Satisfaction to Green Loyalty</w:t>
      </w:r>
    </w:p>
    <w:p w14:paraId="0E943547" w14:textId="6D983595" w:rsidR="00991C20" w:rsidRPr="00991C20" w:rsidRDefault="00991C20" w:rsidP="00E31B72">
      <w:pPr>
        <w:pStyle w:val="Els-body-text"/>
        <w:rPr>
          <w:rStyle w:val="tlid-translation"/>
          <w:rFonts w:ascii="Times New Roman" w:hAnsi="Times New Roman"/>
          <w:lang w:val="en"/>
        </w:rPr>
      </w:pPr>
      <w:r w:rsidRPr="00991C20">
        <w:rPr>
          <w:rStyle w:val="tlid-translation"/>
          <w:rFonts w:ascii="Times New Roman" w:hAnsi="Times New Roman"/>
          <w:lang w:val="en"/>
        </w:rPr>
        <w:t>Green satisfaction significantly contributes to green loyalty. Consumers who are satisfied with green products are more likely to repurchase and recommend them to others</w:t>
      </w:r>
      <w:r w:rsidR="00E31B72">
        <w:rPr>
          <w:rStyle w:val="tlid-translation"/>
          <w:rFonts w:ascii="Times New Roman" w:hAnsi="Times New Roman"/>
          <w:lang w:val="en"/>
        </w:rPr>
        <w:t xml:space="preserve"> </w:t>
      </w:r>
      <w:r w:rsidR="00E31B72">
        <w:rPr>
          <w:rStyle w:val="tlid-translation"/>
          <w:rFonts w:ascii="Times New Roman" w:hAnsi="Times New Roman"/>
          <w:lang w:val="en"/>
        </w:rPr>
        <w:fldChar w:fldCharType="begin" w:fldLock="1"/>
      </w:r>
      <w:r w:rsidR="006F483C">
        <w:rPr>
          <w:rStyle w:val="tlid-translation"/>
          <w:rFonts w:ascii="Times New Roman" w:hAnsi="Times New Roman"/>
          <w:lang w:val="en"/>
        </w:rPr>
        <w:instrText>ADDIN CSL_CITATION {"citationItems":[{"id":"ITEM-1","itemData":{"DOI":"10.1108/SRJ-03-2019-0108","ISSN":"1758857X","abstract":"Purpose: This study aims to point out the importance and the relevance of sustainability issues and the need for their enhancement in the contemporary model of corporate social responsibility (CSR) as the top priority for business entities. Furthermore, it also highlights ways to enhance sustainability in the contemporary CSR model in the fast fashion industry of developing countries. Design/methodology/approach: Literature review has been extensively done through available databases, including ProQuest and ScienceDirect. Findings: This study delivers a full insight into the current state of research on the CSR model and sustainability in developing countries. The prevalent corporate environmental sustainability practices of global apparel brands are identified to propose ways to enhance sustainability in the contemporary CSR model. Research limitations/implications: The growth of fast fashion industry brings the risks of unsustainability to developing countries. Thus, it is a must for the garment and textile companies to enhance a sustainable CSR model through promoting sustainable leadership and integrating corporate culture. Originality/value: To the best of author’s knowledge, this study is the first to emphasise the role of sustainable leadership in promoting a sustainable CSR model in the fast fashion industry of developing countries.","author":[{"dropping-particle":"","family":"Nguyen","given":"Hoang Tien","non-dropping-particle":"","parse-names":false,"suffix":""},{"dropping-particle":"","family":"Le","given":"Doan Minh Duc","non-dropping-particle":"","parse-names":false,"suffix":""},{"dropping-particle":"","family":"Ho","given":"Thien Thong Minh","non-dropping-particle":"","parse-names":false,"suffix":""},{"dropping-particle":"","family":"Nguyen","given":"Phuong Mai","non-dropping-particle":"","parse-names":false,"suffix":""}],"container-title":"Social Responsibility Journal","id":"ITEM-1","issue":"4","issued":{"date-parts":[["2020"]]},"page":"578-591","title":"Enhancing sustainability in the contemporary model of CSR: a case of fast fashion industry in developing countries","type":"article-journal","volume":"17"},"uris":["http://www.mendeley.com/documents/?uuid=775cde39-ff56-40e6-a1bc-be115fb0b5fd"]},{"id":"ITEM-2","itemData":{"DOI":"10.1016/j.jclepro.2018.09.172","ISSN":"09596526","abstract":"Sustainable consumption and production is identified as one of the essential requirements for sustainable development. Due to different economic conditions and socio-cultural factors, sustainable consumption and production requires a diverse focus in developing and developed economies. To date, few efforts have been made to systematically compare the status of sustainable consumption and production and its direction from the perspective of developing and developed economies. This paper provides a literature review of published articles in international scientific journals related to sustainable consumption and production between 1998 and 2018 inclusive. Three carefully designed questions are proposed and answered in this article, forming the basis for conducting a comprehensive comparative analysis of the differences and challenges in sustainable consumption and production practices within developed and developing economies. The findings strongly suggest that countries in Europe hold international leadership in sustainable consumption and production practices. This finding, alongside others, is analyzed and discussed in greater detail in this paper, resulting in the articulation of gaps and future research opportunities in the current body of the literature.","author":[{"dropping-particle":"","family":"Wang","given":"Chao","non-dropping-particle":"","parse-names":false,"suffix":""},{"dropping-particle":"","family":"Ghadimi","given":"Pezhman","non-dropping-particle":"","parse-names":false,"suffix":""},{"dropping-particle":"","family":"Lim","given":"Ming K.","non-dropping-particle":"","parse-names":false,"suffix":""},{"dropping-particle":"","family":"Tseng","given":"Ming Lang","non-dropping-particle":"","parse-names":false,"suffix":""}],"container-title":"Journal of Cleaner Production","id":"ITEM-2","issued":{"date-parts":[["2019"]]},"page":"741-754","publisher":"Elsevier Ltd","title":"A literature review of sustainable consumption and production: A comparative analysis in developed and developing economies","type":"article-journal","volume":"206"},"uris":["http://www.mendeley.com/documents/?uuid=9297a68e-3879-46c4-b3b2-e801846caab8"]},{"id":"ITEM-3","itemData":{"DOI":"10.1016/j.ecolecon.2019.01.025","ISSN":"09218009","abstract":"The aim of this study is to investigate the psychological factors that predict the sustainable purchase behaviour of educated young consumers. The study has been performed on 425 young consumers. To predict the power of considered variables, structural equation modeling was employed. Results indicate that the drive for environmental responsibility, spirituality and perceived consumer effectiveness are the key psychological determinants of consumers’ sustainable purchase decisions. Outcomes of the study will be valuable to policy strategist and government organizations in designing campaigns to encourage sustainable purchasing practices among young consumers. Promotion of sustainable purchase behaviour might help in reducing the damaging effects of unplanned purchases on environment and society.","author":[{"dropping-particle":"","family":"Joshi","given":"Yatish","non-dropping-particle":"","parse-names":false,"suffix":""},{"dropping-particle":"","family":"Rahman","given":"Zillur","non-dropping-particle":"","parse-names":false,"suffix":""}],"container-title":"Ecological Economics","id":"ITEM-3","issue":"1270","issued":{"date-parts":[["2019"]]},"page":"235-243","publisher":"Elsevier","title":"Consumers’ Sustainable Purchase Behaviour: Modeling the Impact of Psychological Factors","type":"article-journal","volume":"159"},"uris":["http://www.mendeley.com/documents/?uuid=5d09881d-49bb-44df-91d3-aec94ab6edff"]}],"mendeley":{"formattedCitation":"(Joshi &amp; Rahman, 2019; H. T. Nguyen et al., 2020; Wang et al., 2019)","plainTextFormattedCitation":"(Joshi &amp; Rahman, 2019; H. T. Nguyen et al., 2020; Wang et al., 2019)","previouslyFormattedCitation":"(Joshi &amp; Rahman, 2019; H. T. Nguyen et al., 2020; Wang et al., 2019)"},"properties":{"noteIndex":0},"schema":"https://github.com/citation-style-language/schema/raw/master/csl-citation.json"}</w:instrText>
      </w:r>
      <w:r w:rsidR="00E31B72">
        <w:rPr>
          <w:rStyle w:val="tlid-translation"/>
          <w:rFonts w:ascii="Times New Roman" w:hAnsi="Times New Roman"/>
          <w:lang w:val="en"/>
        </w:rPr>
        <w:fldChar w:fldCharType="separate"/>
      </w:r>
      <w:r w:rsidR="006F483C" w:rsidRPr="006F483C">
        <w:rPr>
          <w:rStyle w:val="tlid-translation"/>
          <w:rFonts w:ascii="Times New Roman" w:hAnsi="Times New Roman"/>
          <w:noProof/>
          <w:lang w:val="en"/>
        </w:rPr>
        <w:t>(Joshi &amp; Rahman, 2019; H. T. Nguyen et al., 2020; Wang et al., 2019)</w:t>
      </w:r>
      <w:r w:rsidR="00E31B72">
        <w:rPr>
          <w:rStyle w:val="tlid-translation"/>
          <w:rFonts w:ascii="Times New Roman" w:hAnsi="Times New Roman"/>
          <w:lang w:val="en"/>
        </w:rPr>
        <w:fldChar w:fldCharType="end"/>
      </w:r>
      <w:r w:rsidR="00E31B72">
        <w:rPr>
          <w:rStyle w:val="tlid-translation"/>
          <w:rFonts w:ascii="Times New Roman" w:hAnsi="Times New Roman"/>
          <w:lang w:val="en"/>
        </w:rPr>
        <w:t xml:space="preserve">. </w:t>
      </w:r>
      <w:r w:rsidRPr="00991C20">
        <w:rPr>
          <w:rStyle w:val="tlid-translation"/>
          <w:rFonts w:ascii="Times New Roman" w:hAnsi="Times New Roman"/>
          <w:lang w:val="en"/>
        </w:rPr>
        <w:t xml:space="preserve">Other studies also state that high green satisfaction strengthens customer commitment to green brands, thereby increasing long-term loyalty </w:t>
      </w:r>
      <w:r w:rsidR="00E31B72">
        <w:rPr>
          <w:rStyle w:val="tlid-translation"/>
          <w:rFonts w:ascii="Times New Roman" w:hAnsi="Times New Roman"/>
          <w:lang w:val="en"/>
        </w:rPr>
        <w:fldChar w:fldCharType="begin" w:fldLock="1"/>
      </w:r>
      <w:r w:rsidR="006B4E6F">
        <w:rPr>
          <w:rStyle w:val="tlid-translation"/>
          <w:rFonts w:ascii="Times New Roman" w:hAnsi="Times New Roman"/>
          <w:lang w:val="en"/>
        </w:rPr>
        <w:instrText>ADDIN CSL_CITATION {"citationItems":[{"id":"ITEM-1","itemData":{"DOI":"10.1016/j.jretai.2012.10.001","ISSN":"00224359","abstract":"Knowledge regarding the barriers to green consumption is of increasing importance as retail organizations place greater emphasis on the environment in evaluating performance in adherence with the triple-bottom line approach. The objective of this research is to investigate individual barriers that affect consumers' evaluations of the green products found in retail outlets. The research presented utilizes a critical incident qualitative study and two quantitative studies to examine the factors associated with non-green purchase behaviors. In addition, findings from an experiment suggest that altering the number and form of informational product cues may overcome purchase barriers. These factors are discussed, as are the implications of the research for stakeholders of retail organizations. © 2012 .","author":[{"dropping-particle":"","family":"Gleim","given":"Mark R.","non-dropping-particle":"","parse-names":false,"suffix":""},{"dropping-particle":"","family":"Smith","given":"Jeffery S.","non-dropping-particle":"","parse-names":false,"suffix":""},{"dropping-particle":"","family":"Andrews","given":"Demetra","non-dropping-particle":"","parse-names":false,"suffix":""},{"dropping-particle":"","family":"Cronin","given":"J. Joseph","non-dropping-particle":"","parse-names":false,"suffix":""}],"container-title":"Journal of Retailing","id":"ITEM-1","issue":"1","issued":{"date-parts":[["2013"]]},"page":"44-61","publisher":"New York University","title":"Against the Green: A Multi-method Examination of the Barriers to Green Consumption","type":"article-journal","volume":"89"},"uris":["http://www.mendeley.com/documents/?uuid=174f4f30-56f1-462b-881c-daedc354b385"]}],"mendeley":{"formattedCitation":"(Gleim et al., 2013)","plainTextFormattedCitation":"(Gleim et al., 2013)","previouslyFormattedCitation":"(Gleim et al., 2013)"},"properties":{"noteIndex":0},"schema":"https://github.com/citation-style-language/schema/raw/master/csl-citation.json"}</w:instrText>
      </w:r>
      <w:r w:rsidR="00E31B72">
        <w:rPr>
          <w:rStyle w:val="tlid-translation"/>
          <w:rFonts w:ascii="Times New Roman" w:hAnsi="Times New Roman"/>
          <w:lang w:val="en"/>
        </w:rPr>
        <w:fldChar w:fldCharType="separate"/>
      </w:r>
      <w:r w:rsidR="00E31B72" w:rsidRPr="00E31B72">
        <w:rPr>
          <w:rStyle w:val="tlid-translation"/>
          <w:rFonts w:ascii="Times New Roman" w:hAnsi="Times New Roman"/>
          <w:noProof/>
          <w:lang w:val="en"/>
        </w:rPr>
        <w:t>(Gleim et al., 2013)</w:t>
      </w:r>
      <w:r w:rsidR="00E31B72">
        <w:rPr>
          <w:rStyle w:val="tlid-translation"/>
          <w:rFonts w:ascii="Times New Roman" w:hAnsi="Times New Roman"/>
          <w:lang w:val="en"/>
        </w:rPr>
        <w:fldChar w:fldCharType="end"/>
      </w:r>
      <w:r w:rsidRPr="00991C20">
        <w:rPr>
          <w:rStyle w:val="tlid-translation"/>
          <w:rFonts w:ascii="Times New Roman" w:hAnsi="Times New Roman"/>
          <w:lang w:val="en"/>
        </w:rPr>
        <w:t>.</w:t>
      </w:r>
    </w:p>
    <w:p w14:paraId="5375CFAB" w14:textId="7A0400D5" w:rsidR="00991C20" w:rsidRPr="00991C20" w:rsidRDefault="00991C20" w:rsidP="005A382B">
      <w:pPr>
        <w:pStyle w:val="Els-body-text"/>
        <w:rPr>
          <w:rStyle w:val="tlid-translation"/>
          <w:rFonts w:ascii="Times New Roman" w:hAnsi="Times New Roman"/>
          <w:lang w:val="en"/>
        </w:rPr>
      </w:pPr>
      <w:r w:rsidRPr="00991C20">
        <w:rPr>
          <w:rStyle w:val="tlid-translation"/>
          <w:rFonts w:ascii="Times New Roman" w:hAnsi="Times New Roman"/>
          <w:lang w:val="en"/>
        </w:rPr>
        <w:t>Based on previous studies, it can be concluded that green satisfaction plays a crucial role in fostering green loyalty, where consumers who are satisfied with eco-friendly products tend to make repeat purchases and recommend them to others. Green products that meet consumer expectations create positive experiences that strengthen consumers’ emotional attachment to the brand, even amid market competition.</w:t>
      </w:r>
      <w:r w:rsidR="005A382B">
        <w:rPr>
          <w:rStyle w:val="tlid-translation"/>
          <w:rFonts w:ascii="Times New Roman" w:hAnsi="Times New Roman"/>
          <w:lang w:val="en"/>
        </w:rPr>
        <w:t xml:space="preserve"> </w:t>
      </w:r>
      <w:r w:rsidRPr="00991C20">
        <w:rPr>
          <w:rStyle w:val="tlid-translation"/>
          <w:rFonts w:ascii="Times New Roman" w:hAnsi="Times New Roman"/>
          <w:lang w:val="en"/>
        </w:rPr>
        <w:t>Therefore, the researcher proposes a hypothesis:</w:t>
      </w:r>
    </w:p>
    <w:p w14:paraId="6A3869C7" w14:textId="1F5A77B7" w:rsidR="00B304C1" w:rsidRPr="00B304C1" w:rsidRDefault="00991C20" w:rsidP="00991C20">
      <w:pPr>
        <w:pStyle w:val="Els-body-text"/>
        <w:rPr>
          <w:lang w:val="id-ID"/>
        </w:rPr>
      </w:pPr>
      <w:r w:rsidRPr="00991C20">
        <w:rPr>
          <w:rStyle w:val="tlid-translation"/>
          <w:rFonts w:ascii="Times New Roman" w:hAnsi="Times New Roman"/>
          <w:lang w:val="en"/>
        </w:rPr>
        <w:t>H5: Green satisfaction positively influences green satisfaction of Uniqlo’s customer</w:t>
      </w:r>
      <w:r>
        <w:rPr>
          <w:rStyle w:val="tlid-translation"/>
          <w:rFonts w:ascii="Times New Roman" w:hAnsi="Times New Roman"/>
          <w:lang w:val="en"/>
        </w:rPr>
        <w:t>.</w:t>
      </w:r>
    </w:p>
    <w:p w14:paraId="080F8ECA" w14:textId="1941EEFD" w:rsidR="00B304C1" w:rsidRDefault="00B304C1" w:rsidP="00B304C1">
      <w:pPr>
        <w:pStyle w:val="Els-2ndorder-head"/>
        <w:rPr>
          <w:b/>
          <w:i w:val="0"/>
          <w:lang w:val="id-ID"/>
        </w:rPr>
      </w:pPr>
      <w:proofErr w:type="spellStart"/>
      <w:r>
        <w:rPr>
          <w:b/>
          <w:i w:val="0"/>
        </w:rPr>
        <w:t>Theoritic</w:t>
      </w:r>
      <w:proofErr w:type="spellEnd"/>
      <w:r>
        <w:rPr>
          <w:b/>
          <w:i w:val="0"/>
        </w:rPr>
        <w:t xml:space="preserve"> Model</w:t>
      </w:r>
    </w:p>
    <w:p w14:paraId="0D9941E2" w14:textId="3A841702" w:rsidR="00980C94" w:rsidRDefault="002A1B07" w:rsidP="005A382B">
      <w:pPr>
        <w:pStyle w:val="Els-body-text"/>
        <w:rPr>
          <w:lang w:val="id-ID"/>
        </w:rPr>
      </w:pPr>
      <w:bookmarkStart w:id="0" w:name="_GoBack"/>
      <w:bookmarkEnd w:id="0"/>
      <w:r w:rsidRPr="002A1B07">
        <w:rPr>
          <w:rStyle w:val="tlid-translation"/>
          <w:rFonts w:ascii="Times New Roman" w:hAnsi="Times New Roman"/>
          <w:lang w:val="en"/>
        </w:rPr>
        <w:t>The proposed conceptual framework, as illustrated in Figure 1, demonstrates that green loyalty is influenced by consumers' green satisfaction. Furthermore, the model also indicates that green satisfaction is directly affected by green marketing, green perceived value, and environmental concept.</w:t>
      </w:r>
    </w:p>
    <w:p w14:paraId="78D3E27D" w14:textId="118A9C42" w:rsidR="00EB51FC" w:rsidRDefault="00135909" w:rsidP="00EB51FC">
      <w:pPr>
        <w:pStyle w:val="Els-body-text"/>
        <w:ind w:firstLine="0"/>
        <w:rPr>
          <w:lang w:val="id-ID"/>
        </w:rPr>
      </w:pPr>
      <w:r>
        <w:rPr>
          <w:noProof/>
        </w:rPr>
        <mc:AlternateContent>
          <mc:Choice Requires="wpg">
            <w:drawing>
              <wp:anchor distT="0" distB="0" distL="114300" distR="114300" simplePos="0" relativeHeight="251659264" behindDoc="0" locked="0" layoutInCell="1" allowOverlap="1" wp14:anchorId="7BA4D71E" wp14:editId="5C1771AA">
                <wp:simplePos x="0" y="0"/>
                <wp:positionH relativeFrom="column">
                  <wp:posOffset>695960</wp:posOffset>
                </wp:positionH>
                <wp:positionV relativeFrom="paragraph">
                  <wp:posOffset>146050</wp:posOffset>
                </wp:positionV>
                <wp:extent cx="4492625" cy="2849880"/>
                <wp:effectExtent l="11430" t="10795" r="10795" b="6350"/>
                <wp:wrapNone/>
                <wp:docPr id="5" name="Group 16271140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2625" cy="2849880"/>
                          <a:chOff x="0" y="0"/>
                          <a:chExt cx="4152534" cy="2777809"/>
                        </a:xfrm>
                      </wpg:grpSpPr>
                      <wpg:grpSp>
                        <wpg:cNvPr id="6" name="Group 1627114065"/>
                        <wpg:cNvGrpSpPr>
                          <a:grpSpLocks/>
                        </wpg:cNvGrpSpPr>
                        <wpg:grpSpPr bwMode="auto">
                          <a:xfrm>
                            <a:off x="0" y="0"/>
                            <a:ext cx="4152534" cy="2777809"/>
                            <a:chOff x="0" y="0"/>
                            <a:chExt cx="4152534" cy="2777809"/>
                          </a:xfrm>
                        </wpg:grpSpPr>
                        <wpg:grpSp>
                          <wpg:cNvPr id="7" name="Group 63"/>
                          <wpg:cNvGrpSpPr>
                            <a:grpSpLocks/>
                          </wpg:cNvGrpSpPr>
                          <wpg:grpSpPr bwMode="auto">
                            <a:xfrm>
                              <a:off x="0" y="301214"/>
                              <a:ext cx="4152534" cy="2228733"/>
                              <a:chOff x="780187" y="694017"/>
                              <a:chExt cx="7438552" cy="4379874"/>
                            </a:xfrm>
                          </wpg:grpSpPr>
                          <wpg:grpSp>
                            <wpg:cNvPr id="8" name="Group 369"/>
                            <wpg:cNvGrpSpPr>
                              <a:grpSpLocks/>
                            </wpg:cNvGrpSpPr>
                            <wpg:grpSpPr bwMode="auto">
                              <a:xfrm>
                                <a:off x="780187" y="694017"/>
                                <a:ext cx="7438552" cy="4379874"/>
                                <a:chOff x="2521" y="5194"/>
                                <a:chExt cx="8000" cy="8911"/>
                              </a:xfrm>
                            </wpg:grpSpPr>
                            <wps:wsp>
                              <wps:cNvPr id="9" name="AutoShape 83"/>
                              <wps:cNvSpPr>
                                <a:spLocks/>
                              </wps:cNvSpPr>
                              <wps:spPr bwMode="auto">
                                <a:xfrm>
                                  <a:off x="2521" y="8912"/>
                                  <a:ext cx="2155" cy="2116"/>
                                </a:xfrm>
                                <a:prstGeom prst="roundRect">
                                  <a:avLst>
                                    <a:gd name="adj" fmla="val 16667"/>
                                  </a:avLst>
                                </a:prstGeom>
                                <a:solidFill>
                                  <a:srgbClr val="FFFFFF"/>
                                </a:solidFill>
                                <a:ln w="9525">
                                  <a:solidFill>
                                    <a:srgbClr val="000000"/>
                                  </a:solidFill>
                                  <a:round/>
                                  <a:headEnd/>
                                  <a:tailEnd/>
                                </a:ln>
                              </wps:spPr>
                              <wps:txbx>
                                <w:txbxContent>
                                  <w:p w14:paraId="7B323305" w14:textId="3768740A" w:rsidR="00980C94" w:rsidRPr="000B1B3F" w:rsidRDefault="00980C94" w:rsidP="00723A97">
                                    <w:pPr>
                                      <w:jc w:val="center"/>
                                      <w:rPr>
                                        <w:sz w:val="16"/>
                                        <w:szCs w:val="16"/>
                                        <w:lang w:val="id-ID"/>
                                      </w:rPr>
                                    </w:pPr>
                                    <w:r w:rsidRPr="000B1B3F">
                                      <w:rPr>
                                        <w:b/>
                                        <w:sz w:val="16"/>
                                        <w:szCs w:val="16"/>
                                      </w:rPr>
                                      <w:t>GREEN PERCEIVED VALUE(X2)</w:t>
                                    </w:r>
                                  </w:p>
                                  <w:p w14:paraId="4FDC3B1B" w14:textId="77777777" w:rsidR="00980C94" w:rsidRPr="000B1B3F" w:rsidRDefault="00980C94" w:rsidP="00723A97">
                                    <w:pPr>
                                      <w:ind w:left="284" w:hanging="284"/>
                                      <w:rPr>
                                        <w:sz w:val="16"/>
                                        <w:szCs w:val="16"/>
                                        <w:lang w:val="id-ID"/>
                                      </w:rPr>
                                    </w:pPr>
                                  </w:p>
                                </w:txbxContent>
                              </wps:txbx>
                              <wps:bodyPr rot="0" vert="horz" wrap="square" lIns="91440" tIns="45720" rIns="91440" bIns="45720" anchor="t" anchorCtr="0" upright="1">
                                <a:noAutofit/>
                              </wps:bodyPr>
                            </wps:wsp>
                            <wps:wsp>
                              <wps:cNvPr id="10" name="AutoShape 87"/>
                              <wps:cNvSpPr>
                                <a:spLocks/>
                              </wps:cNvSpPr>
                              <wps:spPr bwMode="auto">
                                <a:xfrm>
                                  <a:off x="8743" y="8892"/>
                                  <a:ext cx="1778" cy="2132"/>
                                </a:xfrm>
                                <a:prstGeom prst="roundRect">
                                  <a:avLst>
                                    <a:gd name="adj" fmla="val 16667"/>
                                  </a:avLst>
                                </a:prstGeom>
                                <a:solidFill>
                                  <a:srgbClr val="FFFFFF"/>
                                </a:solidFill>
                                <a:ln w="9525">
                                  <a:solidFill>
                                    <a:srgbClr val="000000"/>
                                  </a:solidFill>
                                  <a:round/>
                                  <a:headEnd/>
                                  <a:tailEnd/>
                                </a:ln>
                              </wps:spPr>
                              <wps:txbx>
                                <w:txbxContent>
                                  <w:p w14:paraId="4ED46821" w14:textId="77777777" w:rsidR="00980C94" w:rsidRPr="00B0565E" w:rsidRDefault="00980C94" w:rsidP="00723A97">
                                    <w:pPr>
                                      <w:jc w:val="center"/>
                                      <w:rPr>
                                        <w:b/>
                                        <w:iCs/>
                                        <w:caps/>
                                        <w:sz w:val="16"/>
                                        <w:szCs w:val="16"/>
                                      </w:rPr>
                                    </w:pPr>
                                    <w:r w:rsidRPr="00B0565E">
                                      <w:rPr>
                                        <w:b/>
                                        <w:iCs/>
                                        <w:caps/>
                                        <w:sz w:val="16"/>
                                        <w:szCs w:val="16"/>
                                      </w:rPr>
                                      <w:t>GREEN LOYALTY</w:t>
                                    </w:r>
                                  </w:p>
                                  <w:p w14:paraId="45AB945A" w14:textId="77777777" w:rsidR="00980C94" w:rsidRPr="000B1B3F" w:rsidRDefault="00980C94" w:rsidP="00723A97">
                                    <w:pPr>
                                      <w:jc w:val="center"/>
                                      <w:rPr>
                                        <w:sz w:val="16"/>
                                        <w:szCs w:val="16"/>
                                      </w:rPr>
                                    </w:pPr>
                                    <w:r w:rsidRPr="00B0565E">
                                      <w:rPr>
                                        <w:b/>
                                        <w:sz w:val="16"/>
                                        <w:szCs w:val="16"/>
                                      </w:rPr>
                                      <w:t>(Z)</w:t>
                                    </w:r>
                                  </w:p>
                                </w:txbxContent>
                              </wps:txbx>
                              <wps:bodyPr rot="0" vert="horz" wrap="square" lIns="91440" tIns="45720" rIns="91440" bIns="45720" anchor="t" anchorCtr="0" upright="1">
                                <a:noAutofit/>
                              </wps:bodyPr>
                            </wps:wsp>
                            <wps:wsp>
                              <wps:cNvPr id="11" name="AutoShape 91"/>
                              <wps:cNvCnPr>
                                <a:cxnSpLocks/>
                              </wps:cNvCnPr>
                              <wps:spPr bwMode="auto">
                                <a:xfrm>
                                  <a:off x="4676" y="5194"/>
                                  <a:ext cx="2280" cy="37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92"/>
                              <wps:cNvCnPr>
                                <a:cxnSpLocks/>
                              </wps:cNvCnPr>
                              <wps:spPr bwMode="auto">
                                <a:xfrm flipV="1">
                                  <a:off x="4676" y="11017"/>
                                  <a:ext cx="2130" cy="30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284"/>
                              <wps:cNvCnPr>
                                <a:cxnSpLocks/>
                              </wps:cNvCnPr>
                              <wps:spPr bwMode="auto">
                                <a:xfrm>
                                  <a:off x="7697" y="10019"/>
                                  <a:ext cx="1057" cy="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5" name="Straight Arrow Connector 1627114059"/>
                            <wps:cNvCnPr>
                              <a:cxnSpLocks noChangeShapeType="1"/>
                              <a:stCxn id="9" idx="3"/>
                              <a:endCxn id="18" idx="1"/>
                            </wps:cNvCnPr>
                            <wps:spPr bwMode="auto">
                              <a:xfrm flipV="1">
                                <a:off x="2783818" y="3031535"/>
                                <a:ext cx="1445559" cy="9612"/>
                              </a:xfrm>
                              <a:prstGeom prst="straightConnector1">
                                <a:avLst/>
                              </a:prstGeom>
                              <a:noFill/>
                              <a:ln w="6350" cap="flat" cmpd="sng" algn="ctr">
                                <a:solidFill>
                                  <a:srgbClr val="000000"/>
                                </a:solidFill>
                                <a:prstDash val="solid"/>
                                <a:miter lim="800000"/>
                                <a:headEnd/>
                                <a:tailEnd type="triangle" w="med" len="med"/>
                              </a:ln>
                              <a:extLst>
                                <a:ext uri="{909E8E84-426E-40DD-AFC4-6F175D3DCCD1}">
                                  <a14:hiddenFill xmlns:a14="http://schemas.microsoft.com/office/drawing/2010/main">
                                    <a:noFill/>
                                  </a14:hiddenFill>
                                </a:ext>
                              </a:extLst>
                            </wps:spPr>
                            <wps:bodyPr/>
                          </wps:wsp>
                        </wpg:grpSp>
                        <wps:wsp>
                          <wps:cNvPr id="16" name="AutoShape 83"/>
                          <wps:cNvSpPr>
                            <a:spLocks/>
                          </wps:cNvSpPr>
                          <wps:spPr bwMode="auto">
                            <a:xfrm>
                              <a:off x="75303" y="0"/>
                              <a:ext cx="1097280" cy="528955"/>
                            </a:xfrm>
                            <a:prstGeom prst="roundRect">
                              <a:avLst>
                                <a:gd name="adj" fmla="val 16667"/>
                              </a:avLst>
                            </a:prstGeom>
                            <a:solidFill>
                              <a:srgbClr val="FFFFFF"/>
                            </a:solidFill>
                            <a:ln w="9525">
                              <a:solidFill>
                                <a:srgbClr val="000000"/>
                              </a:solidFill>
                              <a:round/>
                              <a:headEnd/>
                              <a:tailEnd/>
                            </a:ln>
                          </wps:spPr>
                          <wps:txbx>
                            <w:txbxContent>
                              <w:p w14:paraId="28C80790" w14:textId="0D6639A3" w:rsidR="00980C94" w:rsidRPr="000B1B3F" w:rsidRDefault="00980C94" w:rsidP="00AE0395">
                                <w:pPr>
                                  <w:jc w:val="center"/>
                                  <w:rPr>
                                    <w:sz w:val="16"/>
                                    <w:szCs w:val="16"/>
                                    <w:lang w:val="id-ID"/>
                                  </w:rPr>
                                </w:pPr>
                                <w:r w:rsidRPr="000B1B3F">
                                  <w:rPr>
                                    <w:b/>
                                    <w:sz w:val="16"/>
                                    <w:szCs w:val="16"/>
                                  </w:rPr>
                                  <w:t>GREEN MARKETING</w:t>
                                </w:r>
                                <w:r>
                                  <w:rPr>
                                    <w:b/>
                                    <w:sz w:val="16"/>
                                    <w:szCs w:val="16"/>
                                  </w:rPr>
                                  <w:br/>
                                </w:r>
                                <w:r w:rsidRPr="000B1B3F">
                                  <w:rPr>
                                    <w:b/>
                                    <w:sz w:val="16"/>
                                    <w:szCs w:val="16"/>
                                  </w:rPr>
                                  <w:t>(X1)</w:t>
                                </w:r>
                              </w:p>
                            </w:txbxContent>
                          </wps:txbx>
                          <wps:bodyPr rot="0" vert="horz" wrap="square" lIns="91440" tIns="45720" rIns="91440" bIns="45720" anchor="t" anchorCtr="0" upright="1">
                            <a:noAutofit/>
                          </wps:bodyPr>
                        </wps:wsp>
                        <wps:wsp>
                          <wps:cNvPr id="17" name="AutoShape 83"/>
                          <wps:cNvSpPr>
                            <a:spLocks/>
                          </wps:cNvSpPr>
                          <wps:spPr bwMode="auto">
                            <a:xfrm>
                              <a:off x="75303" y="2248348"/>
                              <a:ext cx="1097280" cy="529461"/>
                            </a:xfrm>
                            <a:prstGeom prst="roundRect">
                              <a:avLst>
                                <a:gd name="adj" fmla="val 16667"/>
                              </a:avLst>
                            </a:prstGeom>
                            <a:solidFill>
                              <a:srgbClr val="FFFFFF"/>
                            </a:solidFill>
                            <a:ln w="9525">
                              <a:solidFill>
                                <a:srgbClr val="000000"/>
                              </a:solidFill>
                              <a:round/>
                              <a:headEnd/>
                              <a:tailEnd/>
                            </a:ln>
                          </wps:spPr>
                          <wps:txbx>
                            <w:txbxContent>
                              <w:p w14:paraId="1CD6F02A" w14:textId="3C1021CB" w:rsidR="00980C94" w:rsidRPr="000B1B3F" w:rsidRDefault="00980C94" w:rsidP="00723A97">
                                <w:pPr>
                                  <w:jc w:val="center"/>
                                  <w:rPr>
                                    <w:sz w:val="16"/>
                                    <w:szCs w:val="16"/>
                                    <w:lang w:val="id-ID"/>
                                  </w:rPr>
                                </w:pPr>
                                <w:r w:rsidRPr="000B1B3F">
                                  <w:rPr>
                                    <w:b/>
                                    <w:sz w:val="16"/>
                                    <w:szCs w:val="16"/>
                                  </w:rPr>
                                  <w:t xml:space="preserve">ENVIRONMENTAL CONCERN </w:t>
                                </w:r>
                                <w:r>
                                  <w:rPr>
                                    <w:b/>
                                    <w:sz w:val="16"/>
                                    <w:szCs w:val="16"/>
                                  </w:rPr>
                                  <w:br/>
                                </w:r>
                                <w:r w:rsidRPr="000B1B3F">
                                  <w:rPr>
                                    <w:b/>
                                    <w:sz w:val="16"/>
                                    <w:szCs w:val="16"/>
                                  </w:rPr>
                                  <w:t>(X3)</w:t>
                                </w:r>
                              </w:p>
                              <w:p w14:paraId="7CC82E5B" w14:textId="77777777" w:rsidR="00980C94" w:rsidRPr="000B1B3F" w:rsidRDefault="00980C94" w:rsidP="00723A97">
                                <w:pPr>
                                  <w:ind w:left="284" w:hanging="284"/>
                                  <w:rPr>
                                    <w:sz w:val="16"/>
                                    <w:szCs w:val="16"/>
                                    <w:lang w:val="id-ID"/>
                                  </w:rPr>
                                </w:pPr>
                              </w:p>
                            </w:txbxContent>
                          </wps:txbx>
                          <wps:bodyPr rot="0" vert="horz" wrap="square" lIns="91440" tIns="45720" rIns="91440" bIns="45720" anchor="t" anchorCtr="0" upright="1">
                            <a:noAutofit/>
                          </wps:bodyPr>
                        </wps:wsp>
                      </wpg:grpSp>
                      <wps:wsp>
                        <wps:cNvPr id="18" name="AutoShape 83"/>
                        <wps:cNvSpPr>
                          <a:spLocks/>
                        </wps:cNvSpPr>
                        <wps:spPr bwMode="auto">
                          <a:xfrm>
                            <a:off x="1925618" y="1226372"/>
                            <a:ext cx="1097280" cy="528955"/>
                          </a:xfrm>
                          <a:prstGeom prst="roundRect">
                            <a:avLst>
                              <a:gd name="adj" fmla="val 16667"/>
                            </a:avLst>
                          </a:prstGeom>
                          <a:solidFill>
                            <a:srgbClr val="FFFFFF"/>
                          </a:solidFill>
                          <a:ln w="9525">
                            <a:solidFill>
                              <a:srgbClr val="000000"/>
                            </a:solidFill>
                            <a:round/>
                            <a:headEnd/>
                            <a:tailEnd/>
                          </a:ln>
                        </wps:spPr>
                        <wps:txbx>
                          <w:txbxContent>
                            <w:p w14:paraId="26A7549E" w14:textId="25BDECEC" w:rsidR="00980C94" w:rsidRPr="000B1B3F" w:rsidRDefault="00980C94" w:rsidP="00723A97">
                              <w:pPr>
                                <w:jc w:val="center"/>
                                <w:rPr>
                                  <w:sz w:val="16"/>
                                  <w:szCs w:val="16"/>
                                  <w:lang w:val="id-ID"/>
                                </w:rPr>
                              </w:pPr>
                              <w:r w:rsidRPr="000B1B3F">
                                <w:rPr>
                                  <w:b/>
                                  <w:sz w:val="16"/>
                                  <w:szCs w:val="16"/>
                                </w:rPr>
                                <w:t xml:space="preserve">GREEN SATISFACTION </w:t>
                              </w:r>
                              <w:r>
                                <w:rPr>
                                  <w:b/>
                                  <w:sz w:val="16"/>
                                  <w:szCs w:val="16"/>
                                </w:rPr>
                                <w:br/>
                              </w:r>
                              <w:r w:rsidRPr="000B1B3F">
                                <w:rPr>
                                  <w:b/>
                                  <w:sz w:val="16"/>
                                  <w:szCs w:val="16"/>
                                </w:rPr>
                                <w:t>(Y)</w:t>
                              </w:r>
                            </w:p>
                            <w:p w14:paraId="7C65F91A" w14:textId="77777777" w:rsidR="00980C94" w:rsidRPr="000B1B3F" w:rsidRDefault="00980C94" w:rsidP="00723A97">
                              <w:pPr>
                                <w:ind w:left="284" w:hanging="284"/>
                                <w:rPr>
                                  <w:sz w:val="16"/>
                                  <w:szCs w:val="16"/>
                                  <w:lang w:val="id-ID"/>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A4D71E" id="Group 1627114066" o:spid="_x0000_s1026" style="position:absolute;left:0;text-align:left;margin-left:54.8pt;margin-top:11.5pt;width:353.75pt;height:224.4pt;z-index:251659264;mso-width-relative:margin;mso-height-relative:margin" coordsize="41525,277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">
                <v:group id="Group 1627114065" o:spid="_x0000_s1027" style="position:absolute;width:41525;height:27778" coordsize="41525,277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group id="Group 63" o:spid="_x0000_s1028" style="position:absolute;top:3012;width:41525;height:22287" coordorigin="7801,6940" coordsize="74385,437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group id="Group 369" o:spid="_x0000_s1029" style="position:absolute;left:7801;top:6940;width:74386;height:43798" coordorigin="2521,5194" coordsize="8000,89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v:roundrect id="AutoShape 83" o:spid="_x0000_s1030" style="position:absolute;left:2521;top:8912;width:2155;height:2116;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">
                        <v:path arrowok="t"/>
                        <v:textbox>
                          <w:txbxContent>
                            <w:p w14:paraId="7B323305" w14:textId="3768740A" w:rsidR="00980C94" w:rsidRPr="000B1B3F" w:rsidRDefault="00980C94" w:rsidP="00723A97">
                              <w:pPr>
                                <w:jc w:val="center"/>
                                <w:rPr>
                                  <w:sz w:val="16"/>
                                  <w:szCs w:val="16"/>
                                  <w:lang w:val="id-ID"/>
                                </w:rPr>
                              </w:pPr>
                              <w:r w:rsidRPr="000B1B3F">
                                <w:rPr>
                                  <w:b/>
                                  <w:sz w:val="16"/>
                                  <w:szCs w:val="16"/>
                                </w:rPr>
                                <w:t>GREEN PERCEIVED VALUE(X2)</w:t>
                              </w:r>
                            </w:p>
                            <w:p w14:paraId="4FDC3B1B" w14:textId="77777777" w:rsidR="00980C94" w:rsidRPr="000B1B3F" w:rsidRDefault="00980C94" w:rsidP="00723A97">
                              <w:pPr>
                                <w:ind w:left="284" w:hanging="284"/>
                                <w:rPr>
                                  <w:sz w:val="16"/>
                                  <w:szCs w:val="16"/>
                                  <w:lang w:val="id-ID"/>
                                </w:rPr>
                              </w:pPr>
                            </w:p>
                          </w:txbxContent>
                        </v:textbox>
                      </v:roundrect>
                      <v:roundrect id="AutoShape 87" o:spid="_x0000_s1031" style="position:absolute;left:8743;top:8892;width:1778;height:2132;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">
                        <v:path arrowok="t"/>
                        <v:textbox>
                          <w:txbxContent>
                            <w:p w14:paraId="4ED46821" w14:textId="77777777" w:rsidR="00980C94" w:rsidRPr="00B0565E" w:rsidRDefault="00980C94" w:rsidP="00723A97">
                              <w:pPr>
                                <w:jc w:val="center"/>
                                <w:rPr>
                                  <w:b/>
                                  <w:iCs/>
                                  <w:caps/>
                                  <w:sz w:val="16"/>
                                  <w:szCs w:val="16"/>
                                </w:rPr>
                              </w:pPr>
                              <w:r w:rsidRPr="00B0565E">
                                <w:rPr>
                                  <w:b/>
                                  <w:iCs/>
                                  <w:caps/>
                                  <w:sz w:val="16"/>
                                  <w:szCs w:val="16"/>
                                </w:rPr>
                                <w:t>GREEN LOYALTY</w:t>
                              </w:r>
                            </w:p>
                            <w:p w14:paraId="45AB945A" w14:textId="77777777" w:rsidR="00980C94" w:rsidRPr="000B1B3F" w:rsidRDefault="00980C94" w:rsidP="00723A97">
                              <w:pPr>
                                <w:jc w:val="center"/>
                                <w:rPr>
                                  <w:sz w:val="16"/>
                                  <w:szCs w:val="16"/>
                                </w:rPr>
                              </w:pPr>
                              <w:r w:rsidRPr="00B0565E">
                                <w:rPr>
                                  <w:b/>
                                  <w:sz w:val="16"/>
                                  <w:szCs w:val="16"/>
                                </w:rPr>
                                <w:t>(Z)</w:t>
                              </w:r>
                            </w:p>
                          </w:txbxContent>
                        </v:textbox>
                      </v:roundrect>
                      <v:shapetype id="_x0000_t32" coordsize="21600,21600" o:spt="32" o:oned="t" path="m,l21600,21600e" filled="f">
                        <v:path arrowok="t" fillok="f" o:connecttype="none"/>
                        <o:lock v:ext="edit" shapetype="t"/>
                      </v:shapetype>
                      <v:shape id="AutoShape 91" o:spid="_x0000_s1032" type="#_x0000_t32" style="position:absolute;left:4676;top:5194;width:2280;height:371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">
                        <v:stroke endarrow="block"/>
                        <o:lock v:ext="edit" shapetype="f"/>
                      </v:shape>
                      <v:shape id="AutoShape 92" o:spid="_x0000_s1033" type="#_x0000_t32" style="position:absolute;left:4676;top:11017;width:2130;height:308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">
                        <v:stroke endarrow="block"/>
                        <o:lock v:ext="edit" shapetype="f"/>
                      </v:shape>
                      <v:shape id="AutoShape 284" o:spid="_x0000_s1034" type="#_x0000_t32" style="position:absolute;left:7697;top:10019;width:1057;height:1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">
                        <v:stroke endarrow="block"/>
                        <o:lock v:ext="edit" shapetype="f"/>
                      </v:shape>
                    </v:group>
                    <v:shape id="Straight Arrow Connector 1627114059" o:spid="_x0000_s1035" type="#_x0000_t32" style="position:absolute;left:27838;top:30315;width:14455;height:9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" strokeweight=".5pt">
                      <v:stroke endarrow="block" joinstyle="miter"/>
                    </v:shape>
                  </v:group>
                  <v:roundrect id="AutoShape 83" o:spid="_x0000_s1036" style="position:absolute;left:753;width:10972;height:5289;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">
                    <v:path arrowok="t"/>
                    <v:textbox>
                      <w:txbxContent>
                        <w:p w14:paraId="28C80790" w14:textId="0D6639A3" w:rsidR="00980C94" w:rsidRPr="000B1B3F" w:rsidRDefault="00980C94" w:rsidP="00AE0395">
                          <w:pPr>
                            <w:jc w:val="center"/>
                            <w:rPr>
                              <w:sz w:val="16"/>
                              <w:szCs w:val="16"/>
                              <w:lang w:val="id-ID"/>
                            </w:rPr>
                          </w:pPr>
                          <w:r w:rsidRPr="000B1B3F">
                            <w:rPr>
                              <w:b/>
                              <w:sz w:val="16"/>
                              <w:szCs w:val="16"/>
                            </w:rPr>
                            <w:t>GREEN MARKETING</w:t>
                          </w:r>
                          <w:r>
                            <w:rPr>
                              <w:b/>
                              <w:sz w:val="16"/>
                              <w:szCs w:val="16"/>
                            </w:rPr>
                            <w:br/>
                          </w:r>
                          <w:r w:rsidRPr="000B1B3F">
                            <w:rPr>
                              <w:b/>
                              <w:sz w:val="16"/>
                              <w:szCs w:val="16"/>
                            </w:rPr>
                            <w:t>(X1)</w:t>
                          </w:r>
                        </w:p>
                      </w:txbxContent>
                    </v:textbox>
                  </v:roundrect>
                  <v:roundrect id="AutoShape 83" o:spid="_x0000_s1037" style="position:absolute;left:753;top:22483;width:10972;height:5295;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">
                    <v:path arrowok="t"/>
                    <v:textbox>
                      <w:txbxContent>
                        <w:p w14:paraId="1CD6F02A" w14:textId="3C1021CB" w:rsidR="00980C94" w:rsidRPr="000B1B3F" w:rsidRDefault="00980C94" w:rsidP="00723A97">
                          <w:pPr>
                            <w:jc w:val="center"/>
                            <w:rPr>
                              <w:sz w:val="16"/>
                              <w:szCs w:val="16"/>
                              <w:lang w:val="id-ID"/>
                            </w:rPr>
                          </w:pPr>
                          <w:r w:rsidRPr="000B1B3F">
                            <w:rPr>
                              <w:b/>
                              <w:sz w:val="16"/>
                              <w:szCs w:val="16"/>
                            </w:rPr>
                            <w:t xml:space="preserve">ENVIRONMENTAL CONCERN </w:t>
                          </w:r>
                          <w:r>
                            <w:rPr>
                              <w:b/>
                              <w:sz w:val="16"/>
                              <w:szCs w:val="16"/>
                            </w:rPr>
                            <w:br/>
                          </w:r>
                          <w:r w:rsidRPr="000B1B3F">
                            <w:rPr>
                              <w:b/>
                              <w:sz w:val="16"/>
                              <w:szCs w:val="16"/>
                            </w:rPr>
                            <w:t>(X3)</w:t>
                          </w:r>
                        </w:p>
                        <w:p w14:paraId="7CC82E5B" w14:textId="77777777" w:rsidR="00980C94" w:rsidRPr="000B1B3F" w:rsidRDefault="00980C94" w:rsidP="00723A97">
                          <w:pPr>
                            <w:ind w:left="284" w:hanging="284"/>
                            <w:rPr>
                              <w:sz w:val="16"/>
                              <w:szCs w:val="16"/>
                              <w:lang w:val="id-ID"/>
                            </w:rPr>
                          </w:pPr>
                        </w:p>
                      </w:txbxContent>
                    </v:textbox>
                  </v:roundrect>
                </v:group>
                <v:roundrect id="AutoShape 83" o:spid="_x0000_s1038" style="position:absolute;left:19256;top:12263;width:10972;height:529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">
                  <v:path arrowok="t"/>
                  <v:textbox>
                    <w:txbxContent>
                      <w:p w14:paraId="26A7549E" w14:textId="25BDECEC" w:rsidR="00980C94" w:rsidRPr="000B1B3F" w:rsidRDefault="00980C94" w:rsidP="00723A97">
                        <w:pPr>
                          <w:jc w:val="center"/>
                          <w:rPr>
                            <w:sz w:val="16"/>
                            <w:szCs w:val="16"/>
                            <w:lang w:val="id-ID"/>
                          </w:rPr>
                        </w:pPr>
                        <w:r w:rsidRPr="000B1B3F">
                          <w:rPr>
                            <w:b/>
                            <w:sz w:val="16"/>
                            <w:szCs w:val="16"/>
                          </w:rPr>
                          <w:t xml:space="preserve">GREEN SATISFACTION </w:t>
                        </w:r>
                        <w:r>
                          <w:rPr>
                            <w:b/>
                            <w:sz w:val="16"/>
                            <w:szCs w:val="16"/>
                          </w:rPr>
                          <w:br/>
                        </w:r>
                        <w:r w:rsidRPr="000B1B3F">
                          <w:rPr>
                            <w:b/>
                            <w:sz w:val="16"/>
                            <w:szCs w:val="16"/>
                          </w:rPr>
                          <w:t>(Y)</w:t>
                        </w:r>
                      </w:p>
                      <w:p w14:paraId="7C65F91A" w14:textId="77777777" w:rsidR="00980C94" w:rsidRPr="000B1B3F" w:rsidRDefault="00980C94" w:rsidP="00723A97">
                        <w:pPr>
                          <w:ind w:left="284" w:hanging="284"/>
                          <w:rPr>
                            <w:sz w:val="16"/>
                            <w:szCs w:val="16"/>
                            <w:lang w:val="id-ID"/>
                          </w:rPr>
                        </w:pPr>
                      </w:p>
                    </w:txbxContent>
                  </v:textbox>
                </v:roundrect>
              </v:group>
            </w:pict>
          </mc:Fallback>
        </mc:AlternateContent>
      </w:r>
    </w:p>
    <w:p w14:paraId="09D66422" w14:textId="2B29B5E9" w:rsidR="000662A0" w:rsidRDefault="000662A0" w:rsidP="000662A0">
      <w:pPr>
        <w:widowControl/>
        <w:rPr>
          <w:rFonts w:ascii="Calibri" w:eastAsia="Calibri" w:hAnsi="Calibri"/>
          <w:lang w:val="id-ID"/>
        </w:rPr>
      </w:pPr>
    </w:p>
    <w:p w14:paraId="2FBA7309" w14:textId="1EDBFBC3" w:rsidR="000662A0" w:rsidRDefault="000662A0" w:rsidP="000662A0">
      <w:pPr>
        <w:widowControl/>
        <w:rPr>
          <w:rFonts w:ascii="Calibri" w:eastAsia="Calibri" w:hAnsi="Calibri"/>
          <w:lang w:val="id-ID"/>
        </w:rPr>
      </w:pPr>
    </w:p>
    <w:p w14:paraId="78561E7F" w14:textId="1ADCEE9B" w:rsidR="000662A0" w:rsidRDefault="000662A0" w:rsidP="000662A0">
      <w:pPr>
        <w:widowControl/>
        <w:rPr>
          <w:rFonts w:ascii="Calibri" w:eastAsia="Calibri" w:hAnsi="Calibri"/>
          <w:lang w:val="id-ID"/>
        </w:rPr>
      </w:pPr>
    </w:p>
    <w:p w14:paraId="28BA60F0" w14:textId="77777777" w:rsidR="000662A0" w:rsidRPr="000662A0" w:rsidRDefault="000662A0" w:rsidP="000662A0">
      <w:pPr>
        <w:widowControl/>
        <w:rPr>
          <w:lang w:val="id-ID"/>
        </w:rPr>
      </w:pPr>
    </w:p>
    <w:p w14:paraId="5EA94155" w14:textId="77777777" w:rsidR="00723A97" w:rsidRDefault="00723A97" w:rsidP="00EB51FC">
      <w:pPr>
        <w:pStyle w:val="Els-caption"/>
        <w:jc w:val="center"/>
        <w:rPr>
          <w:b/>
          <w:sz w:val="20"/>
        </w:rPr>
      </w:pPr>
    </w:p>
    <w:p w14:paraId="0B2242BC" w14:textId="77777777" w:rsidR="00723A97" w:rsidRDefault="00723A97" w:rsidP="00EB51FC">
      <w:pPr>
        <w:pStyle w:val="Els-caption"/>
        <w:jc w:val="center"/>
        <w:rPr>
          <w:b/>
          <w:sz w:val="20"/>
        </w:rPr>
      </w:pPr>
    </w:p>
    <w:p w14:paraId="52EDD962" w14:textId="77777777" w:rsidR="00723A97" w:rsidRDefault="00723A97" w:rsidP="00EB51FC">
      <w:pPr>
        <w:pStyle w:val="Els-caption"/>
        <w:jc w:val="center"/>
        <w:rPr>
          <w:b/>
          <w:sz w:val="20"/>
        </w:rPr>
      </w:pPr>
    </w:p>
    <w:p w14:paraId="27A54402" w14:textId="77777777" w:rsidR="00723A97" w:rsidRDefault="00723A97" w:rsidP="00EB51FC">
      <w:pPr>
        <w:pStyle w:val="Els-caption"/>
        <w:jc w:val="center"/>
        <w:rPr>
          <w:b/>
          <w:sz w:val="20"/>
        </w:rPr>
      </w:pPr>
    </w:p>
    <w:p w14:paraId="40F9F011" w14:textId="77777777" w:rsidR="00723A97" w:rsidRDefault="00723A97" w:rsidP="00EB51FC">
      <w:pPr>
        <w:pStyle w:val="Els-caption"/>
        <w:jc w:val="center"/>
        <w:rPr>
          <w:b/>
          <w:sz w:val="20"/>
        </w:rPr>
      </w:pPr>
    </w:p>
    <w:p w14:paraId="7C93A8B4" w14:textId="77777777" w:rsidR="00723A97" w:rsidRDefault="00723A97" w:rsidP="00EB51FC">
      <w:pPr>
        <w:pStyle w:val="Els-caption"/>
        <w:jc w:val="center"/>
        <w:rPr>
          <w:b/>
          <w:sz w:val="20"/>
        </w:rPr>
      </w:pPr>
    </w:p>
    <w:p w14:paraId="52F47DF6" w14:textId="77777777" w:rsidR="000B1B3F" w:rsidRDefault="000B1B3F" w:rsidP="00EB51FC">
      <w:pPr>
        <w:pStyle w:val="Els-caption"/>
        <w:jc w:val="center"/>
        <w:rPr>
          <w:b/>
          <w:sz w:val="20"/>
        </w:rPr>
      </w:pPr>
    </w:p>
    <w:p w14:paraId="2248B80C" w14:textId="77777777" w:rsidR="00FA4C7E" w:rsidRDefault="00FA4C7E" w:rsidP="00EB51FC">
      <w:pPr>
        <w:pStyle w:val="Els-caption"/>
        <w:jc w:val="center"/>
        <w:rPr>
          <w:b/>
          <w:sz w:val="18"/>
          <w:szCs w:val="18"/>
        </w:rPr>
      </w:pPr>
    </w:p>
    <w:p w14:paraId="649E78D2" w14:textId="30062357" w:rsidR="009B7D1B" w:rsidRPr="009B7D1B" w:rsidRDefault="00FA4C7E" w:rsidP="009B7D1B">
      <w:pPr>
        <w:pStyle w:val="Els-caption"/>
        <w:jc w:val="center"/>
        <w:rPr>
          <w:b/>
          <w:sz w:val="20"/>
        </w:rPr>
      </w:pPr>
      <w:r w:rsidRPr="00096E8B">
        <w:rPr>
          <w:b/>
          <w:sz w:val="18"/>
          <w:szCs w:val="18"/>
        </w:rPr>
        <w:t>Figure 1</w:t>
      </w:r>
      <w:r w:rsidRPr="00096E8B">
        <w:rPr>
          <w:sz w:val="18"/>
          <w:szCs w:val="18"/>
        </w:rPr>
        <w:t xml:space="preserve">: </w:t>
      </w:r>
      <w:r>
        <w:rPr>
          <w:sz w:val="18"/>
          <w:szCs w:val="18"/>
        </w:rPr>
        <w:t>Conceptual Structure of Research</w:t>
      </w:r>
    </w:p>
    <w:p w14:paraId="4327512C" w14:textId="6653A4A4" w:rsidR="00EB51FC" w:rsidRPr="00D96421" w:rsidRDefault="00B304C1" w:rsidP="00EB51FC">
      <w:pPr>
        <w:pStyle w:val="Els-1storder-head"/>
        <w:rPr>
          <w:sz w:val="24"/>
          <w:szCs w:val="24"/>
        </w:rPr>
      </w:pPr>
      <w:r>
        <w:rPr>
          <w:sz w:val="24"/>
          <w:szCs w:val="24"/>
        </w:rPr>
        <w:t>Method</w:t>
      </w:r>
    </w:p>
    <w:p w14:paraId="1C55BFD3" w14:textId="75E3B6BC" w:rsidR="00837E24" w:rsidRPr="00837E24" w:rsidRDefault="00837E24" w:rsidP="00837E24">
      <w:pPr>
        <w:pStyle w:val="Els-body-text"/>
        <w:rPr>
          <w:sz w:val="22"/>
          <w:szCs w:val="22"/>
        </w:rPr>
      </w:pPr>
      <w:r w:rsidRPr="00837E24">
        <w:rPr>
          <w:sz w:val="22"/>
          <w:szCs w:val="22"/>
        </w:rPr>
        <w:t xml:space="preserve">This study employs a descriptive and </w:t>
      </w:r>
      <w:proofErr w:type="spellStart"/>
      <w:r w:rsidR="00980C94">
        <w:rPr>
          <w:sz w:val="22"/>
          <w:szCs w:val="22"/>
        </w:rPr>
        <w:t>verificative</w:t>
      </w:r>
      <w:proofErr w:type="spellEnd"/>
      <w:r w:rsidRPr="00837E24">
        <w:rPr>
          <w:sz w:val="22"/>
          <w:szCs w:val="22"/>
        </w:rPr>
        <w:t xml:space="preserve"> quantitative method with a survey design, utilizing a questionnaire measured on a Likert scale ranging from 1 (strongly disagree) to 5 (strongly disagree). The questionnaire consisted of 129 questions and was divided into two parts. The first part presented 9 questions about sociodemographic data. The second part presented 47 statements referring to green marketing, 24 statements referring to green perceived value, 15 questions statements referring to environmental concern, 18 statements referring to green satisfaction and 16 statements referring to green </w:t>
      </w:r>
      <w:r w:rsidRPr="00837E24">
        <w:rPr>
          <w:sz w:val="22"/>
          <w:szCs w:val="22"/>
        </w:rPr>
        <w:lastRenderedPageBreak/>
        <w:t xml:space="preserve">loyalty. An online platform is a valuable tool for researchers, allowing data collection from many individuals in a short period </w:t>
      </w:r>
      <w:r w:rsidR="006B4E6F">
        <w:rPr>
          <w:sz w:val="22"/>
          <w:szCs w:val="22"/>
        </w:rPr>
        <w:fldChar w:fldCharType="begin" w:fldLock="1"/>
      </w:r>
      <w:r w:rsidR="006B4E6F">
        <w:rPr>
          <w:sz w:val="22"/>
          <w:szCs w:val="22"/>
        </w:rPr>
        <w:instrText>ADDIN CSL_CITATION {"citationItems":[{"id":"ITEM-1","itemData":{"DOI":"10.1111/apps.12302","ISSN":"14640597","abstract":"Online platforms such as Amazon's Mechanical Turk (MTurk) are increasingly used by researchers to collect survey and experimental data. Yet, such platforms often represent a tumultuous terrain for both researchers and reviewers. Researchers have to navigate the complexities of obtaining representative samples from online participant cohorts, ensuring data quality, ethically incentivizing participant engagement, and maintaining transparency. Reviewers, on the other hand, have to navigate the complexities of evaluating the efficacy of such data collection and execution efforts in answering important research questions. In order to provide clarity to these issues, this article provides researchers and reviewers with a series of recommendations for effectively executing and evaluating data collection via online platforms, respectively.","author":[{"dropping-particle":"","family":"Newman","given":"Alexander","non-dropping-particle":"","parse-names":false,"suffix":""},{"dropping-particle":"","family":"Bavik","given":"Yuen Lam","non-dropping-particle":"","parse-names":false,"suffix":""},{"dropping-particle":"","family":"Mount","given":"Matthew","non-dropping-particle":"","parse-names":false,"suffix":""},{"dropping-particle":"","family":"Shao","given":"Bo","non-dropping-particle":"","parse-names":false,"suffix":""}],"container-title":"Applied Psychology","id":"ITEM-1","issue":"3","issued":{"date-parts":[["2021"]]},"page":"1380-1402","title":"Data Collection via Online Platforms: Challenges and Recommendations for Future Research","type":"article-journal","volume":"70"},"uris":["http://www.mendeley.com/documents/?uuid=0e8e6621-1233-4743-8fc6-9fb7412e4298"]}],"mendeley":{"formattedCitation":"(Newman et al., 2021)","plainTextFormattedCitation":"(Newman et al., 2021)","previouslyFormattedCitation":"(Newman et al., 2021)"},"properties":{"noteIndex":0},"schema":"https://github.com/citation-style-language/schema/raw/master/csl-citation.json"}</w:instrText>
      </w:r>
      <w:r w:rsidR="006B4E6F">
        <w:rPr>
          <w:sz w:val="22"/>
          <w:szCs w:val="22"/>
        </w:rPr>
        <w:fldChar w:fldCharType="separate"/>
      </w:r>
      <w:r w:rsidR="006B4E6F" w:rsidRPr="006B4E6F">
        <w:rPr>
          <w:noProof/>
          <w:sz w:val="22"/>
          <w:szCs w:val="22"/>
        </w:rPr>
        <w:t>(Newman et al., 2021)</w:t>
      </w:r>
      <w:r w:rsidR="006B4E6F">
        <w:rPr>
          <w:sz w:val="22"/>
          <w:szCs w:val="22"/>
        </w:rPr>
        <w:fldChar w:fldCharType="end"/>
      </w:r>
      <w:r w:rsidRPr="00837E24">
        <w:rPr>
          <w:sz w:val="22"/>
          <w:szCs w:val="22"/>
        </w:rPr>
        <w:t xml:space="preserve">. Thus, a questionnaire was designed, and data was collected using an online survey platform (Google Forms). </w:t>
      </w:r>
    </w:p>
    <w:p w14:paraId="26F185FD" w14:textId="0CE762B3" w:rsidR="00EB51FC" w:rsidRDefault="00837E24" w:rsidP="00EB51FC">
      <w:pPr>
        <w:pStyle w:val="Els-1storder-head"/>
        <w:rPr>
          <w:sz w:val="24"/>
          <w:szCs w:val="24"/>
          <w:lang w:val="id-ID"/>
        </w:rPr>
      </w:pPr>
      <w:r>
        <w:rPr>
          <w:sz w:val="24"/>
          <w:szCs w:val="24"/>
        </w:rPr>
        <w:t>Results</w:t>
      </w:r>
    </w:p>
    <w:p w14:paraId="518A980C" w14:textId="542774DC" w:rsidR="003707EE" w:rsidRPr="003707EE" w:rsidRDefault="003707EE" w:rsidP="003707EE">
      <w:pPr>
        <w:pStyle w:val="Els-body-text"/>
        <w:ind w:firstLine="0"/>
        <w:rPr>
          <w:rStyle w:val="tlid-translation"/>
          <w:rFonts w:ascii="Times New Roman" w:hAnsi="Times New Roman"/>
          <w:b/>
          <w:lang w:val="en"/>
        </w:rPr>
      </w:pPr>
      <w:r w:rsidRPr="003707EE">
        <w:rPr>
          <w:rStyle w:val="tlid-translation"/>
          <w:rFonts w:ascii="Times New Roman" w:hAnsi="Times New Roman"/>
          <w:b/>
          <w:lang w:val="en"/>
        </w:rPr>
        <w:t xml:space="preserve">4.1 </w:t>
      </w:r>
      <w:proofErr w:type="spellStart"/>
      <w:r w:rsidR="005A382B">
        <w:rPr>
          <w:rStyle w:val="tlid-translation"/>
          <w:rFonts w:ascii="Times New Roman" w:hAnsi="Times New Roman"/>
          <w:b/>
          <w:lang w:val="en"/>
        </w:rPr>
        <w:t>Sociod</w:t>
      </w:r>
      <w:r w:rsidRPr="003707EE">
        <w:rPr>
          <w:rStyle w:val="tlid-translation"/>
          <w:rFonts w:ascii="Times New Roman" w:hAnsi="Times New Roman"/>
          <w:b/>
          <w:lang w:val="en"/>
        </w:rPr>
        <w:t>emography</w:t>
      </w:r>
      <w:proofErr w:type="spellEnd"/>
      <w:r w:rsidRPr="003707EE">
        <w:rPr>
          <w:rStyle w:val="tlid-translation"/>
          <w:rFonts w:ascii="Times New Roman" w:hAnsi="Times New Roman"/>
          <w:b/>
          <w:lang w:val="en"/>
        </w:rPr>
        <w:t xml:space="preserve"> Result</w:t>
      </w:r>
    </w:p>
    <w:p w14:paraId="38283BD2" w14:textId="77777777" w:rsidR="003707EE" w:rsidRPr="002D31AF" w:rsidRDefault="003707EE" w:rsidP="003707EE">
      <w:pPr>
        <w:pStyle w:val="Els-body-text"/>
        <w:rPr>
          <w:rStyle w:val="tlid-translation"/>
          <w:rFonts w:ascii="Times New Roman" w:hAnsi="Times New Roman"/>
          <w:lang w:val="en"/>
        </w:rPr>
      </w:pPr>
      <w:r w:rsidRPr="002D31AF">
        <w:rPr>
          <w:rStyle w:val="tlid-translation"/>
          <w:rFonts w:ascii="Times New Roman" w:hAnsi="Times New Roman"/>
          <w:lang w:val="en"/>
        </w:rPr>
        <w:t xml:space="preserve">Of the 384 respondents, most respondents corresponding to 40.36% of them, are aged between 25 and 32 years old, followed by 27.34% between 17 and 24 years old and 17.71% aged between 33 and 40 years old. Regarding to gender 71.59% identified themselves as female, and 28.41% identified as male. Concerning education 57,29% complete their undergraduate degree, 20.83% completed their postgraduate degrees and followed 20.83% complete higher education. Most of respondents are private sector workers 46,88%, business owner 23.44%, followed by civil servant 10.42%. As for the average income, 39.06% most of the participants reported income above 3 to 5 million rupiah, 26.04 % answered above 5 to 10 million rupiah and 15.62% of the respondents claimed to earn above 1 to 3 million rupiah and </w:t>
      </w:r>
      <w:proofErr w:type="spellStart"/>
      <w:r w:rsidRPr="002D31AF">
        <w:rPr>
          <w:rStyle w:val="tlid-translation"/>
          <w:rFonts w:ascii="Times New Roman" w:hAnsi="Times New Roman"/>
          <w:lang w:val="en"/>
        </w:rPr>
        <w:t>Lisrel</w:t>
      </w:r>
      <w:proofErr w:type="spellEnd"/>
      <w:r w:rsidRPr="002D31AF">
        <w:rPr>
          <w:rStyle w:val="tlid-translation"/>
          <w:rFonts w:ascii="Times New Roman" w:hAnsi="Times New Roman"/>
          <w:lang w:val="en"/>
        </w:rPr>
        <w:t xml:space="preserve">- Structural Equation Modeling was used to analyze the data and model proposed by the study. </w:t>
      </w:r>
    </w:p>
    <w:p w14:paraId="08C99365" w14:textId="77777777" w:rsidR="003707EE" w:rsidRDefault="003707EE" w:rsidP="003707EE">
      <w:pPr>
        <w:pStyle w:val="Els-body-text"/>
        <w:ind w:firstLine="0"/>
        <w:rPr>
          <w:rStyle w:val="tlid-translation"/>
          <w:rFonts w:ascii="Times New Roman" w:hAnsi="Times New Roman"/>
          <w:sz w:val="22"/>
          <w:szCs w:val="22"/>
          <w:lang w:val="en"/>
        </w:rPr>
      </w:pPr>
    </w:p>
    <w:p w14:paraId="3AAD607C" w14:textId="7A8BAE9E" w:rsidR="003707EE" w:rsidRPr="003707EE" w:rsidRDefault="003707EE" w:rsidP="003707EE">
      <w:pPr>
        <w:pStyle w:val="Els-body-text"/>
        <w:ind w:firstLine="0"/>
        <w:rPr>
          <w:rStyle w:val="tlid-translation"/>
          <w:rFonts w:ascii="Times New Roman" w:hAnsi="Times New Roman"/>
          <w:b/>
          <w:lang w:val="en"/>
        </w:rPr>
      </w:pPr>
      <w:r w:rsidRPr="003707EE">
        <w:rPr>
          <w:rStyle w:val="tlid-translation"/>
          <w:rFonts w:ascii="Times New Roman" w:hAnsi="Times New Roman"/>
          <w:b/>
          <w:lang w:val="en"/>
        </w:rPr>
        <w:t>4.2 Descriptive Result</w:t>
      </w:r>
    </w:p>
    <w:p w14:paraId="6C81CBC1" w14:textId="08BAF3BE" w:rsidR="002D31AF" w:rsidRDefault="003707EE" w:rsidP="002D31AF">
      <w:pPr>
        <w:ind w:firstLine="284"/>
        <w:jc w:val="both"/>
      </w:pPr>
      <w:r w:rsidRPr="003707EE">
        <w:t xml:space="preserve">The classification of respondents' mean scores is categorized into five levels: scores ranging from 1.00 to 1.80 (20% - 36%) are classified as </w:t>
      </w:r>
      <w:r>
        <w:t>v</w:t>
      </w:r>
      <w:r w:rsidRPr="003707EE">
        <w:t xml:space="preserve">ery Poor, 1.81 to 2.60 (36.2% - 52%) as </w:t>
      </w:r>
      <w:r>
        <w:t>p</w:t>
      </w:r>
      <w:r w:rsidRPr="003707EE">
        <w:t xml:space="preserve">oor, 2.61 to 3.40 (52.2% - 68%) as </w:t>
      </w:r>
      <w:r>
        <w:t>f</w:t>
      </w:r>
      <w:r w:rsidRPr="003707EE">
        <w:t xml:space="preserve">air, 3.41 to 4.20 (68.2% - 84%) as </w:t>
      </w:r>
      <w:r>
        <w:t>g</w:t>
      </w:r>
      <w:r w:rsidRPr="003707EE">
        <w:t xml:space="preserve">ood, and 4.21 to 5.00 (84.2% - 100%) as </w:t>
      </w:r>
      <w:r>
        <w:t>v</w:t>
      </w:r>
      <w:r w:rsidRPr="003707EE">
        <w:t>ery Good</w:t>
      </w:r>
      <w:r w:rsidR="002D31AF">
        <w:t xml:space="preserve"> </w:t>
      </w:r>
      <w:r w:rsidR="002D31AF">
        <w:rPr>
          <w:rFonts w:asciiTheme="majorBidi" w:hAnsiTheme="majorBidi" w:cstheme="majorBidi"/>
        </w:rPr>
        <w:fldChar w:fldCharType="begin" w:fldLock="1"/>
      </w:r>
      <w:r w:rsidR="002D31AF">
        <w:rPr>
          <w:rFonts w:asciiTheme="majorBidi" w:hAnsiTheme="majorBidi" w:cstheme="majorBidi"/>
        </w:rPr>
        <w:instrText>ADDIN CSL_CITATION {"citationItems":[{"id":"ITEM-1","itemData":{"DOI":"10.1111/jan.14399","ISSN":"13652648","PMID":"32323338","author":[{"dropping-particle":"","family":"Alavi","given":"Mousa","non-dropping-particle":"","parse-names":false,"suffix":""},{"dropping-particle":"","family":"Visentin","given":"Denis C.","non-dropping-particle":"","parse-names":false,"suffix":""},{"dropping-particle":"","family":"Thapa","given":"Deependra K.","non-dropping-particle":"","parse-names":false,"suffix":""},{"dropping-particle":"","family":"Hunt","given":"Glenn E.","non-dropping-particle":"","parse-names":false,"suffix":""},{"dropping-particle":"","family":"Watson","given":"Roger","non-dropping-particle":"","parse-names":false,"suffix":""},{"dropping-particle":"","family":"Cleary","given":"Michelle","non-dropping-particle":"","parse-names":false,"suffix":""}],"container-title":"Journal of Advanced Nursing","id":"ITEM-1","issue":"9","issued":{"date-parts":[["2020"]]},"page":"2209-2211","title":"Chi-square for model fit in confirmatory factor analysis","type":"article-journal","volume":"76"},"uris":["http://www.mendeley.com/documents/?uuid=7c036a23-3c2f-4ab9-9669-552f5cbfa6d2"]},{"id":"ITEM-2","itemData":{"DOI":"10.3233/978-1-61499-538-8-3","ISBN":"9781614995371","ISSN":"18798365","PMID":"26152937","abstract":"In this contribution the principles behind Structural Equation Modeling (SEM) are presented. SEM is used for assessing the quality of models that are proposed on the basis of theory and experience. This contribution has an introductory level.","author":[{"dropping-particle":"","family":"Hox","given":"J.J.","non-dropping-particle":"","parse-names":false,"suffix":""},{"dropping-particle":"","family":"Bechger","given":"T.M.","non-dropping-particle":"","parse-names":false,"suffix":""}],"container-title":"Studies in Health Technology and Informatics","id":"ITEM-2","issued":{"date-parts":[["2015"]]},"page":"3-6","title":"An introduction to structural equation modeling","type":"article-journal","volume":"213"},"uris":["http://www.mendeley.com/documents/?uuid=a7e4107e-8840-4152-ac90-5e1fc7417ce1"]}],"mendeley":{"formattedCitation":"(Alavi et al., 2020; Hox &amp; Bechger, 2015)","plainTextFormattedCitation":"(Alavi et al., 2020; Hox &amp; Bechger, 2015)","previouslyFormattedCitation":"(Alavi et al., 2020; Hox &amp; Bechger, 2015)"},"properties":{"noteIndex":0},"schema":"https://github.com/citation-style-language/schema/raw/master/csl-citation.json"}</w:instrText>
      </w:r>
      <w:r w:rsidR="002D31AF">
        <w:rPr>
          <w:rFonts w:asciiTheme="majorBidi" w:hAnsiTheme="majorBidi" w:cstheme="majorBidi"/>
        </w:rPr>
        <w:fldChar w:fldCharType="separate"/>
      </w:r>
      <w:r w:rsidR="002D31AF" w:rsidRPr="00E9004A">
        <w:rPr>
          <w:rFonts w:asciiTheme="majorBidi" w:hAnsiTheme="majorBidi" w:cstheme="majorBidi"/>
          <w:noProof/>
        </w:rPr>
        <w:t>(Alavi et al., 2020)</w:t>
      </w:r>
      <w:r w:rsidR="002D31AF">
        <w:rPr>
          <w:rFonts w:asciiTheme="majorBidi" w:hAnsiTheme="majorBidi" w:cstheme="majorBidi"/>
        </w:rPr>
        <w:fldChar w:fldCharType="end"/>
      </w:r>
      <w:r w:rsidR="002D31AF">
        <w:rPr>
          <w:rFonts w:asciiTheme="majorBidi" w:hAnsiTheme="majorBidi" w:cstheme="majorBidi"/>
        </w:rPr>
        <w:t>.</w:t>
      </w:r>
    </w:p>
    <w:p w14:paraId="6AC74522" w14:textId="04E2341F" w:rsidR="003707EE" w:rsidRPr="002D31AF" w:rsidRDefault="003707EE" w:rsidP="003707EE">
      <w:pPr>
        <w:pStyle w:val="Els-body-text"/>
        <w:rPr>
          <w:rFonts w:eastAsia="Calibri"/>
          <w:lang w:val="en"/>
        </w:rPr>
      </w:pPr>
      <w:r w:rsidRPr="002D31AF">
        <w:t xml:space="preserve">The recapitulation of 384 respondents' answers regarding Uniqlo's green marketing variable shows an average score of 3.38, which falls into the fairly good to good category. Consumers' perception of Uniqlo's green value received an average score of 3.39, also classified as fairly good to good. Meanwhile, environmental concern obtained an average score of 3.41, which is categorized as good. In terms of </w:t>
      </w:r>
      <w:r w:rsidR="005A382B">
        <w:t xml:space="preserve">green </w:t>
      </w:r>
      <w:r w:rsidRPr="002D31AF">
        <w:t>customer satisfaction, the recorded average score is 3.34, placing it in the fairly good to good category. Similarly, green loyalty achieved an average score of 3.35, also classified as fairly good to good. Overall, based on respondents' feedback, various aspects of Uniqlo's green marketing are perceived as fairly good, although there is still room for improvement in certain dimensions.</w:t>
      </w:r>
    </w:p>
    <w:p w14:paraId="5BB6E09A" w14:textId="77777777" w:rsidR="003707EE" w:rsidRDefault="003707EE" w:rsidP="003707EE">
      <w:pPr>
        <w:pStyle w:val="Els-body-text"/>
        <w:ind w:firstLine="0"/>
        <w:rPr>
          <w:rStyle w:val="tlid-translation"/>
          <w:rFonts w:ascii="Times New Roman" w:hAnsi="Times New Roman"/>
          <w:sz w:val="22"/>
          <w:szCs w:val="22"/>
          <w:lang w:val="en"/>
        </w:rPr>
      </w:pPr>
    </w:p>
    <w:p w14:paraId="5A3EFF22" w14:textId="3DCE8EAC" w:rsidR="002D31AF" w:rsidRPr="003707EE" w:rsidRDefault="003707EE" w:rsidP="003707EE">
      <w:pPr>
        <w:pStyle w:val="Els-body-text"/>
        <w:ind w:firstLine="0"/>
        <w:rPr>
          <w:rStyle w:val="tlid-translation"/>
          <w:rFonts w:ascii="Times New Roman" w:hAnsi="Times New Roman"/>
          <w:b/>
          <w:lang w:val="en"/>
        </w:rPr>
      </w:pPr>
      <w:r w:rsidRPr="003707EE">
        <w:rPr>
          <w:rStyle w:val="tlid-translation"/>
          <w:rFonts w:ascii="Times New Roman" w:hAnsi="Times New Roman"/>
          <w:b/>
          <w:lang w:val="en"/>
        </w:rPr>
        <w:t xml:space="preserve">4.3 </w:t>
      </w:r>
      <w:proofErr w:type="spellStart"/>
      <w:r w:rsidRPr="003707EE">
        <w:rPr>
          <w:rStyle w:val="tlid-translation"/>
          <w:rFonts w:ascii="Times New Roman" w:hAnsi="Times New Roman"/>
          <w:b/>
          <w:lang w:val="en"/>
        </w:rPr>
        <w:t>Verificative</w:t>
      </w:r>
      <w:proofErr w:type="spellEnd"/>
      <w:r w:rsidRPr="003707EE">
        <w:rPr>
          <w:rStyle w:val="tlid-translation"/>
          <w:rFonts w:ascii="Times New Roman" w:hAnsi="Times New Roman"/>
          <w:b/>
          <w:lang w:val="en"/>
        </w:rPr>
        <w:t xml:space="preserve"> Result</w:t>
      </w:r>
    </w:p>
    <w:p w14:paraId="63341DD1" w14:textId="1ACA6C9B" w:rsidR="002D31AF" w:rsidRPr="002D31AF" w:rsidRDefault="002D31AF" w:rsidP="002D31AF">
      <w:pPr>
        <w:pStyle w:val="Els-body-text"/>
        <w:ind w:firstLine="0"/>
        <w:rPr>
          <w:rStyle w:val="tlid-translation"/>
          <w:rFonts w:ascii="Times New Roman" w:hAnsi="Times New Roman"/>
          <w:b/>
          <w:lang w:val="en"/>
        </w:rPr>
      </w:pPr>
      <w:r w:rsidRPr="002D31AF">
        <w:rPr>
          <w:rStyle w:val="tlid-translation"/>
          <w:rFonts w:ascii="Times New Roman" w:hAnsi="Times New Roman"/>
          <w:b/>
          <w:lang w:val="en"/>
        </w:rPr>
        <w:t>4.3.1 Validity and Reliability Measurement</w:t>
      </w:r>
    </w:p>
    <w:p w14:paraId="61F581C2" w14:textId="54C6A1A5" w:rsidR="007B5913" w:rsidRPr="002D31AF" w:rsidRDefault="007B5913" w:rsidP="003707EE">
      <w:pPr>
        <w:pStyle w:val="Els-body-text"/>
        <w:rPr>
          <w:rStyle w:val="tlid-translation"/>
          <w:rFonts w:ascii="Times New Roman" w:hAnsi="Times New Roman"/>
          <w:lang w:val="en"/>
        </w:rPr>
      </w:pPr>
      <w:r w:rsidRPr="002D31AF">
        <w:rPr>
          <w:rStyle w:val="tlid-translation"/>
          <w:rFonts w:ascii="Times New Roman" w:hAnsi="Times New Roman"/>
          <w:lang w:val="en"/>
        </w:rPr>
        <w:t xml:space="preserve">The validity measurement is assessed based on questionnaire items, indicated by a loading factor from the results of Confirmatory Factor Analysis (CFA) for each dimension of the latent variable, which must be greater than 0.5 and statistically significant with a t-value exceeding the t-table value of 1.96 </w:t>
      </w:r>
      <w:r w:rsidR="006B4E6F" w:rsidRPr="002D31AF">
        <w:rPr>
          <w:rStyle w:val="tlid-translation"/>
          <w:rFonts w:ascii="Times New Roman" w:hAnsi="Times New Roman"/>
          <w:lang w:val="en"/>
        </w:rPr>
        <w:fldChar w:fldCharType="begin" w:fldLock="1"/>
      </w:r>
      <w:r w:rsidR="006B4E6F" w:rsidRPr="002D31AF">
        <w:rPr>
          <w:rStyle w:val="tlid-translation"/>
          <w:rFonts w:ascii="Times New Roman" w:hAnsi="Times New Roman"/>
          <w:lang w:val="en"/>
        </w:rPr>
        <w:instrText>ADDIN CSL_CITATION {"citationItems":[{"id":"ITEM-1","itemData":{"DOI":"10.1108/EBR-11-2018-0203","abstract":"This paper provides a comprehensive, yet concise, overview of the considerations and metrics required for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covering established PLS-SEM evaluation criteria, the overview includes new guidelines for applying (1) PLSpredict, a novel approach for assessing a model’s out-of-sample prediction, (2) metrics for model comparisons, and (3) several complementary methods for checking the results’ robustness","author":[{"dropping-particle":"","family":"Hair","given":"Joseph F","non-dropping-particle":"","parse-names":false,"suffix":""},{"dropping-particle":"","family":"Risher","given":"Jeffrey J.","non-dropping-particle":"","parse-names":false,"suffix":""},{"dropping-particle":"","family":"Sarstedt","given":"Marko","non-dropping-particle":"","parse-names":false,"suffix":""},{"dropping-particle":"","family":"Ringle","given":"Christian M.","non-dropping-particle":"","parse-names":false,"suffix":""}],"container-title":"European Business Review","id":"ITEM-1","issue":"1","issued":{"date-parts":[["2019"]]},"page":"2-24","title":"When to use and how to report the results of PLS-SEM","type":"article-journal","volume":"31"},"uris":["http://www.mendeley.com/documents/?uuid=c3f1c1bd-41cd-4e2b-a8d5-fc6ddf34de45"]}],"mendeley":{"formattedCitation":"(Hair et al., 2019)","plainTextFormattedCitation":"(Hair et al., 2019)","previouslyFormattedCitation":"(Hair et al., 2019)"},"properties":{"noteIndex":0},"schema":"https://github.com/citation-style-language/schema/raw/master/csl-citation.json"}</w:instrText>
      </w:r>
      <w:r w:rsidR="006B4E6F" w:rsidRPr="002D31AF">
        <w:rPr>
          <w:rStyle w:val="tlid-translation"/>
          <w:rFonts w:ascii="Times New Roman" w:hAnsi="Times New Roman"/>
          <w:lang w:val="en"/>
        </w:rPr>
        <w:fldChar w:fldCharType="separate"/>
      </w:r>
      <w:r w:rsidR="006B4E6F" w:rsidRPr="002D31AF">
        <w:rPr>
          <w:rStyle w:val="tlid-translation"/>
          <w:rFonts w:ascii="Times New Roman" w:hAnsi="Times New Roman"/>
          <w:noProof/>
          <w:lang w:val="en"/>
        </w:rPr>
        <w:t>(Hair et al., 2019)</w:t>
      </w:r>
      <w:r w:rsidR="006B4E6F" w:rsidRPr="002D31AF">
        <w:rPr>
          <w:rStyle w:val="tlid-translation"/>
          <w:rFonts w:ascii="Times New Roman" w:hAnsi="Times New Roman"/>
          <w:lang w:val="en"/>
        </w:rPr>
        <w:fldChar w:fldCharType="end"/>
      </w:r>
      <w:r w:rsidRPr="002D31AF">
        <w:rPr>
          <w:rStyle w:val="tlid-translation"/>
          <w:rFonts w:ascii="Times New Roman" w:hAnsi="Times New Roman"/>
          <w:lang w:val="en"/>
        </w:rPr>
        <w:t>.</w:t>
      </w:r>
    </w:p>
    <w:p w14:paraId="3B994E1E" w14:textId="307FEE91" w:rsidR="005A382B" w:rsidRDefault="007B5913" w:rsidP="005A382B">
      <w:pPr>
        <w:pStyle w:val="Els-body-text"/>
        <w:rPr>
          <w:rStyle w:val="tlid-translation"/>
          <w:rFonts w:ascii="Times New Roman" w:hAnsi="Times New Roman"/>
          <w:lang w:val="en"/>
        </w:rPr>
      </w:pPr>
      <w:r w:rsidRPr="002D31AF">
        <w:rPr>
          <w:rStyle w:val="tlid-translation"/>
          <w:rFonts w:ascii="Times New Roman" w:hAnsi="Times New Roman"/>
          <w:lang w:val="en"/>
        </w:rPr>
        <w:t xml:space="preserve">Reliability is a measure that indicates the extent to which a research instrument is free from bias or errors, ensuring consistent measurement over time and across various items within the instrument. In Structural Equation Modeling (SEM) or CFA, reliability assessment is primarily conducted using Construct Reliability (CR), with a minimum acceptable value of 0.7. Additionally, an evaluation of convergent validity is necessary, which is assessed through Variance Extracted (VE), with a minimum required value of 0.5 </w:t>
      </w:r>
      <w:r w:rsidR="006B4E6F" w:rsidRPr="002D31AF">
        <w:rPr>
          <w:rStyle w:val="tlid-translation"/>
          <w:rFonts w:ascii="Times New Roman" w:hAnsi="Times New Roman"/>
          <w:lang w:val="en"/>
        </w:rPr>
        <w:fldChar w:fldCharType="begin" w:fldLock="1"/>
      </w:r>
      <w:r w:rsidR="005251DC" w:rsidRPr="002D31AF">
        <w:rPr>
          <w:rStyle w:val="tlid-translation"/>
          <w:rFonts w:ascii="Times New Roman" w:hAnsi="Times New Roman"/>
          <w:lang w:val="en"/>
        </w:rPr>
        <w:instrText>ADDIN CSL_CITATION {"citationItems":[{"id":"ITEM-1","itemData":{"DOI":"10.1108/EBR-11-2018-0203","abstract":"This paper provides a comprehensive, yet concise, overview of the considerations and metrics required for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covering established PLS-SEM evaluation criteria, the overview includes new guidelines for applying (1) PLSpredict, a novel approach for assessing a model’s out-of-sample prediction, (2) metrics for model comparisons, and (3) several complementary methods for checking the results’ robustness","author":[{"dropping-particle":"","family":"Hair","given":"Joseph F","non-dropping-particle":"","parse-names":false,"suffix":""},{"dropping-particle":"","family":"Risher","given":"Jeffrey J.","non-dropping-particle":"","parse-names":false,"suffix":""},{"dropping-particle":"","family":"Sarstedt","given":"Marko","non-dropping-particle":"","parse-names":false,"suffix":""},{"dropping-particle":"","family":"Ringle","given":"Christian M.","non-dropping-particle":"","parse-names":false,"suffix":""}],"container-title":"European Business Review","id":"ITEM-1","issue":"1","issued":{"date-parts":[["2019"]]},"page":"2-24","title":"When to use and how to report the results of PLS-SEM","type":"article-journal","volume":"31"},"uris":["http://www.mendeley.com/documents/?uuid=c3f1c1bd-41cd-4e2b-a8d5-fc6ddf34de45"]}],"mendeley":{"formattedCitation":"(Hair et al., 2019)","plainTextFormattedCitation":"(Hair et al., 2019)","previouslyFormattedCitation":"(Hair et al., 2019)"},"properties":{"noteIndex":0},"schema":"https://github.com/citation-style-language/schema/raw/master/csl-citation.json"}</w:instrText>
      </w:r>
      <w:r w:rsidR="006B4E6F" w:rsidRPr="002D31AF">
        <w:rPr>
          <w:rStyle w:val="tlid-translation"/>
          <w:rFonts w:ascii="Times New Roman" w:hAnsi="Times New Roman"/>
          <w:lang w:val="en"/>
        </w:rPr>
        <w:fldChar w:fldCharType="separate"/>
      </w:r>
      <w:r w:rsidR="006B4E6F" w:rsidRPr="002D31AF">
        <w:rPr>
          <w:rStyle w:val="tlid-translation"/>
          <w:rFonts w:ascii="Times New Roman" w:hAnsi="Times New Roman"/>
          <w:noProof/>
          <w:lang w:val="en"/>
        </w:rPr>
        <w:t>(Hair et al., 2019)</w:t>
      </w:r>
      <w:r w:rsidR="006B4E6F" w:rsidRPr="002D31AF">
        <w:rPr>
          <w:rStyle w:val="tlid-translation"/>
          <w:rFonts w:ascii="Times New Roman" w:hAnsi="Times New Roman"/>
          <w:lang w:val="en"/>
        </w:rPr>
        <w:fldChar w:fldCharType="end"/>
      </w:r>
      <w:r w:rsidRPr="002D31AF">
        <w:rPr>
          <w:rStyle w:val="tlid-translation"/>
          <w:rFonts w:ascii="Times New Roman" w:hAnsi="Times New Roman"/>
          <w:lang w:val="en"/>
        </w:rPr>
        <w:t>.</w:t>
      </w:r>
    </w:p>
    <w:p w14:paraId="36EFEC52" w14:textId="2D49CFBF" w:rsidR="005A382B" w:rsidRDefault="005A382B" w:rsidP="005A382B">
      <w:pPr>
        <w:pStyle w:val="Els-body-text"/>
        <w:rPr>
          <w:rStyle w:val="tlid-translation"/>
          <w:rFonts w:ascii="Times New Roman" w:hAnsi="Times New Roman"/>
          <w:lang w:val="en"/>
        </w:rPr>
      </w:pPr>
    </w:p>
    <w:p w14:paraId="03B39095" w14:textId="77777777" w:rsidR="005A382B" w:rsidRPr="002D31AF" w:rsidRDefault="005A382B" w:rsidP="005A382B">
      <w:pPr>
        <w:pStyle w:val="Els-body-text"/>
        <w:rPr>
          <w:rStyle w:val="tlid-translation"/>
          <w:rFonts w:ascii="Times New Roman" w:hAnsi="Times New Roman"/>
          <w:lang w:val="en"/>
        </w:rPr>
      </w:pPr>
    </w:p>
    <w:p w14:paraId="1BC394AD" w14:textId="77777777" w:rsidR="009B7D1B" w:rsidRPr="00D96421" w:rsidRDefault="009B7D1B" w:rsidP="00C16625">
      <w:pPr>
        <w:pStyle w:val="Els-caption"/>
        <w:spacing w:before="240" w:after="0"/>
        <w:jc w:val="center"/>
        <w:rPr>
          <w:sz w:val="20"/>
        </w:rPr>
      </w:pPr>
      <w:r w:rsidRPr="00D96421">
        <w:rPr>
          <w:b/>
          <w:sz w:val="20"/>
        </w:rPr>
        <w:t>Table 1</w:t>
      </w:r>
      <w:r w:rsidRPr="00D96421">
        <w:rPr>
          <w:sz w:val="20"/>
        </w:rPr>
        <w:t xml:space="preserve">: </w:t>
      </w:r>
      <w:r>
        <w:rPr>
          <w:sz w:val="20"/>
        </w:rPr>
        <w:t xml:space="preserve">Confirmatory Factor Analysis Result (Software </w:t>
      </w:r>
      <w:proofErr w:type="spellStart"/>
      <w:r>
        <w:rPr>
          <w:sz w:val="20"/>
        </w:rPr>
        <w:t>Lisrel</w:t>
      </w:r>
      <w:proofErr w:type="spellEnd"/>
      <w:r>
        <w:rPr>
          <w:sz w:val="20"/>
        </w:rPr>
        <w:t xml:space="preserve"> 8.8)</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5"/>
        <w:gridCol w:w="2068"/>
        <w:gridCol w:w="961"/>
        <w:gridCol w:w="1034"/>
        <w:gridCol w:w="1828"/>
        <w:gridCol w:w="938"/>
        <w:gridCol w:w="1061"/>
      </w:tblGrid>
      <w:tr w:rsidR="00C16625" w:rsidRPr="00E362F4" w14:paraId="728D5F12" w14:textId="77777777" w:rsidTr="0075480F">
        <w:trPr>
          <w:trHeight w:val="20"/>
          <w:tblHeader/>
          <w:jc w:val="center"/>
        </w:trPr>
        <w:tc>
          <w:tcPr>
            <w:tcW w:w="1276" w:type="dxa"/>
            <w:tcBorders>
              <w:top w:val="single" w:sz="4" w:space="0" w:color="auto"/>
              <w:bottom w:val="single" w:sz="4" w:space="0" w:color="auto"/>
            </w:tcBorders>
            <w:shd w:val="clear" w:color="auto" w:fill="auto"/>
            <w:vAlign w:val="center"/>
          </w:tcPr>
          <w:p w14:paraId="392B83A5" w14:textId="77777777" w:rsidR="009B7D1B" w:rsidRPr="009345F6" w:rsidRDefault="009B7D1B" w:rsidP="00B0565E">
            <w:pPr>
              <w:jc w:val="center"/>
              <w:rPr>
                <w:bCs/>
                <w:sz w:val="20"/>
                <w:szCs w:val="20"/>
              </w:rPr>
            </w:pPr>
            <w:r w:rsidRPr="009345F6">
              <w:rPr>
                <w:bCs/>
                <w:sz w:val="20"/>
                <w:szCs w:val="20"/>
              </w:rPr>
              <w:t>Variable</w:t>
            </w:r>
          </w:p>
        </w:tc>
        <w:tc>
          <w:tcPr>
            <w:tcW w:w="2068" w:type="dxa"/>
            <w:tcBorders>
              <w:top w:val="single" w:sz="4" w:space="0" w:color="auto"/>
              <w:bottom w:val="single" w:sz="4" w:space="0" w:color="auto"/>
            </w:tcBorders>
            <w:shd w:val="clear" w:color="auto" w:fill="auto"/>
            <w:vAlign w:val="center"/>
          </w:tcPr>
          <w:p w14:paraId="55661FC4" w14:textId="77777777" w:rsidR="009B7D1B" w:rsidRPr="009345F6" w:rsidRDefault="009B7D1B" w:rsidP="00B0565E">
            <w:pPr>
              <w:jc w:val="center"/>
              <w:rPr>
                <w:bCs/>
                <w:sz w:val="20"/>
                <w:szCs w:val="20"/>
              </w:rPr>
            </w:pPr>
            <w:r w:rsidRPr="009345F6">
              <w:rPr>
                <w:bCs/>
                <w:sz w:val="20"/>
                <w:szCs w:val="20"/>
              </w:rPr>
              <w:t>Dimension</w:t>
            </w:r>
          </w:p>
        </w:tc>
        <w:tc>
          <w:tcPr>
            <w:tcW w:w="961" w:type="dxa"/>
            <w:tcBorders>
              <w:top w:val="single" w:sz="4" w:space="0" w:color="auto"/>
              <w:bottom w:val="single" w:sz="4" w:space="0" w:color="auto"/>
            </w:tcBorders>
            <w:shd w:val="clear" w:color="auto" w:fill="auto"/>
            <w:vAlign w:val="center"/>
          </w:tcPr>
          <w:p w14:paraId="49DD7F57" w14:textId="77777777" w:rsidR="009B7D1B" w:rsidRPr="009345F6" w:rsidRDefault="009B7D1B" w:rsidP="00B0565E">
            <w:pPr>
              <w:jc w:val="center"/>
              <w:rPr>
                <w:bCs/>
                <w:sz w:val="20"/>
                <w:szCs w:val="20"/>
              </w:rPr>
            </w:pPr>
            <w:r w:rsidRPr="009345F6">
              <w:rPr>
                <w:bCs/>
                <w:sz w:val="20"/>
                <w:szCs w:val="20"/>
              </w:rPr>
              <w:t>Loadings</w:t>
            </w:r>
          </w:p>
        </w:tc>
        <w:tc>
          <w:tcPr>
            <w:tcW w:w="1034" w:type="dxa"/>
            <w:tcBorders>
              <w:top w:val="single" w:sz="4" w:space="0" w:color="auto"/>
              <w:bottom w:val="single" w:sz="4" w:space="0" w:color="auto"/>
            </w:tcBorders>
            <w:shd w:val="clear" w:color="auto" w:fill="auto"/>
            <w:vAlign w:val="center"/>
          </w:tcPr>
          <w:p w14:paraId="516AFDFA" w14:textId="77777777" w:rsidR="009B7D1B" w:rsidRPr="009345F6" w:rsidRDefault="009B7D1B" w:rsidP="00B0565E">
            <w:pPr>
              <w:jc w:val="center"/>
              <w:rPr>
                <w:bCs/>
                <w:sz w:val="20"/>
                <w:szCs w:val="20"/>
              </w:rPr>
            </w:pPr>
            <w:r w:rsidRPr="009345F6">
              <w:rPr>
                <w:bCs/>
                <w:sz w:val="20"/>
                <w:szCs w:val="20"/>
              </w:rPr>
              <w:t>t-value &gt; t table 1,96</w:t>
            </w:r>
          </w:p>
        </w:tc>
        <w:tc>
          <w:tcPr>
            <w:tcW w:w="1828" w:type="dxa"/>
            <w:tcBorders>
              <w:top w:val="single" w:sz="4" w:space="0" w:color="auto"/>
              <w:bottom w:val="single" w:sz="4" w:space="0" w:color="auto"/>
            </w:tcBorders>
            <w:shd w:val="clear" w:color="auto" w:fill="auto"/>
            <w:vAlign w:val="center"/>
          </w:tcPr>
          <w:p w14:paraId="109E43B4" w14:textId="77777777" w:rsidR="009B7D1B" w:rsidRPr="009345F6" w:rsidRDefault="009B7D1B" w:rsidP="00B0565E">
            <w:pPr>
              <w:jc w:val="center"/>
              <w:rPr>
                <w:bCs/>
                <w:sz w:val="20"/>
                <w:szCs w:val="20"/>
              </w:rPr>
            </w:pPr>
            <w:r w:rsidRPr="009345F6">
              <w:rPr>
                <w:bCs/>
                <w:sz w:val="20"/>
                <w:szCs w:val="20"/>
              </w:rPr>
              <w:t>Adapted From</w:t>
            </w:r>
          </w:p>
        </w:tc>
        <w:tc>
          <w:tcPr>
            <w:tcW w:w="938" w:type="dxa"/>
            <w:tcBorders>
              <w:top w:val="single" w:sz="4" w:space="0" w:color="auto"/>
              <w:bottom w:val="single" w:sz="4" w:space="0" w:color="auto"/>
            </w:tcBorders>
            <w:shd w:val="clear" w:color="auto" w:fill="auto"/>
            <w:vAlign w:val="center"/>
          </w:tcPr>
          <w:p w14:paraId="229808BD" w14:textId="77777777" w:rsidR="009B7D1B" w:rsidRPr="009345F6" w:rsidRDefault="009B7D1B" w:rsidP="00B0565E">
            <w:pPr>
              <w:jc w:val="center"/>
              <w:rPr>
                <w:bCs/>
                <w:sz w:val="20"/>
                <w:szCs w:val="20"/>
              </w:rPr>
            </w:pPr>
            <w:r w:rsidRPr="009345F6">
              <w:rPr>
                <w:bCs/>
                <w:sz w:val="20"/>
                <w:szCs w:val="20"/>
              </w:rPr>
              <w:t>Variance Extract</w:t>
            </w:r>
          </w:p>
        </w:tc>
        <w:tc>
          <w:tcPr>
            <w:tcW w:w="1061" w:type="dxa"/>
            <w:tcBorders>
              <w:top w:val="single" w:sz="4" w:space="0" w:color="auto"/>
              <w:bottom w:val="single" w:sz="4" w:space="0" w:color="auto"/>
            </w:tcBorders>
            <w:shd w:val="clear" w:color="auto" w:fill="auto"/>
            <w:vAlign w:val="center"/>
          </w:tcPr>
          <w:p w14:paraId="3D9404EA" w14:textId="77777777" w:rsidR="009B7D1B" w:rsidRPr="009345F6" w:rsidRDefault="009B7D1B" w:rsidP="00B0565E">
            <w:pPr>
              <w:jc w:val="center"/>
              <w:rPr>
                <w:bCs/>
                <w:sz w:val="20"/>
                <w:szCs w:val="20"/>
              </w:rPr>
            </w:pPr>
            <w:r w:rsidRPr="009345F6">
              <w:rPr>
                <w:bCs/>
                <w:sz w:val="20"/>
                <w:szCs w:val="20"/>
              </w:rPr>
              <w:t>Construct Reliability</w:t>
            </w:r>
          </w:p>
        </w:tc>
      </w:tr>
      <w:tr w:rsidR="00C16625" w:rsidRPr="00E362F4" w14:paraId="4B2C8EFB" w14:textId="77777777" w:rsidTr="0075480F">
        <w:trPr>
          <w:trHeight w:val="20"/>
          <w:jc w:val="center"/>
        </w:trPr>
        <w:tc>
          <w:tcPr>
            <w:tcW w:w="1276" w:type="dxa"/>
            <w:vMerge w:val="restart"/>
            <w:tcBorders>
              <w:top w:val="single" w:sz="4" w:space="0" w:color="auto"/>
              <w:bottom w:val="nil"/>
            </w:tcBorders>
            <w:shd w:val="clear" w:color="auto" w:fill="auto"/>
            <w:vAlign w:val="center"/>
          </w:tcPr>
          <w:p w14:paraId="34851C1E" w14:textId="77777777" w:rsidR="009B7D1B" w:rsidRPr="00E362F4" w:rsidRDefault="009B7D1B" w:rsidP="00B0565E">
            <w:pPr>
              <w:jc w:val="center"/>
              <w:rPr>
                <w:sz w:val="20"/>
                <w:szCs w:val="20"/>
              </w:rPr>
            </w:pPr>
            <w:r w:rsidRPr="00E362F4">
              <w:rPr>
                <w:sz w:val="20"/>
                <w:szCs w:val="20"/>
              </w:rPr>
              <w:t>Green Marketing</w:t>
            </w:r>
          </w:p>
          <w:p w14:paraId="719477FF" w14:textId="77777777" w:rsidR="009B7D1B" w:rsidRPr="00E362F4" w:rsidRDefault="009B7D1B" w:rsidP="00B0565E">
            <w:pPr>
              <w:jc w:val="center"/>
              <w:rPr>
                <w:sz w:val="20"/>
                <w:szCs w:val="20"/>
              </w:rPr>
            </w:pPr>
            <w:r w:rsidRPr="00E362F4">
              <w:rPr>
                <w:sz w:val="20"/>
                <w:szCs w:val="20"/>
              </w:rPr>
              <w:t>(X1)</w:t>
            </w:r>
          </w:p>
        </w:tc>
        <w:tc>
          <w:tcPr>
            <w:tcW w:w="2068" w:type="dxa"/>
            <w:tcBorders>
              <w:top w:val="single" w:sz="4" w:space="0" w:color="auto"/>
              <w:bottom w:val="nil"/>
            </w:tcBorders>
            <w:shd w:val="clear" w:color="auto" w:fill="auto"/>
            <w:vAlign w:val="bottom"/>
          </w:tcPr>
          <w:p w14:paraId="67CC6E51" w14:textId="77777777" w:rsidR="009B7D1B" w:rsidRPr="00E362F4" w:rsidRDefault="009B7D1B" w:rsidP="00B0565E">
            <w:pPr>
              <w:rPr>
                <w:sz w:val="20"/>
                <w:szCs w:val="20"/>
              </w:rPr>
            </w:pPr>
            <w:r w:rsidRPr="00E362F4">
              <w:rPr>
                <w:sz w:val="20"/>
                <w:szCs w:val="20"/>
              </w:rPr>
              <w:t>Product</w:t>
            </w:r>
          </w:p>
        </w:tc>
        <w:tc>
          <w:tcPr>
            <w:tcW w:w="961" w:type="dxa"/>
            <w:tcBorders>
              <w:top w:val="single" w:sz="4" w:space="0" w:color="auto"/>
              <w:bottom w:val="nil"/>
            </w:tcBorders>
            <w:shd w:val="clear" w:color="auto" w:fill="auto"/>
            <w:vAlign w:val="bottom"/>
          </w:tcPr>
          <w:p w14:paraId="28B0FCDB" w14:textId="77777777" w:rsidR="009B7D1B" w:rsidRPr="00E362F4" w:rsidRDefault="009B7D1B" w:rsidP="00B0565E">
            <w:pPr>
              <w:jc w:val="center"/>
              <w:rPr>
                <w:sz w:val="20"/>
                <w:szCs w:val="20"/>
              </w:rPr>
            </w:pPr>
            <w:r w:rsidRPr="00E362F4">
              <w:rPr>
                <w:sz w:val="20"/>
                <w:szCs w:val="20"/>
              </w:rPr>
              <w:t>0,749</w:t>
            </w:r>
          </w:p>
        </w:tc>
        <w:tc>
          <w:tcPr>
            <w:tcW w:w="1034" w:type="dxa"/>
            <w:tcBorders>
              <w:top w:val="single" w:sz="4" w:space="0" w:color="auto"/>
              <w:bottom w:val="nil"/>
            </w:tcBorders>
            <w:shd w:val="clear" w:color="auto" w:fill="auto"/>
            <w:vAlign w:val="center"/>
          </w:tcPr>
          <w:p w14:paraId="28E138D3" w14:textId="77777777" w:rsidR="009B7D1B" w:rsidRPr="00E362F4" w:rsidRDefault="009B7D1B" w:rsidP="00B0565E">
            <w:pPr>
              <w:jc w:val="center"/>
              <w:rPr>
                <w:sz w:val="20"/>
                <w:szCs w:val="20"/>
              </w:rPr>
            </w:pPr>
            <w:r w:rsidRPr="00E362F4">
              <w:rPr>
                <w:sz w:val="20"/>
                <w:szCs w:val="20"/>
              </w:rPr>
              <w:t>16,78</w:t>
            </w:r>
          </w:p>
        </w:tc>
        <w:tc>
          <w:tcPr>
            <w:tcW w:w="1828" w:type="dxa"/>
            <w:vMerge w:val="restart"/>
            <w:tcBorders>
              <w:top w:val="single" w:sz="4" w:space="0" w:color="auto"/>
              <w:bottom w:val="single" w:sz="4" w:space="0" w:color="auto"/>
            </w:tcBorders>
            <w:shd w:val="clear" w:color="auto" w:fill="auto"/>
            <w:vAlign w:val="center"/>
          </w:tcPr>
          <w:p w14:paraId="634DB344" w14:textId="4AA6FF51" w:rsidR="009B7D1B" w:rsidRPr="00D41B5A" w:rsidRDefault="00D41B5A" w:rsidP="00B0565E">
            <w:pPr>
              <w:jc w:val="center"/>
              <w:rPr>
                <w:sz w:val="20"/>
                <w:szCs w:val="20"/>
              </w:rPr>
            </w:pPr>
            <w:r w:rsidRPr="00D41B5A">
              <w:fldChar w:fldCharType="begin" w:fldLock="1"/>
            </w:r>
            <w:r w:rsidR="002E2CAB">
              <w:rPr>
                <w:sz w:val="20"/>
                <w:szCs w:val="20"/>
              </w:rPr>
              <w:instrText>ADDIN CSL_CITATION {"citationItems":[{"id":"ITEM-1","itemData":{"DOI":"10.1515/openec-2019-0006","abstract":"Global economic fluctuation, post-Brexit challenges, changes in the landscape of corporate social responsibility are pushing managers to build sustainability into the performance of marketing mix. Traditional marketing is no longer able to address all the issues in modern markets. This led to green marketing, a new marketing philosophy. The paper provides researchers and marketing managers with a comprehensive view of the concept of green marketing, its causes, contents, and outcomes. Authors suggest a structured and outcome-based viewpoint to the construct of green marketing. Theoretical presumptions confirm structuration of green marketing initiatives to strategic, tactical, and operational levels. It was found out that cohesive marketing activities in these levels have the crucial impact of green marketing in organizational, environmental, and social contexts. Strategic, tactical, and operational activities in the field of green marketing may lead to business development, improvement of the natural ecosystem, and increased quality of life. The findings of the research present opportunities for researchers and managers to apply green marketing orientation.","author":[{"dropping-particle":"","family":"Vilkaite-Vaitone","given":"Neringa","non-dropping-particle":"","parse-names":false,"suffix":""},{"dropping-particle":"","family":"Skackauskiene","given":"Ilona","non-dropping-particle":"","parse-names":false,"suffix":""}],"container-title":"Open Economics","id":"ITEM-1","issue":"1","issued":{"date-parts":[["2019"]]},"page":"53-62","title":"Green marketing orientation: evolution, conceptualization and potential benefits","type":"article-journal","volume":"2"},"uris":["http://www.mendeley.com/documents/?uuid=4fce57ea-967a-40ee-b500-7c0b4050a426"]},{"id":"ITEM-2","itemData":{"DOI":"10.35516/0338-016-002-004","ISSN":"23086149","abstract":"This paper aims at investigating the effect of internal green marketing mix elements on Mu’tah University students’ satisfaction in Jordan. This study is based on quantitative approach methodology to collect the primary data. The researchers developed a questionnaire to measure the study constructs, which included 27 items. Five hundred questionnaire forms were distributed to the study sample. Four hundred and seventy-five (475) questionnaire forms were valid for analysis. Some analysis tests, such as data screening, data descriptive testing, reliability and hypothesis testing, were conducted using SPSS, v. 20 and AMOS, v. 16. The results of this study indicated that there are seven supported hypotheses related to green product, green price, green place, green promotion, green provided information, green process and green people, respectively. But, one hypothesis related to green policy was not supported. Finally, some recommendations presented in this study targeted academics and decision makers in Jordan in this filed.","author":[{"dropping-particle":"","family":"Al-Majali","given":"Malek Mohammad","non-dropping-particle":"","parse-names":false,"suffix":""},{"dropping-particle":"","family":"Tarabieh","given":"Saeed M.Z.A.","non-dropping-particle":"","parse-names":false,"suffix":""}],"container-title":"Jordan Journal of Business Administration","id":"ITEM-2","issue":"2","issued":{"date-parts":[["2020"]]},"page":"411-434","title":"Effect of internal green marketing mix elements on customers’ satisfaction in Jordan: Mu’tah University students","type":"article-journal","volume":"16"},"uris":["http://www.mendeley.com/documents/?uuid=6dee59d8-644b-47c4-b4fc-0d91bc27e117"]},{"id":"ITEM-3","itemData":{"ISSN":"22318534","abstract":"This study analyses the influence of a green marketing mix method towards customer satisfaction of eco-friendly products in Jakarta, Indonesia. The study focused on beauty and body treatment products. Eight hypotheses were developed to achieve the research objectives by using multiple linear regression to analyse data from 101 respondents in Jakarta using a questionnaire method. The results of this research showed that green marketing mix method have an influence on customer satisfaction simultaneously; people and physical evidence factors were significantly related to customer satisfaction while product, price, promotion, people, and physical evidence were not significantly related to them or only partially related. The results also indicated that physical evidence is the strongest factor, while place has the weakest influence on customer satisfaction among the seven elements of the marketing mix.","author":[{"dropping-particle":"","family":"Novela","given":"Selly","non-dropping-particle":"","parse-names":false,"suffix":""},{"dropping-particle":"","family":"Novita","given":"","non-dropping-particle":"","parse-names":false,"suffix":""},{"dropping-particle":"","family":"Hansopaheluwakan","given":"Scherly","non-dropping-particle":"","parse-names":false,"suffix":""}],"container-title":"Pertanika Journal of Social Sciences and Humanities","id":"ITEM-3","issue":"T","issued":{"date-parts":[["2018"]]},"page":"131-144","title":"Analysis of green marketing mix effect on customer satisfaction using 7p approach","type":"article-journal","volume":"26"},"uris":["http://www.mendeley.com/documents/?uuid=f2bda3fe-668e-4d2a-8250-67cf6935c980"]}],"mendeley":{"formattedCitation":"(Al-Majali &amp; Tarabieh, 2020; Novela et al., 2018; Vilkaite-Vaitone &amp; Skackauskiene, 2019)","manualFormatting":"Al-Majali &amp; Tarabieh (2020); Novela et al. (2018); Vilkaite-Vaitone &amp; Skackauskiene (2019)","plainTextFormattedCitation":"(Al-Majali &amp; Tarabieh, 2020; Novela et al., 2018; Vilkaite-Vaitone &amp; Skackauskiene, 2019)","previouslyFormattedCitation":"(Al-Majali &amp; Tarabieh, 2020; Novela et al., 2018; Vilkaite-Vaitone &amp; Skackauskiene, 2019)"},"properties":{"noteIndex":0},"schema":"https://github.com/citation-style-language/schema/raw/master/csl-citation.json"}</w:instrText>
            </w:r>
            <w:r w:rsidRPr="00D41B5A">
              <w:fldChar w:fldCharType="separate"/>
            </w:r>
            <w:r w:rsidRPr="00D41B5A">
              <w:rPr>
                <w:noProof/>
                <w:sz w:val="20"/>
                <w:szCs w:val="20"/>
              </w:rPr>
              <w:t xml:space="preserve">Al-Majali &amp; Tarabieh </w:t>
            </w:r>
            <w:r>
              <w:rPr>
                <w:noProof/>
                <w:sz w:val="20"/>
                <w:szCs w:val="20"/>
              </w:rPr>
              <w:t>(</w:t>
            </w:r>
            <w:r w:rsidRPr="00D41B5A">
              <w:rPr>
                <w:noProof/>
                <w:sz w:val="20"/>
                <w:szCs w:val="20"/>
              </w:rPr>
              <w:t>2020</w:t>
            </w:r>
            <w:r>
              <w:rPr>
                <w:noProof/>
                <w:sz w:val="20"/>
                <w:szCs w:val="20"/>
              </w:rPr>
              <w:t>)</w:t>
            </w:r>
            <w:r w:rsidRPr="00D41B5A">
              <w:rPr>
                <w:noProof/>
                <w:sz w:val="20"/>
                <w:szCs w:val="20"/>
              </w:rPr>
              <w:t xml:space="preserve">; Novela et al. </w:t>
            </w:r>
            <w:r>
              <w:rPr>
                <w:noProof/>
                <w:sz w:val="20"/>
                <w:szCs w:val="20"/>
              </w:rPr>
              <w:t>(</w:t>
            </w:r>
            <w:r w:rsidRPr="00D41B5A">
              <w:rPr>
                <w:noProof/>
                <w:sz w:val="20"/>
                <w:szCs w:val="20"/>
              </w:rPr>
              <w:t>2018</w:t>
            </w:r>
            <w:r>
              <w:rPr>
                <w:noProof/>
                <w:sz w:val="20"/>
                <w:szCs w:val="20"/>
              </w:rPr>
              <w:t>)</w:t>
            </w:r>
            <w:r w:rsidRPr="00D41B5A">
              <w:rPr>
                <w:noProof/>
                <w:sz w:val="20"/>
                <w:szCs w:val="20"/>
              </w:rPr>
              <w:t xml:space="preserve">; Vilkaite-Vaitone &amp; Skackauskiene </w:t>
            </w:r>
            <w:r>
              <w:rPr>
                <w:noProof/>
                <w:sz w:val="20"/>
                <w:szCs w:val="20"/>
              </w:rPr>
              <w:t>(</w:t>
            </w:r>
            <w:r w:rsidRPr="00D41B5A">
              <w:rPr>
                <w:noProof/>
                <w:sz w:val="20"/>
                <w:szCs w:val="20"/>
              </w:rPr>
              <w:t>2019)</w:t>
            </w:r>
            <w:r w:rsidRPr="00D41B5A">
              <w:fldChar w:fldCharType="end"/>
            </w:r>
            <w:r w:rsidRPr="00D41B5A">
              <w:rPr>
                <w:sz w:val="20"/>
                <w:szCs w:val="20"/>
              </w:rPr>
              <w:t xml:space="preserve"> </w:t>
            </w:r>
          </w:p>
        </w:tc>
        <w:tc>
          <w:tcPr>
            <w:tcW w:w="938" w:type="dxa"/>
            <w:vMerge w:val="restart"/>
            <w:tcBorders>
              <w:top w:val="single" w:sz="4" w:space="0" w:color="auto"/>
              <w:bottom w:val="single" w:sz="4" w:space="0" w:color="auto"/>
            </w:tcBorders>
            <w:shd w:val="clear" w:color="auto" w:fill="auto"/>
            <w:vAlign w:val="center"/>
          </w:tcPr>
          <w:p w14:paraId="36E335E2" w14:textId="77777777" w:rsidR="009B7D1B" w:rsidRPr="00E362F4" w:rsidRDefault="009B7D1B" w:rsidP="00B0565E">
            <w:pPr>
              <w:jc w:val="center"/>
              <w:rPr>
                <w:sz w:val="20"/>
                <w:szCs w:val="20"/>
              </w:rPr>
            </w:pPr>
            <w:r w:rsidRPr="00E362F4">
              <w:rPr>
                <w:sz w:val="20"/>
                <w:szCs w:val="20"/>
              </w:rPr>
              <w:t>0,561</w:t>
            </w:r>
          </w:p>
        </w:tc>
        <w:tc>
          <w:tcPr>
            <w:tcW w:w="1061" w:type="dxa"/>
            <w:vMerge w:val="restart"/>
            <w:tcBorders>
              <w:top w:val="single" w:sz="4" w:space="0" w:color="auto"/>
              <w:bottom w:val="single" w:sz="4" w:space="0" w:color="auto"/>
            </w:tcBorders>
            <w:shd w:val="clear" w:color="auto" w:fill="auto"/>
            <w:vAlign w:val="center"/>
          </w:tcPr>
          <w:p w14:paraId="4596F472" w14:textId="77777777" w:rsidR="009B7D1B" w:rsidRPr="00E362F4" w:rsidRDefault="009B7D1B" w:rsidP="00B0565E">
            <w:pPr>
              <w:jc w:val="center"/>
              <w:rPr>
                <w:sz w:val="20"/>
                <w:szCs w:val="20"/>
              </w:rPr>
            </w:pPr>
            <w:r w:rsidRPr="00E362F4">
              <w:rPr>
                <w:sz w:val="20"/>
                <w:szCs w:val="20"/>
              </w:rPr>
              <w:t>0,920</w:t>
            </w:r>
          </w:p>
        </w:tc>
      </w:tr>
      <w:tr w:rsidR="00C16625" w:rsidRPr="00E362F4" w14:paraId="753C0DD3" w14:textId="77777777" w:rsidTr="0075480F">
        <w:trPr>
          <w:trHeight w:val="20"/>
          <w:jc w:val="center"/>
        </w:trPr>
        <w:tc>
          <w:tcPr>
            <w:tcW w:w="1276" w:type="dxa"/>
            <w:vMerge/>
            <w:tcBorders>
              <w:top w:val="nil"/>
              <w:bottom w:val="nil"/>
            </w:tcBorders>
            <w:shd w:val="clear" w:color="auto" w:fill="auto"/>
            <w:vAlign w:val="center"/>
          </w:tcPr>
          <w:p w14:paraId="07761DA9" w14:textId="77777777" w:rsidR="009B7D1B" w:rsidRPr="00E362F4" w:rsidRDefault="009B7D1B" w:rsidP="00B0565E">
            <w:pPr>
              <w:jc w:val="center"/>
              <w:rPr>
                <w:sz w:val="20"/>
                <w:szCs w:val="20"/>
              </w:rPr>
            </w:pPr>
          </w:p>
        </w:tc>
        <w:tc>
          <w:tcPr>
            <w:tcW w:w="2068" w:type="dxa"/>
            <w:tcBorders>
              <w:top w:val="nil"/>
              <w:bottom w:val="nil"/>
            </w:tcBorders>
            <w:shd w:val="clear" w:color="auto" w:fill="auto"/>
            <w:vAlign w:val="bottom"/>
          </w:tcPr>
          <w:p w14:paraId="595C9424" w14:textId="77777777" w:rsidR="009B7D1B" w:rsidRPr="00E362F4" w:rsidRDefault="009B7D1B" w:rsidP="00B0565E">
            <w:pPr>
              <w:rPr>
                <w:sz w:val="20"/>
                <w:szCs w:val="20"/>
              </w:rPr>
            </w:pPr>
            <w:r w:rsidRPr="00E362F4">
              <w:rPr>
                <w:sz w:val="20"/>
                <w:szCs w:val="20"/>
              </w:rPr>
              <w:t>Place</w:t>
            </w:r>
          </w:p>
        </w:tc>
        <w:tc>
          <w:tcPr>
            <w:tcW w:w="961" w:type="dxa"/>
            <w:tcBorders>
              <w:top w:val="nil"/>
              <w:bottom w:val="nil"/>
            </w:tcBorders>
            <w:shd w:val="clear" w:color="auto" w:fill="auto"/>
            <w:vAlign w:val="bottom"/>
          </w:tcPr>
          <w:p w14:paraId="4FAC0850" w14:textId="77777777" w:rsidR="009B7D1B" w:rsidRPr="00E362F4" w:rsidRDefault="009B7D1B" w:rsidP="00B0565E">
            <w:pPr>
              <w:jc w:val="center"/>
              <w:rPr>
                <w:sz w:val="20"/>
                <w:szCs w:val="20"/>
              </w:rPr>
            </w:pPr>
            <w:r w:rsidRPr="00E362F4">
              <w:rPr>
                <w:sz w:val="20"/>
                <w:szCs w:val="20"/>
              </w:rPr>
              <w:t>0,724</w:t>
            </w:r>
          </w:p>
        </w:tc>
        <w:tc>
          <w:tcPr>
            <w:tcW w:w="1034" w:type="dxa"/>
            <w:tcBorders>
              <w:top w:val="nil"/>
              <w:bottom w:val="nil"/>
            </w:tcBorders>
            <w:shd w:val="clear" w:color="auto" w:fill="auto"/>
            <w:vAlign w:val="center"/>
          </w:tcPr>
          <w:p w14:paraId="15C7B9BC" w14:textId="77777777" w:rsidR="009B7D1B" w:rsidRPr="00E362F4" w:rsidRDefault="009B7D1B" w:rsidP="00B0565E">
            <w:pPr>
              <w:jc w:val="center"/>
              <w:rPr>
                <w:sz w:val="20"/>
                <w:szCs w:val="20"/>
              </w:rPr>
            </w:pPr>
            <w:r w:rsidRPr="00E362F4">
              <w:rPr>
                <w:sz w:val="20"/>
                <w:szCs w:val="20"/>
              </w:rPr>
              <w:t>16,00</w:t>
            </w:r>
          </w:p>
        </w:tc>
        <w:tc>
          <w:tcPr>
            <w:tcW w:w="1828" w:type="dxa"/>
            <w:vMerge/>
            <w:tcBorders>
              <w:top w:val="nil"/>
              <w:bottom w:val="single" w:sz="4" w:space="0" w:color="auto"/>
            </w:tcBorders>
            <w:shd w:val="clear" w:color="auto" w:fill="auto"/>
            <w:vAlign w:val="center"/>
          </w:tcPr>
          <w:p w14:paraId="2A2D1E84" w14:textId="77777777" w:rsidR="009B7D1B" w:rsidRPr="00E362F4" w:rsidRDefault="009B7D1B" w:rsidP="00B0565E">
            <w:pPr>
              <w:jc w:val="center"/>
              <w:rPr>
                <w:sz w:val="20"/>
                <w:szCs w:val="20"/>
              </w:rPr>
            </w:pPr>
          </w:p>
        </w:tc>
        <w:tc>
          <w:tcPr>
            <w:tcW w:w="938" w:type="dxa"/>
            <w:vMerge/>
            <w:tcBorders>
              <w:top w:val="nil"/>
              <w:bottom w:val="single" w:sz="4" w:space="0" w:color="auto"/>
            </w:tcBorders>
            <w:shd w:val="clear" w:color="auto" w:fill="auto"/>
            <w:vAlign w:val="center"/>
          </w:tcPr>
          <w:p w14:paraId="1FF870CB" w14:textId="77777777" w:rsidR="009B7D1B" w:rsidRPr="00E362F4" w:rsidRDefault="009B7D1B" w:rsidP="00B0565E">
            <w:pPr>
              <w:jc w:val="center"/>
              <w:rPr>
                <w:sz w:val="20"/>
                <w:szCs w:val="20"/>
              </w:rPr>
            </w:pPr>
          </w:p>
        </w:tc>
        <w:tc>
          <w:tcPr>
            <w:tcW w:w="1061" w:type="dxa"/>
            <w:vMerge/>
            <w:tcBorders>
              <w:top w:val="nil"/>
              <w:bottom w:val="single" w:sz="4" w:space="0" w:color="auto"/>
            </w:tcBorders>
            <w:shd w:val="clear" w:color="auto" w:fill="auto"/>
            <w:vAlign w:val="center"/>
          </w:tcPr>
          <w:p w14:paraId="190BD020" w14:textId="77777777" w:rsidR="009B7D1B" w:rsidRPr="00E362F4" w:rsidRDefault="009B7D1B" w:rsidP="00B0565E">
            <w:pPr>
              <w:jc w:val="center"/>
              <w:rPr>
                <w:sz w:val="20"/>
                <w:szCs w:val="20"/>
              </w:rPr>
            </w:pPr>
          </w:p>
        </w:tc>
      </w:tr>
      <w:tr w:rsidR="00C16625" w:rsidRPr="00E362F4" w14:paraId="1BCE0193" w14:textId="77777777" w:rsidTr="0075480F">
        <w:trPr>
          <w:trHeight w:val="20"/>
          <w:jc w:val="center"/>
        </w:trPr>
        <w:tc>
          <w:tcPr>
            <w:tcW w:w="1276" w:type="dxa"/>
            <w:vMerge/>
            <w:tcBorders>
              <w:top w:val="nil"/>
              <w:bottom w:val="nil"/>
            </w:tcBorders>
            <w:shd w:val="clear" w:color="auto" w:fill="auto"/>
            <w:vAlign w:val="center"/>
          </w:tcPr>
          <w:p w14:paraId="1BEB4C51" w14:textId="77777777" w:rsidR="009B7D1B" w:rsidRPr="00E362F4" w:rsidRDefault="009B7D1B" w:rsidP="00B0565E">
            <w:pPr>
              <w:jc w:val="center"/>
              <w:rPr>
                <w:sz w:val="20"/>
                <w:szCs w:val="20"/>
              </w:rPr>
            </w:pPr>
          </w:p>
        </w:tc>
        <w:tc>
          <w:tcPr>
            <w:tcW w:w="2068" w:type="dxa"/>
            <w:tcBorders>
              <w:top w:val="nil"/>
              <w:bottom w:val="nil"/>
            </w:tcBorders>
            <w:shd w:val="clear" w:color="auto" w:fill="auto"/>
            <w:vAlign w:val="bottom"/>
          </w:tcPr>
          <w:p w14:paraId="2CDB9239" w14:textId="77777777" w:rsidR="009B7D1B" w:rsidRPr="00E362F4" w:rsidRDefault="009B7D1B" w:rsidP="00B0565E">
            <w:pPr>
              <w:rPr>
                <w:sz w:val="20"/>
                <w:szCs w:val="20"/>
              </w:rPr>
            </w:pPr>
            <w:r w:rsidRPr="00E362F4">
              <w:rPr>
                <w:sz w:val="20"/>
                <w:szCs w:val="20"/>
              </w:rPr>
              <w:t>Place</w:t>
            </w:r>
          </w:p>
        </w:tc>
        <w:tc>
          <w:tcPr>
            <w:tcW w:w="961" w:type="dxa"/>
            <w:tcBorders>
              <w:top w:val="nil"/>
              <w:bottom w:val="nil"/>
            </w:tcBorders>
            <w:shd w:val="clear" w:color="auto" w:fill="auto"/>
            <w:vAlign w:val="bottom"/>
          </w:tcPr>
          <w:p w14:paraId="7E856387" w14:textId="77777777" w:rsidR="009B7D1B" w:rsidRPr="00E362F4" w:rsidRDefault="009B7D1B" w:rsidP="00B0565E">
            <w:pPr>
              <w:jc w:val="center"/>
              <w:rPr>
                <w:sz w:val="20"/>
                <w:szCs w:val="20"/>
              </w:rPr>
            </w:pPr>
            <w:r w:rsidRPr="00E362F4">
              <w:rPr>
                <w:sz w:val="20"/>
                <w:szCs w:val="20"/>
              </w:rPr>
              <w:t>0,720</w:t>
            </w:r>
          </w:p>
        </w:tc>
        <w:tc>
          <w:tcPr>
            <w:tcW w:w="1034" w:type="dxa"/>
            <w:tcBorders>
              <w:top w:val="nil"/>
              <w:bottom w:val="nil"/>
            </w:tcBorders>
            <w:shd w:val="clear" w:color="auto" w:fill="auto"/>
            <w:vAlign w:val="center"/>
          </w:tcPr>
          <w:p w14:paraId="5E48358A" w14:textId="77777777" w:rsidR="009B7D1B" w:rsidRPr="00E362F4" w:rsidRDefault="009B7D1B" w:rsidP="00B0565E">
            <w:pPr>
              <w:jc w:val="center"/>
              <w:rPr>
                <w:sz w:val="20"/>
                <w:szCs w:val="20"/>
              </w:rPr>
            </w:pPr>
            <w:r w:rsidRPr="00E362F4">
              <w:rPr>
                <w:sz w:val="20"/>
                <w:szCs w:val="20"/>
              </w:rPr>
              <w:t>15,89</w:t>
            </w:r>
          </w:p>
        </w:tc>
        <w:tc>
          <w:tcPr>
            <w:tcW w:w="1828" w:type="dxa"/>
            <w:vMerge/>
            <w:tcBorders>
              <w:top w:val="nil"/>
              <w:bottom w:val="single" w:sz="4" w:space="0" w:color="auto"/>
            </w:tcBorders>
            <w:shd w:val="clear" w:color="auto" w:fill="auto"/>
            <w:vAlign w:val="center"/>
          </w:tcPr>
          <w:p w14:paraId="133AE6F2" w14:textId="77777777" w:rsidR="009B7D1B" w:rsidRPr="00E362F4" w:rsidRDefault="009B7D1B" w:rsidP="00B0565E">
            <w:pPr>
              <w:jc w:val="center"/>
              <w:rPr>
                <w:sz w:val="20"/>
                <w:szCs w:val="20"/>
              </w:rPr>
            </w:pPr>
          </w:p>
        </w:tc>
        <w:tc>
          <w:tcPr>
            <w:tcW w:w="938" w:type="dxa"/>
            <w:vMerge/>
            <w:tcBorders>
              <w:top w:val="nil"/>
              <w:bottom w:val="single" w:sz="4" w:space="0" w:color="auto"/>
            </w:tcBorders>
            <w:shd w:val="clear" w:color="auto" w:fill="auto"/>
            <w:vAlign w:val="center"/>
          </w:tcPr>
          <w:p w14:paraId="55BA9666" w14:textId="77777777" w:rsidR="009B7D1B" w:rsidRPr="00E362F4" w:rsidRDefault="009B7D1B" w:rsidP="00B0565E">
            <w:pPr>
              <w:jc w:val="center"/>
              <w:rPr>
                <w:sz w:val="20"/>
                <w:szCs w:val="20"/>
              </w:rPr>
            </w:pPr>
          </w:p>
        </w:tc>
        <w:tc>
          <w:tcPr>
            <w:tcW w:w="1061" w:type="dxa"/>
            <w:vMerge/>
            <w:tcBorders>
              <w:top w:val="nil"/>
              <w:bottom w:val="single" w:sz="4" w:space="0" w:color="auto"/>
            </w:tcBorders>
            <w:shd w:val="clear" w:color="auto" w:fill="auto"/>
            <w:vAlign w:val="center"/>
          </w:tcPr>
          <w:p w14:paraId="7228A1A4" w14:textId="77777777" w:rsidR="009B7D1B" w:rsidRPr="00E362F4" w:rsidRDefault="009B7D1B" w:rsidP="00B0565E">
            <w:pPr>
              <w:jc w:val="center"/>
              <w:rPr>
                <w:sz w:val="20"/>
                <w:szCs w:val="20"/>
              </w:rPr>
            </w:pPr>
          </w:p>
        </w:tc>
      </w:tr>
      <w:tr w:rsidR="00C16625" w:rsidRPr="00E362F4" w14:paraId="04A9D940" w14:textId="77777777" w:rsidTr="0075480F">
        <w:trPr>
          <w:trHeight w:val="20"/>
          <w:jc w:val="center"/>
        </w:trPr>
        <w:tc>
          <w:tcPr>
            <w:tcW w:w="1276" w:type="dxa"/>
            <w:vMerge/>
            <w:tcBorders>
              <w:top w:val="nil"/>
              <w:bottom w:val="nil"/>
            </w:tcBorders>
            <w:shd w:val="clear" w:color="auto" w:fill="auto"/>
            <w:vAlign w:val="center"/>
          </w:tcPr>
          <w:p w14:paraId="491F1495" w14:textId="77777777" w:rsidR="009B7D1B" w:rsidRPr="00E362F4" w:rsidRDefault="009B7D1B" w:rsidP="00B0565E">
            <w:pPr>
              <w:jc w:val="center"/>
              <w:rPr>
                <w:sz w:val="20"/>
                <w:szCs w:val="20"/>
              </w:rPr>
            </w:pPr>
          </w:p>
        </w:tc>
        <w:tc>
          <w:tcPr>
            <w:tcW w:w="2068" w:type="dxa"/>
            <w:tcBorders>
              <w:top w:val="nil"/>
              <w:bottom w:val="nil"/>
            </w:tcBorders>
            <w:shd w:val="clear" w:color="auto" w:fill="auto"/>
            <w:vAlign w:val="bottom"/>
          </w:tcPr>
          <w:p w14:paraId="48656A1A" w14:textId="77777777" w:rsidR="009B7D1B" w:rsidRPr="00E362F4" w:rsidRDefault="009B7D1B" w:rsidP="00B0565E">
            <w:pPr>
              <w:rPr>
                <w:sz w:val="20"/>
                <w:szCs w:val="20"/>
              </w:rPr>
            </w:pPr>
            <w:r w:rsidRPr="00E362F4">
              <w:rPr>
                <w:sz w:val="20"/>
                <w:szCs w:val="20"/>
              </w:rPr>
              <w:t>Promotion</w:t>
            </w:r>
          </w:p>
        </w:tc>
        <w:tc>
          <w:tcPr>
            <w:tcW w:w="961" w:type="dxa"/>
            <w:tcBorders>
              <w:top w:val="nil"/>
              <w:bottom w:val="nil"/>
            </w:tcBorders>
            <w:shd w:val="clear" w:color="auto" w:fill="auto"/>
            <w:vAlign w:val="bottom"/>
          </w:tcPr>
          <w:p w14:paraId="75A43658" w14:textId="77777777" w:rsidR="009B7D1B" w:rsidRPr="00E362F4" w:rsidRDefault="009B7D1B" w:rsidP="00B0565E">
            <w:pPr>
              <w:jc w:val="center"/>
              <w:rPr>
                <w:sz w:val="20"/>
                <w:szCs w:val="20"/>
              </w:rPr>
            </w:pPr>
            <w:r w:rsidRPr="00E362F4">
              <w:rPr>
                <w:sz w:val="20"/>
                <w:szCs w:val="20"/>
              </w:rPr>
              <w:t>0,768</w:t>
            </w:r>
          </w:p>
        </w:tc>
        <w:tc>
          <w:tcPr>
            <w:tcW w:w="1034" w:type="dxa"/>
            <w:tcBorders>
              <w:top w:val="nil"/>
              <w:bottom w:val="nil"/>
            </w:tcBorders>
            <w:shd w:val="clear" w:color="auto" w:fill="auto"/>
            <w:vAlign w:val="center"/>
          </w:tcPr>
          <w:p w14:paraId="37C5B213" w14:textId="77777777" w:rsidR="009B7D1B" w:rsidRPr="00E362F4" w:rsidRDefault="009B7D1B" w:rsidP="00B0565E">
            <w:pPr>
              <w:jc w:val="center"/>
              <w:rPr>
                <w:sz w:val="20"/>
                <w:szCs w:val="20"/>
              </w:rPr>
            </w:pPr>
            <w:r w:rsidRPr="00E362F4">
              <w:rPr>
                <w:sz w:val="20"/>
                <w:szCs w:val="20"/>
              </w:rPr>
              <w:t>17,40</w:t>
            </w:r>
          </w:p>
        </w:tc>
        <w:tc>
          <w:tcPr>
            <w:tcW w:w="1828" w:type="dxa"/>
            <w:vMerge/>
            <w:tcBorders>
              <w:top w:val="nil"/>
              <w:bottom w:val="single" w:sz="4" w:space="0" w:color="auto"/>
            </w:tcBorders>
            <w:shd w:val="clear" w:color="auto" w:fill="auto"/>
            <w:vAlign w:val="center"/>
          </w:tcPr>
          <w:p w14:paraId="364D5028" w14:textId="77777777" w:rsidR="009B7D1B" w:rsidRPr="00E362F4" w:rsidRDefault="009B7D1B" w:rsidP="00B0565E">
            <w:pPr>
              <w:jc w:val="center"/>
              <w:rPr>
                <w:sz w:val="20"/>
                <w:szCs w:val="20"/>
              </w:rPr>
            </w:pPr>
          </w:p>
        </w:tc>
        <w:tc>
          <w:tcPr>
            <w:tcW w:w="938" w:type="dxa"/>
            <w:vMerge/>
            <w:tcBorders>
              <w:top w:val="nil"/>
              <w:bottom w:val="single" w:sz="4" w:space="0" w:color="auto"/>
            </w:tcBorders>
            <w:shd w:val="clear" w:color="auto" w:fill="auto"/>
            <w:vAlign w:val="center"/>
          </w:tcPr>
          <w:p w14:paraId="4F08CC6C" w14:textId="77777777" w:rsidR="009B7D1B" w:rsidRPr="00E362F4" w:rsidRDefault="009B7D1B" w:rsidP="00B0565E">
            <w:pPr>
              <w:jc w:val="center"/>
              <w:rPr>
                <w:sz w:val="20"/>
                <w:szCs w:val="20"/>
              </w:rPr>
            </w:pPr>
          </w:p>
        </w:tc>
        <w:tc>
          <w:tcPr>
            <w:tcW w:w="1061" w:type="dxa"/>
            <w:vMerge/>
            <w:tcBorders>
              <w:top w:val="nil"/>
              <w:bottom w:val="single" w:sz="4" w:space="0" w:color="auto"/>
            </w:tcBorders>
            <w:shd w:val="clear" w:color="auto" w:fill="auto"/>
            <w:vAlign w:val="center"/>
          </w:tcPr>
          <w:p w14:paraId="1F97266D" w14:textId="77777777" w:rsidR="009B7D1B" w:rsidRPr="00E362F4" w:rsidRDefault="009B7D1B" w:rsidP="00B0565E">
            <w:pPr>
              <w:jc w:val="center"/>
              <w:rPr>
                <w:sz w:val="20"/>
                <w:szCs w:val="20"/>
              </w:rPr>
            </w:pPr>
          </w:p>
        </w:tc>
      </w:tr>
      <w:tr w:rsidR="00C16625" w:rsidRPr="00E362F4" w14:paraId="72565DCA" w14:textId="77777777" w:rsidTr="0075480F">
        <w:trPr>
          <w:trHeight w:val="20"/>
          <w:jc w:val="center"/>
        </w:trPr>
        <w:tc>
          <w:tcPr>
            <w:tcW w:w="1276" w:type="dxa"/>
            <w:vMerge/>
            <w:tcBorders>
              <w:top w:val="nil"/>
              <w:bottom w:val="nil"/>
            </w:tcBorders>
            <w:shd w:val="clear" w:color="auto" w:fill="auto"/>
            <w:vAlign w:val="center"/>
          </w:tcPr>
          <w:p w14:paraId="030021D4" w14:textId="77777777" w:rsidR="009B7D1B" w:rsidRPr="00E362F4" w:rsidRDefault="009B7D1B" w:rsidP="00B0565E">
            <w:pPr>
              <w:jc w:val="center"/>
              <w:rPr>
                <w:sz w:val="20"/>
                <w:szCs w:val="20"/>
              </w:rPr>
            </w:pPr>
          </w:p>
        </w:tc>
        <w:tc>
          <w:tcPr>
            <w:tcW w:w="2068" w:type="dxa"/>
            <w:tcBorders>
              <w:top w:val="nil"/>
              <w:bottom w:val="nil"/>
            </w:tcBorders>
            <w:shd w:val="clear" w:color="auto" w:fill="auto"/>
            <w:vAlign w:val="bottom"/>
          </w:tcPr>
          <w:p w14:paraId="371E709F" w14:textId="77777777" w:rsidR="009B7D1B" w:rsidRPr="00E362F4" w:rsidRDefault="009B7D1B" w:rsidP="00B0565E">
            <w:pPr>
              <w:rPr>
                <w:sz w:val="20"/>
                <w:szCs w:val="20"/>
              </w:rPr>
            </w:pPr>
            <w:r w:rsidRPr="00E362F4">
              <w:rPr>
                <w:sz w:val="20"/>
                <w:szCs w:val="20"/>
              </w:rPr>
              <w:t>People</w:t>
            </w:r>
          </w:p>
        </w:tc>
        <w:tc>
          <w:tcPr>
            <w:tcW w:w="961" w:type="dxa"/>
            <w:tcBorders>
              <w:top w:val="nil"/>
              <w:bottom w:val="nil"/>
            </w:tcBorders>
            <w:shd w:val="clear" w:color="auto" w:fill="auto"/>
            <w:vAlign w:val="bottom"/>
          </w:tcPr>
          <w:p w14:paraId="25D35CDB" w14:textId="77777777" w:rsidR="009B7D1B" w:rsidRPr="00E362F4" w:rsidRDefault="009B7D1B" w:rsidP="00B0565E">
            <w:pPr>
              <w:jc w:val="center"/>
              <w:rPr>
                <w:sz w:val="20"/>
                <w:szCs w:val="20"/>
              </w:rPr>
            </w:pPr>
            <w:r w:rsidRPr="00E362F4">
              <w:rPr>
                <w:sz w:val="20"/>
                <w:szCs w:val="20"/>
              </w:rPr>
              <w:t>0,753</w:t>
            </w:r>
          </w:p>
        </w:tc>
        <w:tc>
          <w:tcPr>
            <w:tcW w:w="1034" w:type="dxa"/>
            <w:tcBorders>
              <w:top w:val="nil"/>
              <w:bottom w:val="nil"/>
            </w:tcBorders>
            <w:shd w:val="clear" w:color="auto" w:fill="auto"/>
            <w:vAlign w:val="center"/>
          </w:tcPr>
          <w:p w14:paraId="389E06EA" w14:textId="77777777" w:rsidR="009B7D1B" w:rsidRPr="00E362F4" w:rsidRDefault="009B7D1B" w:rsidP="00B0565E">
            <w:pPr>
              <w:jc w:val="center"/>
              <w:rPr>
                <w:sz w:val="20"/>
                <w:szCs w:val="20"/>
              </w:rPr>
            </w:pPr>
            <w:r w:rsidRPr="00E362F4">
              <w:rPr>
                <w:sz w:val="20"/>
                <w:szCs w:val="20"/>
              </w:rPr>
              <w:t>16,92</w:t>
            </w:r>
          </w:p>
        </w:tc>
        <w:tc>
          <w:tcPr>
            <w:tcW w:w="1828" w:type="dxa"/>
            <w:vMerge/>
            <w:tcBorders>
              <w:top w:val="nil"/>
              <w:bottom w:val="single" w:sz="4" w:space="0" w:color="auto"/>
            </w:tcBorders>
            <w:shd w:val="clear" w:color="auto" w:fill="auto"/>
            <w:vAlign w:val="center"/>
          </w:tcPr>
          <w:p w14:paraId="217C122E" w14:textId="77777777" w:rsidR="009B7D1B" w:rsidRPr="00E362F4" w:rsidRDefault="009B7D1B" w:rsidP="00B0565E">
            <w:pPr>
              <w:jc w:val="center"/>
              <w:rPr>
                <w:sz w:val="20"/>
                <w:szCs w:val="20"/>
              </w:rPr>
            </w:pPr>
          </w:p>
        </w:tc>
        <w:tc>
          <w:tcPr>
            <w:tcW w:w="938" w:type="dxa"/>
            <w:vMerge/>
            <w:tcBorders>
              <w:top w:val="nil"/>
              <w:bottom w:val="single" w:sz="4" w:space="0" w:color="auto"/>
            </w:tcBorders>
            <w:shd w:val="clear" w:color="auto" w:fill="auto"/>
            <w:vAlign w:val="center"/>
          </w:tcPr>
          <w:p w14:paraId="2FD23A04" w14:textId="77777777" w:rsidR="009B7D1B" w:rsidRPr="00E362F4" w:rsidRDefault="009B7D1B" w:rsidP="00B0565E">
            <w:pPr>
              <w:jc w:val="center"/>
              <w:rPr>
                <w:sz w:val="20"/>
                <w:szCs w:val="20"/>
              </w:rPr>
            </w:pPr>
          </w:p>
        </w:tc>
        <w:tc>
          <w:tcPr>
            <w:tcW w:w="1061" w:type="dxa"/>
            <w:vMerge/>
            <w:tcBorders>
              <w:top w:val="nil"/>
              <w:bottom w:val="single" w:sz="4" w:space="0" w:color="auto"/>
            </w:tcBorders>
            <w:shd w:val="clear" w:color="auto" w:fill="auto"/>
            <w:vAlign w:val="center"/>
          </w:tcPr>
          <w:p w14:paraId="2F0873FC" w14:textId="77777777" w:rsidR="009B7D1B" w:rsidRPr="00E362F4" w:rsidRDefault="009B7D1B" w:rsidP="00B0565E">
            <w:pPr>
              <w:jc w:val="center"/>
              <w:rPr>
                <w:sz w:val="20"/>
                <w:szCs w:val="20"/>
              </w:rPr>
            </w:pPr>
          </w:p>
        </w:tc>
      </w:tr>
      <w:tr w:rsidR="00C16625" w:rsidRPr="00E362F4" w14:paraId="7D1F33B0" w14:textId="77777777" w:rsidTr="0075480F">
        <w:trPr>
          <w:trHeight w:val="20"/>
          <w:jc w:val="center"/>
        </w:trPr>
        <w:tc>
          <w:tcPr>
            <w:tcW w:w="1276" w:type="dxa"/>
            <w:vMerge/>
            <w:tcBorders>
              <w:top w:val="nil"/>
              <w:bottom w:val="nil"/>
            </w:tcBorders>
            <w:shd w:val="clear" w:color="auto" w:fill="auto"/>
            <w:vAlign w:val="center"/>
          </w:tcPr>
          <w:p w14:paraId="76590704" w14:textId="77777777" w:rsidR="009B7D1B" w:rsidRPr="00E362F4" w:rsidRDefault="009B7D1B" w:rsidP="00B0565E">
            <w:pPr>
              <w:jc w:val="center"/>
              <w:rPr>
                <w:sz w:val="20"/>
                <w:szCs w:val="20"/>
              </w:rPr>
            </w:pPr>
          </w:p>
        </w:tc>
        <w:tc>
          <w:tcPr>
            <w:tcW w:w="2068" w:type="dxa"/>
            <w:tcBorders>
              <w:top w:val="nil"/>
              <w:bottom w:val="nil"/>
            </w:tcBorders>
            <w:shd w:val="clear" w:color="auto" w:fill="auto"/>
            <w:vAlign w:val="bottom"/>
          </w:tcPr>
          <w:p w14:paraId="506F0F60" w14:textId="77777777" w:rsidR="009B7D1B" w:rsidRPr="00E362F4" w:rsidRDefault="009B7D1B" w:rsidP="00B0565E">
            <w:pPr>
              <w:rPr>
                <w:sz w:val="20"/>
                <w:szCs w:val="20"/>
              </w:rPr>
            </w:pPr>
            <w:r w:rsidRPr="00E362F4">
              <w:rPr>
                <w:sz w:val="20"/>
                <w:szCs w:val="20"/>
              </w:rPr>
              <w:t>Process</w:t>
            </w:r>
          </w:p>
        </w:tc>
        <w:tc>
          <w:tcPr>
            <w:tcW w:w="961" w:type="dxa"/>
            <w:tcBorders>
              <w:top w:val="nil"/>
              <w:bottom w:val="nil"/>
            </w:tcBorders>
            <w:shd w:val="clear" w:color="auto" w:fill="auto"/>
            <w:vAlign w:val="bottom"/>
          </w:tcPr>
          <w:p w14:paraId="4FADB782" w14:textId="77777777" w:rsidR="009B7D1B" w:rsidRPr="00E362F4" w:rsidRDefault="009B7D1B" w:rsidP="00B0565E">
            <w:pPr>
              <w:jc w:val="center"/>
              <w:rPr>
                <w:sz w:val="20"/>
                <w:szCs w:val="20"/>
              </w:rPr>
            </w:pPr>
            <w:r w:rsidRPr="00E362F4">
              <w:rPr>
                <w:sz w:val="20"/>
                <w:szCs w:val="20"/>
              </w:rPr>
              <w:t>0,740</w:t>
            </w:r>
          </w:p>
        </w:tc>
        <w:tc>
          <w:tcPr>
            <w:tcW w:w="1034" w:type="dxa"/>
            <w:tcBorders>
              <w:top w:val="nil"/>
              <w:bottom w:val="nil"/>
            </w:tcBorders>
            <w:shd w:val="clear" w:color="auto" w:fill="auto"/>
            <w:vAlign w:val="center"/>
          </w:tcPr>
          <w:p w14:paraId="5665C3B4" w14:textId="77777777" w:rsidR="009B7D1B" w:rsidRPr="00E362F4" w:rsidRDefault="009B7D1B" w:rsidP="00B0565E">
            <w:pPr>
              <w:jc w:val="center"/>
              <w:rPr>
                <w:sz w:val="20"/>
                <w:szCs w:val="20"/>
              </w:rPr>
            </w:pPr>
            <w:r w:rsidRPr="00E362F4">
              <w:rPr>
                <w:sz w:val="20"/>
                <w:szCs w:val="20"/>
              </w:rPr>
              <w:t>16,49</w:t>
            </w:r>
          </w:p>
        </w:tc>
        <w:tc>
          <w:tcPr>
            <w:tcW w:w="1828" w:type="dxa"/>
            <w:vMerge/>
            <w:tcBorders>
              <w:top w:val="nil"/>
              <w:bottom w:val="single" w:sz="4" w:space="0" w:color="auto"/>
            </w:tcBorders>
            <w:shd w:val="clear" w:color="auto" w:fill="auto"/>
            <w:vAlign w:val="center"/>
          </w:tcPr>
          <w:p w14:paraId="1911A330" w14:textId="77777777" w:rsidR="009B7D1B" w:rsidRPr="00E362F4" w:rsidRDefault="009B7D1B" w:rsidP="00B0565E">
            <w:pPr>
              <w:jc w:val="center"/>
              <w:rPr>
                <w:sz w:val="20"/>
                <w:szCs w:val="20"/>
              </w:rPr>
            </w:pPr>
          </w:p>
        </w:tc>
        <w:tc>
          <w:tcPr>
            <w:tcW w:w="938" w:type="dxa"/>
            <w:vMerge/>
            <w:tcBorders>
              <w:top w:val="nil"/>
              <w:bottom w:val="single" w:sz="4" w:space="0" w:color="auto"/>
            </w:tcBorders>
            <w:shd w:val="clear" w:color="auto" w:fill="auto"/>
            <w:vAlign w:val="center"/>
          </w:tcPr>
          <w:p w14:paraId="54AE3743" w14:textId="77777777" w:rsidR="009B7D1B" w:rsidRPr="00E362F4" w:rsidRDefault="009B7D1B" w:rsidP="00B0565E">
            <w:pPr>
              <w:jc w:val="center"/>
              <w:rPr>
                <w:sz w:val="20"/>
                <w:szCs w:val="20"/>
              </w:rPr>
            </w:pPr>
          </w:p>
        </w:tc>
        <w:tc>
          <w:tcPr>
            <w:tcW w:w="1061" w:type="dxa"/>
            <w:vMerge/>
            <w:tcBorders>
              <w:top w:val="nil"/>
              <w:bottom w:val="single" w:sz="4" w:space="0" w:color="auto"/>
            </w:tcBorders>
            <w:shd w:val="clear" w:color="auto" w:fill="auto"/>
            <w:vAlign w:val="center"/>
          </w:tcPr>
          <w:p w14:paraId="3A8AE27A" w14:textId="77777777" w:rsidR="009B7D1B" w:rsidRPr="00E362F4" w:rsidRDefault="009B7D1B" w:rsidP="00B0565E">
            <w:pPr>
              <w:jc w:val="center"/>
              <w:rPr>
                <w:sz w:val="20"/>
                <w:szCs w:val="20"/>
              </w:rPr>
            </w:pPr>
          </w:p>
        </w:tc>
      </w:tr>
      <w:tr w:rsidR="00C16625" w:rsidRPr="00E362F4" w14:paraId="14C96315" w14:textId="77777777" w:rsidTr="0075480F">
        <w:trPr>
          <w:trHeight w:val="20"/>
          <w:jc w:val="center"/>
        </w:trPr>
        <w:tc>
          <w:tcPr>
            <w:tcW w:w="1276" w:type="dxa"/>
            <w:vMerge/>
            <w:tcBorders>
              <w:top w:val="nil"/>
              <w:bottom w:val="nil"/>
            </w:tcBorders>
            <w:shd w:val="clear" w:color="auto" w:fill="auto"/>
            <w:vAlign w:val="center"/>
          </w:tcPr>
          <w:p w14:paraId="310EF12E" w14:textId="77777777" w:rsidR="009B7D1B" w:rsidRPr="00E362F4" w:rsidRDefault="009B7D1B" w:rsidP="00B0565E">
            <w:pPr>
              <w:jc w:val="center"/>
              <w:rPr>
                <w:sz w:val="20"/>
                <w:szCs w:val="20"/>
              </w:rPr>
            </w:pPr>
          </w:p>
        </w:tc>
        <w:tc>
          <w:tcPr>
            <w:tcW w:w="2068" w:type="dxa"/>
            <w:tcBorders>
              <w:top w:val="nil"/>
              <w:bottom w:val="nil"/>
            </w:tcBorders>
            <w:shd w:val="clear" w:color="auto" w:fill="auto"/>
            <w:vAlign w:val="bottom"/>
          </w:tcPr>
          <w:p w14:paraId="2547507F" w14:textId="77777777" w:rsidR="009B7D1B" w:rsidRPr="00E362F4" w:rsidRDefault="009B7D1B" w:rsidP="00B0565E">
            <w:pPr>
              <w:rPr>
                <w:sz w:val="20"/>
                <w:szCs w:val="20"/>
              </w:rPr>
            </w:pPr>
            <w:r w:rsidRPr="00E362F4">
              <w:rPr>
                <w:sz w:val="20"/>
                <w:szCs w:val="20"/>
              </w:rPr>
              <w:t>Physical Evidence</w:t>
            </w:r>
          </w:p>
        </w:tc>
        <w:tc>
          <w:tcPr>
            <w:tcW w:w="961" w:type="dxa"/>
            <w:tcBorders>
              <w:top w:val="nil"/>
              <w:bottom w:val="nil"/>
            </w:tcBorders>
            <w:shd w:val="clear" w:color="auto" w:fill="auto"/>
            <w:vAlign w:val="bottom"/>
          </w:tcPr>
          <w:p w14:paraId="3BE7E95C" w14:textId="77777777" w:rsidR="009B7D1B" w:rsidRPr="00E362F4" w:rsidRDefault="009B7D1B" w:rsidP="00B0565E">
            <w:pPr>
              <w:jc w:val="center"/>
              <w:rPr>
                <w:sz w:val="20"/>
                <w:szCs w:val="20"/>
              </w:rPr>
            </w:pPr>
            <w:r w:rsidRPr="00E362F4">
              <w:rPr>
                <w:sz w:val="20"/>
                <w:szCs w:val="20"/>
              </w:rPr>
              <w:t>0,754</w:t>
            </w:r>
          </w:p>
        </w:tc>
        <w:tc>
          <w:tcPr>
            <w:tcW w:w="1034" w:type="dxa"/>
            <w:tcBorders>
              <w:top w:val="nil"/>
              <w:bottom w:val="nil"/>
            </w:tcBorders>
            <w:shd w:val="clear" w:color="auto" w:fill="auto"/>
            <w:vAlign w:val="center"/>
          </w:tcPr>
          <w:p w14:paraId="4AF0445D" w14:textId="77777777" w:rsidR="009B7D1B" w:rsidRPr="00E362F4" w:rsidRDefault="009B7D1B" w:rsidP="00B0565E">
            <w:pPr>
              <w:jc w:val="center"/>
              <w:rPr>
                <w:sz w:val="20"/>
                <w:szCs w:val="20"/>
              </w:rPr>
            </w:pPr>
            <w:r w:rsidRPr="00E362F4">
              <w:rPr>
                <w:sz w:val="20"/>
                <w:szCs w:val="20"/>
              </w:rPr>
              <w:t>16,95</w:t>
            </w:r>
          </w:p>
        </w:tc>
        <w:tc>
          <w:tcPr>
            <w:tcW w:w="1828" w:type="dxa"/>
            <w:vMerge/>
            <w:tcBorders>
              <w:top w:val="nil"/>
              <w:bottom w:val="single" w:sz="4" w:space="0" w:color="auto"/>
            </w:tcBorders>
            <w:shd w:val="clear" w:color="auto" w:fill="auto"/>
            <w:vAlign w:val="center"/>
          </w:tcPr>
          <w:p w14:paraId="7E7B8ABC" w14:textId="77777777" w:rsidR="009B7D1B" w:rsidRPr="00E362F4" w:rsidRDefault="009B7D1B" w:rsidP="00B0565E">
            <w:pPr>
              <w:jc w:val="center"/>
              <w:rPr>
                <w:sz w:val="20"/>
                <w:szCs w:val="20"/>
              </w:rPr>
            </w:pPr>
          </w:p>
        </w:tc>
        <w:tc>
          <w:tcPr>
            <w:tcW w:w="938" w:type="dxa"/>
            <w:vMerge/>
            <w:tcBorders>
              <w:top w:val="nil"/>
              <w:bottom w:val="single" w:sz="4" w:space="0" w:color="auto"/>
            </w:tcBorders>
            <w:shd w:val="clear" w:color="auto" w:fill="auto"/>
            <w:vAlign w:val="center"/>
          </w:tcPr>
          <w:p w14:paraId="64863E2A" w14:textId="77777777" w:rsidR="009B7D1B" w:rsidRPr="00E362F4" w:rsidRDefault="009B7D1B" w:rsidP="00B0565E">
            <w:pPr>
              <w:jc w:val="center"/>
              <w:rPr>
                <w:sz w:val="20"/>
                <w:szCs w:val="20"/>
              </w:rPr>
            </w:pPr>
          </w:p>
        </w:tc>
        <w:tc>
          <w:tcPr>
            <w:tcW w:w="1061" w:type="dxa"/>
            <w:vMerge/>
            <w:tcBorders>
              <w:top w:val="nil"/>
              <w:bottom w:val="single" w:sz="4" w:space="0" w:color="auto"/>
            </w:tcBorders>
            <w:shd w:val="clear" w:color="auto" w:fill="auto"/>
            <w:vAlign w:val="center"/>
          </w:tcPr>
          <w:p w14:paraId="0D0BB271" w14:textId="77777777" w:rsidR="009B7D1B" w:rsidRPr="00E362F4" w:rsidRDefault="009B7D1B" w:rsidP="00B0565E">
            <w:pPr>
              <w:jc w:val="center"/>
              <w:rPr>
                <w:sz w:val="20"/>
                <w:szCs w:val="20"/>
              </w:rPr>
            </w:pPr>
          </w:p>
        </w:tc>
      </w:tr>
      <w:tr w:rsidR="00C16625" w:rsidRPr="00E362F4" w14:paraId="725EFE78" w14:textId="77777777" w:rsidTr="0075480F">
        <w:trPr>
          <w:trHeight w:val="20"/>
          <w:jc w:val="center"/>
        </w:trPr>
        <w:tc>
          <w:tcPr>
            <w:tcW w:w="1276" w:type="dxa"/>
            <w:vMerge/>
            <w:tcBorders>
              <w:top w:val="nil"/>
              <w:bottom w:val="nil"/>
            </w:tcBorders>
            <w:shd w:val="clear" w:color="auto" w:fill="auto"/>
            <w:vAlign w:val="center"/>
          </w:tcPr>
          <w:p w14:paraId="0CEAE1CB" w14:textId="77777777" w:rsidR="009B7D1B" w:rsidRPr="00E362F4" w:rsidRDefault="009B7D1B" w:rsidP="00B0565E">
            <w:pPr>
              <w:jc w:val="center"/>
              <w:rPr>
                <w:sz w:val="20"/>
                <w:szCs w:val="20"/>
              </w:rPr>
            </w:pPr>
          </w:p>
        </w:tc>
        <w:tc>
          <w:tcPr>
            <w:tcW w:w="2068" w:type="dxa"/>
            <w:tcBorders>
              <w:top w:val="nil"/>
              <w:bottom w:val="nil"/>
            </w:tcBorders>
            <w:shd w:val="clear" w:color="auto" w:fill="auto"/>
            <w:vAlign w:val="bottom"/>
          </w:tcPr>
          <w:p w14:paraId="29E4CEF6" w14:textId="77777777" w:rsidR="009B7D1B" w:rsidRPr="00E362F4" w:rsidRDefault="009B7D1B" w:rsidP="00B0565E">
            <w:pPr>
              <w:rPr>
                <w:sz w:val="20"/>
                <w:szCs w:val="20"/>
              </w:rPr>
            </w:pPr>
            <w:r w:rsidRPr="00E362F4">
              <w:rPr>
                <w:sz w:val="20"/>
                <w:szCs w:val="20"/>
              </w:rPr>
              <w:t>Policy</w:t>
            </w:r>
          </w:p>
        </w:tc>
        <w:tc>
          <w:tcPr>
            <w:tcW w:w="961" w:type="dxa"/>
            <w:tcBorders>
              <w:top w:val="nil"/>
              <w:bottom w:val="nil"/>
            </w:tcBorders>
            <w:shd w:val="clear" w:color="auto" w:fill="auto"/>
            <w:vAlign w:val="bottom"/>
          </w:tcPr>
          <w:p w14:paraId="49E47F45" w14:textId="77777777" w:rsidR="009B7D1B" w:rsidRPr="00E362F4" w:rsidRDefault="009B7D1B" w:rsidP="00B0565E">
            <w:pPr>
              <w:jc w:val="center"/>
              <w:rPr>
                <w:sz w:val="20"/>
                <w:szCs w:val="20"/>
              </w:rPr>
            </w:pPr>
            <w:r w:rsidRPr="00E362F4">
              <w:rPr>
                <w:sz w:val="20"/>
                <w:szCs w:val="20"/>
              </w:rPr>
              <w:t>0,759</w:t>
            </w:r>
          </w:p>
        </w:tc>
        <w:tc>
          <w:tcPr>
            <w:tcW w:w="1034" w:type="dxa"/>
            <w:tcBorders>
              <w:top w:val="nil"/>
              <w:bottom w:val="nil"/>
            </w:tcBorders>
            <w:shd w:val="clear" w:color="auto" w:fill="auto"/>
            <w:vAlign w:val="center"/>
          </w:tcPr>
          <w:p w14:paraId="5DF353FB" w14:textId="77777777" w:rsidR="009B7D1B" w:rsidRPr="00E362F4" w:rsidRDefault="009B7D1B" w:rsidP="00B0565E">
            <w:pPr>
              <w:jc w:val="center"/>
              <w:rPr>
                <w:sz w:val="20"/>
                <w:szCs w:val="20"/>
              </w:rPr>
            </w:pPr>
            <w:r w:rsidRPr="00E362F4">
              <w:rPr>
                <w:sz w:val="20"/>
                <w:szCs w:val="20"/>
              </w:rPr>
              <w:t>17,10</w:t>
            </w:r>
          </w:p>
        </w:tc>
        <w:tc>
          <w:tcPr>
            <w:tcW w:w="1828" w:type="dxa"/>
            <w:vMerge/>
            <w:tcBorders>
              <w:top w:val="nil"/>
              <w:bottom w:val="single" w:sz="4" w:space="0" w:color="auto"/>
            </w:tcBorders>
            <w:shd w:val="clear" w:color="auto" w:fill="auto"/>
            <w:vAlign w:val="center"/>
          </w:tcPr>
          <w:p w14:paraId="5AE99CD3" w14:textId="77777777" w:rsidR="009B7D1B" w:rsidRPr="00E362F4" w:rsidRDefault="009B7D1B" w:rsidP="00B0565E">
            <w:pPr>
              <w:jc w:val="center"/>
              <w:rPr>
                <w:sz w:val="20"/>
                <w:szCs w:val="20"/>
              </w:rPr>
            </w:pPr>
          </w:p>
        </w:tc>
        <w:tc>
          <w:tcPr>
            <w:tcW w:w="938" w:type="dxa"/>
            <w:vMerge/>
            <w:tcBorders>
              <w:top w:val="nil"/>
              <w:bottom w:val="single" w:sz="4" w:space="0" w:color="auto"/>
            </w:tcBorders>
            <w:shd w:val="clear" w:color="auto" w:fill="auto"/>
            <w:vAlign w:val="center"/>
          </w:tcPr>
          <w:p w14:paraId="4F321FEC" w14:textId="77777777" w:rsidR="009B7D1B" w:rsidRPr="00E362F4" w:rsidRDefault="009B7D1B" w:rsidP="00B0565E">
            <w:pPr>
              <w:jc w:val="center"/>
              <w:rPr>
                <w:sz w:val="20"/>
                <w:szCs w:val="20"/>
              </w:rPr>
            </w:pPr>
          </w:p>
        </w:tc>
        <w:tc>
          <w:tcPr>
            <w:tcW w:w="1061" w:type="dxa"/>
            <w:vMerge/>
            <w:tcBorders>
              <w:top w:val="nil"/>
              <w:bottom w:val="single" w:sz="4" w:space="0" w:color="auto"/>
            </w:tcBorders>
            <w:shd w:val="clear" w:color="auto" w:fill="auto"/>
            <w:vAlign w:val="center"/>
          </w:tcPr>
          <w:p w14:paraId="50FF6F55" w14:textId="77777777" w:rsidR="009B7D1B" w:rsidRPr="00E362F4" w:rsidRDefault="009B7D1B" w:rsidP="00B0565E">
            <w:pPr>
              <w:jc w:val="center"/>
              <w:rPr>
                <w:sz w:val="20"/>
                <w:szCs w:val="20"/>
              </w:rPr>
            </w:pPr>
          </w:p>
        </w:tc>
      </w:tr>
      <w:tr w:rsidR="00C16625" w:rsidRPr="00E362F4" w14:paraId="5EC21608" w14:textId="77777777" w:rsidTr="0075480F">
        <w:trPr>
          <w:trHeight w:val="20"/>
          <w:jc w:val="center"/>
        </w:trPr>
        <w:tc>
          <w:tcPr>
            <w:tcW w:w="1276" w:type="dxa"/>
            <w:vMerge/>
            <w:tcBorders>
              <w:top w:val="nil"/>
              <w:bottom w:val="single" w:sz="4" w:space="0" w:color="auto"/>
            </w:tcBorders>
            <w:shd w:val="clear" w:color="auto" w:fill="auto"/>
            <w:vAlign w:val="center"/>
          </w:tcPr>
          <w:p w14:paraId="415545B1" w14:textId="77777777" w:rsidR="009B7D1B" w:rsidRPr="00E362F4" w:rsidRDefault="009B7D1B" w:rsidP="00B0565E">
            <w:pPr>
              <w:jc w:val="center"/>
              <w:rPr>
                <w:sz w:val="20"/>
                <w:szCs w:val="20"/>
              </w:rPr>
            </w:pPr>
          </w:p>
        </w:tc>
        <w:tc>
          <w:tcPr>
            <w:tcW w:w="2068" w:type="dxa"/>
            <w:tcBorders>
              <w:top w:val="nil"/>
              <w:bottom w:val="single" w:sz="4" w:space="0" w:color="auto"/>
            </w:tcBorders>
            <w:shd w:val="clear" w:color="auto" w:fill="auto"/>
            <w:vAlign w:val="bottom"/>
          </w:tcPr>
          <w:p w14:paraId="7F5F7A21" w14:textId="77777777" w:rsidR="009B7D1B" w:rsidRPr="00E362F4" w:rsidRDefault="009B7D1B" w:rsidP="00B0565E">
            <w:pPr>
              <w:rPr>
                <w:sz w:val="20"/>
                <w:szCs w:val="20"/>
              </w:rPr>
            </w:pPr>
            <w:r w:rsidRPr="00E362F4">
              <w:rPr>
                <w:sz w:val="20"/>
                <w:szCs w:val="20"/>
              </w:rPr>
              <w:t>Provided Information</w:t>
            </w:r>
          </w:p>
        </w:tc>
        <w:tc>
          <w:tcPr>
            <w:tcW w:w="961" w:type="dxa"/>
            <w:tcBorders>
              <w:top w:val="nil"/>
              <w:bottom w:val="single" w:sz="4" w:space="0" w:color="auto"/>
            </w:tcBorders>
            <w:shd w:val="clear" w:color="auto" w:fill="auto"/>
            <w:vAlign w:val="bottom"/>
          </w:tcPr>
          <w:p w14:paraId="0CDD343C" w14:textId="77777777" w:rsidR="009B7D1B" w:rsidRPr="00E362F4" w:rsidRDefault="009B7D1B" w:rsidP="00B0565E">
            <w:pPr>
              <w:jc w:val="center"/>
              <w:rPr>
                <w:sz w:val="20"/>
                <w:szCs w:val="20"/>
              </w:rPr>
            </w:pPr>
            <w:r w:rsidRPr="00E362F4">
              <w:rPr>
                <w:sz w:val="20"/>
                <w:szCs w:val="20"/>
              </w:rPr>
              <w:t>0,774</w:t>
            </w:r>
          </w:p>
        </w:tc>
        <w:tc>
          <w:tcPr>
            <w:tcW w:w="1034" w:type="dxa"/>
            <w:tcBorders>
              <w:top w:val="nil"/>
              <w:bottom w:val="single" w:sz="4" w:space="0" w:color="auto"/>
            </w:tcBorders>
            <w:shd w:val="clear" w:color="auto" w:fill="auto"/>
            <w:vAlign w:val="center"/>
          </w:tcPr>
          <w:p w14:paraId="1D29992C" w14:textId="77777777" w:rsidR="009B7D1B" w:rsidRPr="00E362F4" w:rsidRDefault="009B7D1B" w:rsidP="00B0565E">
            <w:pPr>
              <w:jc w:val="center"/>
              <w:rPr>
                <w:sz w:val="20"/>
                <w:szCs w:val="20"/>
              </w:rPr>
            </w:pPr>
            <w:r w:rsidRPr="00E362F4">
              <w:rPr>
                <w:sz w:val="20"/>
                <w:szCs w:val="20"/>
              </w:rPr>
              <w:t>17,60</w:t>
            </w:r>
          </w:p>
        </w:tc>
        <w:tc>
          <w:tcPr>
            <w:tcW w:w="1828" w:type="dxa"/>
            <w:vMerge/>
            <w:tcBorders>
              <w:top w:val="nil"/>
              <w:bottom w:val="single" w:sz="4" w:space="0" w:color="auto"/>
            </w:tcBorders>
            <w:shd w:val="clear" w:color="auto" w:fill="auto"/>
            <w:vAlign w:val="center"/>
          </w:tcPr>
          <w:p w14:paraId="5FE5E960" w14:textId="77777777" w:rsidR="009B7D1B" w:rsidRPr="00E362F4" w:rsidRDefault="009B7D1B" w:rsidP="00B0565E">
            <w:pPr>
              <w:jc w:val="center"/>
              <w:rPr>
                <w:sz w:val="20"/>
                <w:szCs w:val="20"/>
              </w:rPr>
            </w:pPr>
          </w:p>
        </w:tc>
        <w:tc>
          <w:tcPr>
            <w:tcW w:w="938" w:type="dxa"/>
            <w:vMerge/>
            <w:tcBorders>
              <w:top w:val="nil"/>
              <w:bottom w:val="single" w:sz="4" w:space="0" w:color="auto"/>
            </w:tcBorders>
            <w:shd w:val="clear" w:color="auto" w:fill="auto"/>
            <w:vAlign w:val="center"/>
          </w:tcPr>
          <w:p w14:paraId="1236F127" w14:textId="77777777" w:rsidR="009B7D1B" w:rsidRPr="00E362F4" w:rsidRDefault="009B7D1B" w:rsidP="00B0565E">
            <w:pPr>
              <w:jc w:val="center"/>
              <w:rPr>
                <w:sz w:val="20"/>
                <w:szCs w:val="20"/>
              </w:rPr>
            </w:pPr>
          </w:p>
        </w:tc>
        <w:tc>
          <w:tcPr>
            <w:tcW w:w="1061" w:type="dxa"/>
            <w:vMerge/>
            <w:tcBorders>
              <w:top w:val="nil"/>
              <w:bottom w:val="single" w:sz="4" w:space="0" w:color="auto"/>
            </w:tcBorders>
            <w:shd w:val="clear" w:color="auto" w:fill="auto"/>
            <w:vAlign w:val="center"/>
          </w:tcPr>
          <w:p w14:paraId="60CE2082" w14:textId="77777777" w:rsidR="009B7D1B" w:rsidRPr="00E362F4" w:rsidRDefault="009B7D1B" w:rsidP="00B0565E">
            <w:pPr>
              <w:jc w:val="center"/>
              <w:rPr>
                <w:sz w:val="20"/>
                <w:szCs w:val="20"/>
              </w:rPr>
            </w:pPr>
          </w:p>
        </w:tc>
      </w:tr>
      <w:tr w:rsidR="00C16625" w:rsidRPr="00E362F4" w14:paraId="4E603329" w14:textId="77777777" w:rsidTr="0075480F">
        <w:trPr>
          <w:trHeight w:val="20"/>
          <w:jc w:val="center"/>
        </w:trPr>
        <w:tc>
          <w:tcPr>
            <w:tcW w:w="1276" w:type="dxa"/>
            <w:vMerge w:val="restart"/>
            <w:tcBorders>
              <w:top w:val="single" w:sz="4" w:space="0" w:color="auto"/>
              <w:bottom w:val="single" w:sz="4" w:space="0" w:color="auto"/>
            </w:tcBorders>
            <w:shd w:val="clear" w:color="auto" w:fill="auto"/>
            <w:vAlign w:val="center"/>
          </w:tcPr>
          <w:p w14:paraId="56D425F1" w14:textId="77777777" w:rsidR="009B7D1B" w:rsidRPr="00E362F4" w:rsidRDefault="009B7D1B" w:rsidP="00B0565E">
            <w:pPr>
              <w:jc w:val="center"/>
              <w:rPr>
                <w:sz w:val="20"/>
                <w:szCs w:val="20"/>
              </w:rPr>
            </w:pPr>
            <w:r w:rsidRPr="00E362F4">
              <w:rPr>
                <w:sz w:val="20"/>
                <w:szCs w:val="20"/>
              </w:rPr>
              <w:t>Green Perceived Value (X2)</w:t>
            </w:r>
          </w:p>
        </w:tc>
        <w:tc>
          <w:tcPr>
            <w:tcW w:w="2068" w:type="dxa"/>
            <w:tcBorders>
              <w:top w:val="single" w:sz="4" w:space="0" w:color="auto"/>
              <w:bottom w:val="nil"/>
            </w:tcBorders>
            <w:shd w:val="clear" w:color="auto" w:fill="auto"/>
            <w:vAlign w:val="bottom"/>
          </w:tcPr>
          <w:p w14:paraId="23C0841E" w14:textId="77777777" w:rsidR="009B7D1B" w:rsidRPr="00E362F4" w:rsidRDefault="009B7D1B" w:rsidP="00B0565E">
            <w:pPr>
              <w:rPr>
                <w:sz w:val="20"/>
                <w:szCs w:val="20"/>
              </w:rPr>
            </w:pPr>
            <w:r w:rsidRPr="00E362F4">
              <w:rPr>
                <w:sz w:val="20"/>
                <w:szCs w:val="20"/>
              </w:rPr>
              <w:t>Functional Value</w:t>
            </w:r>
          </w:p>
        </w:tc>
        <w:tc>
          <w:tcPr>
            <w:tcW w:w="961" w:type="dxa"/>
            <w:tcBorders>
              <w:top w:val="single" w:sz="4" w:space="0" w:color="auto"/>
              <w:bottom w:val="nil"/>
            </w:tcBorders>
            <w:shd w:val="clear" w:color="auto" w:fill="auto"/>
            <w:vAlign w:val="center"/>
          </w:tcPr>
          <w:p w14:paraId="2B992627" w14:textId="77777777" w:rsidR="009B7D1B" w:rsidRPr="00E362F4" w:rsidRDefault="009B7D1B" w:rsidP="00B0565E">
            <w:pPr>
              <w:jc w:val="center"/>
              <w:rPr>
                <w:sz w:val="20"/>
                <w:szCs w:val="20"/>
              </w:rPr>
            </w:pPr>
            <w:r w:rsidRPr="00E362F4">
              <w:rPr>
                <w:sz w:val="20"/>
                <w:szCs w:val="20"/>
              </w:rPr>
              <w:t>0,750</w:t>
            </w:r>
          </w:p>
        </w:tc>
        <w:tc>
          <w:tcPr>
            <w:tcW w:w="1034" w:type="dxa"/>
            <w:tcBorders>
              <w:top w:val="single" w:sz="4" w:space="0" w:color="auto"/>
              <w:bottom w:val="nil"/>
            </w:tcBorders>
            <w:shd w:val="clear" w:color="auto" w:fill="auto"/>
            <w:vAlign w:val="center"/>
          </w:tcPr>
          <w:p w14:paraId="2D5962F0" w14:textId="77777777" w:rsidR="009B7D1B" w:rsidRPr="00E362F4" w:rsidRDefault="009B7D1B" w:rsidP="00B0565E">
            <w:pPr>
              <w:jc w:val="center"/>
              <w:rPr>
                <w:sz w:val="20"/>
                <w:szCs w:val="20"/>
              </w:rPr>
            </w:pPr>
            <w:r w:rsidRPr="00E362F4">
              <w:rPr>
                <w:sz w:val="20"/>
                <w:szCs w:val="20"/>
              </w:rPr>
              <w:t>16,38</w:t>
            </w:r>
          </w:p>
        </w:tc>
        <w:tc>
          <w:tcPr>
            <w:tcW w:w="1828" w:type="dxa"/>
            <w:vMerge w:val="restart"/>
            <w:tcBorders>
              <w:top w:val="single" w:sz="4" w:space="0" w:color="auto"/>
              <w:bottom w:val="single" w:sz="4" w:space="0" w:color="auto"/>
            </w:tcBorders>
            <w:shd w:val="clear" w:color="auto" w:fill="auto"/>
            <w:vAlign w:val="center"/>
          </w:tcPr>
          <w:p w14:paraId="59355093" w14:textId="2ECACE0F" w:rsidR="009B7D1B" w:rsidRPr="00E362F4" w:rsidRDefault="00144E57" w:rsidP="00B0565E">
            <w:pPr>
              <w:jc w:val="center"/>
              <w:rPr>
                <w:sz w:val="20"/>
                <w:szCs w:val="20"/>
              </w:rPr>
            </w:pPr>
            <w:r w:rsidRPr="00144E57">
              <w:fldChar w:fldCharType="begin" w:fldLock="1"/>
            </w:r>
            <w:r w:rsidR="00A97709">
              <w:rPr>
                <w:sz w:val="20"/>
                <w:szCs w:val="20"/>
              </w:rPr>
              <w:instrText>ADDIN CSL_CITATION {"citationItems":[{"id":"ITEM-1","itemData":{"DOI":"10.1080/09640568.2021.1922995","ISSN":"13600559","abstract":"This study aims to investigate the influencing factors on consumers’ choice behavior for green products by applying the theory of consumption values in Pakistan. It also studied the mediating effects of consumers’ environmental concerns among the associations of multidimensional consumption values and choice behavior. The data was collected from the consumers of green products in four metropolitan cities of Punjab Province (e.g. Lahore, Islamabad, Multan, and Faisalabad) using a structured self-administered questionnaire. The random sampling technique was employed. Based on the 480 responses, the empirical findings revealed that functional value-quality, emotional value, conditional value, and epistemic value have a positive impact on consumers’ choice behavior and their environmental concerns. Contrary to this, the functional value-price, social value, and environmental concerns have a negative impact on consumers’ choice behavior. Relating to mediation, environmental concerns have partially mediated between the associations of functional value-quality, functional value-price, emotional value, epistemic value, and consumers’ choice behavior. Practitioners and managers can use the study findings to reach out to their target audiences to increase the consumption of green products in the mainstream market.","author":[{"dropping-particle":"","family":"Majeed","given":"Abdul","non-dropping-particle":"","parse-names":false,"suffix":""},{"dropping-particle":"","family":"Ahmed","given":"Ishfaq","non-dropping-particle":"","parse-names":false,"suffix":""},{"dropping-particle":"","family":"Rasheed","given":"Abdul","non-dropping-particle":"","parse-names":false,"suffix":""}],"container-title":"Journal of Environmental Planning and Management","id":"ITEM-1","issue":"6","issued":{"date-parts":[["2022"]]},"page":"1110-1134","publisher":"Routledge","title":"Investigating influencing factors on consumers’ choice behavior and their environmental concerns while purchasing green products in Pakistan","type":"article-journal","volume":"65"},"uris":["http://www.mendeley.com/documents/?uuid=fa727bc3-ec87-41e9-821a-c375f14957a3"]},{"id":"ITEM-2","itemData":{"DOI":"10.1108/SRJ-01-2021-0026","author":[{"dropping-particle":"","family":"Suki","given":"Norazah Mohd","non-dropping-particle":"","parse-names":false,"suffix":""},{"dropping-particle":"","family":"Majeed","given":"Abdul","non-dropping-particle":"","parse-names":false,"suffix":""},{"dropping-particle":"","family":"Suki","given":"Norbayah Mohd","non-dropping-particle":"","parse-names":false,"suffix":""}],"container-title":"Social Responsibility Journal","id":"ITEM-2","issue":"6","issued":{"date-parts":[["2022"]]},"page":"1128-1141","title":"Impact of consumption values on consumers’ purchase of organic food and green environmental concerns","type":"article-journal","volume":"18"},"uris":["http://www.mendeley.com/documents/?uuid=02c3e9a5-5745-4bf0-a52d-78d59edb9e71"]},{"id":"ITEM-3","itemData":{"DOI":"10.15544/mts.2022.13","ISSN":"1822-6760","abstract":"In today's world, there is more and more discussions of high production and sales volumes and the abundant global consumption it generates. At the international level, environmental consciousness is beginning to escalate both among businesses and among ordinary consumers. Thus, to find out what marketing activities can help attract different consumers to build a green brand, the research problem arises: what impact does green marketing have on the perceived value of the brand by consumers? Research object: the impact of green marketing on the perception of the brand value of X and Y generation consumers in Lithuanian market. Research aim is to theoretically analyze the concept of green marketing, its components, development, and previous research on the impact of green marketing on the perceived brand value of consumers and to conduct an empirical study to develop green marketing mix recomendations making an impact on perceived brand value of X and Y generations in Lithuania. To achieve the set goals and test the set hypotheses, the research will use two research methods: a questionnaire survey and a semi-structured interview with green marketing experts and green business representatives. Three research hypotheses were made: price is the factor, influencing consumers of generation X more, than generation Y; generation Y consumers are more interested in green products; environmental awareness of brands has less influence on generation X than to generation Y.","author":[{"dropping-particle":"","family":"Kisieliauskas","given":"Justinas","non-dropping-particle":"","parse-names":false,"suffix":""},{"dropping-particle":"","family":"Jančaitis","given":"Aleksas","non-dropping-particle":"","parse-names":false,"suffix":""}],"container-title":"Management Theory and Studies for Rural Business and Infrastructure Development","id":"ITEM-3","issue":"2","issued":{"date-parts":[["2022"]]},"page":"125-133","title":"Green Marketing Impact on Perceived Brand Value in Different Generations","type":"article-journal","volume":"44"},"uris":["http://www.mendeley.com/documents/?uuid=a37f732c-3747-441c-9b9e-fd059ed7fc4c"]},{"id":"ITEM-4","itemData":{"DOI":"10.30892/GTG.40119-815","ISSN":"20651198","abstract":"The tourism industry in Malaysia serves an important role in providing high-quality tourism products and services and incorporating green practices to achieve environmental sustainability. Studies on the factors that influence revisit intention among green resort guests are limited. Thus, this study approached quantitative method and aimed to assess the influence of perceived value and environmental concern in measuring tourists revisit intentions of green resorts in Malaysia. The analysis unit is the resort's guests in the selected green resorts who have stayed in one of the selected green resorts for at least two days. A total of 450 sample data were analysed using the statistical software IBM SPSS version 22. This study fills the knowledge gap by proposing that environmental awareness and environmental knowledge influence guests' intention to revisit green resorts.","author":[{"dropping-particle":"","family":"Nor Azam","given":"Nor Rabiatul Adawiyah","non-dropping-particle":"","parse-names":false,"suffix":""},{"dropping-particle":"","family":"Patwary","given":"Ataul Karim","non-dropping-particle":"","parse-names":false,"suffix":""},{"dropping-particle":"","family":"Rashid","given":"Basri","non-dropping-particle":"","parse-names":false,"suffix":""}],"container-title":"Geojournal of Tourism and Geosites ","id":"ITEM-4","issue":"1","issued":{"date-parts":[["2022"]]},"page":"157-166","title":"Measuring Revisit Intentions of Green Resorts in Malaysia: the Role of Perceived Value and Environmental Concern","type":"article-journal","volume":"40"},"uris":["http://www.mendeley.com/documents/?uuid=2015f967-6538-4021-9617-a88afa0e95b8"]}],"mendeley":{"formattedCitation":"(Kisieliauskas &amp; Jančaitis, 2022; Majeed et al., 2022; Nor Azam et al., 2022; Suki et al., 2022)","manualFormatting":"Kisieliauskas &amp; Jančaitis (2022); Majeed et al. (2022); Nor Azam et al. (2022); Suki et al. (2022)","plainTextFormattedCitation":"(Kisieliauskas &amp; Jančaitis, 2022; Majeed et al., 2022; Nor Azam et al., 2022; Suki et al., 2022)","previouslyFormattedCitation":"(Kisieliauskas &amp; Jančaitis, 2022; Majeed et al., 2022; Nor Azam et al., 2022; Suki et al., 2022)"},"properties":{"noteIndex":0},"schema":"https://github.com/citation-style-language/schema/raw/master/csl-citation.json"}</w:instrText>
            </w:r>
            <w:r w:rsidRPr="00144E57">
              <w:fldChar w:fldCharType="separate"/>
            </w:r>
            <w:r w:rsidRPr="00144E57">
              <w:rPr>
                <w:noProof/>
                <w:sz w:val="20"/>
                <w:szCs w:val="20"/>
              </w:rPr>
              <w:t>Kisieliauskas &amp; Jančaitis (2022); Majeed et al. (2022); Nor Azam et al. (2022); Suki et al. (2022)</w:t>
            </w:r>
            <w:r w:rsidRPr="00144E57">
              <w:fldChar w:fldCharType="end"/>
            </w:r>
          </w:p>
        </w:tc>
        <w:tc>
          <w:tcPr>
            <w:tcW w:w="938" w:type="dxa"/>
            <w:vMerge w:val="restart"/>
            <w:tcBorders>
              <w:top w:val="single" w:sz="4" w:space="0" w:color="auto"/>
              <w:bottom w:val="single" w:sz="4" w:space="0" w:color="auto"/>
            </w:tcBorders>
            <w:shd w:val="clear" w:color="auto" w:fill="auto"/>
            <w:vAlign w:val="center"/>
          </w:tcPr>
          <w:p w14:paraId="6D610ADD" w14:textId="77777777" w:rsidR="009B7D1B" w:rsidRPr="00E362F4" w:rsidRDefault="009B7D1B" w:rsidP="00B0565E">
            <w:pPr>
              <w:jc w:val="center"/>
              <w:rPr>
                <w:sz w:val="20"/>
                <w:szCs w:val="20"/>
              </w:rPr>
            </w:pPr>
            <w:r w:rsidRPr="00E362F4">
              <w:rPr>
                <w:sz w:val="20"/>
                <w:szCs w:val="20"/>
              </w:rPr>
              <w:t>0,563</w:t>
            </w:r>
          </w:p>
        </w:tc>
        <w:tc>
          <w:tcPr>
            <w:tcW w:w="1061" w:type="dxa"/>
            <w:vMerge w:val="restart"/>
            <w:tcBorders>
              <w:top w:val="single" w:sz="4" w:space="0" w:color="auto"/>
              <w:bottom w:val="single" w:sz="4" w:space="0" w:color="auto"/>
            </w:tcBorders>
            <w:shd w:val="clear" w:color="auto" w:fill="auto"/>
            <w:vAlign w:val="center"/>
          </w:tcPr>
          <w:p w14:paraId="3EEABCF7" w14:textId="77777777" w:rsidR="009B7D1B" w:rsidRPr="00E362F4" w:rsidRDefault="009B7D1B" w:rsidP="00B0565E">
            <w:pPr>
              <w:jc w:val="center"/>
              <w:rPr>
                <w:sz w:val="20"/>
                <w:szCs w:val="20"/>
              </w:rPr>
            </w:pPr>
            <w:r w:rsidRPr="00E362F4">
              <w:rPr>
                <w:sz w:val="20"/>
                <w:szCs w:val="20"/>
              </w:rPr>
              <w:t>0,865</w:t>
            </w:r>
          </w:p>
        </w:tc>
      </w:tr>
      <w:tr w:rsidR="00C16625" w:rsidRPr="00E362F4" w14:paraId="2BCCFF5E" w14:textId="77777777" w:rsidTr="0075480F">
        <w:trPr>
          <w:trHeight w:val="20"/>
          <w:jc w:val="center"/>
        </w:trPr>
        <w:tc>
          <w:tcPr>
            <w:tcW w:w="1276" w:type="dxa"/>
            <w:vMerge/>
            <w:tcBorders>
              <w:top w:val="nil"/>
              <w:bottom w:val="single" w:sz="4" w:space="0" w:color="auto"/>
            </w:tcBorders>
            <w:shd w:val="clear" w:color="auto" w:fill="auto"/>
            <w:vAlign w:val="center"/>
          </w:tcPr>
          <w:p w14:paraId="5B978728" w14:textId="77777777" w:rsidR="009B7D1B" w:rsidRPr="00E362F4" w:rsidRDefault="009B7D1B" w:rsidP="00B0565E">
            <w:pPr>
              <w:jc w:val="center"/>
              <w:rPr>
                <w:sz w:val="20"/>
                <w:szCs w:val="20"/>
              </w:rPr>
            </w:pPr>
          </w:p>
        </w:tc>
        <w:tc>
          <w:tcPr>
            <w:tcW w:w="2068" w:type="dxa"/>
            <w:tcBorders>
              <w:top w:val="nil"/>
              <w:bottom w:val="nil"/>
            </w:tcBorders>
            <w:shd w:val="clear" w:color="auto" w:fill="auto"/>
            <w:vAlign w:val="bottom"/>
          </w:tcPr>
          <w:p w14:paraId="5F28EC83" w14:textId="77777777" w:rsidR="009B7D1B" w:rsidRPr="00E362F4" w:rsidRDefault="009B7D1B" w:rsidP="00B0565E">
            <w:pPr>
              <w:rPr>
                <w:sz w:val="20"/>
                <w:szCs w:val="20"/>
              </w:rPr>
            </w:pPr>
            <w:r w:rsidRPr="00E362F4">
              <w:rPr>
                <w:sz w:val="20"/>
                <w:szCs w:val="20"/>
              </w:rPr>
              <w:t>Social Value</w:t>
            </w:r>
          </w:p>
        </w:tc>
        <w:tc>
          <w:tcPr>
            <w:tcW w:w="961" w:type="dxa"/>
            <w:tcBorders>
              <w:top w:val="nil"/>
              <w:bottom w:val="nil"/>
            </w:tcBorders>
            <w:shd w:val="clear" w:color="auto" w:fill="auto"/>
            <w:vAlign w:val="center"/>
          </w:tcPr>
          <w:p w14:paraId="40063568" w14:textId="77777777" w:rsidR="009B7D1B" w:rsidRPr="00E362F4" w:rsidRDefault="009B7D1B" w:rsidP="00B0565E">
            <w:pPr>
              <w:jc w:val="center"/>
              <w:rPr>
                <w:sz w:val="20"/>
                <w:szCs w:val="20"/>
              </w:rPr>
            </w:pPr>
            <w:r w:rsidRPr="00E362F4">
              <w:rPr>
                <w:sz w:val="20"/>
                <w:szCs w:val="20"/>
              </w:rPr>
              <w:t>0,786</w:t>
            </w:r>
          </w:p>
        </w:tc>
        <w:tc>
          <w:tcPr>
            <w:tcW w:w="1034" w:type="dxa"/>
            <w:tcBorders>
              <w:top w:val="nil"/>
              <w:bottom w:val="nil"/>
            </w:tcBorders>
            <w:shd w:val="clear" w:color="auto" w:fill="auto"/>
            <w:vAlign w:val="center"/>
          </w:tcPr>
          <w:p w14:paraId="493BAC20" w14:textId="77777777" w:rsidR="009B7D1B" w:rsidRPr="00E362F4" w:rsidRDefault="009B7D1B" w:rsidP="00B0565E">
            <w:pPr>
              <w:jc w:val="center"/>
              <w:rPr>
                <w:sz w:val="20"/>
                <w:szCs w:val="20"/>
              </w:rPr>
            </w:pPr>
            <w:r w:rsidRPr="00E362F4">
              <w:rPr>
                <w:sz w:val="20"/>
                <w:szCs w:val="20"/>
              </w:rPr>
              <w:t>17,51</w:t>
            </w:r>
          </w:p>
        </w:tc>
        <w:tc>
          <w:tcPr>
            <w:tcW w:w="1828" w:type="dxa"/>
            <w:vMerge/>
            <w:tcBorders>
              <w:top w:val="nil"/>
              <w:bottom w:val="single" w:sz="4" w:space="0" w:color="auto"/>
            </w:tcBorders>
            <w:shd w:val="clear" w:color="auto" w:fill="auto"/>
            <w:vAlign w:val="center"/>
          </w:tcPr>
          <w:p w14:paraId="11471D32" w14:textId="77777777" w:rsidR="009B7D1B" w:rsidRPr="00E362F4" w:rsidRDefault="009B7D1B" w:rsidP="00B0565E">
            <w:pPr>
              <w:jc w:val="center"/>
              <w:rPr>
                <w:sz w:val="20"/>
                <w:szCs w:val="20"/>
              </w:rPr>
            </w:pPr>
          </w:p>
        </w:tc>
        <w:tc>
          <w:tcPr>
            <w:tcW w:w="938" w:type="dxa"/>
            <w:vMerge/>
            <w:tcBorders>
              <w:top w:val="nil"/>
              <w:bottom w:val="single" w:sz="4" w:space="0" w:color="auto"/>
            </w:tcBorders>
            <w:shd w:val="clear" w:color="auto" w:fill="auto"/>
            <w:vAlign w:val="center"/>
          </w:tcPr>
          <w:p w14:paraId="7037CB45" w14:textId="77777777" w:rsidR="009B7D1B" w:rsidRPr="00E362F4" w:rsidRDefault="009B7D1B" w:rsidP="00B0565E">
            <w:pPr>
              <w:jc w:val="center"/>
              <w:rPr>
                <w:sz w:val="20"/>
                <w:szCs w:val="20"/>
              </w:rPr>
            </w:pPr>
          </w:p>
        </w:tc>
        <w:tc>
          <w:tcPr>
            <w:tcW w:w="1061" w:type="dxa"/>
            <w:vMerge/>
            <w:tcBorders>
              <w:top w:val="nil"/>
              <w:bottom w:val="single" w:sz="4" w:space="0" w:color="auto"/>
            </w:tcBorders>
            <w:shd w:val="clear" w:color="auto" w:fill="auto"/>
            <w:vAlign w:val="center"/>
          </w:tcPr>
          <w:p w14:paraId="277E1A8B" w14:textId="77777777" w:rsidR="009B7D1B" w:rsidRPr="00E362F4" w:rsidRDefault="009B7D1B" w:rsidP="00B0565E">
            <w:pPr>
              <w:jc w:val="center"/>
              <w:rPr>
                <w:sz w:val="20"/>
                <w:szCs w:val="20"/>
              </w:rPr>
            </w:pPr>
          </w:p>
        </w:tc>
      </w:tr>
      <w:tr w:rsidR="00C16625" w:rsidRPr="00E362F4" w14:paraId="27E31DF2" w14:textId="77777777" w:rsidTr="0075480F">
        <w:trPr>
          <w:trHeight w:val="20"/>
          <w:jc w:val="center"/>
        </w:trPr>
        <w:tc>
          <w:tcPr>
            <w:tcW w:w="1276" w:type="dxa"/>
            <w:vMerge/>
            <w:tcBorders>
              <w:top w:val="nil"/>
              <w:bottom w:val="single" w:sz="4" w:space="0" w:color="auto"/>
            </w:tcBorders>
            <w:shd w:val="clear" w:color="auto" w:fill="auto"/>
            <w:vAlign w:val="center"/>
          </w:tcPr>
          <w:p w14:paraId="726D8DD1" w14:textId="77777777" w:rsidR="009B7D1B" w:rsidRPr="00E362F4" w:rsidRDefault="009B7D1B" w:rsidP="00B0565E">
            <w:pPr>
              <w:jc w:val="center"/>
              <w:rPr>
                <w:sz w:val="20"/>
                <w:szCs w:val="20"/>
              </w:rPr>
            </w:pPr>
          </w:p>
        </w:tc>
        <w:tc>
          <w:tcPr>
            <w:tcW w:w="2068" w:type="dxa"/>
            <w:tcBorders>
              <w:top w:val="nil"/>
              <w:bottom w:val="nil"/>
            </w:tcBorders>
            <w:shd w:val="clear" w:color="auto" w:fill="auto"/>
            <w:vAlign w:val="bottom"/>
          </w:tcPr>
          <w:p w14:paraId="6FE66E81" w14:textId="77777777" w:rsidR="009B7D1B" w:rsidRPr="00E362F4" w:rsidRDefault="009B7D1B" w:rsidP="00B0565E">
            <w:pPr>
              <w:rPr>
                <w:sz w:val="20"/>
                <w:szCs w:val="20"/>
              </w:rPr>
            </w:pPr>
            <w:r w:rsidRPr="00E362F4">
              <w:rPr>
                <w:sz w:val="20"/>
                <w:szCs w:val="20"/>
              </w:rPr>
              <w:t>Emotional Value</w:t>
            </w:r>
          </w:p>
        </w:tc>
        <w:tc>
          <w:tcPr>
            <w:tcW w:w="961" w:type="dxa"/>
            <w:tcBorders>
              <w:top w:val="nil"/>
              <w:bottom w:val="nil"/>
            </w:tcBorders>
            <w:shd w:val="clear" w:color="auto" w:fill="auto"/>
            <w:vAlign w:val="center"/>
          </w:tcPr>
          <w:p w14:paraId="762A3422" w14:textId="77777777" w:rsidR="009B7D1B" w:rsidRPr="00E362F4" w:rsidRDefault="009B7D1B" w:rsidP="00B0565E">
            <w:pPr>
              <w:jc w:val="center"/>
              <w:rPr>
                <w:sz w:val="20"/>
                <w:szCs w:val="20"/>
              </w:rPr>
            </w:pPr>
            <w:r w:rsidRPr="00E362F4">
              <w:rPr>
                <w:sz w:val="20"/>
                <w:szCs w:val="20"/>
              </w:rPr>
              <w:t>0,716</w:t>
            </w:r>
          </w:p>
        </w:tc>
        <w:tc>
          <w:tcPr>
            <w:tcW w:w="1034" w:type="dxa"/>
            <w:tcBorders>
              <w:top w:val="nil"/>
              <w:bottom w:val="nil"/>
            </w:tcBorders>
            <w:shd w:val="clear" w:color="auto" w:fill="auto"/>
            <w:vAlign w:val="center"/>
          </w:tcPr>
          <w:p w14:paraId="4C1F047F" w14:textId="77777777" w:rsidR="009B7D1B" w:rsidRPr="00E362F4" w:rsidRDefault="009B7D1B" w:rsidP="00B0565E">
            <w:pPr>
              <w:jc w:val="center"/>
              <w:rPr>
                <w:sz w:val="20"/>
                <w:szCs w:val="20"/>
              </w:rPr>
            </w:pPr>
            <w:r w:rsidRPr="00E362F4">
              <w:rPr>
                <w:sz w:val="20"/>
                <w:szCs w:val="20"/>
              </w:rPr>
              <w:t>15,37</w:t>
            </w:r>
          </w:p>
        </w:tc>
        <w:tc>
          <w:tcPr>
            <w:tcW w:w="1828" w:type="dxa"/>
            <w:vMerge/>
            <w:tcBorders>
              <w:top w:val="nil"/>
              <w:bottom w:val="single" w:sz="4" w:space="0" w:color="auto"/>
            </w:tcBorders>
            <w:shd w:val="clear" w:color="auto" w:fill="auto"/>
            <w:vAlign w:val="center"/>
          </w:tcPr>
          <w:p w14:paraId="5CFC579F" w14:textId="77777777" w:rsidR="009B7D1B" w:rsidRPr="00E362F4" w:rsidRDefault="009B7D1B" w:rsidP="00B0565E">
            <w:pPr>
              <w:jc w:val="center"/>
              <w:rPr>
                <w:sz w:val="20"/>
                <w:szCs w:val="20"/>
              </w:rPr>
            </w:pPr>
          </w:p>
        </w:tc>
        <w:tc>
          <w:tcPr>
            <w:tcW w:w="938" w:type="dxa"/>
            <w:vMerge/>
            <w:tcBorders>
              <w:top w:val="nil"/>
              <w:bottom w:val="single" w:sz="4" w:space="0" w:color="auto"/>
            </w:tcBorders>
            <w:shd w:val="clear" w:color="auto" w:fill="auto"/>
            <w:vAlign w:val="center"/>
          </w:tcPr>
          <w:p w14:paraId="57BA66A5" w14:textId="77777777" w:rsidR="009B7D1B" w:rsidRPr="00E362F4" w:rsidRDefault="009B7D1B" w:rsidP="00B0565E">
            <w:pPr>
              <w:jc w:val="center"/>
              <w:rPr>
                <w:sz w:val="20"/>
                <w:szCs w:val="20"/>
              </w:rPr>
            </w:pPr>
          </w:p>
        </w:tc>
        <w:tc>
          <w:tcPr>
            <w:tcW w:w="1061" w:type="dxa"/>
            <w:vMerge/>
            <w:tcBorders>
              <w:top w:val="nil"/>
              <w:bottom w:val="single" w:sz="4" w:space="0" w:color="auto"/>
            </w:tcBorders>
            <w:shd w:val="clear" w:color="auto" w:fill="auto"/>
            <w:vAlign w:val="center"/>
          </w:tcPr>
          <w:p w14:paraId="2500B9C2" w14:textId="77777777" w:rsidR="009B7D1B" w:rsidRPr="00E362F4" w:rsidRDefault="009B7D1B" w:rsidP="00B0565E">
            <w:pPr>
              <w:jc w:val="center"/>
              <w:rPr>
                <w:sz w:val="20"/>
                <w:szCs w:val="20"/>
              </w:rPr>
            </w:pPr>
          </w:p>
        </w:tc>
      </w:tr>
      <w:tr w:rsidR="00C16625" w:rsidRPr="00E362F4" w14:paraId="43D3AB77" w14:textId="77777777" w:rsidTr="0075480F">
        <w:trPr>
          <w:trHeight w:val="20"/>
          <w:jc w:val="center"/>
        </w:trPr>
        <w:tc>
          <w:tcPr>
            <w:tcW w:w="1276" w:type="dxa"/>
            <w:vMerge/>
            <w:tcBorders>
              <w:top w:val="nil"/>
              <w:bottom w:val="single" w:sz="4" w:space="0" w:color="auto"/>
            </w:tcBorders>
            <w:shd w:val="clear" w:color="auto" w:fill="auto"/>
            <w:vAlign w:val="center"/>
          </w:tcPr>
          <w:p w14:paraId="4F0097EB" w14:textId="77777777" w:rsidR="009B7D1B" w:rsidRPr="00E362F4" w:rsidRDefault="009B7D1B" w:rsidP="00B0565E">
            <w:pPr>
              <w:jc w:val="center"/>
              <w:rPr>
                <w:sz w:val="20"/>
                <w:szCs w:val="20"/>
              </w:rPr>
            </w:pPr>
          </w:p>
        </w:tc>
        <w:tc>
          <w:tcPr>
            <w:tcW w:w="2068" w:type="dxa"/>
            <w:tcBorders>
              <w:top w:val="nil"/>
              <w:bottom w:val="nil"/>
            </w:tcBorders>
            <w:shd w:val="clear" w:color="auto" w:fill="auto"/>
            <w:vAlign w:val="bottom"/>
          </w:tcPr>
          <w:p w14:paraId="64D0E564" w14:textId="77777777" w:rsidR="009B7D1B" w:rsidRPr="00E362F4" w:rsidRDefault="009B7D1B" w:rsidP="00B0565E">
            <w:pPr>
              <w:rPr>
                <w:sz w:val="20"/>
                <w:szCs w:val="20"/>
              </w:rPr>
            </w:pPr>
            <w:r w:rsidRPr="00E362F4">
              <w:rPr>
                <w:sz w:val="20"/>
                <w:szCs w:val="20"/>
              </w:rPr>
              <w:t>Conditional Value</w:t>
            </w:r>
          </w:p>
        </w:tc>
        <w:tc>
          <w:tcPr>
            <w:tcW w:w="961" w:type="dxa"/>
            <w:tcBorders>
              <w:top w:val="nil"/>
              <w:bottom w:val="nil"/>
            </w:tcBorders>
            <w:shd w:val="clear" w:color="auto" w:fill="auto"/>
            <w:vAlign w:val="center"/>
          </w:tcPr>
          <w:p w14:paraId="3CFD110F" w14:textId="77777777" w:rsidR="009B7D1B" w:rsidRPr="00E362F4" w:rsidRDefault="009B7D1B" w:rsidP="00B0565E">
            <w:pPr>
              <w:jc w:val="center"/>
              <w:rPr>
                <w:sz w:val="20"/>
                <w:szCs w:val="20"/>
              </w:rPr>
            </w:pPr>
            <w:r w:rsidRPr="00E362F4">
              <w:rPr>
                <w:sz w:val="20"/>
                <w:szCs w:val="20"/>
              </w:rPr>
              <w:t>0,739</w:t>
            </w:r>
          </w:p>
        </w:tc>
        <w:tc>
          <w:tcPr>
            <w:tcW w:w="1034" w:type="dxa"/>
            <w:tcBorders>
              <w:top w:val="nil"/>
              <w:bottom w:val="nil"/>
            </w:tcBorders>
            <w:shd w:val="clear" w:color="auto" w:fill="auto"/>
            <w:vAlign w:val="center"/>
          </w:tcPr>
          <w:p w14:paraId="53843D39" w14:textId="77777777" w:rsidR="009B7D1B" w:rsidRPr="00E362F4" w:rsidRDefault="009B7D1B" w:rsidP="00B0565E">
            <w:pPr>
              <w:jc w:val="center"/>
              <w:rPr>
                <w:sz w:val="20"/>
                <w:szCs w:val="20"/>
              </w:rPr>
            </w:pPr>
            <w:r w:rsidRPr="00E362F4">
              <w:rPr>
                <w:sz w:val="20"/>
                <w:szCs w:val="20"/>
              </w:rPr>
              <w:t>16,05</w:t>
            </w:r>
          </w:p>
        </w:tc>
        <w:tc>
          <w:tcPr>
            <w:tcW w:w="1828" w:type="dxa"/>
            <w:vMerge/>
            <w:tcBorders>
              <w:top w:val="nil"/>
              <w:bottom w:val="single" w:sz="4" w:space="0" w:color="auto"/>
            </w:tcBorders>
            <w:shd w:val="clear" w:color="auto" w:fill="auto"/>
            <w:vAlign w:val="center"/>
          </w:tcPr>
          <w:p w14:paraId="132D8635" w14:textId="77777777" w:rsidR="009B7D1B" w:rsidRPr="00E362F4" w:rsidRDefault="009B7D1B" w:rsidP="00B0565E">
            <w:pPr>
              <w:jc w:val="center"/>
              <w:rPr>
                <w:sz w:val="20"/>
                <w:szCs w:val="20"/>
              </w:rPr>
            </w:pPr>
          </w:p>
        </w:tc>
        <w:tc>
          <w:tcPr>
            <w:tcW w:w="938" w:type="dxa"/>
            <w:vMerge/>
            <w:tcBorders>
              <w:top w:val="nil"/>
              <w:bottom w:val="single" w:sz="4" w:space="0" w:color="auto"/>
            </w:tcBorders>
            <w:shd w:val="clear" w:color="auto" w:fill="auto"/>
            <w:vAlign w:val="center"/>
          </w:tcPr>
          <w:p w14:paraId="54825234" w14:textId="77777777" w:rsidR="009B7D1B" w:rsidRPr="00E362F4" w:rsidRDefault="009B7D1B" w:rsidP="00B0565E">
            <w:pPr>
              <w:jc w:val="center"/>
              <w:rPr>
                <w:sz w:val="20"/>
                <w:szCs w:val="20"/>
              </w:rPr>
            </w:pPr>
          </w:p>
        </w:tc>
        <w:tc>
          <w:tcPr>
            <w:tcW w:w="1061" w:type="dxa"/>
            <w:vMerge/>
            <w:tcBorders>
              <w:top w:val="nil"/>
              <w:bottom w:val="single" w:sz="4" w:space="0" w:color="auto"/>
            </w:tcBorders>
            <w:shd w:val="clear" w:color="auto" w:fill="auto"/>
            <w:vAlign w:val="center"/>
          </w:tcPr>
          <w:p w14:paraId="26988283" w14:textId="77777777" w:rsidR="009B7D1B" w:rsidRPr="00E362F4" w:rsidRDefault="009B7D1B" w:rsidP="00B0565E">
            <w:pPr>
              <w:jc w:val="center"/>
              <w:rPr>
                <w:sz w:val="20"/>
                <w:szCs w:val="20"/>
              </w:rPr>
            </w:pPr>
          </w:p>
        </w:tc>
      </w:tr>
      <w:tr w:rsidR="00C16625" w:rsidRPr="00E362F4" w14:paraId="6285B562" w14:textId="77777777" w:rsidTr="0075480F">
        <w:trPr>
          <w:trHeight w:val="20"/>
          <w:jc w:val="center"/>
        </w:trPr>
        <w:tc>
          <w:tcPr>
            <w:tcW w:w="1276" w:type="dxa"/>
            <w:vMerge/>
            <w:tcBorders>
              <w:top w:val="nil"/>
              <w:bottom w:val="single" w:sz="4" w:space="0" w:color="auto"/>
            </w:tcBorders>
            <w:shd w:val="clear" w:color="auto" w:fill="auto"/>
            <w:vAlign w:val="center"/>
          </w:tcPr>
          <w:p w14:paraId="2A65BFD6" w14:textId="77777777" w:rsidR="009B7D1B" w:rsidRPr="00E362F4" w:rsidRDefault="009B7D1B" w:rsidP="00B0565E">
            <w:pPr>
              <w:jc w:val="center"/>
              <w:rPr>
                <w:sz w:val="20"/>
                <w:szCs w:val="20"/>
              </w:rPr>
            </w:pPr>
          </w:p>
        </w:tc>
        <w:tc>
          <w:tcPr>
            <w:tcW w:w="2068" w:type="dxa"/>
            <w:tcBorders>
              <w:top w:val="nil"/>
              <w:bottom w:val="single" w:sz="4" w:space="0" w:color="auto"/>
            </w:tcBorders>
            <w:shd w:val="clear" w:color="auto" w:fill="auto"/>
            <w:vAlign w:val="bottom"/>
          </w:tcPr>
          <w:p w14:paraId="1C7D32C9" w14:textId="77777777" w:rsidR="009B7D1B" w:rsidRPr="00E362F4" w:rsidRDefault="009B7D1B" w:rsidP="00B0565E">
            <w:pPr>
              <w:rPr>
                <w:sz w:val="20"/>
                <w:szCs w:val="20"/>
              </w:rPr>
            </w:pPr>
            <w:r w:rsidRPr="00E362F4">
              <w:rPr>
                <w:sz w:val="20"/>
                <w:szCs w:val="20"/>
              </w:rPr>
              <w:t>Epistemic Value</w:t>
            </w:r>
          </w:p>
        </w:tc>
        <w:tc>
          <w:tcPr>
            <w:tcW w:w="961" w:type="dxa"/>
            <w:tcBorders>
              <w:top w:val="nil"/>
              <w:bottom w:val="single" w:sz="4" w:space="0" w:color="auto"/>
            </w:tcBorders>
            <w:shd w:val="clear" w:color="auto" w:fill="auto"/>
            <w:vAlign w:val="center"/>
          </w:tcPr>
          <w:p w14:paraId="0A120BC9" w14:textId="77777777" w:rsidR="009B7D1B" w:rsidRPr="00E362F4" w:rsidRDefault="009B7D1B" w:rsidP="00B0565E">
            <w:pPr>
              <w:jc w:val="center"/>
              <w:rPr>
                <w:sz w:val="20"/>
                <w:szCs w:val="20"/>
              </w:rPr>
            </w:pPr>
            <w:r w:rsidRPr="00E362F4">
              <w:rPr>
                <w:sz w:val="20"/>
                <w:szCs w:val="20"/>
              </w:rPr>
              <w:t>0,762</w:t>
            </w:r>
          </w:p>
        </w:tc>
        <w:tc>
          <w:tcPr>
            <w:tcW w:w="1034" w:type="dxa"/>
            <w:tcBorders>
              <w:top w:val="nil"/>
              <w:bottom w:val="single" w:sz="4" w:space="0" w:color="auto"/>
            </w:tcBorders>
            <w:shd w:val="clear" w:color="auto" w:fill="auto"/>
            <w:vAlign w:val="center"/>
          </w:tcPr>
          <w:p w14:paraId="715ACB6C" w14:textId="77777777" w:rsidR="009B7D1B" w:rsidRPr="00E362F4" w:rsidRDefault="009B7D1B" w:rsidP="00B0565E">
            <w:pPr>
              <w:jc w:val="center"/>
              <w:rPr>
                <w:sz w:val="20"/>
                <w:szCs w:val="20"/>
              </w:rPr>
            </w:pPr>
            <w:r w:rsidRPr="00E362F4">
              <w:rPr>
                <w:sz w:val="20"/>
                <w:szCs w:val="20"/>
              </w:rPr>
              <w:t>16,75</w:t>
            </w:r>
          </w:p>
        </w:tc>
        <w:tc>
          <w:tcPr>
            <w:tcW w:w="1828" w:type="dxa"/>
            <w:vMerge/>
            <w:tcBorders>
              <w:top w:val="nil"/>
              <w:bottom w:val="single" w:sz="4" w:space="0" w:color="auto"/>
            </w:tcBorders>
            <w:shd w:val="clear" w:color="auto" w:fill="auto"/>
            <w:vAlign w:val="center"/>
          </w:tcPr>
          <w:p w14:paraId="433AF149" w14:textId="77777777" w:rsidR="009B7D1B" w:rsidRPr="00E362F4" w:rsidRDefault="009B7D1B" w:rsidP="00B0565E">
            <w:pPr>
              <w:jc w:val="center"/>
              <w:rPr>
                <w:sz w:val="20"/>
                <w:szCs w:val="20"/>
              </w:rPr>
            </w:pPr>
          </w:p>
        </w:tc>
        <w:tc>
          <w:tcPr>
            <w:tcW w:w="938" w:type="dxa"/>
            <w:vMerge/>
            <w:tcBorders>
              <w:top w:val="nil"/>
              <w:bottom w:val="single" w:sz="4" w:space="0" w:color="auto"/>
            </w:tcBorders>
            <w:shd w:val="clear" w:color="auto" w:fill="auto"/>
            <w:vAlign w:val="center"/>
          </w:tcPr>
          <w:p w14:paraId="47474B85" w14:textId="77777777" w:rsidR="009B7D1B" w:rsidRPr="00E362F4" w:rsidRDefault="009B7D1B" w:rsidP="00B0565E">
            <w:pPr>
              <w:jc w:val="center"/>
              <w:rPr>
                <w:sz w:val="20"/>
                <w:szCs w:val="20"/>
              </w:rPr>
            </w:pPr>
          </w:p>
        </w:tc>
        <w:tc>
          <w:tcPr>
            <w:tcW w:w="1061" w:type="dxa"/>
            <w:vMerge/>
            <w:tcBorders>
              <w:top w:val="nil"/>
              <w:bottom w:val="single" w:sz="4" w:space="0" w:color="auto"/>
            </w:tcBorders>
            <w:shd w:val="clear" w:color="auto" w:fill="auto"/>
            <w:vAlign w:val="center"/>
          </w:tcPr>
          <w:p w14:paraId="15290A88" w14:textId="77777777" w:rsidR="009B7D1B" w:rsidRPr="00E362F4" w:rsidRDefault="009B7D1B" w:rsidP="00B0565E">
            <w:pPr>
              <w:jc w:val="center"/>
              <w:rPr>
                <w:sz w:val="20"/>
                <w:szCs w:val="20"/>
              </w:rPr>
            </w:pPr>
          </w:p>
        </w:tc>
      </w:tr>
      <w:tr w:rsidR="00C16625" w:rsidRPr="00E362F4" w14:paraId="41C1849A" w14:textId="77777777" w:rsidTr="0075480F">
        <w:trPr>
          <w:trHeight w:val="20"/>
          <w:jc w:val="center"/>
        </w:trPr>
        <w:tc>
          <w:tcPr>
            <w:tcW w:w="1276" w:type="dxa"/>
            <w:vMerge w:val="restart"/>
            <w:tcBorders>
              <w:top w:val="single" w:sz="4" w:space="0" w:color="auto"/>
              <w:bottom w:val="nil"/>
            </w:tcBorders>
            <w:shd w:val="clear" w:color="auto" w:fill="auto"/>
            <w:vAlign w:val="center"/>
          </w:tcPr>
          <w:p w14:paraId="3E8C505C" w14:textId="77777777" w:rsidR="009B7D1B" w:rsidRPr="00E362F4" w:rsidRDefault="009B7D1B" w:rsidP="00B0565E">
            <w:pPr>
              <w:jc w:val="center"/>
              <w:rPr>
                <w:sz w:val="20"/>
                <w:szCs w:val="20"/>
              </w:rPr>
            </w:pPr>
            <w:r w:rsidRPr="00E362F4">
              <w:rPr>
                <w:sz w:val="20"/>
                <w:szCs w:val="20"/>
              </w:rPr>
              <w:t>Environmental Concern (X3)</w:t>
            </w:r>
          </w:p>
        </w:tc>
        <w:tc>
          <w:tcPr>
            <w:tcW w:w="2068" w:type="dxa"/>
            <w:tcBorders>
              <w:top w:val="single" w:sz="4" w:space="0" w:color="auto"/>
              <w:bottom w:val="nil"/>
            </w:tcBorders>
            <w:shd w:val="clear" w:color="auto" w:fill="auto"/>
            <w:vAlign w:val="bottom"/>
          </w:tcPr>
          <w:p w14:paraId="27F3B882" w14:textId="77777777" w:rsidR="009B7D1B" w:rsidRPr="00E362F4" w:rsidRDefault="009B7D1B" w:rsidP="00B0565E">
            <w:pPr>
              <w:rPr>
                <w:sz w:val="20"/>
                <w:szCs w:val="20"/>
              </w:rPr>
            </w:pPr>
            <w:r w:rsidRPr="00E362F4">
              <w:rPr>
                <w:sz w:val="20"/>
                <w:szCs w:val="20"/>
              </w:rPr>
              <w:t>Egoistic Concern</w:t>
            </w:r>
          </w:p>
        </w:tc>
        <w:tc>
          <w:tcPr>
            <w:tcW w:w="961" w:type="dxa"/>
            <w:tcBorders>
              <w:top w:val="single" w:sz="4" w:space="0" w:color="auto"/>
              <w:bottom w:val="nil"/>
            </w:tcBorders>
            <w:shd w:val="clear" w:color="auto" w:fill="auto"/>
            <w:vAlign w:val="center"/>
          </w:tcPr>
          <w:p w14:paraId="4BFA19F5" w14:textId="77777777" w:rsidR="009B7D1B" w:rsidRPr="00E362F4" w:rsidRDefault="009B7D1B" w:rsidP="00B0565E">
            <w:pPr>
              <w:jc w:val="center"/>
              <w:rPr>
                <w:sz w:val="20"/>
                <w:szCs w:val="20"/>
              </w:rPr>
            </w:pPr>
            <w:r w:rsidRPr="00E362F4">
              <w:rPr>
                <w:sz w:val="20"/>
                <w:szCs w:val="20"/>
              </w:rPr>
              <w:t>0,792</w:t>
            </w:r>
          </w:p>
        </w:tc>
        <w:tc>
          <w:tcPr>
            <w:tcW w:w="1034" w:type="dxa"/>
            <w:tcBorders>
              <w:top w:val="single" w:sz="4" w:space="0" w:color="auto"/>
              <w:bottom w:val="nil"/>
            </w:tcBorders>
            <w:shd w:val="clear" w:color="auto" w:fill="auto"/>
            <w:vAlign w:val="center"/>
          </w:tcPr>
          <w:p w14:paraId="54C2B7D3" w14:textId="77777777" w:rsidR="009B7D1B" w:rsidRPr="00E362F4" w:rsidRDefault="009B7D1B" w:rsidP="00B0565E">
            <w:pPr>
              <w:jc w:val="center"/>
              <w:rPr>
                <w:sz w:val="20"/>
                <w:szCs w:val="20"/>
              </w:rPr>
            </w:pPr>
            <w:r w:rsidRPr="00E362F4">
              <w:rPr>
                <w:sz w:val="20"/>
                <w:szCs w:val="20"/>
              </w:rPr>
              <w:t>16,70</w:t>
            </w:r>
          </w:p>
        </w:tc>
        <w:tc>
          <w:tcPr>
            <w:tcW w:w="1828" w:type="dxa"/>
            <w:vMerge w:val="restart"/>
            <w:tcBorders>
              <w:top w:val="single" w:sz="4" w:space="0" w:color="auto"/>
              <w:bottom w:val="nil"/>
            </w:tcBorders>
            <w:shd w:val="clear" w:color="auto" w:fill="auto"/>
            <w:vAlign w:val="center"/>
          </w:tcPr>
          <w:p w14:paraId="4D13021A" w14:textId="5633A126" w:rsidR="009B7D1B" w:rsidRPr="00E362F4" w:rsidRDefault="002E2CAB" w:rsidP="002E2CAB">
            <w:pPr>
              <w:jc w:val="center"/>
              <w:rPr>
                <w:sz w:val="20"/>
                <w:szCs w:val="20"/>
              </w:rPr>
            </w:pPr>
            <w:r w:rsidRPr="002E2CAB">
              <w:fldChar w:fldCharType="begin" w:fldLock="1"/>
            </w:r>
            <w:r w:rsidR="00661D4F">
              <w:rPr>
                <w:sz w:val="20"/>
                <w:szCs w:val="20"/>
              </w:rPr>
              <w:instrText>ADDIN CSL_CITATION {"citationItems":[{"id":"ITEM-1","itemData":{"author":[{"dropping-particle":"","family":"Halkos","given":"","non-dropping-particle":"","parse-names":false,"suffix":""},{"dropping-particle":"","family":"Gkargkavouzi","given":"George and","non-dropping-particle":"","parse-names":false,"suffix":""},{"dropping-particle":"","family":"Matsiori","given":"Anastasia and","non-dropping-particle":"","parse-names":false,"suffix":""},{"dropping-particle":"","family":"Steriani","given":"","non-dropping-particle":"","parse-names":false,"suffix":""}],"id":"ITEM-1","issue":"84631","issued":{"date-parts":[["2018"]]},"title":"A multi-dimensional measure of environmental behavior: Exploring the predictive power of connectedness to nature, ecological worldview and environmental concern","type":"article-journal"},"uris":["http://www.mendeley.com/documents/?uuid=8da43c35-c206-4c9f-aa63-aacfbb9952f3"]},{"id":"ITEM-2","itemData":{"ISSN":"2721-1452","abstract":"this study aimed to observe the effect of concern environment, physical and social environment as an independent variable that affects revisit intention with customer satisfaction as a mediating variable. Questionnaires distributed in eco-friendly resort in Sabang Zone, Indonesia, which is a recreational diving center in western part of Indonesia, using probability sampling techniques. Data were collected and then be analyzed using covariance Based SEM, AMOS. Hypothesis test results proved that there were positive and significant influence among five variables examined in the study, both directly and indirectly","author":[{"dropping-particle":"","family":"Chan","given":"Syafruddin","non-dropping-particle":"","parse-names":false,"suffix":""}],"container-title":"Jurnal Manajemen Inovasi","id":"ITEM-2","issue":"1","issued":{"date-parts":[["2018"]]},"page":"1-13","title":"Factors Affecting Revisit Intention With Customer Satisfaction As a Mediating Variable in Eco Friendly Resorts","type":"article-journal","volume":"9"},"uris":["http://www.mendeley.com/documents/?uuid=ff232e99-77cd-4960-88f8-a37415ddf741"]},{"id":"ITEM-3","itemData":{"DOI":"10.3389/fpsyg.2020.00363","ISSN":"16641078","abstract":"Growing concern about the seriousness of issues such as climate change has made the value of research on social and behavioral aspects of environmental problems clearer than ever. For authors studying environmental concern or attitudes, however, survey development can be a daunting task. A large number of scales measuring environmental concern have been developed, and it can be challenging to make informed decisions about which to use. To assist authors in navigating the literature, we present a review of existing scales, followed by two studies in which we examine the structural validity of five scales that are commonly implemented in this corpus and that adhere to classical test theory. These results have important implications for general issues with measurement in this area, and inform our recommendations for authors about key considerations when selecting and using environmental concern scales.","author":[{"dropping-particle":"","family":"Cruz","given":"Shannon M.","non-dropping-particle":"","parse-names":false,"suffix":""},{"dropping-particle":"","family":"Manata","given":"Brian","non-dropping-particle":"","parse-names":false,"suffix":""}],"container-title":"Frontiers in Psychology","id":"ITEM-3","issue":"March","issued":{"date-parts":[["2020"]]},"page":"1-14","title":"Measurement of Environmental Concern: A Review and Analysis","type":"article-journal","volume":"11"},"uris":["http://www.mendeley.com/documents/?uuid=532fd7d2-edb2-42dc-8cf0-bc7a05704ccc"]},{"id":"ITEM-4","itemData":{"DOI":"10.13106/jafeb.2019.vol6.no2.277","ISSN":"22884645","abstract":"The study aims to analyze the influence of egoistic, altruistic and biospheric value on green functional benefit, green monetary cost, green satisfaction and green loyalty. The study analyzes the effect of green functional benefit and green monetary cost on green satisfaction and green loyalty, as well as green satisfaction on green loyalty. The study employs quantitative methods with customers who have green brand purchase experience in Indonesia. Non-probability sampling was conducted using purposive sampling method based on predetermined criteria, which are customers who have already purchase and use green brand products. A total of 402 samples were analyzed using Structural Equation Modelling. The result shows that the data support hypotheses on egoistic and biospheric value, hypotheses on green functional benefit effect to green satisfaction and green loyalty, as well as green monetary cost effect to green loyalty. The other hypotheses are not supported by data. As a conclusion, it is egoistic and biospheric value that has positive effect on green loyalty, while green functional benefit and green monetary cost act as mediation between the value orientation and green loyalty. As managerial implication, green brand marketing strategy should incorporate egoistic and biospheric values in messages in advertising and promotion.","author":[{"dropping-particle":"","family":"Imaningsih","given":"Erna S.","non-dropping-particle":"","parse-names":false,"suffix":""},{"dropping-particle":"","family":"Tjiptoherijanto","given":"Prijono","non-dropping-particle":"","parse-names":false,"suffix":""},{"dropping-particle":"","family":"Heruwasto","given":"Ignatius","non-dropping-particle":"","parse-names":false,"suffix":""},{"dropping-particle":"","family":"Aruan","given":"Daniel Tumpal H.","non-dropping-particle":"","parse-names":false,"suffix":""}],"container-title":"Journal of Asian Finance, Economics and Business","id":"ITEM-4","issue":"2","issued":{"date-parts":[["2019"]]},"page":"277-286","title":"Linking of egoistic, altruistic, and biospheric values to green loyalty: The role of green functional benefit, green monetary cost and green satisfaction","type":"article-journal","volume":"6"},"uris":["http://www.mendeley.com/documents/?uuid=265dc7da-6c14-49f5-afc6-91274ccd469d"]}],"mendeley":{"formattedCitation":"(Chan, 2018; Cruz &amp; Manata, 2020; Halkos et al., 2018; Imaningsih et al., 2019)","manualFormatting":"Chan (2018); Cruz &amp; Manata (2020); Halkos et al. (2018); Imaningsih et al. (2019)","plainTextFormattedCitation":"(Chan, 2018; Cruz &amp; Manata, 2020; Halkos et al., 2018; Imaningsih et al., 2019)","previouslyFormattedCitation":"(Chan, 2018; Cruz &amp; Manata, 2020; Halkos et al., 2018; Imaningsih et al., 2019)"},"properties":{"noteIndex":0},"schema":"https://github.com/citation-style-language/schema/raw/master/csl-citation.json"}</w:instrText>
            </w:r>
            <w:r w:rsidRPr="002E2CAB">
              <w:fldChar w:fldCharType="separate"/>
            </w:r>
            <w:r w:rsidRPr="002E2CAB">
              <w:rPr>
                <w:noProof/>
                <w:sz w:val="20"/>
                <w:szCs w:val="20"/>
              </w:rPr>
              <w:t xml:space="preserve">Chan </w:t>
            </w:r>
            <w:r>
              <w:rPr>
                <w:noProof/>
                <w:sz w:val="20"/>
                <w:szCs w:val="20"/>
              </w:rPr>
              <w:t>(</w:t>
            </w:r>
            <w:r w:rsidRPr="002E2CAB">
              <w:rPr>
                <w:noProof/>
                <w:sz w:val="20"/>
                <w:szCs w:val="20"/>
              </w:rPr>
              <w:t>2018</w:t>
            </w:r>
            <w:r>
              <w:rPr>
                <w:noProof/>
                <w:sz w:val="20"/>
                <w:szCs w:val="20"/>
              </w:rPr>
              <w:t>)</w:t>
            </w:r>
            <w:r w:rsidRPr="002E2CAB">
              <w:rPr>
                <w:noProof/>
                <w:sz w:val="20"/>
                <w:szCs w:val="20"/>
              </w:rPr>
              <w:t xml:space="preserve">; Cruz &amp; Manata </w:t>
            </w:r>
            <w:r>
              <w:rPr>
                <w:noProof/>
                <w:sz w:val="20"/>
                <w:szCs w:val="20"/>
              </w:rPr>
              <w:t>(</w:t>
            </w:r>
            <w:r w:rsidRPr="002E2CAB">
              <w:rPr>
                <w:noProof/>
                <w:sz w:val="20"/>
                <w:szCs w:val="20"/>
              </w:rPr>
              <w:t>2020</w:t>
            </w:r>
            <w:r>
              <w:rPr>
                <w:noProof/>
                <w:sz w:val="20"/>
                <w:szCs w:val="20"/>
              </w:rPr>
              <w:t>)</w:t>
            </w:r>
            <w:r w:rsidRPr="002E2CAB">
              <w:rPr>
                <w:noProof/>
                <w:sz w:val="20"/>
                <w:szCs w:val="20"/>
              </w:rPr>
              <w:t xml:space="preserve">; Halkos et al. </w:t>
            </w:r>
            <w:r>
              <w:rPr>
                <w:noProof/>
                <w:sz w:val="20"/>
                <w:szCs w:val="20"/>
              </w:rPr>
              <w:t>(</w:t>
            </w:r>
            <w:r w:rsidRPr="002E2CAB">
              <w:rPr>
                <w:noProof/>
                <w:sz w:val="20"/>
                <w:szCs w:val="20"/>
              </w:rPr>
              <w:t>2018</w:t>
            </w:r>
            <w:r>
              <w:rPr>
                <w:noProof/>
                <w:sz w:val="20"/>
                <w:szCs w:val="20"/>
              </w:rPr>
              <w:t>)</w:t>
            </w:r>
            <w:r w:rsidRPr="002E2CAB">
              <w:rPr>
                <w:noProof/>
                <w:sz w:val="20"/>
                <w:szCs w:val="20"/>
              </w:rPr>
              <w:t xml:space="preserve">; Imaningsih et al. </w:t>
            </w:r>
            <w:r>
              <w:rPr>
                <w:noProof/>
                <w:sz w:val="20"/>
                <w:szCs w:val="20"/>
              </w:rPr>
              <w:t>(</w:t>
            </w:r>
            <w:r w:rsidRPr="002E2CAB">
              <w:rPr>
                <w:noProof/>
                <w:sz w:val="20"/>
                <w:szCs w:val="20"/>
              </w:rPr>
              <w:t>2019)</w:t>
            </w:r>
            <w:r w:rsidRPr="002E2CAB">
              <w:fldChar w:fldCharType="end"/>
            </w:r>
            <w:r w:rsidRPr="00E362F4">
              <w:rPr>
                <w:sz w:val="20"/>
                <w:szCs w:val="20"/>
              </w:rPr>
              <w:t xml:space="preserve"> </w:t>
            </w:r>
          </w:p>
        </w:tc>
        <w:tc>
          <w:tcPr>
            <w:tcW w:w="938" w:type="dxa"/>
            <w:vMerge w:val="restart"/>
            <w:tcBorders>
              <w:top w:val="single" w:sz="4" w:space="0" w:color="auto"/>
              <w:bottom w:val="nil"/>
            </w:tcBorders>
            <w:shd w:val="clear" w:color="auto" w:fill="auto"/>
            <w:vAlign w:val="center"/>
          </w:tcPr>
          <w:p w14:paraId="6D448139" w14:textId="77777777" w:rsidR="009B7D1B" w:rsidRPr="00E362F4" w:rsidRDefault="009B7D1B" w:rsidP="00B0565E">
            <w:pPr>
              <w:jc w:val="center"/>
              <w:rPr>
                <w:sz w:val="20"/>
                <w:szCs w:val="20"/>
              </w:rPr>
            </w:pPr>
            <w:r w:rsidRPr="00E362F4">
              <w:rPr>
                <w:sz w:val="20"/>
                <w:szCs w:val="20"/>
              </w:rPr>
              <w:t>0,548</w:t>
            </w:r>
          </w:p>
        </w:tc>
        <w:tc>
          <w:tcPr>
            <w:tcW w:w="1061" w:type="dxa"/>
            <w:vMerge w:val="restart"/>
            <w:tcBorders>
              <w:top w:val="single" w:sz="4" w:space="0" w:color="auto"/>
              <w:bottom w:val="nil"/>
            </w:tcBorders>
            <w:shd w:val="clear" w:color="auto" w:fill="auto"/>
            <w:vAlign w:val="center"/>
          </w:tcPr>
          <w:p w14:paraId="781E697B" w14:textId="77777777" w:rsidR="009B7D1B" w:rsidRPr="00E362F4" w:rsidRDefault="009B7D1B" w:rsidP="00B0565E">
            <w:pPr>
              <w:jc w:val="center"/>
              <w:rPr>
                <w:sz w:val="20"/>
                <w:szCs w:val="20"/>
              </w:rPr>
            </w:pPr>
            <w:r w:rsidRPr="00E362F4">
              <w:rPr>
                <w:sz w:val="20"/>
                <w:szCs w:val="20"/>
              </w:rPr>
              <w:t>0,781</w:t>
            </w:r>
          </w:p>
        </w:tc>
      </w:tr>
      <w:tr w:rsidR="00C16625" w:rsidRPr="00E362F4" w14:paraId="6583DC5A" w14:textId="77777777" w:rsidTr="0075480F">
        <w:trPr>
          <w:trHeight w:val="20"/>
          <w:jc w:val="center"/>
        </w:trPr>
        <w:tc>
          <w:tcPr>
            <w:tcW w:w="1276" w:type="dxa"/>
            <w:vMerge/>
            <w:tcBorders>
              <w:top w:val="nil"/>
              <w:bottom w:val="nil"/>
            </w:tcBorders>
            <w:shd w:val="clear" w:color="auto" w:fill="auto"/>
            <w:vAlign w:val="center"/>
          </w:tcPr>
          <w:p w14:paraId="3808D798" w14:textId="77777777" w:rsidR="009B7D1B" w:rsidRPr="00E362F4" w:rsidRDefault="009B7D1B" w:rsidP="00B0565E">
            <w:pPr>
              <w:jc w:val="center"/>
              <w:rPr>
                <w:sz w:val="20"/>
                <w:szCs w:val="20"/>
              </w:rPr>
            </w:pPr>
          </w:p>
        </w:tc>
        <w:tc>
          <w:tcPr>
            <w:tcW w:w="2068" w:type="dxa"/>
            <w:tcBorders>
              <w:top w:val="nil"/>
              <w:bottom w:val="nil"/>
            </w:tcBorders>
            <w:shd w:val="clear" w:color="auto" w:fill="auto"/>
            <w:vAlign w:val="bottom"/>
          </w:tcPr>
          <w:p w14:paraId="4643BF48" w14:textId="77777777" w:rsidR="009B7D1B" w:rsidRPr="00E362F4" w:rsidRDefault="009B7D1B" w:rsidP="00B0565E">
            <w:pPr>
              <w:rPr>
                <w:sz w:val="20"/>
                <w:szCs w:val="20"/>
              </w:rPr>
            </w:pPr>
            <w:r w:rsidRPr="00E362F4">
              <w:rPr>
                <w:sz w:val="20"/>
                <w:szCs w:val="20"/>
              </w:rPr>
              <w:t>Altruistic Concern</w:t>
            </w:r>
          </w:p>
        </w:tc>
        <w:tc>
          <w:tcPr>
            <w:tcW w:w="961" w:type="dxa"/>
            <w:tcBorders>
              <w:top w:val="nil"/>
              <w:bottom w:val="nil"/>
            </w:tcBorders>
            <w:shd w:val="clear" w:color="auto" w:fill="auto"/>
            <w:vAlign w:val="center"/>
          </w:tcPr>
          <w:p w14:paraId="300DF790" w14:textId="77777777" w:rsidR="009B7D1B" w:rsidRPr="00E362F4" w:rsidRDefault="009B7D1B" w:rsidP="00B0565E">
            <w:pPr>
              <w:jc w:val="center"/>
              <w:rPr>
                <w:sz w:val="20"/>
                <w:szCs w:val="20"/>
              </w:rPr>
            </w:pPr>
            <w:r w:rsidRPr="00E362F4">
              <w:rPr>
                <w:sz w:val="20"/>
                <w:szCs w:val="20"/>
              </w:rPr>
              <w:t>0,824</w:t>
            </w:r>
          </w:p>
        </w:tc>
        <w:tc>
          <w:tcPr>
            <w:tcW w:w="1034" w:type="dxa"/>
            <w:tcBorders>
              <w:top w:val="nil"/>
              <w:bottom w:val="nil"/>
            </w:tcBorders>
            <w:shd w:val="clear" w:color="auto" w:fill="auto"/>
            <w:vAlign w:val="center"/>
          </w:tcPr>
          <w:p w14:paraId="22DF10F4" w14:textId="77777777" w:rsidR="009B7D1B" w:rsidRPr="00E362F4" w:rsidRDefault="009B7D1B" w:rsidP="00B0565E">
            <w:pPr>
              <w:jc w:val="center"/>
              <w:rPr>
                <w:sz w:val="20"/>
                <w:szCs w:val="20"/>
              </w:rPr>
            </w:pPr>
            <w:r w:rsidRPr="00E362F4">
              <w:rPr>
                <w:sz w:val="20"/>
                <w:szCs w:val="20"/>
              </w:rPr>
              <w:t>17,53</w:t>
            </w:r>
          </w:p>
        </w:tc>
        <w:tc>
          <w:tcPr>
            <w:tcW w:w="1828" w:type="dxa"/>
            <w:vMerge/>
            <w:tcBorders>
              <w:top w:val="nil"/>
              <w:bottom w:val="nil"/>
            </w:tcBorders>
            <w:shd w:val="clear" w:color="auto" w:fill="auto"/>
            <w:vAlign w:val="center"/>
          </w:tcPr>
          <w:p w14:paraId="629A189C" w14:textId="77777777" w:rsidR="009B7D1B" w:rsidRPr="00E362F4" w:rsidRDefault="009B7D1B" w:rsidP="00B0565E">
            <w:pPr>
              <w:jc w:val="center"/>
              <w:rPr>
                <w:sz w:val="20"/>
                <w:szCs w:val="20"/>
              </w:rPr>
            </w:pPr>
          </w:p>
        </w:tc>
        <w:tc>
          <w:tcPr>
            <w:tcW w:w="938" w:type="dxa"/>
            <w:vMerge/>
            <w:tcBorders>
              <w:top w:val="nil"/>
              <w:bottom w:val="nil"/>
            </w:tcBorders>
            <w:shd w:val="clear" w:color="auto" w:fill="auto"/>
            <w:vAlign w:val="center"/>
          </w:tcPr>
          <w:p w14:paraId="4CAF0CCF" w14:textId="77777777" w:rsidR="009B7D1B" w:rsidRPr="00E362F4" w:rsidRDefault="009B7D1B" w:rsidP="00B0565E">
            <w:pPr>
              <w:jc w:val="center"/>
              <w:rPr>
                <w:sz w:val="20"/>
                <w:szCs w:val="20"/>
              </w:rPr>
            </w:pPr>
          </w:p>
        </w:tc>
        <w:tc>
          <w:tcPr>
            <w:tcW w:w="1061" w:type="dxa"/>
            <w:vMerge/>
            <w:tcBorders>
              <w:top w:val="nil"/>
              <w:bottom w:val="nil"/>
            </w:tcBorders>
            <w:shd w:val="clear" w:color="auto" w:fill="auto"/>
            <w:vAlign w:val="center"/>
          </w:tcPr>
          <w:p w14:paraId="728B4FDE" w14:textId="77777777" w:rsidR="009B7D1B" w:rsidRPr="00E362F4" w:rsidRDefault="009B7D1B" w:rsidP="00B0565E">
            <w:pPr>
              <w:jc w:val="center"/>
              <w:rPr>
                <w:sz w:val="20"/>
                <w:szCs w:val="20"/>
              </w:rPr>
            </w:pPr>
          </w:p>
        </w:tc>
      </w:tr>
      <w:tr w:rsidR="00C16625" w:rsidRPr="00E362F4" w14:paraId="310C8E9D" w14:textId="77777777" w:rsidTr="002E2CAB">
        <w:trPr>
          <w:trHeight w:val="20"/>
          <w:jc w:val="center"/>
        </w:trPr>
        <w:tc>
          <w:tcPr>
            <w:tcW w:w="1276" w:type="dxa"/>
            <w:vMerge/>
            <w:tcBorders>
              <w:top w:val="nil"/>
              <w:bottom w:val="single" w:sz="4" w:space="0" w:color="auto"/>
            </w:tcBorders>
            <w:shd w:val="clear" w:color="auto" w:fill="auto"/>
            <w:vAlign w:val="center"/>
          </w:tcPr>
          <w:p w14:paraId="0EA94755" w14:textId="77777777" w:rsidR="009B7D1B" w:rsidRPr="00E362F4" w:rsidRDefault="009B7D1B" w:rsidP="00B0565E">
            <w:pPr>
              <w:jc w:val="center"/>
              <w:rPr>
                <w:sz w:val="20"/>
                <w:szCs w:val="20"/>
              </w:rPr>
            </w:pPr>
          </w:p>
        </w:tc>
        <w:tc>
          <w:tcPr>
            <w:tcW w:w="2068" w:type="dxa"/>
            <w:tcBorders>
              <w:top w:val="nil"/>
              <w:bottom w:val="single" w:sz="4" w:space="0" w:color="auto"/>
            </w:tcBorders>
            <w:shd w:val="clear" w:color="auto" w:fill="auto"/>
            <w:vAlign w:val="center"/>
          </w:tcPr>
          <w:p w14:paraId="0F224B2B" w14:textId="77777777" w:rsidR="009B7D1B" w:rsidRPr="00E362F4" w:rsidRDefault="009B7D1B" w:rsidP="002E2CAB">
            <w:pPr>
              <w:rPr>
                <w:sz w:val="20"/>
                <w:szCs w:val="20"/>
              </w:rPr>
            </w:pPr>
            <w:proofErr w:type="spellStart"/>
            <w:r w:rsidRPr="00E362F4">
              <w:rPr>
                <w:sz w:val="20"/>
                <w:szCs w:val="20"/>
              </w:rPr>
              <w:t>Biospheric</w:t>
            </w:r>
            <w:proofErr w:type="spellEnd"/>
            <w:r w:rsidRPr="00E362F4">
              <w:rPr>
                <w:sz w:val="20"/>
                <w:szCs w:val="20"/>
              </w:rPr>
              <w:t xml:space="preserve"> Concern</w:t>
            </w:r>
          </w:p>
        </w:tc>
        <w:tc>
          <w:tcPr>
            <w:tcW w:w="961" w:type="dxa"/>
            <w:tcBorders>
              <w:top w:val="nil"/>
              <w:bottom w:val="single" w:sz="4" w:space="0" w:color="auto"/>
            </w:tcBorders>
            <w:shd w:val="clear" w:color="auto" w:fill="auto"/>
            <w:vAlign w:val="center"/>
          </w:tcPr>
          <w:p w14:paraId="31AA6872" w14:textId="77777777" w:rsidR="009B7D1B" w:rsidRPr="00E362F4" w:rsidRDefault="009B7D1B" w:rsidP="00B0565E">
            <w:pPr>
              <w:jc w:val="center"/>
              <w:rPr>
                <w:sz w:val="20"/>
                <w:szCs w:val="20"/>
              </w:rPr>
            </w:pPr>
            <w:r w:rsidRPr="00E362F4">
              <w:rPr>
                <w:sz w:val="20"/>
                <w:szCs w:val="20"/>
              </w:rPr>
              <w:t>0,582</w:t>
            </w:r>
          </w:p>
        </w:tc>
        <w:tc>
          <w:tcPr>
            <w:tcW w:w="1034" w:type="dxa"/>
            <w:tcBorders>
              <w:top w:val="nil"/>
              <w:bottom w:val="single" w:sz="4" w:space="0" w:color="auto"/>
            </w:tcBorders>
            <w:shd w:val="clear" w:color="auto" w:fill="auto"/>
            <w:vAlign w:val="center"/>
          </w:tcPr>
          <w:p w14:paraId="71759D40" w14:textId="77777777" w:rsidR="009B7D1B" w:rsidRPr="00E362F4" w:rsidRDefault="009B7D1B" w:rsidP="00B0565E">
            <w:pPr>
              <w:jc w:val="center"/>
              <w:rPr>
                <w:sz w:val="20"/>
                <w:szCs w:val="20"/>
              </w:rPr>
            </w:pPr>
            <w:r w:rsidRPr="00E362F4">
              <w:rPr>
                <w:sz w:val="20"/>
                <w:szCs w:val="20"/>
              </w:rPr>
              <w:t>11,45</w:t>
            </w:r>
          </w:p>
        </w:tc>
        <w:tc>
          <w:tcPr>
            <w:tcW w:w="1828" w:type="dxa"/>
            <w:vMerge/>
            <w:tcBorders>
              <w:top w:val="nil"/>
              <w:bottom w:val="single" w:sz="4" w:space="0" w:color="auto"/>
            </w:tcBorders>
            <w:shd w:val="clear" w:color="auto" w:fill="auto"/>
            <w:vAlign w:val="center"/>
          </w:tcPr>
          <w:p w14:paraId="481E9729" w14:textId="77777777" w:rsidR="009B7D1B" w:rsidRPr="00E362F4" w:rsidRDefault="009B7D1B" w:rsidP="00B0565E">
            <w:pPr>
              <w:jc w:val="center"/>
              <w:rPr>
                <w:sz w:val="20"/>
                <w:szCs w:val="20"/>
              </w:rPr>
            </w:pPr>
          </w:p>
        </w:tc>
        <w:tc>
          <w:tcPr>
            <w:tcW w:w="938" w:type="dxa"/>
            <w:vMerge/>
            <w:tcBorders>
              <w:top w:val="nil"/>
              <w:bottom w:val="single" w:sz="4" w:space="0" w:color="auto"/>
            </w:tcBorders>
            <w:shd w:val="clear" w:color="auto" w:fill="auto"/>
            <w:vAlign w:val="center"/>
          </w:tcPr>
          <w:p w14:paraId="5899E3EC" w14:textId="77777777" w:rsidR="009B7D1B" w:rsidRPr="00E362F4" w:rsidRDefault="009B7D1B" w:rsidP="00B0565E">
            <w:pPr>
              <w:jc w:val="center"/>
              <w:rPr>
                <w:sz w:val="20"/>
                <w:szCs w:val="20"/>
              </w:rPr>
            </w:pPr>
          </w:p>
        </w:tc>
        <w:tc>
          <w:tcPr>
            <w:tcW w:w="1061" w:type="dxa"/>
            <w:vMerge/>
            <w:tcBorders>
              <w:top w:val="nil"/>
              <w:bottom w:val="single" w:sz="4" w:space="0" w:color="auto"/>
            </w:tcBorders>
            <w:shd w:val="clear" w:color="auto" w:fill="auto"/>
            <w:vAlign w:val="center"/>
          </w:tcPr>
          <w:p w14:paraId="22C9C162" w14:textId="77777777" w:rsidR="009B7D1B" w:rsidRPr="00E362F4" w:rsidRDefault="009B7D1B" w:rsidP="00B0565E">
            <w:pPr>
              <w:jc w:val="center"/>
              <w:rPr>
                <w:sz w:val="20"/>
                <w:szCs w:val="20"/>
              </w:rPr>
            </w:pPr>
          </w:p>
        </w:tc>
      </w:tr>
      <w:tr w:rsidR="00C16625" w:rsidRPr="00E362F4" w14:paraId="2BF81C90" w14:textId="77777777" w:rsidTr="0075480F">
        <w:trPr>
          <w:trHeight w:val="20"/>
          <w:jc w:val="center"/>
        </w:trPr>
        <w:tc>
          <w:tcPr>
            <w:tcW w:w="1276" w:type="dxa"/>
            <w:vMerge w:val="restart"/>
            <w:tcBorders>
              <w:top w:val="single" w:sz="4" w:space="0" w:color="auto"/>
            </w:tcBorders>
            <w:shd w:val="clear" w:color="auto" w:fill="auto"/>
            <w:vAlign w:val="center"/>
          </w:tcPr>
          <w:p w14:paraId="49C7F7D9" w14:textId="77777777" w:rsidR="009B7D1B" w:rsidRPr="00E362F4" w:rsidRDefault="009B7D1B" w:rsidP="00B0565E">
            <w:pPr>
              <w:jc w:val="center"/>
              <w:rPr>
                <w:sz w:val="20"/>
                <w:szCs w:val="20"/>
              </w:rPr>
            </w:pPr>
            <w:r w:rsidRPr="00E362F4">
              <w:rPr>
                <w:sz w:val="20"/>
                <w:szCs w:val="20"/>
              </w:rPr>
              <w:t>Green Satisfaction (Y)</w:t>
            </w:r>
          </w:p>
        </w:tc>
        <w:tc>
          <w:tcPr>
            <w:tcW w:w="2068" w:type="dxa"/>
            <w:tcBorders>
              <w:top w:val="single" w:sz="4" w:space="0" w:color="auto"/>
            </w:tcBorders>
            <w:shd w:val="clear" w:color="auto" w:fill="auto"/>
          </w:tcPr>
          <w:p w14:paraId="177C1F5E" w14:textId="77777777" w:rsidR="009B7D1B" w:rsidRPr="00E362F4" w:rsidRDefault="009B7D1B" w:rsidP="00B0565E">
            <w:pPr>
              <w:rPr>
                <w:sz w:val="20"/>
                <w:szCs w:val="20"/>
              </w:rPr>
            </w:pPr>
            <w:r w:rsidRPr="00E362F4">
              <w:rPr>
                <w:sz w:val="20"/>
                <w:szCs w:val="20"/>
              </w:rPr>
              <w:t>Happy to purchase green product</w:t>
            </w:r>
          </w:p>
        </w:tc>
        <w:tc>
          <w:tcPr>
            <w:tcW w:w="961" w:type="dxa"/>
            <w:tcBorders>
              <w:top w:val="single" w:sz="4" w:space="0" w:color="auto"/>
            </w:tcBorders>
            <w:shd w:val="clear" w:color="auto" w:fill="auto"/>
            <w:vAlign w:val="center"/>
          </w:tcPr>
          <w:p w14:paraId="0FCC2355" w14:textId="77777777" w:rsidR="009B7D1B" w:rsidRPr="00E362F4" w:rsidRDefault="009B7D1B" w:rsidP="00B0565E">
            <w:pPr>
              <w:jc w:val="center"/>
              <w:rPr>
                <w:sz w:val="20"/>
                <w:szCs w:val="20"/>
              </w:rPr>
            </w:pPr>
            <w:r w:rsidRPr="00E362F4">
              <w:rPr>
                <w:sz w:val="20"/>
                <w:szCs w:val="20"/>
              </w:rPr>
              <w:t>0,720</w:t>
            </w:r>
          </w:p>
        </w:tc>
        <w:tc>
          <w:tcPr>
            <w:tcW w:w="1034" w:type="dxa"/>
            <w:tcBorders>
              <w:top w:val="single" w:sz="4" w:space="0" w:color="auto"/>
            </w:tcBorders>
            <w:shd w:val="clear" w:color="auto" w:fill="auto"/>
            <w:vAlign w:val="center"/>
          </w:tcPr>
          <w:p w14:paraId="2574209D" w14:textId="77777777" w:rsidR="009B7D1B" w:rsidRPr="00E362F4" w:rsidRDefault="009B7D1B" w:rsidP="00B0565E">
            <w:pPr>
              <w:jc w:val="center"/>
              <w:rPr>
                <w:sz w:val="20"/>
                <w:szCs w:val="20"/>
              </w:rPr>
            </w:pPr>
            <w:r w:rsidRPr="00E362F4">
              <w:rPr>
                <w:sz w:val="20"/>
                <w:szCs w:val="20"/>
              </w:rPr>
              <w:t>15,85</w:t>
            </w:r>
          </w:p>
        </w:tc>
        <w:tc>
          <w:tcPr>
            <w:tcW w:w="1828" w:type="dxa"/>
            <w:vMerge w:val="restart"/>
            <w:tcBorders>
              <w:top w:val="single" w:sz="4" w:space="0" w:color="auto"/>
            </w:tcBorders>
            <w:shd w:val="clear" w:color="auto" w:fill="auto"/>
            <w:vAlign w:val="center"/>
          </w:tcPr>
          <w:p w14:paraId="7313EB5E" w14:textId="5F515C71" w:rsidR="009B7D1B" w:rsidRPr="00E362F4" w:rsidRDefault="006F483C" w:rsidP="00B0565E">
            <w:pPr>
              <w:jc w:val="center"/>
              <w:rPr>
                <w:sz w:val="20"/>
                <w:szCs w:val="20"/>
              </w:rPr>
            </w:pPr>
            <w:r>
              <w:fldChar w:fldCharType="begin" w:fldLock="1"/>
            </w:r>
            <w:r>
              <w:rPr>
                <w:sz w:val="20"/>
                <w:szCs w:val="20"/>
              </w:rPr>
              <w:instrText>ADDIN CSL_CITATION {"citationItems":[{"id":"ITEM-1","itemData":{"abstract":"Access to this document was granted through an Emerald subscription provided by emerald-srm:231834 [] For Authors If you would like to write for this, or any other Emerald publication, then please use our Emerald for Authors service information about how to choose which publication to write for and submission guidelines are available for all. Please visit www.emeraldinsight.com/authors for more information. About Emerald www.emeraldinsight.com Emerald is a global publisher linking research and practice to the benefit of society. The company manages a portfolio of more than 290 journals and over 2,350 books and book series volumes, as well as providing an extensive range of online products and additional customer resources and services. Abstract Purpose – The purpose of this paper is to investigate the influence of consumers' collectivism and long-term orientation (LTO) cultural values on their purchase intention in relation to environment-friendly products. Design/methodology/approach – This research adopts a hypo-deductive research design. A unique conceptual model was developed by linking cultural values to key determinants of green purchase behaviour. This model was then tested using a quantitative survey of 682 shoppers in popular Vietnamese electrical appliance stores. Findings – Analysis using structural equation modelling reveals that consumers with greater adherence to collectivism and LTO tend to engage in green purchase behaviour owing to their positive environmental attitudes, strong subjective norms and tolerance of inconvenience associated with eco-friendly product purchase. Gender is found to moderate the relationship between the determinants and purchase intention. Practical implications – Marketers including manufacturers and policymakers must endeavour (change globally) to reduce or eliminate perceived inconvenience associated with green purchases. They should also effectively communicate messages stressing that eco-friendly product purchases are crucial for environmental protection and benefit consumer groups including family, peers and society in the long-run. Originality/value – This research is the first of its kind which links consumers' cultural values at a personal level to all the elements of the theory of planned behaviour. This research also extends current knowledge about green purchase behaviour in emerging markets by focussing on Vietnam.","author":[{"dropping-particle":"","family":"Nguyen","given":"The Ninh","non-dropping-particle":"","parse-names":false,"suffix":""},{"dropping-particle":"","family":"Lobo","given":"Antonio","non-dropping-particle":"","parse-names":false,"suffix":""},{"dropping-particle":"","family":"Greenland","given":"Steven","non-dropping-particle":"","parse-names":false,"suffix":""}],"container-title":"Marketing Intelligence &amp; Planning Food Journal Iss Environmental Quality: An International Journal","id":"ITEM-1","issue":"4","issued":{"date-parts":[["2017"]]},"page":"377-396","title":"Marketing Intelligence &amp;amp; Planning The influence of cultural values on green purchase behaviour The influence of cultural values on green purchase behaviour","type":"article-journal","volume":"35"},"uris":["http://www.mendeley.com/documents/?uuid=58951a8f-f09c-40e4-ae65-6b6b6c735f68"]},{"id":"ITEM-2","itemData":{"DOI":"10.1088/1755-1315/106/1/012085","ISSN":"17551315","abstract":"The paper aims to present a comprehensive framework for the influences of green perceived risk, green image, green trust and green satisfaction to green loyalty. The paper also seeks to account explicitly for the differences in green perceived risk, green image, green trust, green satisfaction and green loyalty found among green products customers. Data were obtained from 155 green products customers. Structural equation modeling was used in order to test the proposed hypotheses. The findings show that green image, green trust and green satisfaction has positive effects to green loyalty. But green perceived risk has negative effects to green image, green trust and green satisfaction. However, green perceived risk, green image, green trust and green satisfaction also seems to be a good device to gain green products customers from competitors. The contributions of the paper are, firstly, a more complete framework of the influences of green perceived risk, green image, green trust and green satisfaction to green loyalty analyses simultaneously. Secondly, the study allows a direct comparison of the difference in green perceived risk, green image, green trust, green satisfaction and green loyalty between green products customers.","author":[{"dropping-particle":"","family":"Chrisjatmiko","given":"K.","non-dropping-particle":"","parse-names":false,"suffix":""}],"container-title":"IOP Conference Series: Earth and Environmental Science","id":"ITEM-2","issue":"1","issued":{"date-parts":[["2018"]]},"title":"Towards green loyalty: The influences of green perceived risk, green image, green trust and green satisfaction","type":"article-journal","volume":"106"},"uris":["http://www.mendeley.com/documents/?uuid=ab30ed80-f1e7-447d-a239-00e21886e0ac"]},{"id":"ITEM-3","itemData":{"DOI":"10.30892/gtg.334spl10-601","ISSN":"20651198","abstract":"The research was carried out to determine the effect of attitude towards green behavior on green image, green customer satisfaction and green customer loyalty. The universe of the study consists of customers who have visited green hotels in Turkey. In order to test the hypotheses, Smart PLS 3 (Partial Least Squares) statistics program was used in the research. Bootstrapping technique was used to test the hypotheses that were aimed to be measured in the research. According to the results of the analysis, the attitude towards green behavior is on the green image; the green image has also been found to have a positive effect on green customer satisfaction and green customer loyalty. In addition, as a result of the analysis, it was determined that green customer satisfaction positively affected green customer loyalty.","author":[{"dropping-particle":"","family":"Çavusoglu","given":"Sinan","non-dropping-particle":"","parse-names":false,"suffix":""},{"dropping-particle":"","family":"Demirag","given":"Bülent","non-dropping-particle":"","parse-names":false,"suffix":""},{"dropping-particle":"","family":"Jusuf","given":"Eddy","non-dropping-particle":"","parse-names":false,"suffix":""},{"dropping-particle":"","family":"Gunardi","given":"Ardi","non-dropping-particle":"","parse-names":false,"suffix":""}],"container-title":"Geojournal of Tourism and Geosites ","id":"ITEM-3","issue":"4","issued":{"date-parts":[["2021"]]},"page":"1513-1519","title":"The effect of attitudes toward green behaviors on green image, green customer satisfaction and green customer loyalty","type":"article-journal","volume":"33"},"uris":["http://www.mendeley.com/documents/?uuid=f08e82db-1197-4e16-a3bb-8f196c2238a7"]}],"mendeley":{"formattedCitation":"(Çavusoglu et al., 2021; Chrisjatmiko, 2018; T. N. Nguyen et al., 2017)","manualFormatting":"Çavusoglu et al. (2021); Chrisjatmiko (2018); Nguyen et al. (2017)","plainTextFormattedCitation":"(Çavusoglu et al., 2021; Chrisjatmiko, 2018; T. N. Nguyen et al., 2017)","previouslyFormattedCitation":"(Çavusoglu et al., 2021; Chrisjatmiko, 2018; T. N. Nguyen et al., 2017)"},"properties":{"noteIndex":0},"schema":"https://github.com/citation-style-language/schema/raw/master/csl-citation.json"}</w:instrText>
            </w:r>
            <w:r>
              <w:fldChar w:fldCharType="separate"/>
            </w:r>
            <w:r w:rsidRPr="006F483C">
              <w:rPr>
                <w:noProof/>
                <w:sz w:val="20"/>
                <w:szCs w:val="20"/>
              </w:rPr>
              <w:t xml:space="preserve">Çavusoglu et al. </w:t>
            </w:r>
            <w:r>
              <w:rPr>
                <w:noProof/>
                <w:sz w:val="20"/>
                <w:szCs w:val="20"/>
              </w:rPr>
              <w:t>(</w:t>
            </w:r>
            <w:r w:rsidRPr="006F483C">
              <w:rPr>
                <w:noProof/>
                <w:sz w:val="20"/>
                <w:szCs w:val="20"/>
              </w:rPr>
              <w:t>2021</w:t>
            </w:r>
            <w:r>
              <w:rPr>
                <w:noProof/>
                <w:sz w:val="20"/>
                <w:szCs w:val="20"/>
              </w:rPr>
              <w:t>)</w:t>
            </w:r>
            <w:r w:rsidRPr="006F483C">
              <w:rPr>
                <w:noProof/>
                <w:sz w:val="20"/>
                <w:szCs w:val="20"/>
              </w:rPr>
              <w:t>; Chrisjatmiko</w:t>
            </w:r>
            <w:r>
              <w:rPr>
                <w:noProof/>
                <w:sz w:val="20"/>
                <w:szCs w:val="20"/>
              </w:rPr>
              <w:t xml:space="preserve"> (</w:t>
            </w:r>
            <w:r w:rsidRPr="006F483C">
              <w:rPr>
                <w:noProof/>
                <w:sz w:val="20"/>
                <w:szCs w:val="20"/>
              </w:rPr>
              <w:t>2018</w:t>
            </w:r>
            <w:r>
              <w:rPr>
                <w:noProof/>
                <w:sz w:val="20"/>
                <w:szCs w:val="20"/>
              </w:rPr>
              <w:t>)</w:t>
            </w:r>
            <w:r w:rsidRPr="006F483C">
              <w:rPr>
                <w:noProof/>
                <w:sz w:val="20"/>
                <w:szCs w:val="20"/>
              </w:rPr>
              <w:t xml:space="preserve">; Nguyen et al. </w:t>
            </w:r>
            <w:r>
              <w:rPr>
                <w:noProof/>
                <w:sz w:val="20"/>
                <w:szCs w:val="20"/>
              </w:rPr>
              <w:t>(</w:t>
            </w:r>
            <w:r w:rsidRPr="006F483C">
              <w:rPr>
                <w:noProof/>
                <w:sz w:val="20"/>
                <w:szCs w:val="20"/>
              </w:rPr>
              <w:t>2017)</w:t>
            </w:r>
            <w:r>
              <w:fldChar w:fldCharType="end"/>
            </w:r>
          </w:p>
          <w:p w14:paraId="5E396829" w14:textId="77777777" w:rsidR="009B7D1B" w:rsidRPr="00E362F4" w:rsidRDefault="009B7D1B" w:rsidP="00B0565E">
            <w:pPr>
              <w:jc w:val="center"/>
              <w:rPr>
                <w:sz w:val="20"/>
                <w:szCs w:val="20"/>
              </w:rPr>
            </w:pPr>
          </w:p>
        </w:tc>
        <w:tc>
          <w:tcPr>
            <w:tcW w:w="938" w:type="dxa"/>
            <w:vMerge w:val="restart"/>
            <w:tcBorders>
              <w:top w:val="single" w:sz="4" w:space="0" w:color="auto"/>
            </w:tcBorders>
            <w:shd w:val="clear" w:color="auto" w:fill="auto"/>
            <w:vAlign w:val="center"/>
          </w:tcPr>
          <w:p w14:paraId="5B5DE634" w14:textId="77777777" w:rsidR="009B7D1B" w:rsidRPr="00E362F4" w:rsidRDefault="009B7D1B" w:rsidP="00B0565E">
            <w:pPr>
              <w:jc w:val="center"/>
              <w:rPr>
                <w:sz w:val="20"/>
                <w:szCs w:val="20"/>
              </w:rPr>
            </w:pPr>
            <w:r w:rsidRPr="00E362F4">
              <w:rPr>
                <w:sz w:val="20"/>
                <w:szCs w:val="20"/>
              </w:rPr>
              <w:t>0,577</w:t>
            </w:r>
          </w:p>
        </w:tc>
        <w:tc>
          <w:tcPr>
            <w:tcW w:w="1061" w:type="dxa"/>
            <w:vMerge w:val="restart"/>
            <w:tcBorders>
              <w:top w:val="single" w:sz="4" w:space="0" w:color="auto"/>
            </w:tcBorders>
            <w:shd w:val="clear" w:color="auto" w:fill="auto"/>
            <w:vAlign w:val="center"/>
          </w:tcPr>
          <w:p w14:paraId="3C5535A7" w14:textId="77777777" w:rsidR="009B7D1B" w:rsidRPr="00E362F4" w:rsidRDefault="009B7D1B" w:rsidP="00B0565E">
            <w:pPr>
              <w:jc w:val="center"/>
              <w:rPr>
                <w:sz w:val="20"/>
                <w:szCs w:val="20"/>
              </w:rPr>
            </w:pPr>
            <w:r w:rsidRPr="00E362F4">
              <w:rPr>
                <w:sz w:val="20"/>
                <w:szCs w:val="20"/>
              </w:rPr>
              <w:t>0.872</w:t>
            </w:r>
          </w:p>
        </w:tc>
      </w:tr>
      <w:tr w:rsidR="00C16625" w:rsidRPr="00E362F4" w14:paraId="0D9C4887" w14:textId="77777777" w:rsidTr="0075480F">
        <w:trPr>
          <w:trHeight w:val="20"/>
          <w:jc w:val="center"/>
        </w:trPr>
        <w:tc>
          <w:tcPr>
            <w:tcW w:w="1276" w:type="dxa"/>
            <w:vMerge/>
            <w:shd w:val="clear" w:color="auto" w:fill="auto"/>
            <w:vAlign w:val="center"/>
          </w:tcPr>
          <w:p w14:paraId="686C926F" w14:textId="77777777" w:rsidR="009B7D1B" w:rsidRPr="00E362F4" w:rsidRDefault="009B7D1B" w:rsidP="00B0565E">
            <w:pPr>
              <w:jc w:val="center"/>
              <w:rPr>
                <w:sz w:val="20"/>
                <w:szCs w:val="20"/>
              </w:rPr>
            </w:pPr>
          </w:p>
        </w:tc>
        <w:tc>
          <w:tcPr>
            <w:tcW w:w="2068" w:type="dxa"/>
            <w:shd w:val="clear" w:color="auto" w:fill="auto"/>
          </w:tcPr>
          <w:p w14:paraId="283A892A" w14:textId="77777777" w:rsidR="009B7D1B" w:rsidRPr="00E362F4" w:rsidRDefault="009B7D1B" w:rsidP="00B0565E">
            <w:pPr>
              <w:rPr>
                <w:sz w:val="20"/>
                <w:szCs w:val="20"/>
              </w:rPr>
            </w:pPr>
            <w:r w:rsidRPr="00E362F4">
              <w:rPr>
                <w:sz w:val="20"/>
                <w:szCs w:val="20"/>
              </w:rPr>
              <w:t>Glad to purchase green product</w:t>
            </w:r>
          </w:p>
        </w:tc>
        <w:tc>
          <w:tcPr>
            <w:tcW w:w="961" w:type="dxa"/>
            <w:shd w:val="clear" w:color="auto" w:fill="auto"/>
            <w:vAlign w:val="center"/>
          </w:tcPr>
          <w:p w14:paraId="68ACC5C1" w14:textId="77777777" w:rsidR="009B7D1B" w:rsidRPr="00E362F4" w:rsidRDefault="009B7D1B" w:rsidP="00B0565E">
            <w:pPr>
              <w:jc w:val="center"/>
              <w:rPr>
                <w:sz w:val="20"/>
                <w:szCs w:val="20"/>
              </w:rPr>
            </w:pPr>
            <w:r w:rsidRPr="00E362F4">
              <w:rPr>
                <w:sz w:val="20"/>
                <w:szCs w:val="20"/>
              </w:rPr>
              <w:t>0,752</w:t>
            </w:r>
          </w:p>
        </w:tc>
        <w:tc>
          <w:tcPr>
            <w:tcW w:w="1034" w:type="dxa"/>
            <w:shd w:val="clear" w:color="auto" w:fill="auto"/>
            <w:vAlign w:val="center"/>
          </w:tcPr>
          <w:p w14:paraId="472B717A" w14:textId="77777777" w:rsidR="009B7D1B" w:rsidRPr="00E362F4" w:rsidRDefault="009B7D1B" w:rsidP="00B0565E">
            <w:pPr>
              <w:jc w:val="center"/>
              <w:rPr>
                <w:sz w:val="20"/>
                <w:szCs w:val="20"/>
              </w:rPr>
            </w:pPr>
            <w:r w:rsidRPr="00E362F4">
              <w:rPr>
                <w:sz w:val="20"/>
                <w:szCs w:val="20"/>
              </w:rPr>
              <w:t>16,86</w:t>
            </w:r>
          </w:p>
        </w:tc>
        <w:tc>
          <w:tcPr>
            <w:tcW w:w="1828" w:type="dxa"/>
            <w:vMerge/>
            <w:shd w:val="clear" w:color="auto" w:fill="auto"/>
            <w:vAlign w:val="center"/>
          </w:tcPr>
          <w:p w14:paraId="68AD3287" w14:textId="77777777" w:rsidR="009B7D1B" w:rsidRPr="00E362F4" w:rsidRDefault="009B7D1B" w:rsidP="00B0565E">
            <w:pPr>
              <w:jc w:val="center"/>
              <w:rPr>
                <w:sz w:val="20"/>
                <w:szCs w:val="20"/>
              </w:rPr>
            </w:pPr>
          </w:p>
        </w:tc>
        <w:tc>
          <w:tcPr>
            <w:tcW w:w="938" w:type="dxa"/>
            <w:vMerge/>
            <w:shd w:val="clear" w:color="auto" w:fill="auto"/>
            <w:vAlign w:val="center"/>
          </w:tcPr>
          <w:p w14:paraId="577863BF" w14:textId="77777777" w:rsidR="009B7D1B" w:rsidRPr="00E362F4" w:rsidRDefault="009B7D1B" w:rsidP="00B0565E">
            <w:pPr>
              <w:jc w:val="center"/>
              <w:rPr>
                <w:sz w:val="20"/>
                <w:szCs w:val="20"/>
              </w:rPr>
            </w:pPr>
          </w:p>
        </w:tc>
        <w:tc>
          <w:tcPr>
            <w:tcW w:w="1061" w:type="dxa"/>
            <w:vMerge/>
            <w:shd w:val="clear" w:color="auto" w:fill="auto"/>
            <w:vAlign w:val="center"/>
          </w:tcPr>
          <w:p w14:paraId="40977625" w14:textId="77777777" w:rsidR="009B7D1B" w:rsidRPr="00E362F4" w:rsidRDefault="009B7D1B" w:rsidP="00B0565E">
            <w:pPr>
              <w:jc w:val="center"/>
              <w:rPr>
                <w:sz w:val="20"/>
                <w:szCs w:val="20"/>
              </w:rPr>
            </w:pPr>
          </w:p>
        </w:tc>
      </w:tr>
      <w:tr w:rsidR="00C16625" w:rsidRPr="00E362F4" w14:paraId="1B84AAB5" w14:textId="77777777" w:rsidTr="0075480F">
        <w:trPr>
          <w:trHeight w:val="20"/>
          <w:jc w:val="center"/>
        </w:trPr>
        <w:tc>
          <w:tcPr>
            <w:tcW w:w="1276" w:type="dxa"/>
            <w:vMerge/>
            <w:shd w:val="clear" w:color="auto" w:fill="auto"/>
            <w:vAlign w:val="center"/>
          </w:tcPr>
          <w:p w14:paraId="3F9729C7" w14:textId="77777777" w:rsidR="009B7D1B" w:rsidRPr="00E362F4" w:rsidRDefault="009B7D1B" w:rsidP="00B0565E">
            <w:pPr>
              <w:jc w:val="center"/>
              <w:rPr>
                <w:sz w:val="20"/>
                <w:szCs w:val="20"/>
              </w:rPr>
            </w:pPr>
          </w:p>
        </w:tc>
        <w:tc>
          <w:tcPr>
            <w:tcW w:w="2068" w:type="dxa"/>
            <w:shd w:val="clear" w:color="auto" w:fill="auto"/>
          </w:tcPr>
          <w:p w14:paraId="252A7CC1" w14:textId="77777777" w:rsidR="009B7D1B" w:rsidRPr="00E362F4" w:rsidRDefault="009B7D1B" w:rsidP="00B0565E">
            <w:pPr>
              <w:rPr>
                <w:sz w:val="20"/>
                <w:szCs w:val="20"/>
              </w:rPr>
            </w:pPr>
            <w:r w:rsidRPr="00E362F4">
              <w:rPr>
                <w:sz w:val="20"/>
                <w:szCs w:val="20"/>
              </w:rPr>
              <w:t>Satisfied with the purchase decision</w:t>
            </w:r>
          </w:p>
        </w:tc>
        <w:tc>
          <w:tcPr>
            <w:tcW w:w="961" w:type="dxa"/>
            <w:shd w:val="clear" w:color="auto" w:fill="auto"/>
            <w:vAlign w:val="center"/>
          </w:tcPr>
          <w:p w14:paraId="6A00BA33" w14:textId="77777777" w:rsidR="009B7D1B" w:rsidRPr="00E362F4" w:rsidRDefault="009B7D1B" w:rsidP="00B0565E">
            <w:pPr>
              <w:jc w:val="center"/>
              <w:rPr>
                <w:sz w:val="20"/>
                <w:szCs w:val="20"/>
              </w:rPr>
            </w:pPr>
            <w:r w:rsidRPr="00E362F4">
              <w:rPr>
                <w:sz w:val="20"/>
                <w:szCs w:val="20"/>
              </w:rPr>
              <w:t>0,797</w:t>
            </w:r>
          </w:p>
        </w:tc>
        <w:tc>
          <w:tcPr>
            <w:tcW w:w="1034" w:type="dxa"/>
            <w:shd w:val="clear" w:color="auto" w:fill="auto"/>
            <w:vAlign w:val="center"/>
          </w:tcPr>
          <w:p w14:paraId="38F4184F" w14:textId="77777777" w:rsidR="009B7D1B" w:rsidRPr="00E362F4" w:rsidRDefault="009B7D1B" w:rsidP="00B0565E">
            <w:pPr>
              <w:jc w:val="center"/>
              <w:rPr>
                <w:sz w:val="20"/>
                <w:szCs w:val="20"/>
              </w:rPr>
            </w:pPr>
            <w:r w:rsidRPr="00E362F4">
              <w:rPr>
                <w:sz w:val="20"/>
                <w:szCs w:val="20"/>
              </w:rPr>
              <w:t>18,32</w:t>
            </w:r>
          </w:p>
        </w:tc>
        <w:tc>
          <w:tcPr>
            <w:tcW w:w="1828" w:type="dxa"/>
            <w:vMerge/>
            <w:shd w:val="clear" w:color="auto" w:fill="auto"/>
            <w:vAlign w:val="center"/>
          </w:tcPr>
          <w:p w14:paraId="07556A1E" w14:textId="77777777" w:rsidR="009B7D1B" w:rsidRPr="00E362F4" w:rsidRDefault="009B7D1B" w:rsidP="00B0565E">
            <w:pPr>
              <w:jc w:val="center"/>
              <w:rPr>
                <w:sz w:val="20"/>
                <w:szCs w:val="20"/>
              </w:rPr>
            </w:pPr>
          </w:p>
        </w:tc>
        <w:tc>
          <w:tcPr>
            <w:tcW w:w="938" w:type="dxa"/>
            <w:vMerge/>
            <w:shd w:val="clear" w:color="auto" w:fill="auto"/>
            <w:vAlign w:val="center"/>
          </w:tcPr>
          <w:p w14:paraId="72D4A516" w14:textId="77777777" w:rsidR="009B7D1B" w:rsidRPr="00E362F4" w:rsidRDefault="009B7D1B" w:rsidP="00B0565E">
            <w:pPr>
              <w:jc w:val="center"/>
              <w:rPr>
                <w:sz w:val="20"/>
                <w:szCs w:val="20"/>
              </w:rPr>
            </w:pPr>
          </w:p>
        </w:tc>
        <w:tc>
          <w:tcPr>
            <w:tcW w:w="1061" w:type="dxa"/>
            <w:vMerge/>
            <w:shd w:val="clear" w:color="auto" w:fill="auto"/>
            <w:vAlign w:val="center"/>
          </w:tcPr>
          <w:p w14:paraId="62CE32ED" w14:textId="77777777" w:rsidR="009B7D1B" w:rsidRPr="00E362F4" w:rsidRDefault="009B7D1B" w:rsidP="00B0565E">
            <w:pPr>
              <w:jc w:val="center"/>
              <w:rPr>
                <w:sz w:val="20"/>
                <w:szCs w:val="20"/>
              </w:rPr>
            </w:pPr>
          </w:p>
        </w:tc>
      </w:tr>
      <w:tr w:rsidR="00C16625" w:rsidRPr="00E362F4" w14:paraId="09E7448F" w14:textId="77777777" w:rsidTr="0075480F">
        <w:trPr>
          <w:trHeight w:val="20"/>
          <w:jc w:val="center"/>
        </w:trPr>
        <w:tc>
          <w:tcPr>
            <w:tcW w:w="1276" w:type="dxa"/>
            <w:vMerge/>
            <w:shd w:val="clear" w:color="auto" w:fill="auto"/>
            <w:vAlign w:val="center"/>
          </w:tcPr>
          <w:p w14:paraId="4B9597DA" w14:textId="77777777" w:rsidR="009B7D1B" w:rsidRPr="00E362F4" w:rsidRDefault="009B7D1B" w:rsidP="00B0565E">
            <w:pPr>
              <w:jc w:val="center"/>
              <w:rPr>
                <w:sz w:val="20"/>
                <w:szCs w:val="20"/>
              </w:rPr>
            </w:pPr>
          </w:p>
        </w:tc>
        <w:tc>
          <w:tcPr>
            <w:tcW w:w="2068" w:type="dxa"/>
            <w:shd w:val="clear" w:color="auto" w:fill="auto"/>
          </w:tcPr>
          <w:p w14:paraId="44EF6594" w14:textId="77777777" w:rsidR="009B7D1B" w:rsidRPr="00E362F4" w:rsidRDefault="009B7D1B" w:rsidP="00B0565E">
            <w:pPr>
              <w:rPr>
                <w:sz w:val="20"/>
                <w:szCs w:val="20"/>
              </w:rPr>
            </w:pPr>
            <w:r w:rsidRPr="00E362F4">
              <w:rPr>
                <w:sz w:val="20"/>
                <w:szCs w:val="20"/>
              </w:rPr>
              <w:t>Satisfied with product’s environmental contribution</w:t>
            </w:r>
          </w:p>
        </w:tc>
        <w:tc>
          <w:tcPr>
            <w:tcW w:w="961" w:type="dxa"/>
            <w:shd w:val="clear" w:color="auto" w:fill="auto"/>
            <w:vAlign w:val="center"/>
          </w:tcPr>
          <w:p w14:paraId="2F18C15F" w14:textId="77777777" w:rsidR="009B7D1B" w:rsidRPr="00E362F4" w:rsidRDefault="009B7D1B" w:rsidP="00B0565E">
            <w:pPr>
              <w:jc w:val="center"/>
              <w:rPr>
                <w:sz w:val="20"/>
                <w:szCs w:val="20"/>
              </w:rPr>
            </w:pPr>
            <w:r w:rsidRPr="00E362F4">
              <w:rPr>
                <w:sz w:val="20"/>
                <w:szCs w:val="20"/>
              </w:rPr>
              <w:t>0,737</w:t>
            </w:r>
          </w:p>
        </w:tc>
        <w:tc>
          <w:tcPr>
            <w:tcW w:w="1034" w:type="dxa"/>
            <w:shd w:val="clear" w:color="auto" w:fill="auto"/>
            <w:vAlign w:val="center"/>
          </w:tcPr>
          <w:p w14:paraId="63BF34D9" w14:textId="77777777" w:rsidR="009B7D1B" w:rsidRPr="00E362F4" w:rsidRDefault="009B7D1B" w:rsidP="00B0565E">
            <w:pPr>
              <w:jc w:val="center"/>
              <w:rPr>
                <w:sz w:val="20"/>
                <w:szCs w:val="20"/>
              </w:rPr>
            </w:pPr>
            <w:r w:rsidRPr="00E362F4">
              <w:rPr>
                <w:sz w:val="20"/>
                <w:szCs w:val="20"/>
              </w:rPr>
              <w:t>16,37</w:t>
            </w:r>
          </w:p>
        </w:tc>
        <w:tc>
          <w:tcPr>
            <w:tcW w:w="1828" w:type="dxa"/>
            <w:vMerge/>
            <w:shd w:val="clear" w:color="auto" w:fill="auto"/>
            <w:vAlign w:val="center"/>
          </w:tcPr>
          <w:p w14:paraId="395B52C8" w14:textId="77777777" w:rsidR="009B7D1B" w:rsidRPr="00E362F4" w:rsidRDefault="009B7D1B" w:rsidP="00B0565E">
            <w:pPr>
              <w:jc w:val="center"/>
              <w:rPr>
                <w:sz w:val="20"/>
                <w:szCs w:val="20"/>
              </w:rPr>
            </w:pPr>
          </w:p>
        </w:tc>
        <w:tc>
          <w:tcPr>
            <w:tcW w:w="938" w:type="dxa"/>
            <w:vMerge/>
            <w:shd w:val="clear" w:color="auto" w:fill="auto"/>
            <w:vAlign w:val="center"/>
          </w:tcPr>
          <w:p w14:paraId="7F839659" w14:textId="77777777" w:rsidR="009B7D1B" w:rsidRPr="00E362F4" w:rsidRDefault="009B7D1B" w:rsidP="00B0565E">
            <w:pPr>
              <w:jc w:val="center"/>
              <w:rPr>
                <w:sz w:val="20"/>
                <w:szCs w:val="20"/>
              </w:rPr>
            </w:pPr>
          </w:p>
        </w:tc>
        <w:tc>
          <w:tcPr>
            <w:tcW w:w="1061" w:type="dxa"/>
            <w:vMerge/>
            <w:shd w:val="clear" w:color="auto" w:fill="auto"/>
            <w:vAlign w:val="center"/>
          </w:tcPr>
          <w:p w14:paraId="762BD069" w14:textId="77777777" w:rsidR="009B7D1B" w:rsidRPr="00E362F4" w:rsidRDefault="009B7D1B" w:rsidP="00B0565E">
            <w:pPr>
              <w:jc w:val="center"/>
              <w:rPr>
                <w:sz w:val="20"/>
                <w:szCs w:val="20"/>
              </w:rPr>
            </w:pPr>
          </w:p>
        </w:tc>
      </w:tr>
      <w:tr w:rsidR="00C16625" w:rsidRPr="00E362F4" w14:paraId="0835F22A" w14:textId="77777777" w:rsidTr="0075480F">
        <w:trPr>
          <w:trHeight w:val="20"/>
          <w:jc w:val="center"/>
        </w:trPr>
        <w:tc>
          <w:tcPr>
            <w:tcW w:w="1276" w:type="dxa"/>
            <w:vMerge/>
            <w:tcBorders>
              <w:bottom w:val="single" w:sz="4" w:space="0" w:color="auto"/>
            </w:tcBorders>
            <w:shd w:val="clear" w:color="auto" w:fill="auto"/>
            <w:vAlign w:val="center"/>
          </w:tcPr>
          <w:p w14:paraId="083DD188" w14:textId="77777777" w:rsidR="009B7D1B" w:rsidRPr="00E362F4" w:rsidRDefault="009B7D1B" w:rsidP="00B0565E">
            <w:pPr>
              <w:jc w:val="center"/>
              <w:rPr>
                <w:sz w:val="20"/>
                <w:szCs w:val="20"/>
              </w:rPr>
            </w:pPr>
          </w:p>
        </w:tc>
        <w:tc>
          <w:tcPr>
            <w:tcW w:w="2068" w:type="dxa"/>
            <w:tcBorders>
              <w:bottom w:val="single" w:sz="4" w:space="0" w:color="auto"/>
            </w:tcBorders>
            <w:shd w:val="clear" w:color="auto" w:fill="auto"/>
          </w:tcPr>
          <w:p w14:paraId="469C0EFF" w14:textId="77777777" w:rsidR="009B7D1B" w:rsidRPr="00E362F4" w:rsidRDefault="009B7D1B" w:rsidP="00B0565E">
            <w:pPr>
              <w:rPr>
                <w:sz w:val="20"/>
                <w:szCs w:val="20"/>
              </w:rPr>
            </w:pPr>
            <w:r w:rsidRPr="00E362F4">
              <w:rPr>
                <w:sz w:val="20"/>
                <w:szCs w:val="20"/>
              </w:rPr>
              <w:t>Overall satisfied with the product</w:t>
            </w:r>
          </w:p>
        </w:tc>
        <w:tc>
          <w:tcPr>
            <w:tcW w:w="961" w:type="dxa"/>
            <w:tcBorders>
              <w:bottom w:val="single" w:sz="4" w:space="0" w:color="auto"/>
            </w:tcBorders>
            <w:shd w:val="clear" w:color="auto" w:fill="auto"/>
            <w:vAlign w:val="center"/>
          </w:tcPr>
          <w:p w14:paraId="6BF81624" w14:textId="77777777" w:rsidR="009B7D1B" w:rsidRPr="00E362F4" w:rsidRDefault="009B7D1B" w:rsidP="00B0565E">
            <w:pPr>
              <w:jc w:val="center"/>
              <w:rPr>
                <w:sz w:val="20"/>
                <w:szCs w:val="20"/>
              </w:rPr>
            </w:pPr>
            <w:r w:rsidRPr="00E362F4">
              <w:rPr>
                <w:sz w:val="20"/>
                <w:szCs w:val="20"/>
              </w:rPr>
              <w:t>0,791</w:t>
            </w:r>
          </w:p>
        </w:tc>
        <w:tc>
          <w:tcPr>
            <w:tcW w:w="1034" w:type="dxa"/>
            <w:tcBorders>
              <w:bottom w:val="single" w:sz="4" w:space="0" w:color="auto"/>
            </w:tcBorders>
            <w:shd w:val="clear" w:color="auto" w:fill="auto"/>
            <w:vAlign w:val="center"/>
          </w:tcPr>
          <w:p w14:paraId="27764430" w14:textId="77777777" w:rsidR="009B7D1B" w:rsidRPr="00E362F4" w:rsidRDefault="009B7D1B" w:rsidP="00B0565E">
            <w:pPr>
              <w:jc w:val="center"/>
              <w:rPr>
                <w:sz w:val="20"/>
                <w:szCs w:val="20"/>
              </w:rPr>
            </w:pPr>
            <w:r w:rsidRPr="00E362F4">
              <w:rPr>
                <w:sz w:val="20"/>
                <w:szCs w:val="20"/>
              </w:rPr>
              <w:t>18,12</w:t>
            </w:r>
          </w:p>
        </w:tc>
        <w:tc>
          <w:tcPr>
            <w:tcW w:w="1828" w:type="dxa"/>
            <w:vMerge/>
            <w:tcBorders>
              <w:bottom w:val="single" w:sz="4" w:space="0" w:color="auto"/>
            </w:tcBorders>
            <w:shd w:val="clear" w:color="auto" w:fill="auto"/>
            <w:vAlign w:val="center"/>
          </w:tcPr>
          <w:p w14:paraId="7F22A87F" w14:textId="77777777" w:rsidR="009B7D1B" w:rsidRPr="00E362F4" w:rsidRDefault="009B7D1B" w:rsidP="00B0565E">
            <w:pPr>
              <w:jc w:val="center"/>
              <w:rPr>
                <w:sz w:val="20"/>
                <w:szCs w:val="20"/>
              </w:rPr>
            </w:pPr>
          </w:p>
        </w:tc>
        <w:tc>
          <w:tcPr>
            <w:tcW w:w="938" w:type="dxa"/>
            <w:vMerge/>
            <w:tcBorders>
              <w:bottom w:val="single" w:sz="4" w:space="0" w:color="auto"/>
            </w:tcBorders>
            <w:shd w:val="clear" w:color="auto" w:fill="auto"/>
            <w:vAlign w:val="center"/>
          </w:tcPr>
          <w:p w14:paraId="6FA6FFC7" w14:textId="77777777" w:rsidR="009B7D1B" w:rsidRPr="00E362F4" w:rsidRDefault="009B7D1B" w:rsidP="00B0565E">
            <w:pPr>
              <w:jc w:val="center"/>
              <w:rPr>
                <w:sz w:val="20"/>
                <w:szCs w:val="20"/>
              </w:rPr>
            </w:pPr>
          </w:p>
        </w:tc>
        <w:tc>
          <w:tcPr>
            <w:tcW w:w="1061" w:type="dxa"/>
            <w:vMerge/>
            <w:tcBorders>
              <w:bottom w:val="single" w:sz="4" w:space="0" w:color="auto"/>
            </w:tcBorders>
            <w:shd w:val="clear" w:color="auto" w:fill="auto"/>
            <w:vAlign w:val="center"/>
          </w:tcPr>
          <w:p w14:paraId="74AF6801" w14:textId="77777777" w:rsidR="009B7D1B" w:rsidRPr="00E362F4" w:rsidRDefault="009B7D1B" w:rsidP="00B0565E">
            <w:pPr>
              <w:jc w:val="center"/>
              <w:rPr>
                <w:sz w:val="20"/>
                <w:szCs w:val="20"/>
              </w:rPr>
            </w:pPr>
          </w:p>
        </w:tc>
      </w:tr>
      <w:tr w:rsidR="00C16625" w:rsidRPr="00E362F4" w14:paraId="636A52B9" w14:textId="77777777" w:rsidTr="0075480F">
        <w:trPr>
          <w:trHeight w:val="20"/>
          <w:jc w:val="center"/>
        </w:trPr>
        <w:tc>
          <w:tcPr>
            <w:tcW w:w="1276" w:type="dxa"/>
            <w:vMerge w:val="restart"/>
            <w:tcBorders>
              <w:top w:val="single" w:sz="4" w:space="0" w:color="auto"/>
              <w:bottom w:val="single" w:sz="4" w:space="0" w:color="auto"/>
            </w:tcBorders>
            <w:shd w:val="clear" w:color="auto" w:fill="auto"/>
            <w:vAlign w:val="center"/>
          </w:tcPr>
          <w:p w14:paraId="1897FC38" w14:textId="77777777" w:rsidR="009B7D1B" w:rsidRPr="00E362F4" w:rsidRDefault="009B7D1B" w:rsidP="00B0565E">
            <w:pPr>
              <w:jc w:val="center"/>
              <w:rPr>
                <w:sz w:val="20"/>
                <w:szCs w:val="20"/>
              </w:rPr>
            </w:pPr>
            <w:r w:rsidRPr="00E362F4">
              <w:rPr>
                <w:sz w:val="20"/>
                <w:szCs w:val="20"/>
              </w:rPr>
              <w:t>Green Loyalty (Z)</w:t>
            </w:r>
          </w:p>
        </w:tc>
        <w:tc>
          <w:tcPr>
            <w:tcW w:w="2068" w:type="dxa"/>
            <w:tcBorders>
              <w:top w:val="single" w:sz="4" w:space="0" w:color="auto"/>
              <w:bottom w:val="nil"/>
            </w:tcBorders>
            <w:shd w:val="clear" w:color="auto" w:fill="auto"/>
          </w:tcPr>
          <w:p w14:paraId="19B3A459" w14:textId="77777777" w:rsidR="009B7D1B" w:rsidRPr="00E362F4" w:rsidRDefault="009B7D1B" w:rsidP="00B0565E">
            <w:pPr>
              <w:rPr>
                <w:sz w:val="20"/>
                <w:szCs w:val="20"/>
              </w:rPr>
            </w:pPr>
            <w:r w:rsidRPr="00E362F4">
              <w:rPr>
                <w:sz w:val="20"/>
                <w:szCs w:val="20"/>
              </w:rPr>
              <w:t>Repeat Purchase</w:t>
            </w:r>
          </w:p>
        </w:tc>
        <w:tc>
          <w:tcPr>
            <w:tcW w:w="961" w:type="dxa"/>
            <w:tcBorders>
              <w:top w:val="single" w:sz="4" w:space="0" w:color="auto"/>
              <w:bottom w:val="nil"/>
            </w:tcBorders>
            <w:shd w:val="clear" w:color="auto" w:fill="auto"/>
            <w:vAlign w:val="center"/>
          </w:tcPr>
          <w:p w14:paraId="1BB4A00F" w14:textId="77777777" w:rsidR="009B7D1B" w:rsidRPr="00E362F4" w:rsidRDefault="009B7D1B" w:rsidP="00B0565E">
            <w:pPr>
              <w:jc w:val="center"/>
              <w:rPr>
                <w:sz w:val="20"/>
                <w:szCs w:val="20"/>
              </w:rPr>
            </w:pPr>
            <w:r w:rsidRPr="00E362F4">
              <w:rPr>
                <w:sz w:val="20"/>
                <w:szCs w:val="20"/>
              </w:rPr>
              <w:t>0,728</w:t>
            </w:r>
          </w:p>
        </w:tc>
        <w:tc>
          <w:tcPr>
            <w:tcW w:w="1034" w:type="dxa"/>
            <w:tcBorders>
              <w:top w:val="single" w:sz="4" w:space="0" w:color="auto"/>
              <w:bottom w:val="nil"/>
            </w:tcBorders>
            <w:shd w:val="clear" w:color="auto" w:fill="auto"/>
            <w:vAlign w:val="center"/>
          </w:tcPr>
          <w:p w14:paraId="7B6D1BFD" w14:textId="77777777" w:rsidR="009B7D1B" w:rsidRPr="00E362F4" w:rsidRDefault="009B7D1B" w:rsidP="00B0565E">
            <w:pPr>
              <w:jc w:val="center"/>
              <w:rPr>
                <w:sz w:val="20"/>
                <w:szCs w:val="20"/>
              </w:rPr>
            </w:pPr>
            <w:r w:rsidRPr="00E362F4">
              <w:rPr>
                <w:sz w:val="20"/>
                <w:szCs w:val="20"/>
              </w:rPr>
              <w:t>15,79</w:t>
            </w:r>
          </w:p>
        </w:tc>
        <w:tc>
          <w:tcPr>
            <w:tcW w:w="1828" w:type="dxa"/>
            <w:vMerge w:val="restart"/>
            <w:tcBorders>
              <w:top w:val="single" w:sz="4" w:space="0" w:color="auto"/>
              <w:bottom w:val="nil"/>
            </w:tcBorders>
            <w:shd w:val="clear" w:color="auto" w:fill="auto"/>
            <w:vAlign w:val="center"/>
          </w:tcPr>
          <w:p w14:paraId="23D7B020" w14:textId="650D4FAE" w:rsidR="009B7D1B" w:rsidRPr="00E362F4" w:rsidRDefault="006F483C" w:rsidP="00B0565E">
            <w:pPr>
              <w:jc w:val="center"/>
              <w:rPr>
                <w:sz w:val="20"/>
                <w:szCs w:val="20"/>
              </w:rPr>
            </w:pPr>
            <w:r w:rsidRPr="006F483C">
              <w:fldChar w:fldCharType="begin" w:fldLock="1"/>
            </w:r>
            <w:r w:rsidR="009B7351">
              <w:rPr>
                <w:sz w:val="20"/>
                <w:szCs w:val="20"/>
              </w:rPr>
              <w:instrText>ADDIN CSL_CITATION {"citationItems":[{"id":"ITEM-1","itemData":{"DOI":"10.5937/turizam24-23444","ISSN":"1450-6661","abstract":"… Journal of marketing 65 (1), 71–89. Alexandris, K., Kouthouris, C., Meligdis, A., 2006. Increasing consumers' loyalty in a skiing resort: the contribution of place attachment and service quality. International journal of contemporary hospitality management 18 (5), 414–425 …","author":[{"dropping-particle":"","family":"Bekar","given":"Aydan","non-dropping-particle":"","parse-names":false,"suffix":""},{"dropping-particle":"","family":"Durmaz","given":"Şükran","non-dropping-particle":"","parse-names":false,"suffix":""},{"dropping-particle":"","family":"Yozukmaz","given":"Nisan","non-dropping-particle":"","parse-names":false,"suffix":""}],"container-title":"Turizam","id":"ITEM-1","issue":"1","issued":{"date-parts":[["2020"]]},"page":"33-45","title":"The effect of green practices on emotional attachment and green loyalty of coffee shop consumers (Turkey)","type":"article-journal","volume":"24"},"uris":["http://www.mendeley.com/documents/?uuid=6d89809e-3a8a-499c-8114-2bbf33b8cc69"]},{"id":"ITEM-2","itemData":{"DOI":"10.2991/978-2-494069-99-2_33","ISBN":"9782494069992","abstract":"Environment-friendly attitude contributes greatly to green marketing. Accordingly, this research endeavours to comprehensively understand the factors affecting green customer loyalty. Specifically, a research model was developed linking green product quality, green corporate image, green trust, green customer satisfaction and green customer loyalty. Data pertaining to Bonaqua, a bottled water brand in Hong Kong, were collected using an online survey questionnaire, with customers returning 188 valid responses. Data analysis showed that there is a significant positive relationship in the consumers’ satisfaction-loyalty link. Green product quality, green corporate image and green trust are significantly and directly correlatedwith green customer satisfaction, but they non-significantly affect green customer loyalty. The findings of this research contribute to the practical and theoretical understanding of the impact of environment-friendly attitudes on green customer satisfaction and loyalty.","author":[{"dropping-particle":"","family":"Wong","given":"Chi Bo","non-dropping-particle":"","parse-names":false,"suffix":""},{"dropping-particle":"","family":"Law","given":"Monica","non-dropping-particle":"","parse-names":false,"suffix":""},{"dropping-particle":"","family":"Wu","given":"Wing Chi Branda","non-dropping-particle":"","parse-names":false,"suffix":""}],"id":"ITEM-2","issued":{"date-parts":[["2023"]]},"number-of-pages":"447-462","publisher":"Atlantis Press SARL","title":"Determinants of Customer Loyalty: A Green Marketing Perspective","type":"book","volume":"2050"},"uris":["http://www.mendeley.com/documents/?uuid=d6bba85d-56d0-48da-af78-3331c54e144e"]},{"id":"ITEM-3","itemData":{"DOI":"10.1016/j.jclepro.2020.120844","ISSN":"09596526","abstract":"The rise of pollution due to massive use of plastic products has increased public awareness in environmental protection through the increased consumption of eco-friendly plastic products. However, as its cost of production is expensive, the consumption of eco-friendly plastic product is low. In this business environment, understanding and developing a strategy to create customer loyalty is a key factor to ensure business success. Driven by this research gap, this study is intended to gain a comprehensive understanding of loyalty formation towards eco-friendly plastic products by integrating the trust and perceived risk in the loyalty model. This study used data collected through the distribution of questionnaires to 400 consumers of eco-friendly plastic products in Bandung, Indonesia. This research used partial least squares structural equation modelling to examine the hypotheses proposed. The results note that the integration of green trust and green perceived risk in the Quality-Loyalty Model can increase the prediction of loyalty towards eco-friendly plastic products. Further, this research reveals that green perceived quality and green perceived value are the main drivers of loyalty towards eco-friendly plastic product. The identified relationships between the variables provide a guide for eco-friendly business players to enhance their innovative and competitive capabilities as well as encourage them to face the environmental challenges.","author":[{"dropping-particle":"","family":"Pahlevi","given":"Mohamad Reza","non-dropping-particle":"","parse-names":false,"suffix":""},{"dropping-particle":"","family":"Suhartanto","given":"Dwi","non-dropping-particle":"","parse-names":false,"suffix":""}],"container-title":"Journal of Cleaner Production","id":"ITEM-3","issued":{"date-parts":[["2020"]]},"page":"120844","publisher":"Elsevier Ltd","title":"The integrated model of green loyalty: Evidence from eco-friendly plastic products","type":"article-journal","volume":"257"},"uris":["http://www.mendeley.com/documents/?uuid=be13e501-28ff-49c2-abb8-b0741f2520d9"]},{"id":"ITEM-4","itemData":{"abstract":"Sustainability is an issue that must be paid attention to by various sectors of life, including the marketing sector, which is mentioned as Green marketing. This research wants to explore the role of green marketing in customer satisfaction and loyalty, as well as its role in environmental awareness. Reflecting on previous research, this research uses quantitative descriptive by distributing structured questionnaires, with non-probability purposive sampling with a total of 206 respondents in the capital area, with the category being consumers of FMCG products. This research offers a novelty on how green marketing influences environmental and social concerns. Most research on green marketing was conducted in developed countries, but this research was conducted in developing countries in Indonesia. The findings show that Green Marketing significantly influences consumers in terms of satisfaction and loyalty variables, and has a significant effect on social responsibility and environmental safety, moreover, it influences on product innovation and development. This study seeks to unravel the intricacies of how eco-conscious marketing strategies affect not only consumer contentment but also the environment. This conscious consumer behaviour, particularly among FMCG consumers in Indonesia, underscores the significance of these green aspects in shaping their satisfaction and fostering loyalty, despite potential price increases. Companies must prioritize eco-friendly product development, emphasize sustainability, and effectively communicate their green initiatives to succeed in this landscape. It's evident that consumers today no longer base their purchases solely on personal needs but consider the broader environmental and social impacts, urging marketers to embrace sustainability and responsible practices in their strategies.\nKeywords: Customer Satisfaction; Customer Loyalty; Environmental Safety; Green Marketing; Sustainability","author":[{"dropping-particle":"","family":"Mudrika","given":"Siti","non-dropping-particle":"","parse-names":false,"suffix":""},{"dropping-particle":"","family":"Suharjo","given":"Diyono","non-dropping-particle":"","parse-names":false,"suffix":""},{"dropping-particle":"","family":"Deni","given":"","non-dropping-particle":"","parse-names":false,"suffix":""},{"dropping-particle":"","family":"Wiadi","given":"Iyus","non-dropping-particle":"","parse-names":false,"suffix":""}],"container-title":"International Journal of Multicultural and Multireligious Understanding","id":"ITEM-4","issue":"2","issued":{"date-parts":[["2024"]]},"page":"97-112","title":"Sustainability in Marketing: Exploring the Impact of Green Marketing on Environmental Concern and Customer Satisfaction","type":"article-journal","volume":"11"},"uris":["http://www.mendeley.com/documents/?uuid=3acbbe3d-4efd-4b15-8c22-b99680acf0d1"]}],"mendeley":{"formattedCitation":"(Bekar et al., 2020; Mudrika et al., 2024; Pahlevi &amp; Suhartanto, 2020; Wong et al., 2023)","manualFormatting":"Bekar et al. (2020); Mudrika et al. (2024); Pahlevi &amp; Suhartanto (2020); Wong et al. (2023)","plainTextFormattedCitation":"(Bekar et al., 2020; Mudrika et al., 2024; Pahlevi &amp; Suhartanto, 2020; Wong et al., 2023)","previouslyFormattedCitation":"(Bekar et al., 2020; Mudrika et al., 2024; Pahlevi &amp; Suhartanto, 2020; Wong et al., 2023)"},"properties":{"noteIndex":0},"schema":"https://github.com/citation-style-language/schema/raw/master/csl-citation.json"}</w:instrText>
            </w:r>
            <w:r w:rsidRPr="006F483C">
              <w:fldChar w:fldCharType="separate"/>
            </w:r>
            <w:r w:rsidRPr="006F483C">
              <w:rPr>
                <w:noProof/>
                <w:sz w:val="20"/>
                <w:szCs w:val="20"/>
              </w:rPr>
              <w:t>Bekar et al.</w:t>
            </w:r>
            <w:r>
              <w:rPr>
                <w:noProof/>
                <w:sz w:val="20"/>
                <w:szCs w:val="20"/>
              </w:rPr>
              <w:t xml:space="preserve"> (</w:t>
            </w:r>
            <w:r w:rsidRPr="006F483C">
              <w:rPr>
                <w:noProof/>
                <w:sz w:val="20"/>
                <w:szCs w:val="20"/>
              </w:rPr>
              <w:t>2020</w:t>
            </w:r>
            <w:r>
              <w:rPr>
                <w:noProof/>
                <w:sz w:val="20"/>
                <w:szCs w:val="20"/>
              </w:rPr>
              <w:t>)</w:t>
            </w:r>
            <w:r w:rsidRPr="006F483C">
              <w:rPr>
                <w:noProof/>
                <w:sz w:val="20"/>
                <w:szCs w:val="20"/>
              </w:rPr>
              <w:t xml:space="preserve">; Mudrika et al. </w:t>
            </w:r>
            <w:r w:rsidR="001C6D61">
              <w:rPr>
                <w:noProof/>
                <w:sz w:val="20"/>
                <w:szCs w:val="20"/>
              </w:rPr>
              <w:t>(</w:t>
            </w:r>
            <w:r w:rsidRPr="006F483C">
              <w:rPr>
                <w:noProof/>
                <w:sz w:val="20"/>
                <w:szCs w:val="20"/>
              </w:rPr>
              <w:t>2024</w:t>
            </w:r>
            <w:r w:rsidR="001C6D61">
              <w:rPr>
                <w:noProof/>
                <w:sz w:val="20"/>
                <w:szCs w:val="20"/>
              </w:rPr>
              <w:t>)</w:t>
            </w:r>
            <w:r w:rsidRPr="006F483C">
              <w:rPr>
                <w:noProof/>
                <w:sz w:val="20"/>
                <w:szCs w:val="20"/>
              </w:rPr>
              <w:t xml:space="preserve">; Pahlevi &amp; Suhartanto </w:t>
            </w:r>
            <w:r w:rsidR="001C6D61">
              <w:rPr>
                <w:noProof/>
                <w:sz w:val="20"/>
                <w:szCs w:val="20"/>
              </w:rPr>
              <w:t>(</w:t>
            </w:r>
            <w:r w:rsidRPr="006F483C">
              <w:rPr>
                <w:noProof/>
                <w:sz w:val="20"/>
                <w:szCs w:val="20"/>
              </w:rPr>
              <w:t>2020</w:t>
            </w:r>
            <w:r w:rsidR="001C6D61">
              <w:rPr>
                <w:noProof/>
                <w:sz w:val="20"/>
                <w:szCs w:val="20"/>
              </w:rPr>
              <w:t>)</w:t>
            </w:r>
            <w:r w:rsidRPr="006F483C">
              <w:rPr>
                <w:noProof/>
                <w:sz w:val="20"/>
                <w:szCs w:val="20"/>
              </w:rPr>
              <w:t xml:space="preserve">; Wong et al. </w:t>
            </w:r>
            <w:r w:rsidR="001C6D61">
              <w:rPr>
                <w:noProof/>
                <w:sz w:val="20"/>
                <w:szCs w:val="20"/>
              </w:rPr>
              <w:t>(</w:t>
            </w:r>
            <w:r w:rsidRPr="006F483C">
              <w:rPr>
                <w:noProof/>
                <w:sz w:val="20"/>
                <w:szCs w:val="20"/>
              </w:rPr>
              <w:t>2023)</w:t>
            </w:r>
            <w:r w:rsidRPr="006F483C">
              <w:fldChar w:fldCharType="end"/>
            </w:r>
          </w:p>
        </w:tc>
        <w:tc>
          <w:tcPr>
            <w:tcW w:w="938" w:type="dxa"/>
            <w:vMerge w:val="restart"/>
            <w:tcBorders>
              <w:top w:val="single" w:sz="4" w:space="0" w:color="auto"/>
              <w:bottom w:val="nil"/>
            </w:tcBorders>
            <w:shd w:val="clear" w:color="auto" w:fill="auto"/>
            <w:vAlign w:val="center"/>
          </w:tcPr>
          <w:p w14:paraId="248C6ECE" w14:textId="77777777" w:rsidR="009B7D1B" w:rsidRPr="00E362F4" w:rsidRDefault="009B7D1B" w:rsidP="00B0565E">
            <w:pPr>
              <w:jc w:val="center"/>
              <w:rPr>
                <w:sz w:val="20"/>
                <w:szCs w:val="20"/>
              </w:rPr>
            </w:pPr>
            <w:r w:rsidRPr="00E362F4">
              <w:rPr>
                <w:sz w:val="20"/>
                <w:szCs w:val="20"/>
              </w:rPr>
              <w:t>0,526</w:t>
            </w:r>
          </w:p>
        </w:tc>
        <w:tc>
          <w:tcPr>
            <w:tcW w:w="1061" w:type="dxa"/>
            <w:vMerge w:val="restart"/>
            <w:tcBorders>
              <w:top w:val="single" w:sz="4" w:space="0" w:color="auto"/>
              <w:bottom w:val="nil"/>
            </w:tcBorders>
            <w:shd w:val="clear" w:color="auto" w:fill="auto"/>
            <w:vAlign w:val="center"/>
          </w:tcPr>
          <w:p w14:paraId="3A838AA3" w14:textId="77777777" w:rsidR="009B7D1B" w:rsidRPr="00E362F4" w:rsidRDefault="009B7D1B" w:rsidP="00B0565E">
            <w:pPr>
              <w:jc w:val="center"/>
              <w:rPr>
                <w:sz w:val="20"/>
                <w:szCs w:val="20"/>
              </w:rPr>
            </w:pPr>
            <w:r w:rsidRPr="00E362F4">
              <w:rPr>
                <w:sz w:val="20"/>
                <w:szCs w:val="20"/>
              </w:rPr>
              <w:t>0,816</w:t>
            </w:r>
          </w:p>
        </w:tc>
      </w:tr>
      <w:tr w:rsidR="00C16625" w:rsidRPr="00E362F4" w14:paraId="0E75DDF0" w14:textId="77777777" w:rsidTr="0075480F">
        <w:trPr>
          <w:trHeight w:val="20"/>
          <w:jc w:val="center"/>
        </w:trPr>
        <w:tc>
          <w:tcPr>
            <w:tcW w:w="1276" w:type="dxa"/>
            <w:vMerge/>
            <w:tcBorders>
              <w:top w:val="nil"/>
              <w:bottom w:val="single" w:sz="4" w:space="0" w:color="auto"/>
            </w:tcBorders>
            <w:shd w:val="clear" w:color="auto" w:fill="auto"/>
            <w:vAlign w:val="center"/>
          </w:tcPr>
          <w:p w14:paraId="00F4764D" w14:textId="77777777" w:rsidR="009B7D1B" w:rsidRPr="00E362F4" w:rsidRDefault="009B7D1B" w:rsidP="00B0565E">
            <w:pPr>
              <w:jc w:val="center"/>
              <w:rPr>
                <w:sz w:val="20"/>
                <w:szCs w:val="20"/>
              </w:rPr>
            </w:pPr>
          </w:p>
        </w:tc>
        <w:tc>
          <w:tcPr>
            <w:tcW w:w="2068" w:type="dxa"/>
            <w:tcBorders>
              <w:top w:val="nil"/>
            </w:tcBorders>
            <w:shd w:val="clear" w:color="auto" w:fill="auto"/>
          </w:tcPr>
          <w:p w14:paraId="3D6B1B73" w14:textId="77777777" w:rsidR="009B7D1B" w:rsidRPr="00E362F4" w:rsidRDefault="009B7D1B" w:rsidP="00B0565E">
            <w:pPr>
              <w:rPr>
                <w:sz w:val="20"/>
                <w:szCs w:val="20"/>
              </w:rPr>
            </w:pPr>
            <w:r w:rsidRPr="00E362F4">
              <w:rPr>
                <w:sz w:val="20"/>
                <w:szCs w:val="20"/>
              </w:rPr>
              <w:t>First Decision</w:t>
            </w:r>
          </w:p>
        </w:tc>
        <w:tc>
          <w:tcPr>
            <w:tcW w:w="961" w:type="dxa"/>
            <w:tcBorders>
              <w:top w:val="nil"/>
            </w:tcBorders>
            <w:shd w:val="clear" w:color="auto" w:fill="auto"/>
            <w:vAlign w:val="center"/>
          </w:tcPr>
          <w:p w14:paraId="5108DC73" w14:textId="77777777" w:rsidR="009B7D1B" w:rsidRPr="00E362F4" w:rsidRDefault="009B7D1B" w:rsidP="00B0565E">
            <w:pPr>
              <w:jc w:val="center"/>
              <w:rPr>
                <w:sz w:val="20"/>
                <w:szCs w:val="20"/>
              </w:rPr>
            </w:pPr>
            <w:r w:rsidRPr="00E362F4">
              <w:rPr>
                <w:sz w:val="20"/>
                <w:szCs w:val="20"/>
              </w:rPr>
              <w:t>0,758</w:t>
            </w:r>
          </w:p>
        </w:tc>
        <w:tc>
          <w:tcPr>
            <w:tcW w:w="1034" w:type="dxa"/>
            <w:tcBorders>
              <w:top w:val="nil"/>
            </w:tcBorders>
            <w:shd w:val="clear" w:color="auto" w:fill="auto"/>
            <w:vAlign w:val="center"/>
          </w:tcPr>
          <w:p w14:paraId="5BFE0CA1" w14:textId="77777777" w:rsidR="009B7D1B" w:rsidRPr="00E362F4" w:rsidRDefault="009B7D1B" w:rsidP="00B0565E">
            <w:pPr>
              <w:jc w:val="center"/>
              <w:rPr>
                <w:sz w:val="20"/>
                <w:szCs w:val="20"/>
              </w:rPr>
            </w:pPr>
            <w:r w:rsidRPr="00E362F4">
              <w:rPr>
                <w:sz w:val="20"/>
                <w:szCs w:val="20"/>
              </w:rPr>
              <w:t>16,02</w:t>
            </w:r>
          </w:p>
        </w:tc>
        <w:tc>
          <w:tcPr>
            <w:tcW w:w="1828" w:type="dxa"/>
            <w:vMerge/>
            <w:tcBorders>
              <w:top w:val="nil"/>
            </w:tcBorders>
            <w:shd w:val="clear" w:color="auto" w:fill="auto"/>
            <w:vAlign w:val="center"/>
          </w:tcPr>
          <w:p w14:paraId="3C37690F" w14:textId="77777777" w:rsidR="009B7D1B" w:rsidRPr="00E362F4" w:rsidRDefault="009B7D1B" w:rsidP="00B0565E">
            <w:pPr>
              <w:jc w:val="center"/>
              <w:rPr>
                <w:sz w:val="20"/>
                <w:szCs w:val="20"/>
              </w:rPr>
            </w:pPr>
          </w:p>
        </w:tc>
        <w:tc>
          <w:tcPr>
            <w:tcW w:w="938" w:type="dxa"/>
            <w:vMerge/>
            <w:tcBorders>
              <w:top w:val="nil"/>
            </w:tcBorders>
            <w:shd w:val="clear" w:color="auto" w:fill="auto"/>
            <w:vAlign w:val="center"/>
          </w:tcPr>
          <w:p w14:paraId="34C645DB" w14:textId="77777777" w:rsidR="009B7D1B" w:rsidRPr="00E362F4" w:rsidRDefault="009B7D1B" w:rsidP="00B0565E">
            <w:pPr>
              <w:jc w:val="center"/>
              <w:rPr>
                <w:sz w:val="20"/>
                <w:szCs w:val="20"/>
              </w:rPr>
            </w:pPr>
          </w:p>
        </w:tc>
        <w:tc>
          <w:tcPr>
            <w:tcW w:w="1061" w:type="dxa"/>
            <w:vMerge/>
            <w:tcBorders>
              <w:top w:val="nil"/>
            </w:tcBorders>
            <w:shd w:val="clear" w:color="auto" w:fill="auto"/>
            <w:vAlign w:val="center"/>
          </w:tcPr>
          <w:p w14:paraId="3572C17E" w14:textId="77777777" w:rsidR="009B7D1B" w:rsidRPr="00E362F4" w:rsidRDefault="009B7D1B" w:rsidP="00B0565E">
            <w:pPr>
              <w:jc w:val="center"/>
              <w:rPr>
                <w:sz w:val="20"/>
                <w:szCs w:val="20"/>
              </w:rPr>
            </w:pPr>
          </w:p>
        </w:tc>
      </w:tr>
      <w:tr w:rsidR="00C16625" w:rsidRPr="00E362F4" w14:paraId="12381A20" w14:textId="77777777" w:rsidTr="0075480F">
        <w:trPr>
          <w:trHeight w:val="20"/>
          <w:jc w:val="center"/>
        </w:trPr>
        <w:tc>
          <w:tcPr>
            <w:tcW w:w="1276" w:type="dxa"/>
            <w:vMerge/>
            <w:tcBorders>
              <w:top w:val="nil"/>
              <w:bottom w:val="single" w:sz="4" w:space="0" w:color="auto"/>
            </w:tcBorders>
            <w:shd w:val="clear" w:color="auto" w:fill="auto"/>
            <w:vAlign w:val="center"/>
          </w:tcPr>
          <w:p w14:paraId="5ACFE786" w14:textId="77777777" w:rsidR="009B7D1B" w:rsidRPr="00E362F4" w:rsidRDefault="009B7D1B" w:rsidP="00B0565E">
            <w:pPr>
              <w:jc w:val="center"/>
              <w:rPr>
                <w:sz w:val="20"/>
                <w:szCs w:val="20"/>
              </w:rPr>
            </w:pPr>
          </w:p>
        </w:tc>
        <w:tc>
          <w:tcPr>
            <w:tcW w:w="2068" w:type="dxa"/>
            <w:shd w:val="clear" w:color="auto" w:fill="auto"/>
          </w:tcPr>
          <w:p w14:paraId="74F1E761" w14:textId="77777777" w:rsidR="009B7D1B" w:rsidRPr="00E362F4" w:rsidRDefault="009B7D1B" w:rsidP="00B0565E">
            <w:pPr>
              <w:rPr>
                <w:sz w:val="20"/>
                <w:szCs w:val="20"/>
              </w:rPr>
            </w:pPr>
            <w:r w:rsidRPr="00E362F4">
              <w:rPr>
                <w:sz w:val="20"/>
                <w:szCs w:val="20"/>
              </w:rPr>
              <w:t>Recommendation</w:t>
            </w:r>
          </w:p>
        </w:tc>
        <w:tc>
          <w:tcPr>
            <w:tcW w:w="961" w:type="dxa"/>
            <w:shd w:val="clear" w:color="auto" w:fill="auto"/>
            <w:vAlign w:val="center"/>
          </w:tcPr>
          <w:p w14:paraId="7F465D0F" w14:textId="77777777" w:rsidR="009B7D1B" w:rsidRPr="00E362F4" w:rsidRDefault="009B7D1B" w:rsidP="00B0565E">
            <w:pPr>
              <w:jc w:val="center"/>
              <w:rPr>
                <w:sz w:val="20"/>
                <w:szCs w:val="20"/>
              </w:rPr>
            </w:pPr>
            <w:r w:rsidRPr="00E362F4">
              <w:rPr>
                <w:sz w:val="20"/>
                <w:szCs w:val="20"/>
              </w:rPr>
              <w:t>0,725</w:t>
            </w:r>
          </w:p>
        </w:tc>
        <w:tc>
          <w:tcPr>
            <w:tcW w:w="1034" w:type="dxa"/>
            <w:shd w:val="clear" w:color="auto" w:fill="auto"/>
            <w:vAlign w:val="center"/>
          </w:tcPr>
          <w:p w14:paraId="496D0D26" w14:textId="77777777" w:rsidR="009B7D1B" w:rsidRPr="00E362F4" w:rsidRDefault="009B7D1B" w:rsidP="00B0565E">
            <w:pPr>
              <w:jc w:val="center"/>
              <w:rPr>
                <w:sz w:val="20"/>
                <w:szCs w:val="20"/>
              </w:rPr>
            </w:pPr>
            <w:r w:rsidRPr="00E362F4">
              <w:rPr>
                <w:sz w:val="20"/>
                <w:szCs w:val="20"/>
              </w:rPr>
              <w:t>15,62</w:t>
            </w:r>
          </w:p>
        </w:tc>
        <w:tc>
          <w:tcPr>
            <w:tcW w:w="1828" w:type="dxa"/>
            <w:vMerge/>
            <w:shd w:val="clear" w:color="auto" w:fill="auto"/>
            <w:vAlign w:val="center"/>
          </w:tcPr>
          <w:p w14:paraId="779E38A7" w14:textId="77777777" w:rsidR="009B7D1B" w:rsidRPr="00E362F4" w:rsidRDefault="009B7D1B" w:rsidP="00B0565E">
            <w:pPr>
              <w:jc w:val="center"/>
              <w:rPr>
                <w:sz w:val="20"/>
                <w:szCs w:val="20"/>
              </w:rPr>
            </w:pPr>
          </w:p>
        </w:tc>
        <w:tc>
          <w:tcPr>
            <w:tcW w:w="938" w:type="dxa"/>
            <w:vMerge/>
            <w:shd w:val="clear" w:color="auto" w:fill="auto"/>
            <w:vAlign w:val="center"/>
          </w:tcPr>
          <w:p w14:paraId="0BF0544F" w14:textId="77777777" w:rsidR="009B7D1B" w:rsidRPr="00E362F4" w:rsidRDefault="009B7D1B" w:rsidP="00B0565E">
            <w:pPr>
              <w:jc w:val="center"/>
              <w:rPr>
                <w:sz w:val="20"/>
                <w:szCs w:val="20"/>
              </w:rPr>
            </w:pPr>
          </w:p>
        </w:tc>
        <w:tc>
          <w:tcPr>
            <w:tcW w:w="1061" w:type="dxa"/>
            <w:vMerge/>
            <w:shd w:val="clear" w:color="auto" w:fill="auto"/>
            <w:vAlign w:val="center"/>
          </w:tcPr>
          <w:p w14:paraId="1DDF1512" w14:textId="77777777" w:rsidR="009B7D1B" w:rsidRPr="00E362F4" w:rsidRDefault="009B7D1B" w:rsidP="00B0565E">
            <w:pPr>
              <w:jc w:val="center"/>
              <w:rPr>
                <w:sz w:val="20"/>
                <w:szCs w:val="20"/>
              </w:rPr>
            </w:pPr>
          </w:p>
        </w:tc>
      </w:tr>
      <w:tr w:rsidR="00C16625" w:rsidRPr="00E362F4" w14:paraId="5A1F7463" w14:textId="77777777" w:rsidTr="0075480F">
        <w:trPr>
          <w:trHeight w:val="20"/>
          <w:jc w:val="center"/>
        </w:trPr>
        <w:tc>
          <w:tcPr>
            <w:tcW w:w="1276" w:type="dxa"/>
            <w:vMerge/>
            <w:tcBorders>
              <w:top w:val="nil"/>
              <w:bottom w:val="single" w:sz="4" w:space="0" w:color="auto"/>
            </w:tcBorders>
            <w:shd w:val="clear" w:color="auto" w:fill="auto"/>
            <w:vAlign w:val="center"/>
          </w:tcPr>
          <w:p w14:paraId="0D4EF526" w14:textId="77777777" w:rsidR="009B7D1B" w:rsidRPr="00E362F4" w:rsidRDefault="009B7D1B" w:rsidP="00B0565E">
            <w:pPr>
              <w:jc w:val="center"/>
              <w:rPr>
                <w:sz w:val="20"/>
                <w:szCs w:val="20"/>
              </w:rPr>
            </w:pPr>
          </w:p>
        </w:tc>
        <w:tc>
          <w:tcPr>
            <w:tcW w:w="2068" w:type="dxa"/>
            <w:shd w:val="clear" w:color="auto" w:fill="auto"/>
          </w:tcPr>
          <w:p w14:paraId="291F7D23" w14:textId="77777777" w:rsidR="009B7D1B" w:rsidRPr="00E362F4" w:rsidRDefault="009B7D1B" w:rsidP="00B0565E">
            <w:pPr>
              <w:rPr>
                <w:sz w:val="20"/>
                <w:szCs w:val="20"/>
              </w:rPr>
            </w:pPr>
            <w:r w:rsidRPr="00E362F4">
              <w:rPr>
                <w:sz w:val="20"/>
                <w:szCs w:val="20"/>
              </w:rPr>
              <w:t>Future Decision</w:t>
            </w:r>
          </w:p>
        </w:tc>
        <w:tc>
          <w:tcPr>
            <w:tcW w:w="961" w:type="dxa"/>
            <w:shd w:val="clear" w:color="auto" w:fill="auto"/>
            <w:vAlign w:val="center"/>
          </w:tcPr>
          <w:p w14:paraId="38106262" w14:textId="77777777" w:rsidR="009B7D1B" w:rsidRPr="00E362F4" w:rsidRDefault="009B7D1B" w:rsidP="00B0565E">
            <w:pPr>
              <w:jc w:val="center"/>
              <w:rPr>
                <w:sz w:val="20"/>
                <w:szCs w:val="20"/>
              </w:rPr>
            </w:pPr>
            <w:r w:rsidRPr="00E362F4">
              <w:rPr>
                <w:sz w:val="20"/>
                <w:szCs w:val="20"/>
              </w:rPr>
              <w:t>0,691</w:t>
            </w:r>
          </w:p>
        </w:tc>
        <w:tc>
          <w:tcPr>
            <w:tcW w:w="1034" w:type="dxa"/>
            <w:shd w:val="clear" w:color="auto" w:fill="auto"/>
            <w:vAlign w:val="center"/>
          </w:tcPr>
          <w:p w14:paraId="679B2C0E" w14:textId="77777777" w:rsidR="009B7D1B" w:rsidRPr="00E362F4" w:rsidRDefault="009B7D1B" w:rsidP="00B0565E">
            <w:pPr>
              <w:jc w:val="center"/>
              <w:rPr>
                <w:sz w:val="20"/>
                <w:szCs w:val="20"/>
              </w:rPr>
            </w:pPr>
            <w:r w:rsidRPr="00E362F4">
              <w:rPr>
                <w:sz w:val="20"/>
                <w:szCs w:val="20"/>
              </w:rPr>
              <w:t>14,61</w:t>
            </w:r>
          </w:p>
        </w:tc>
        <w:tc>
          <w:tcPr>
            <w:tcW w:w="1828" w:type="dxa"/>
            <w:vMerge/>
            <w:shd w:val="clear" w:color="auto" w:fill="auto"/>
            <w:vAlign w:val="center"/>
          </w:tcPr>
          <w:p w14:paraId="46F608DA" w14:textId="77777777" w:rsidR="009B7D1B" w:rsidRPr="00E362F4" w:rsidRDefault="009B7D1B" w:rsidP="00B0565E">
            <w:pPr>
              <w:jc w:val="center"/>
              <w:rPr>
                <w:sz w:val="20"/>
                <w:szCs w:val="20"/>
              </w:rPr>
            </w:pPr>
          </w:p>
        </w:tc>
        <w:tc>
          <w:tcPr>
            <w:tcW w:w="938" w:type="dxa"/>
            <w:vMerge/>
            <w:shd w:val="clear" w:color="auto" w:fill="auto"/>
            <w:vAlign w:val="center"/>
          </w:tcPr>
          <w:p w14:paraId="67BE5F05" w14:textId="77777777" w:rsidR="009B7D1B" w:rsidRPr="00E362F4" w:rsidRDefault="009B7D1B" w:rsidP="00B0565E">
            <w:pPr>
              <w:jc w:val="center"/>
              <w:rPr>
                <w:sz w:val="20"/>
                <w:szCs w:val="20"/>
              </w:rPr>
            </w:pPr>
          </w:p>
        </w:tc>
        <w:tc>
          <w:tcPr>
            <w:tcW w:w="1061" w:type="dxa"/>
            <w:vMerge/>
            <w:shd w:val="clear" w:color="auto" w:fill="auto"/>
            <w:vAlign w:val="center"/>
          </w:tcPr>
          <w:p w14:paraId="0D503C21" w14:textId="77777777" w:rsidR="009B7D1B" w:rsidRPr="00E362F4" w:rsidRDefault="009B7D1B" w:rsidP="00B0565E">
            <w:pPr>
              <w:jc w:val="center"/>
              <w:rPr>
                <w:sz w:val="20"/>
                <w:szCs w:val="20"/>
              </w:rPr>
            </w:pPr>
          </w:p>
        </w:tc>
      </w:tr>
    </w:tbl>
    <w:p w14:paraId="15B6AACF" w14:textId="03C0CEDD" w:rsidR="009B7D1B" w:rsidRPr="009B7D1B" w:rsidRDefault="009B7D1B" w:rsidP="009B7D1B">
      <w:pPr>
        <w:widowControl/>
        <w:jc w:val="center"/>
        <w:rPr>
          <w:rFonts w:asciiTheme="majorBidi" w:hAnsiTheme="majorBidi" w:cstheme="majorBidi"/>
          <w:lang w:val="en"/>
        </w:rPr>
      </w:pPr>
      <w:r w:rsidRPr="009B7D1B">
        <w:rPr>
          <w:rFonts w:asciiTheme="majorBidi" w:hAnsiTheme="majorBidi" w:cstheme="majorBidi"/>
        </w:rPr>
        <w:t xml:space="preserve">Source: Output </w:t>
      </w:r>
      <w:proofErr w:type="spellStart"/>
      <w:r w:rsidRPr="009B7D1B">
        <w:rPr>
          <w:rFonts w:asciiTheme="majorBidi" w:hAnsiTheme="majorBidi" w:cstheme="majorBidi"/>
        </w:rPr>
        <w:t>Lisrel</w:t>
      </w:r>
      <w:proofErr w:type="spellEnd"/>
      <w:r w:rsidRPr="009B7D1B">
        <w:rPr>
          <w:rFonts w:asciiTheme="majorBidi" w:hAnsiTheme="majorBidi" w:cstheme="majorBidi"/>
        </w:rPr>
        <w:t xml:space="preserve"> (2024)</w:t>
      </w:r>
    </w:p>
    <w:p w14:paraId="74D3C9DD" w14:textId="200DB6D8" w:rsidR="00D507CD" w:rsidRPr="007F1A30" w:rsidRDefault="00D507CD" w:rsidP="002D31AF">
      <w:pPr>
        <w:pStyle w:val="Els-2ndorder-head"/>
        <w:numPr>
          <w:ilvl w:val="2"/>
          <w:numId w:val="7"/>
        </w:numPr>
        <w:rPr>
          <w:b/>
          <w:bCs/>
          <w:i w:val="0"/>
          <w:iCs/>
          <w:lang w:val="id-ID"/>
        </w:rPr>
      </w:pPr>
      <w:r w:rsidRPr="007F1A30">
        <w:rPr>
          <w:b/>
          <w:bCs/>
          <w:i w:val="0"/>
          <w:iCs/>
        </w:rPr>
        <w:t xml:space="preserve">Structural Model Evaluation, Hypothesis Testing and Model Fit </w:t>
      </w:r>
      <w:proofErr w:type="spellStart"/>
      <w:r w:rsidRPr="007F1A30">
        <w:rPr>
          <w:b/>
          <w:bCs/>
          <w:i w:val="0"/>
          <w:iCs/>
        </w:rPr>
        <w:t>Assesment</w:t>
      </w:r>
      <w:proofErr w:type="spellEnd"/>
    </w:p>
    <w:p w14:paraId="5CB3B280" w14:textId="2C11FC5A" w:rsidR="00D507CD" w:rsidRPr="002D31AF" w:rsidRDefault="00792FE8" w:rsidP="00D26AF7">
      <w:pPr>
        <w:widowControl/>
        <w:numPr>
          <w:ilvl w:val="0"/>
          <w:numId w:val="4"/>
        </w:numPr>
        <w:ind w:left="426"/>
        <w:jc w:val="both"/>
        <w:rPr>
          <w:rStyle w:val="tlid-translation"/>
          <w:b/>
          <w:lang w:val="en"/>
        </w:rPr>
      </w:pPr>
      <w:r w:rsidRPr="002D31AF">
        <w:rPr>
          <w:rStyle w:val="tlid-translation"/>
          <w:rFonts w:ascii="Times New Roman" w:hAnsi="Times New Roman"/>
          <w:b/>
          <w:lang w:val="en"/>
        </w:rPr>
        <w:t xml:space="preserve">Sub Structure I </w:t>
      </w:r>
      <w:r w:rsidR="007F5B19" w:rsidRPr="002D31AF">
        <w:rPr>
          <w:rStyle w:val="tlid-translation"/>
          <w:rFonts w:ascii="Times New Roman" w:hAnsi="Times New Roman"/>
          <w:b/>
          <w:lang w:val="en"/>
        </w:rPr>
        <w:t>(The Influence of Green Marketing, Green Perceived Value, Environmental Concern to Green Satisfaction)</w:t>
      </w:r>
    </w:p>
    <w:p w14:paraId="490ADABE" w14:textId="770A7A30" w:rsidR="00D26AF7" w:rsidRPr="002D31AF" w:rsidRDefault="00D26AF7" w:rsidP="007F1A30">
      <w:pPr>
        <w:widowControl/>
        <w:numPr>
          <w:ilvl w:val="0"/>
          <w:numId w:val="5"/>
        </w:numPr>
        <w:ind w:left="709"/>
        <w:rPr>
          <w:rFonts w:ascii="Calibri" w:eastAsia="Calibri" w:hAnsi="Calibri"/>
          <w:b/>
          <w:lang w:val="en"/>
        </w:rPr>
      </w:pPr>
      <w:r w:rsidRPr="002D31AF">
        <w:rPr>
          <w:rFonts w:asciiTheme="majorBidi" w:hAnsiTheme="majorBidi" w:cstheme="majorBidi"/>
          <w:b/>
          <w:lang w:val="en"/>
        </w:rPr>
        <w:t>Simultaneous Testing</w:t>
      </w:r>
    </w:p>
    <w:p w14:paraId="4F7471EA" w14:textId="77777777" w:rsidR="00116DC6" w:rsidRDefault="007F1A30" w:rsidP="00116DC6">
      <w:pPr>
        <w:widowControl/>
        <w:ind w:left="349" w:firstLine="371"/>
        <w:jc w:val="both"/>
        <w:rPr>
          <w:rFonts w:asciiTheme="majorBidi" w:eastAsia="Calibri" w:hAnsiTheme="majorBidi" w:cstheme="majorBidi"/>
          <w:lang w:val="en"/>
        </w:rPr>
      </w:pPr>
      <w:r w:rsidRPr="007F1A30">
        <w:rPr>
          <w:rFonts w:asciiTheme="majorBidi" w:eastAsia="Calibri" w:hAnsiTheme="majorBidi" w:cstheme="majorBidi"/>
          <w:lang w:val="en"/>
        </w:rPr>
        <w:t>Regarding green satisfaction, the hypothesis states that green marketing, green perceived value, and environmental concern influence green satisfaction simultaneously.</w:t>
      </w:r>
    </w:p>
    <w:p w14:paraId="67FE7660" w14:textId="18F341C6" w:rsidR="007F1A30" w:rsidRDefault="007F1A30" w:rsidP="00116DC6">
      <w:pPr>
        <w:widowControl/>
        <w:ind w:left="349" w:firstLine="371"/>
        <w:jc w:val="both"/>
        <w:rPr>
          <w:rFonts w:asciiTheme="majorBidi" w:eastAsia="Calibri" w:hAnsiTheme="majorBidi" w:cstheme="majorBidi"/>
          <w:lang w:val="en"/>
        </w:rPr>
      </w:pPr>
      <w:r w:rsidRPr="007F1A30">
        <w:rPr>
          <w:rFonts w:asciiTheme="majorBidi" w:eastAsia="Calibri" w:hAnsiTheme="majorBidi" w:cstheme="majorBidi"/>
          <w:lang w:val="en"/>
        </w:rPr>
        <w:t>The following is the structural model for Sub-Structure I:</w:t>
      </w:r>
    </w:p>
    <w:p w14:paraId="472F1090" w14:textId="7FDB3C6D" w:rsidR="00E86F49" w:rsidRPr="00E86F49" w:rsidRDefault="00135909" w:rsidP="00E86F49">
      <w:pPr>
        <w:widowControl/>
        <w:ind w:left="426"/>
        <w:jc w:val="center"/>
        <w:rPr>
          <w:lang w:val="en"/>
        </w:rPr>
      </w:pPr>
      <w:r w:rsidRPr="003B4036">
        <w:rPr>
          <w:noProof/>
        </w:rPr>
        <w:lastRenderedPageBreak/>
        <w:drawing>
          <wp:inline distT="0" distB="0" distL="0" distR="0" wp14:anchorId="679AB63A" wp14:editId="7DFD776B">
            <wp:extent cx="4184015" cy="2087880"/>
            <wp:effectExtent l="0" t="0" r="0" b="0"/>
            <wp:docPr id="280"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ompu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18550" t="9656" r="36067" b="71181"/>
                    <a:stretch>
                      <a:fillRect/>
                    </a:stretch>
                  </pic:blipFill>
                  <pic:spPr bwMode="auto">
                    <a:xfrm>
                      <a:off x="0" y="0"/>
                      <a:ext cx="4184015" cy="2087880"/>
                    </a:xfrm>
                    <a:prstGeom prst="rect">
                      <a:avLst/>
                    </a:prstGeom>
                    <a:noFill/>
                    <a:ln>
                      <a:noFill/>
                    </a:ln>
                  </pic:spPr>
                </pic:pic>
              </a:graphicData>
            </a:graphic>
          </wp:inline>
        </w:drawing>
      </w:r>
    </w:p>
    <w:p w14:paraId="35A52119" w14:textId="7FB9D3BE" w:rsidR="00116DC6" w:rsidRPr="009D28C3" w:rsidRDefault="009D28C3" w:rsidP="009D28C3">
      <w:pPr>
        <w:widowControl/>
        <w:ind w:left="426"/>
        <w:jc w:val="center"/>
        <w:rPr>
          <w:bCs/>
          <w:sz w:val="16"/>
          <w:szCs w:val="16"/>
        </w:rPr>
      </w:pPr>
      <w:r w:rsidRPr="00096E8B">
        <w:rPr>
          <w:b/>
          <w:sz w:val="18"/>
          <w:szCs w:val="18"/>
        </w:rPr>
        <w:t xml:space="preserve">Figure </w:t>
      </w:r>
      <w:r>
        <w:rPr>
          <w:b/>
          <w:sz w:val="18"/>
          <w:szCs w:val="18"/>
        </w:rPr>
        <w:t>2</w:t>
      </w:r>
      <w:r w:rsidRPr="00096E8B">
        <w:rPr>
          <w:sz w:val="18"/>
          <w:szCs w:val="18"/>
        </w:rPr>
        <w:t xml:space="preserve">: </w:t>
      </w:r>
      <w:r w:rsidRPr="009D28C3">
        <w:rPr>
          <w:bCs/>
          <w:sz w:val="18"/>
          <w:szCs w:val="18"/>
        </w:rPr>
        <w:t>The structural model with standardized path coefficients for each pathway and t-test values</w:t>
      </w:r>
    </w:p>
    <w:p w14:paraId="31DFA89B" w14:textId="77777777" w:rsidR="009D28C3" w:rsidRPr="009D28C3" w:rsidRDefault="009D28C3" w:rsidP="009D28C3">
      <w:pPr>
        <w:widowControl/>
      </w:pPr>
    </w:p>
    <w:p w14:paraId="25FF220A" w14:textId="1BD42BE8" w:rsidR="00116DC6" w:rsidRPr="00116DC6" w:rsidRDefault="00116DC6" w:rsidP="00116DC6">
      <w:pPr>
        <w:widowControl/>
        <w:ind w:left="426"/>
        <w:rPr>
          <w:rFonts w:asciiTheme="majorBidi" w:eastAsia="Calibri" w:hAnsiTheme="majorBidi" w:cstheme="majorBidi"/>
          <w:lang w:val="en"/>
        </w:rPr>
      </w:pPr>
      <w:r w:rsidRPr="00116DC6">
        <w:rPr>
          <w:rFonts w:asciiTheme="majorBidi" w:eastAsia="Calibri" w:hAnsiTheme="majorBidi" w:cstheme="majorBidi"/>
          <w:lang w:val="en"/>
        </w:rPr>
        <w:t>Structural Equation I:</w:t>
      </w:r>
    </w:p>
    <w:p w14:paraId="47C9A862" w14:textId="77777777" w:rsidR="00116DC6" w:rsidRPr="00116DC6" w:rsidRDefault="00116DC6" w:rsidP="00116DC6">
      <w:pPr>
        <w:widowControl/>
        <w:ind w:left="426"/>
        <w:rPr>
          <w:rFonts w:asciiTheme="majorBidi" w:eastAsia="Calibri" w:hAnsiTheme="majorBidi" w:cstheme="majorBidi"/>
          <w:lang w:val="en"/>
        </w:rPr>
      </w:pPr>
      <w:r w:rsidRPr="00116DC6">
        <w:rPr>
          <w:rFonts w:asciiTheme="majorBidi" w:eastAsia="Calibri" w:hAnsiTheme="majorBidi" w:cstheme="majorBidi"/>
          <w:lang w:val="en"/>
        </w:rPr>
        <w:t xml:space="preserve">     Y = 0.298*X1 + 0.383*X2 + 0.465*X3, </w:t>
      </w:r>
      <w:proofErr w:type="spellStart"/>
      <w:proofErr w:type="gramStart"/>
      <w:r w:rsidRPr="00116DC6">
        <w:rPr>
          <w:rFonts w:asciiTheme="majorBidi" w:eastAsia="Calibri" w:hAnsiTheme="majorBidi" w:cstheme="majorBidi"/>
          <w:lang w:val="en"/>
        </w:rPr>
        <w:t>Errorvar</w:t>
      </w:r>
      <w:proofErr w:type="spellEnd"/>
      <w:r w:rsidRPr="00116DC6">
        <w:rPr>
          <w:rFonts w:asciiTheme="majorBidi" w:eastAsia="Calibri" w:hAnsiTheme="majorBidi" w:cstheme="majorBidi"/>
          <w:lang w:val="en"/>
        </w:rPr>
        <w:t>.=</w:t>
      </w:r>
      <w:proofErr w:type="gramEnd"/>
      <w:r w:rsidRPr="00116DC6">
        <w:rPr>
          <w:rFonts w:asciiTheme="majorBidi" w:eastAsia="Calibri" w:hAnsiTheme="majorBidi" w:cstheme="majorBidi"/>
          <w:lang w:val="en"/>
        </w:rPr>
        <w:t xml:space="preserve"> 0.264  , R² = 0.736</w:t>
      </w:r>
    </w:p>
    <w:p w14:paraId="1E4D8DC5" w14:textId="77777777" w:rsidR="00116DC6" w:rsidRPr="00116DC6" w:rsidRDefault="00116DC6" w:rsidP="00116DC6">
      <w:pPr>
        <w:widowControl/>
        <w:ind w:left="426"/>
        <w:rPr>
          <w:rFonts w:asciiTheme="majorBidi" w:eastAsia="Calibri" w:hAnsiTheme="majorBidi" w:cstheme="majorBidi"/>
          <w:lang w:val="en"/>
        </w:rPr>
      </w:pPr>
      <w:r w:rsidRPr="00116DC6">
        <w:rPr>
          <w:rFonts w:asciiTheme="majorBidi" w:eastAsia="Calibri" w:hAnsiTheme="majorBidi" w:cstheme="majorBidi"/>
          <w:lang w:val="en"/>
        </w:rPr>
        <w:t xml:space="preserve">           (0.0475)</w:t>
      </w:r>
      <w:proofErr w:type="gramStart"/>
      <w:r w:rsidRPr="00116DC6">
        <w:rPr>
          <w:rFonts w:asciiTheme="majorBidi" w:eastAsia="Calibri" w:hAnsiTheme="majorBidi" w:cstheme="majorBidi"/>
          <w:lang w:val="en"/>
        </w:rPr>
        <w:t xml:space="preserve">   (</w:t>
      </w:r>
      <w:proofErr w:type="gramEnd"/>
      <w:r w:rsidRPr="00116DC6">
        <w:rPr>
          <w:rFonts w:asciiTheme="majorBidi" w:eastAsia="Calibri" w:hAnsiTheme="majorBidi" w:cstheme="majorBidi"/>
          <w:lang w:val="en"/>
        </w:rPr>
        <w:t xml:space="preserve">0.0493)   (0.0497)             (0.0434)            </w:t>
      </w:r>
    </w:p>
    <w:p w14:paraId="20449410" w14:textId="77777777" w:rsidR="00116DC6" w:rsidRPr="00116DC6" w:rsidRDefault="00116DC6" w:rsidP="00116DC6">
      <w:pPr>
        <w:widowControl/>
        <w:ind w:left="426"/>
        <w:rPr>
          <w:rFonts w:asciiTheme="majorBidi" w:eastAsia="Calibri" w:hAnsiTheme="majorBidi" w:cstheme="majorBidi"/>
          <w:lang w:val="en"/>
        </w:rPr>
      </w:pPr>
      <w:r w:rsidRPr="00116DC6">
        <w:rPr>
          <w:rFonts w:asciiTheme="majorBidi" w:eastAsia="Calibri" w:hAnsiTheme="majorBidi" w:cstheme="majorBidi"/>
          <w:lang w:val="en"/>
        </w:rPr>
        <w:t xml:space="preserve">            6.260      7.777      9.358                6.066             </w:t>
      </w:r>
    </w:p>
    <w:p w14:paraId="01F0E6F5" w14:textId="77777777" w:rsidR="00116DC6" w:rsidRPr="00116DC6" w:rsidRDefault="00116DC6" w:rsidP="00116DC6">
      <w:pPr>
        <w:widowControl/>
        <w:ind w:left="426"/>
        <w:rPr>
          <w:rFonts w:asciiTheme="majorBidi" w:eastAsia="Calibri" w:hAnsiTheme="majorBidi" w:cstheme="majorBidi"/>
          <w:lang w:val="en"/>
        </w:rPr>
      </w:pPr>
    </w:p>
    <w:p w14:paraId="378FC1F8" w14:textId="1C07674E" w:rsidR="002E6C6B" w:rsidRDefault="00116DC6" w:rsidP="00D73940">
      <w:pPr>
        <w:widowControl/>
        <w:ind w:left="284" w:firstLine="283"/>
        <w:jc w:val="both"/>
        <w:rPr>
          <w:rFonts w:asciiTheme="majorBidi" w:eastAsia="Calibri" w:hAnsiTheme="majorBidi" w:cstheme="majorBidi"/>
          <w:lang w:val="en"/>
        </w:rPr>
      </w:pPr>
      <w:r w:rsidRPr="00116DC6">
        <w:rPr>
          <w:rFonts w:asciiTheme="majorBidi" w:eastAsia="Calibri" w:hAnsiTheme="majorBidi" w:cstheme="majorBidi"/>
          <w:lang w:val="en"/>
        </w:rPr>
        <w:t>To determine the simultaneous influence of green marketing, green perceived value, and environmental concern on green satisfaction (Y), hypothesis testing was conducted by examining the F-statistic (F-test).</w:t>
      </w:r>
    </w:p>
    <w:p w14:paraId="7FA20AFA" w14:textId="77777777" w:rsidR="00E86F49" w:rsidRDefault="00E86F49" w:rsidP="00D73940">
      <w:pPr>
        <w:widowControl/>
        <w:jc w:val="center"/>
        <w:rPr>
          <w:rFonts w:asciiTheme="majorBidi" w:eastAsia="Calibri" w:hAnsiTheme="majorBidi" w:cstheme="majorBidi"/>
          <w:b/>
          <w:lang w:val="en-ID" w:eastAsia="en-ID"/>
        </w:rPr>
      </w:pPr>
    </w:p>
    <w:p w14:paraId="6312D4A8" w14:textId="728BA83C" w:rsidR="00D73940" w:rsidRDefault="00D73940" w:rsidP="00C54ED1">
      <w:pPr>
        <w:widowControl/>
        <w:ind w:left="284"/>
        <w:jc w:val="center"/>
        <w:rPr>
          <w:rFonts w:asciiTheme="majorBidi" w:eastAsia="Calibri" w:hAnsiTheme="majorBidi" w:cstheme="majorBidi"/>
          <w:lang w:val="en-ID" w:eastAsia="en-ID"/>
        </w:rPr>
      </w:pPr>
      <w:r w:rsidRPr="00E86F49">
        <w:rPr>
          <w:rFonts w:asciiTheme="majorBidi" w:hAnsiTheme="majorBidi" w:cstheme="majorBidi"/>
          <w:b/>
        </w:rPr>
        <w:t xml:space="preserve">Table </w:t>
      </w:r>
      <w:r w:rsidR="004B53AB">
        <w:rPr>
          <w:rFonts w:asciiTheme="majorBidi" w:hAnsiTheme="majorBidi" w:cstheme="majorBidi"/>
          <w:b/>
        </w:rPr>
        <w:t>2</w:t>
      </w:r>
      <w:r w:rsidRPr="00E86F49">
        <w:rPr>
          <w:rFonts w:asciiTheme="majorBidi" w:hAnsiTheme="majorBidi" w:cstheme="majorBidi"/>
        </w:rPr>
        <w:t xml:space="preserve">: </w:t>
      </w:r>
      <w:r w:rsidR="00C54ED1">
        <w:rPr>
          <w:rFonts w:asciiTheme="majorBidi" w:hAnsiTheme="majorBidi" w:cstheme="majorBidi"/>
        </w:rPr>
        <w:t>Simultaneous Hypothesis Testing of X1, X2, and X3 on Y</w:t>
      </w:r>
    </w:p>
    <w:tbl>
      <w:tblPr>
        <w:tblW w:w="8505"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635"/>
        <w:gridCol w:w="876"/>
        <w:gridCol w:w="1084"/>
        <w:gridCol w:w="876"/>
        <w:gridCol w:w="1457"/>
        <w:gridCol w:w="1577"/>
      </w:tblGrid>
      <w:tr w:rsidR="00E86F49" w:rsidRPr="00E86F49" w14:paraId="6D31A1BF" w14:textId="77777777" w:rsidTr="00E86F49">
        <w:trPr>
          <w:trHeight w:val="300"/>
          <w:jc w:val="center"/>
        </w:trPr>
        <w:tc>
          <w:tcPr>
            <w:tcW w:w="2635" w:type="dxa"/>
            <w:shd w:val="clear" w:color="auto" w:fill="auto"/>
            <w:vAlign w:val="center"/>
            <w:hideMark/>
          </w:tcPr>
          <w:p w14:paraId="00B9F9CB" w14:textId="77777777" w:rsidR="00E86F49" w:rsidRPr="00E86F49" w:rsidRDefault="00E86F49" w:rsidP="00B0565E">
            <w:pPr>
              <w:jc w:val="center"/>
              <w:rPr>
                <w:bCs/>
                <w:lang w:eastAsia="id-ID"/>
              </w:rPr>
            </w:pPr>
            <w:proofErr w:type="spellStart"/>
            <w:r w:rsidRPr="00E86F49">
              <w:rPr>
                <w:bCs/>
                <w:lang w:eastAsia="id-ID"/>
              </w:rPr>
              <w:t>Hipotesis</w:t>
            </w:r>
            <w:proofErr w:type="spellEnd"/>
          </w:p>
        </w:tc>
        <w:tc>
          <w:tcPr>
            <w:tcW w:w="876" w:type="dxa"/>
            <w:shd w:val="clear" w:color="auto" w:fill="auto"/>
            <w:vAlign w:val="center"/>
            <w:hideMark/>
          </w:tcPr>
          <w:p w14:paraId="79B09964" w14:textId="77777777" w:rsidR="00E86F49" w:rsidRPr="00E86F49" w:rsidRDefault="00E86F49" w:rsidP="00B0565E">
            <w:pPr>
              <w:jc w:val="center"/>
              <w:rPr>
                <w:bCs/>
                <w:vertAlign w:val="superscript"/>
                <w:lang w:eastAsia="id-ID"/>
              </w:rPr>
            </w:pPr>
            <w:r w:rsidRPr="00E86F49">
              <w:rPr>
                <w:bCs/>
                <w:lang w:eastAsia="id-ID"/>
              </w:rPr>
              <w:t>R</w:t>
            </w:r>
            <w:r w:rsidRPr="00E86F49">
              <w:rPr>
                <w:bCs/>
                <w:vertAlign w:val="superscript"/>
                <w:lang w:eastAsia="id-ID"/>
              </w:rPr>
              <w:t>2</w:t>
            </w:r>
          </w:p>
        </w:tc>
        <w:tc>
          <w:tcPr>
            <w:tcW w:w="1084" w:type="dxa"/>
            <w:shd w:val="clear" w:color="auto" w:fill="auto"/>
            <w:noWrap/>
            <w:vAlign w:val="center"/>
            <w:hideMark/>
          </w:tcPr>
          <w:p w14:paraId="06F97776" w14:textId="77777777" w:rsidR="00E86F49" w:rsidRPr="00E86F49" w:rsidRDefault="00E86F49" w:rsidP="00B0565E">
            <w:pPr>
              <w:jc w:val="center"/>
              <w:rPr>
                <w:bCs/>
                <w:lang w:eastAsia="id-ID"/>
              </w:rPr>
            </w:pPr>
            <w:proofErr w:type="spellStart"/>
            <w:r w:rsidRPr="00E86F49">
              <w:rPr>
                <w:bCs/>
                <w:lang w:eastAsia="id-ID"/>
              </w:rPr>
              <w:t>F</w:t>
            </w:r>
            <w:r w:rsidRPr="00E86F49">
              <w:rPr>
                <w:bCs/>
                <w:vertAlign w:val="subscript"/>
                <w:lang w:eastAsia="id-ID"/>
              </w:rPr>
              <w:t>hitung</w:t>
            </w:r>
            <w:proofErr w:type="spellEnd"/>
          </w:p>
        </w:tc>
        <w:tc>
          <w:tcPr>
            <w:tcW w:w="876" w:type="dxa"/>
            <w:shd w:val="clear" w:color="auto" w:fill="auto"/>
            <w:noWrap/>
            <w:vAlign w:val="center"/>
            <w:hideMark/>
          </w:tcPr>
          <w:p w14:paraId="2B6898B3" w14:textId="77777777" w:rsidR="00E86F49" w:rsidRPr="00E86F49" w:rsidRDefault="00E86F49" w:rsidP="00B0565E">
            <w:pPr>
              <w:jc w:val="center"/>
              <w:rPr>
                <w:bCs/>
                <w:lang w:eastAsia="id-ID"/>
              </w:rPr>
            </w:pPr>
            <w:proofErr w:type="spellStart"/>
            <w:r w:rsidRPr="00E86F49">
              <w:rPr>
                <w:bCs/>
                <w:lang w:eastAsia="id-ID"/>
              </w:rPr>
              <w:t>F</w:t>
            </w:r>
            <w:r w:rsidRPr="00E86F49">
              <w:rPr>
                <w:bCs/>
                <w:vertAlign w:val="subscript"/>
                <w:lang w:eastAsia="id-ID"/>
              </w:rPr>
              <w:t>tabel</w:t>
            </w:r>
            <w:proofErr w:type="spellEnd"/>
          </w:p>
        </w:tc>
        <w:tc>
          <w:tcPr>
            <w:tcW w:w="1457" w:type="dxa"/>
            <w:shd w:val="clear" w:color="auto" w:fill="auto"/>
            <w:noWrap/>
            <w:vAlign w:val="center"/>
            <w:hideMark/>
          </w:tcPr>
          <w:p w14:paraId="66B6D2A8" w14:textId="77777777" w:rsidR="00E86F49" w:rsidRPr="00E86F49" w:rsidRDefault="00E86F49" w:rsidP="00B0565E">
            <w:pPr>
              <w:jc w:val="center"/>
              <w:rPr>
                <w:bCs/>
                <w:lang w:eastAsia="id-ID"/>
              </w:rPr>
            </w:pPr>
            <w:r w:rsidRPr="00E86F49">
              <w:rPr>
                <w:bCs/>
                <w:lang w:eastAsia="id-ID"/>
              </w:rPr>
              <w:t>Decision</w:t>
            </w:r>
          </w:p>
        </w:tc>
        <w:tc>
          <w:tcPr>
            <w:tcW w:w="1577" w:type="dxa"/>
            <w:shd w:val="clear" w:color="auto" w:fill="auto"/>
            <w:noWrap/>
            <w:vAlign w:val="center"/>
            <w:hideMark/>
          </w:tcPr>
          <w:p w14:paraId="0EBC69C0" w14:textId="77777777" w:rsidR="00E86F49" w:rsidRPr="00E86F49" w:rsidRDefault="00E86F49" w:rsidP="00B0565E">
            <w:pPr>
              <w:jc w:val="center"/>
              <w:rPr>
                <w:bCs/>
                <w:lang w:eastAsia="id-ID"/>
              </w:rPr>
            </w:pPr>
            <w:r w:rsidRPr="00E86F49">
              <w:rPr>
                <w:bCs/>
                <w:lang w:eastAsia="id-ID"/>
              </w:rPr>
              <w:t>Result</w:t>
            </w:r>
          </w:p>
        </w:tc>
      </w:tr>
      <w:tr w:rsidR="00E86F49" w:rsidRPr="00E86F49" w14:paraId="04637A80" w14:textId="77777777" w:rsidTr="00E86F49">
        <w:trPr>
          <w:trHeight w:val="345"/>
          <w:jc w:val="center"/>
        </w:trPr>
        <w:tc>
          <w:tcPr>
            <w:tcW w:w="2635" w:type="dxa"/>
            <w:vAlign w:val="center"/>
            <w:hideMark/>
          </w:tcPr>
          <w:p w14:paraId="241702AA" w14:textId="77777777" w:rsidR="00E86F49" w:rsidRPr="00E86F49" w:rsidRDefault="00E86F49" w:rsidP="00E86F49">
            <w:pPr>
              <w:jc w:val="center"/>
              <w:rPr>
                <w:bCs/>
                <w:iCs/>
                <w:lang w:eastAsia="id-ID"/>
              </w:rPr>
            </w:pPr>
            <w:r w:rsidRPr="00E86F49">
              <w:rPr>
                <w:bCs/>
              </w:rPr>
              <w:t xml:space="preserve">H1: X1, X2 and X3 </w:t>
            </w:r>
            <w:r w:rsidRPr="00E86F49">
              <w:rPr>
                <w:bCs/>
              </w:rPr>
              <w:sym w:font="Wingdings" w:char="F0E0"/>
            </w:r>
            <w:r w:rsidRPr="00E86F49">
              <w:rPr>
                <w:bCs/>
              </w:rPr>
              <w:t xml:space="preserve">  Y</w:t>
            </w:r>
          </w:p>
        </w:tc>
        <w:tc>
          <w:tcPr>
            <w:tcW w:w="876" w:type="dxa"/>
            <w:noWrap/>
            <w:vAlign w:val="center"/>
            <w:hideMark/>
          </w:tcPr>
          <w:p w14:paraId="21CE0B5A" w14:textId="77777777" w:rsidR="00E86F49" w:rsidRPr="00E86F49" w:rsidRDefault="00E86F49" w:rsidP="00B0565E">
            <w:pPr>
              <w:jc w:val="center"/>
              <w:rPr>
                <w:bCs/>
                <w:lang w:eastAsia="id-ID"/>
              </w:rPr>
            </w:pPr>
            <w:r w:rsidRPr="00E86F49">
              <w:rPr>
                <w:bCs/>
                <w:lang w:eastAsia="id-ID"/>
              </w:rPr>
              <w:t>0,736</w:t>
            </w:r>
          </w:p>
        </w:tc>
        <w:tc>
          <w:tcPr>
            <w:tcW w:w="1084" w:type="dxa"/>
            <w:shd w:val="clear" w:color="auto" w:fill="FFFFFF"/>
            <w:vAlign w:val="center"/>
            <w:hideMark/>
          </w:tcPr>
          <w:p w14:paraId="78963C21" w14:textId="77777777" w:rsidR="00E86F49" w:rsidRPr="00E86F49" w:rsidRDefault="00E86F49" w:rsidP="00B0565E">
            <w:pPr>
              <w:jc w:val="center"/>
              <w:rPr>
                <w:bCs/>
                <w:lang w:eastAsia="id-ID"/>
              </w:rPr>
            </w:pPr>
            <w:r w:rsidRPr="00E86F49">
              <w:rPr>
                <w:bCs/>
              </w:rPr>
              <w:t>353,131</w:t>
            </w:r>
          </w:p>
        </w:tc>
        <w:tc>
          <w:tcPr>
            <w:tcW w:w="876" w:type="dxa"/>
            <w:noWrap/>
            <w:vAlign w:val="center"/>
            <w:hideMark/>
          </w:tcPr>
          <w:p w14:paraId="368DC649" w14:textId="77777777" w:rsidR="00E86F49" w:rsidRPr="00E86F49" w:rsidRDefault="00E86F49" w:rsidP="00B0565E">
            <w:pPr>
              <w:jc w:val="center"/>
              <w:rPr>
                <w:bCs/>
                <w:lang w:eastAsia="id-ID"/>
              </w:rPr>
            </w:pPr>
            <w:r w:rsidRPr="00E86F49">
              <w:rPr>
                <w:bCs/>
              </w:rPr>
              <w:t>2,628</w:t>
            </w:r>
          </w:p>
        </w:tc>
        <w:tc>
          <w:tcPr>
            <w:tcW w:w="1457" w:type="dxa"/>
            <w:noWrap/>
            <w:vAlign w:val="center"/>
            <w:hideMark/>
          </w:tcPr>
          <w:p w14:paraId="77FCA194" w14:textId="77777777" w:rsidR="00E86F49" w:rsidRPr="00E86F49" w:rsidRDefault="00E86F49" w:rsidP="00B0565E">
            <w:pPr>
              <w:jc w:val="center"/>
              <w:rPr>
                <w:bCs/>
                <w:lang w:eastAsia="id-ID"/>
              </w:rPr>
            </w:pPr>
            <w:proofErr w:type="spellStart"/>
            <w:r w:rsidRPr="00E86F49">
              <w:rPr>
                <w:bCs/>
                <w:lang w:eastAsia="id-ID"/>
              </w:rPr>
              <w:t>Rejcted</w:t>
            </w:r>
            <w:proofErr w:type="spellEnd"/>
            <w:r w:rsidRPr="00E86F49">
              <w:rPr>
                <w:bCs/>
                <w:lang w:eastAsia="id-ID"/>
              </w:rPr>
              <w:t xml:space="preserve"> H</w:t>
            </w:r>
            <w:r w:rsidRPr="00E86F49">
              <w:rPr>
                <w:bCs/>
                <w:vertAlign w:val="subscript"/>
                <w:lang w:eastAsia="id-ID"/>
              </w:rPr>
              <w:t>0</w:t>
            </w:r>
            <w:r w:rsidRPr="00E86F49">
              <w:rPr>
                <w:bCs/>
                <w:lang w:eastAsia="id-ID"/>
              </w:rPr>
              <w:t xml:space="preserve"> </w:t>
            </w:r>
          </w:p>
        </w:tc>
        <w:tc>
          <w:tcPr>
            <w:tcW w:w="1577" w:type="dxa"/>
            <w:noWrap/>
            <w:vAlign w:val="center"/>
            <w:hideMark/>
          </w:tcPr>
          <w:p w14:paraId="31CF9A69" w14:textId="77777777" w:rsidR="00E86F49" w:rsidRPr="00E86F49" w:rsidRDefault="00E86F49" w:rsidP="00B0565E">
            <w:pPr>
              <w:jc w:val="center"/>
              <w:rPr>
                <w:bCs/>
                <w:lang w:eastAsia="id-ID"/>
              </w:rPr>
            </w:pPr>
            <w:r w:rsidRPr="00E86F49">
              <w:rPr>
                <w:bCs/>
                <w:lang w:eastAsia="id-ID"/>
              </w:rPr>
              <w:t>Accepted and Significant</w:t>
            </w:r>
          </w:p>
        </w:tc>
      </w:tr>
    </w:tbl>
    <w:p w14:paraId="1400E0BA" w14:textId="0A509605" w:rsidR="00E86F49" w:rsidRPr="00E86F49" w:rsidRDefault="00E86F49" w:rsidP="00C16625">
      <w:pPr>
        <w:widowControl/>
        <w:ind w:left="284"/>
        <w:jc w:val="center"/>
        <w:rPr>
          <w:rFonts w:asciiTheme="majorBidi" w:hAnsiTheme="majorBidi" w:cstheme="majorBidi"/>
          <w:lang w:val="en"/>
        </w:rPr>
      </w:pPr>
      <w:r w:rsidRPr="00E86F49">
        <w:rPr>
          <w:rFonts w:asciiTheme="majorBidi" w:hAnsiTheme="majorBidi" w:cstheme="majorBidi"/>
          <w:lang w:val="en"/>
        </w:rPr>
        <w:t xml:space="preserve">Source: Output </w:t>
      </w:r>
      <w:proofErr w:type="spellStart"/>
      <w:r w:rsidRPr="00E86F49">
        <w:rPr>
          <w:rFonts w:asciiTheme="majorBidi" w:hAnsiTheme="majorBidi" w:cstheme="majorBidi"/>
          <w:lang w:val="en"/>
        </w:rPr>
        <w:t>Lisrel</w:t>
      </w:r>
      <w:proofErr w:type="spellEnd"/>
      <w:r w:rsidRPr="00E86F49">
        <w:rPr>
          <w:rFonts w:asciiTheme="majorBidi" w:hAnsiTheme="majorBidi" w:cstheme="majorBidi"/>
          <w:lang w:val="en"/>
        </w:rPr>
        <w:t xml:space="preserve"> (2024)</w:t>
      </w:r>
    </w:p>
    <w:p w14:paraId="2A9931F2" w14:textId="77777777" w:rsidR="002E6C6B" w:rsidRDefault="002E6C6B" w:rsidP="00D73940">
      <w:pPr>
        <w:widowControl/>
        <w:ind w:left="284" w:firstLine="283"/>
        <w:jc w:val="both"/>
        <w:rPr>
          <w:rFonts w:asciiTheme="majorBidi" w:eastAsia="Calibri" w:hAnsiTheme="majorBidi" w:cstheme="majorBidi"/>
          <w:lang w:val="en" w:eastAsia="en-ID"/>
        </w:rPr>
      </w:pPr>
    </w:p>
    <w:p w14:paraId="515C0A0D" w14:textId="77777777" w:rsidR="002E6C6B" w:rsidRDefault="00116DC6" w:rsidP="00D73940">
      <w:pPr>
        <w:widowControl/>
        <w:ind w:left="284" w:firstLine="283"/>
        <w:jc w:val="both"/>
        <w:rPr>
          <w:rFonts w:asciiTheme="majorBidi" w:eastAsia="Calibri" w:hAnsiTheme="majorBidi" w:cstheme="majorBidi"/>
          <w:lang w:val="en" w:eastAsia="en-ID"/>
        </w:rPr>
      </w:pPr>
      <w:r w:rsidRPr="00116DC6">
        <w:rPr>
          <w:rFonts w:asciiTheme="majorBidi" w:eastAsia="Calibri" w:hAnsiTheme="majorBidi" w:cstheme="majorBidi"/>
          <w:lang w:val="en"/>
        </w:rPr>
        <w:t>Based on the calculation results, the coefficient of determination (R²) was found to be 0.736, indicating that the variables green marketing, green perceived value, and environmental concern collectively influence green satisfaction by 73.6%. Thus, it can be concluded that the contribution of these three variables to green satisfaction is significant. Meanwhile, the influence of other factors outside the variables included in this model is 26.4%, reflecting the impact of external factors not covered in this study.</w:t>
      </w:r>
    </w:p>
    <w:p w14:paraId="1697E3FF" w14:textId="2E69E9EA" w:rsidR="00D73940" w:rsidRDefault="00116DC6" w:rsidP="00D73940">
      <w:pPr>
        <w:widowControl/>
        <w:ind w:left="284" w:firstLine="283"/>
        <w:jc w:val="both"/>
        <w:rPr>
          <w:rFonts w:asciiTheme="majorBidi" w:eastAsia="Calibri" w:hAnsiTheme="majorBidi" w:cstheme="majorBidi"/>
          <w:lang w:val="en"/>
        </w:rPr>
      </w:pPr>
      <w:r w:rsidRPr="00116DC6">
        <w:rPr>
          <w:rFonts w:asciiTheme="majorBidi" w:eastAsia="Calibri" w:hAnsiTheme="majorBidi" w:cstheme="majorBidi"/>
          <w:lang w:val="en"/>
        </w:rPr>
        <w:t>These findings confirm that the first structural model is acceptable. The following section presents the calculations of direct and indirect effects, as well as the contribution of each variable to green satisfaction.</w:t>
      </w:r>
    </w:p>
    <w:p w14:paraId="303F7DF1" w14:textId="77777777" w:rsidR="00C809EC" w:rsidRDefault="00C809EC" w:rsidP="00D73940">
      <w:pPr>
        <w:widowControl/>
        <w:ind w:left="284" w:firstLine="283"/>
        <w:jc w:val="both"/>
        <w:rPr>
          <w:rFonts w:asciiTheme="majorBidi" w:eastAsia="Calibri" w:hAnsiTheme="majorBidi" w:cstheme="majorBidi"/>
          <w:lang w:val="en" w:eastAsia="en-ID"/>
        </w:rPr>
      </w:pPr>
    </w:p>
    <w:p w14:paraId="1A36552D" w14:textId="77777777" w:rsidR="00C54ED1" w:rsidRDefault="00C54ED1" w:rsidP="00C54ED1">
      <w:pPr>
        <w:widowControl/>
        <w:ind w:left="284"/>
        <w:jc w:val="center"/>
        <w:rPr>
          <w:b/>
        </w:rPr>
      </w:pPr>
    </w:p>
    <w:p w14:paraId="49706845" w14:textId="729F4CC1" w:rsidR="00D73940" w:rsidRDefault="00C54ED1" w:rsidP="00C54ED1">
      <w:pPr>
        <w:widowControl/>
        <w:ind w:left="284"/>
        <w:jc w:val="center"/>
      </w:pPr>
      <w:r w:rsidRPr="00C54ED1">
        <w:rPr>
          <w:b/>
        </w:rPr>
        <w:t xml:space="preserve">Table </w:t>
      </w:r>
      <w:r w:rsidR="00C16625">
        <w:rPr>
          <w:b/>
        </w:rPr>
        <w:t>3</w:t>
      </w:r>
      <w:r w:rsidRPr="00C54ED1">
        <w:t xml:space="preserve">: </w:t>
      </w:r>
      <w:r w:rsidR="00C16625">
        <w:t>Contribution</w:t>
      </w:r>
      <w:r w:rsidRPr="00C54ED1">
        <w:t xml:space="preserve"> of X1,</w:t>
      </w:r>
      <w:r w:rsidR="00C16625">
        <w:t xml:space="preserve"> </w:t>
      </w:r>
      <w:r w:rsidRPr="00C54ED1">
        <w:t>X2, and X3 on Y</w:t>
      </w:r>
    </w:p>
    <w:tbl>
      <w:tblPr>
        <w:tblW w:w="8514" w:type="dxa"/>
        <w:jc w:val="center"/>
        <w:tblBorders>
          <w:top w:val="single" w:sz="4" w:space="0" w:color="auto"/>
          <w:bottom w:val="single" w:sz="4" w:space="0" w:color="auto"/>
        </w:tblBorders>
        <w:tblCellMar>
          <w:left w:w="28" w:type="dxa"/>
          <w:right w:w="28" w:type="dxa"/>
        </w:tblCellMar>
        <w:tblLook w:val="04A0" w:firstRow="1" w:lastRow="0" w:firstColumn="1" w:lastColumn="0" w:noHBand="0" w:noVBand="1"/>
      </w:tblPr>
      <w:tblGrid>
        <w:gridCol w:w="1483"/>
        <w:gridCol w:w="1136"/>
        <w:gridCol w:w="1150"/>
        <w:gridCol w:w="949"/>
        <w:gridCol w:w="949"/>
        <w:gridCol w:w="949"/>
        <w:gridCol w:w="949"/>
        <w:gridCol w:w="949"/>
      </w:tblGrid>
      <w:tr w:rsidR="00C16625" w:rsidRPr="00C16625" w14:paraId="19D2119D" w14:textId="77777777" w:rsidTr="00983E82">
        <w:trPr>
          <w:trHeight w:val="20"/>
          <w:jc w:val="center"/>
        </w:trPr>
        <w:tc>
          <w:tcPr>
            <w:tcW w:w="1483" w:type="dxa"/>
            <w:vMerge w:val="restart"/>
            <w:tcBorders>
              <w:top w:val="single" w:sz="4" w:space="0" w:color="auto"/>
            </w:tcBorders>
            <w:shd w:val="clear" w:color="auto" w:fill="auto"/>
            <w:vAlign w:val="center"/>
          </w:tcPr>
          <w:p w14:paraId="014AF496" w14:textId="77777777" w:rsidR="00C16625" w:rsidRPr="00C16625" w:rsidRDefault="00C16625" w:rsidP="00B0565E">
            <w:pPr>
              <w:jc w:val="center"/>
              <w:rPr>
                <w:rFonts w:asciiTheme="majorBidi" w:hAnsiTheme="majorBidi" w:cstheme="majorBidi"/>
              </w:rPr>
            </w:pPr>
            <w:r w:rsidRPr="00C16625">
              <w:rPr>
                <w:rFonts w:asciiTheme="majorBidi" w:hAnsiTheme="majorBidi" w:cstheme="majorBidi"/>
                <w:bCs/>
              </w:rPr>
              <w:t>Variable</w:t>
            </w:r>
          </w:p>
        </w:tc>
        <w:tc>
          <w:tcPr>
            <w:tcW w:w="1136" w:type="dxa"/>
            <w:vMerge w:val="restart"/>
            <w:tcBorders>
              <w:top w:val="single" w:sz="4" w:space="0" w:color="auto"/>
            </w:tcBorders>
            <w:shd w:val="clear" w:color="auto" w:fill="auto"/>
            <w:noWrap/>
            <w:vAlign w:val="center"/>
          </w:tcPr>
          <w:p w14:paraId="3395D7E3" w14:textId="77777777" w:rsidR="00C16625" w:rsidRPr="00C16625" w:rsidRDefault="00C16625" w:rsidP="00B0565E">
            <w:pPr>
              <w:jc w:val="center"/>
              <w:rPr>
                <w:rFonts w:asciiTheme="majorBidi" w:hAnsiTheme="majorBidi" w:cstheme="majorBidi"/>
              </w:rPr>
            </w:pPr>
            <w:r w:rsidRPr="00C16625">
              <w:rPr>
                <w:rFonts w:asciiTheme="majorBidi" w:hAnsiTheme="majorBidi" w:cstheme="majorBidi"/>
              </w:rPr>
              <w:t>Coefficient</w:t>
            </w:r>
          </w:p>
        </w:tc>
        <w:tc>
          <w:tcPr>
            <w:tcW w:w="4946" w:type="dxa"/>
            <w:gridSpan w:val="5"/>
            <w:tcBorders>
              <w:top w:val="single" w:sz="4" w:space="0" w:color="auto"/>
              <w:bottom w:val="single" w:sz="4" w:space="0" w:color="auto"/>
            </w:tcBorders>
            <w:shd w:val="clear" w:color="auto" w:fill="auto"/>
            <w:noWrap/>
            <w:vAlign w:val="center"/>
          </w:tcPr>
          <w:p w14:paraId="1687FE8E" w14:textId="77777777" w:rsidR="00C16625" w:rsidRPr="00C16625" w:rsidRDefault="00C16625" w:rsidP="00B0565E">
            <w:pPr>
              <w:jc w:val="center"/>
              <w:rPr>
                <w:rFonts w:asciiTheme="majorBidi" w:hAnsiTheme="majorBidi" w:cstheme="majorBidi"/>
              </w:rPr>
            </w:pPr>
            <w:r w:rsidRPr="00C16625">
              <w:rPr>
                <w:rFonts w:asciiTheme="majorBidi" w:hAnsiTheme="majorBidi" w:cstheme="majorBidi"/>
              </w:rPr>
              <w:t>Influence</w:t>
            </w:r>
          </w:p>
        </w:tc>
        <w:tc>
          <w:tcPr>
            <w:tcW w:w="949" w:type="dxa"/>
            <w:vMerge w:val="restart"/>
            <w:tcBorders>
              <w:top w:val="single" w:sz="4" w:space="0" w:color="auto"/>
              <w:bottom w:val="single" w:sz="4" w:space="0" w:color="auto"/>
            </w:tcBorders>
            <w:shd w:val="clear" w:color="auto" w:fill="auto"/>
            <w:noWrap/>
            <w:vAlign w:val="center"/>
          </w:tcPr>
          <w:p w14:paraId="7A3D3974" w14:textId="77777777" w:rsidR="00C16625" w:rsidRPr="00C16625" w:rsidRDefault="00C16625" w:rsidP="00B0565E">
            <w:pPr>
              <w:jc w:val="center"/>
              <w:rPr>
                <w:rFonts w:asciiTheme="majorBidi" w:hAnsiTheme="majorBidi" w:cstheme="majorBidi"/>
                <w:bCs/>
              </w:rPr>
            </w:pPr>
            <w:r w:rsidRPr="00C16625">
              <w:rPr>
                <w:rFonts w:asciiTheme="majorBidi" w:hAnsiTheme="majorBidi" w:cstheme="majorBidi"/>
                <w:bCs/>
              </w:rPr>
              <w:t>Total</w:t>
            </w:r>
          </w:p>
        </w:tc>
      </w:tr>
      <w:tr w:rsidR="00C16625" w:rsidRPr="00C16625" w14:paraId="49ECC862" w14:textId="77777777" w:rsidTr="00983E82">
        <w:trPr>
          <w:trHeight w:val="20"/>
          <w:jc w:val="center"/>
        </w:trPr>
        <w:tc>
          <w:tcPr>
            <w:tcW w:w="1483" w:type="dxa"/>
            <w:vMerge/>
            <w:shd w:val="clear" w:color="auto" w:fill="auto"/>
            <w:vAlign w:val="center"/>
          </w:tcPr>
          <w:p w14:paraId="2AFA76A6" w14:textId="77777777" w:rsidR="00C16625" w:rsidRPr="00C16625" w:rsidRDefault="00C16625" w:rsidP="00B0565E">
            <w:pPr>
              <w:jc w:val="center"/>
              <w:rPr>
                <w:rFonts w:asciiTheme="majorBidi" w:hAnsiTheme="majorBidi" w:cstheme="majorBidi"/>
              </w:rPr>
            </w:pPr>
          </w:p>
        </w:tc>
        <w:tc>
          <w:tcPr>
            <w:tcW w:w="1136" w:type="dxa"/>
            <w:vMerge/>
            <w:shd w:val="clear" w:color="auto" w:fill="auto"/>
            <w:noWrap/>
            <w:vAlign w:val="center"/>
          </w:tcPr>
          <w:p w14:paraId="65A68423" w14:textId="77777777" w:rsidR="00C16625" w:rsidRPr="00C16625" w:rsidRDefault="00C16625" w:rsidP="00B0565E">
            <w:pPr>
              <w:jc w:val="center"/>
              <w:rPr>
                <w:rFonts w:asciiTheme="majorBidi" w:hAnsiTheme="majorBidi" w:cstheme="majorBidi"/>
              </w:rPr>
            </w:pPr>
          </w:p>
        </w:tc>
        <w:tc>
          <w:tcPr>
            <w:tcW w:w="1150" w:type="dxa"/>
            <w:vMerge w:val="restart"/>
            <w:tcBorders>
              <w:top w:val="single" w:sz="4" w:space="0" w:color="auto"/>
            </w:tcBorders>
            <w:shd w:val="clear" w:color="auto" w:fill="auto"/>
            <w:noWrap/>
            <w:vAlign w:val="center"/>
          </w:tcPr>
          <w:p w14:paraId="402817A5" w14:textId="77777777" w:rsidR="00C16625" w:rsidRPr="00C16625" w:rsidRDefault="00C16625" w:rsidP="00B0565E">
            <w:pPr>
              <w:jc w:val="center"/>
              <w:rPr>
                <w:rFonts w:asciiTheme="majorBidi" w:hAnsiTheme="majorBidi" w:cstheme="majorBidi"/>
              </w:rPr>
            </w:pPr>
            <w:r w:rsidRPr="00C16625">
              <w:rPr>
                <w:rFonts w:asciiTheme="majorBidi" w:hAnsiTheme="majorBidi" w:cstheme="majorBidi"/>
                <w:bCs/>
              </w:rPr>
              <w:t>Direct</w:t>
            </w:r>
          </w:p>
        </w:tc>
        <w:tc>
          <w:tcPr>
            <w:tcW w:w="3796" w:type="dxa"/>
            <w:gridSpan w:val="4"/>
            <w:tcBorders>
              <w:top w:val="single" w:sz="4" w:space="0" w:color="auto"/>
              <w:bottom w:val="single" w:sz="4" w:space="0" w:color="auto"/>
            </w:tcBorders>
            <w:shd w:val="clear" w:color="auto" w:fill="auto"/>
            <w:noWrap/>
            <w:vAlign w:val="center"/>
          </w:tcPr>
          <w:p w14:paraId="5D1FE21E" w14:textId="77777777" w:rsidR="00C16625" w:rsidRPr="00C16625" w:rsidRDefault="00C16625" w:rsidP="00B0565E">
            <w:pPr>
              <w:pStyle w:val="BodyTextIndent"/>
              <w:spacing w:line="240" w:lineRule="auto"/>
              <w:ind w:firstLine="0"/>
              <w:jc w:val="center"/>
              <w:rPr>
                <w:rFonts w:asciiTheme="majorBidi" w:hAnsiTheme="majorBidi" w:cstheme="majorBidi"/>
                <w:sz w:val="20"/>
                <w:szCs w:val="20"/>
              </w:rPr>
            </w:pPr>
            <w:r w:rsidRPr="00C16625">
              <w:rPr>
                <w:rFonts w:asciiTheme="majorBidi" w:hAnsiTheme="majorBidi" w:cstheme="majorBidi"/>
                <w:bCs/>
                <w:sz w:val="20"/>
                <w:szCs w:val="20"/>
              </w:rPr>
              <w:t>Indirect</w:t>
            </w:r>
          </w:p>
        </w:tc>
        <w:tc>
          <w:tcPr>
            <w:tcW w:w="949" w:type="dxa"/>
            <w:vMerge/>
            <w:tcBorders>
              <w:top w:val="nil"/>
              <w:bottom w:val="single" w:sz="4" w:space="0" w:color="auto"/>
            </w:tcBorders>
            <w:shd w:val="clear" w:color="auto" w:fill="auto"/>
            <w:noWrap/>
            <w:vAlign w:val="center"/>
          </w:tcPr>
          <w:p w14:paraId="2B327630" w14:textId="77777777" w:rsidR="00C16625" w:rsidRPr="00C16625" w:rsidRDefault="00C16625" w:rsidP="00B0565E">
            <w:pPr>
              <w:jc w:val="center"/>
              <w:rPr>
                <w:rFonts w:asciiTheme="majorBidi" w:hAnsiTheme="majorBidi" w:cstheme="majorBidi"/>
                <w:bCs/>
              </w:rPr>
            </w:pPr>
          </w:p>
        </w:tc>
      </w:tr>
      <w:tr w:rsidR="00C16625" w:rsidRPr="00C16625" w14:paraId="3DAFBFA4" w14:textId="77777777" w:rsidTr="00983E82">
        <w:trPr>
          <w:trHeight w:val="20"/>
          <w:jc w:val="center"/>
        </w:trPr>
        <w:tc>
          <w:tcPr>
            <w:tcW w:w="1483" w:type="dxa"/>
            <w:vMerge/>
            <w:tcBorders>
              <w:bottom w:val="single" w:sz="4" w:space="0" w:color="auto"/>
            </w:tcBorders>
            <w:shd w:val="clear" w:color="auto" w:fill="auto"/>
            <w:vAlign w:val="center"/>
          </w:tcPr>
          <w:p w14:paraId="1BD0333E" w14:textId="77777777" w:rsidR="00C16625" w:rsidRPr="00C16625" w:rsidRDefault="00C16625" w:rsidP="00B0565E">
            <w:pPr>
              <w:jc w:val="center"/>
              <w:rPr>
                <w:rFonts w:asciiTheme="majorBidi" w:hAnsiTheme="majorBidi" w:cstheme="majorBidi"/>
              </w:rPr>
            </w:pPr>
          </w:p>
        </w:tc>
        <w:tc>
          <w:tcPr>
            <w:tcW w:w="1136" w:type="dxa"/>
            <w:vMerge/>
            <w:tcBorders>
              <w:bottom w:val="single" w:sz="4" w:space="0" w:color="auto"/>
            </w:tcBorders>
            <w:shd w:val="clear" w:color="auto" w:fill="auto"/>
            <w:noWrap/>
            <w:vAlign w:val="center"/>
          </w:tcPr>
          <w:p w14:paraId="1D4A8A9F" w14:textId="77777777" w:rsidR="00C16625" w:rsidRPr="00C16625" w:rsidRDefault="00C16625" w:rsidP="00B0565E">
            <w:pPr>
              <w:jc w:val="center"/>
              <w:rPr>
                <w:rFonts w:asciiTheme="majorBidi" w:hAnsiTheme="majorBidi" w:cstheme="majorBidi"/>
              </w:rPr>
            </w:pPr>
          </w:p>
        </w:tc>
        <w:tc>
          <w:tcPr>
            <w:tcW w:w="1150" w:type="dxa"/>
            <w:vMerge/>
            <w:tcBorders>
              <w:bottom w:val="single" w:sz="4" w:space="0" w:color="auto"/>
            </w:tcBorders>
            <w:shd w:val="clear" w:color="auto" w:fill="auto"/>
            <w:noWrap/>
            <w:vAlign w:val="center"/>
          </w:tcPr>
          <w:p w14:paraId="4FB4B8F9" w14:textId="77777777" w:rsidR="00C16625" w:rsidRPr="00C16625" w:rsidRDefault="00C16625" w:rsidP="00B0565E">
            <w:pPr>
              <w:jc w:val="center"/>
              <w:rPr>
                <w:rFonts w:asciiTheme="majorBidi" w:hAnsiTheme="majorBidi" w:cstheme="majorBidi"/>
                <w:bCs/>
              </w:rPr>
            </w:pPr>
          </w:p>
        </w:tc>
        <w:tc>
          <w:tcPr>
            <w:tcW w:w="949" w:type="dxa"/>
            <w:tcBorders>
              <w:bottom w:val="single" w:sz="4" w:space="0" w:color="auto"/>
            </w:tcBorders>
            <w:shd w:val="clear" w:color="auto" w:fill="auto"/>
            <w:noWrap/>
            <w:vAlign w:val="center"/>
          </w:tcPr>
          <w:p w14:paraId="6328FFAC" w14:textId="77777777" w:rsidR="00C16625" w:rsidRPr="00C16625" w:rsidRDefault="00C16625" w:rsidP="00B0565E">
            <w:pPr>
              <w:jc w:val="center"/>
              <w:rPr>
                <w:rFonts w:asciiTheme="majorBidi" w:hAnsiTheme="majorBidi" w:cstheme="majorBidi"/>
              </w:rPr>
            </w:pPr>
            <w:r w:rsidRPr="00C16625">
              <w:rPr>
                <w:rFonts w:asciiTheme="majorBidi" w:hAnsiTheme="majorBidi" w:cstheme="majorBidi"/>
                <w:bCs/>
              </w:rPr>
              <w:t>X</w:t>
            </w:r>
            <w:r w:rsidRPr="00C16625">
              <w:rPr>
                <w:rFonts w:asciiTheme="majorBidi" w:hAnsiTheme="majorBidi" w:cstheme="majorBidi"/>
                <w:bCs/>
                <w:vertAlign w:val="subscript"/>
              </w:rPr>
              <w:t>1</w:t>
            </w:r>
          </w:p>
        </w:tc>
        <w:tc>
          <w:tcPr>
            <w:tcW w:w="949" w:type="dxa"/>
            <w:tcBorders>
              <w:bottom w:val="single" w:sz="4" w:space="0" w:color="auto"/>
            </w:tcBorders>
            <w:shd w:val="clear" w:color="auto" w:fill="auto"/>
            <w:noWrap/>
            <w:vAlign w:val="center"/>
          </w:tcPr>
          <w:p w14:paraId="36E553CF" w14:textId="77777777" w:rsidR="00C16625" w:rsidRPr="00C16625" w:rsidRDefault="00C16625" w:rsidP="00B0565E">
            <w:pPr>
              <w:jc w:val="center"/>
              <w:rPr>
                <w:rFonts w:asciiTheme="majorBidi" w:hAnsiTheme="majorBidi" w:cstheme="majorBidi"/>
              </w:rPr>
            </w:pPr>
            <w:r w:rsidRPr="00C16625">
              <w:rPr>
                <w:rFonts w:asciiTheme="majorBidi" w:hAnsiTheme="majorBidi" w:cstheme="majorBidi"/>
                <w:bCs/>
              </w:rPr>
              <w:t>X</w:t>
            </w:r>
            <w:r w:rsidRPr="00C16625">
              <w:rPr>
                <w:rFonts w:asciiTheme="majorBidi" w:hAnsiTheme="majorBidi" w:cstheme="majorBidi"/>
                <w:bCs/>
                <w:vertAlign w:val="subscript"/>
              </w:rPr>
              <w:t>2</w:t>
            </w:r>
          </w:p>
        </w:tc>
        <w:tc>
          <w:tcPr>
            <w:tcW w:w="949" w:type="dxa"/>
            <w:tcBorders>
              <w:bottom w:val="single" w:sz="4" w:space="0" w:color="auto"/>
            </w:tcBorders>
            <w:shd w:val="clear" w:color="auto" w:fill="auto"/>
            <w:noWrap/>
            <w:vAlign w:val="center"/>
          </w:tcPr>
          <w:p w14:paraId="16CCFC60" w14:textId="77777777" w:rsidR="00C16625" w:rsidRPr="00C16625" w:rsidRDefault="00C16625" w:rsidP="00B0565E">
            <w:pPr>
              <w:jc w:val="center"/>
              <w:rPr>
                <w:rFonts w:asciiTheme="majorBidi" w:hAnsiTheme="majorBidi" w:cstheme="majorBidi"/>
              </w:rPr>
            </w:pPr>
            <w:r w:rsidRPr="00C16625">
              <w:rPr>
                <w:rFonts w:asciiTheme="majorBidi" w:hAnsiTheme="majorBidi" w:cstheme="majorBidi"/>
                <w:bCs/>
              </w:rPr>
              <w:t>X</w:t>
            </w:r>
            <w:r w:rsidRPr="00C16625">
              <w:rPr>
                <w:rFonts w:asciiTheme="majorBidi" w:hAnsiTheme="majorBidi" w:cstheme="majorBidi"/>
                <w:bCs/>
                <w:vertAlign w:val="subscript"/>
              </w:rPr>
              <w:t>3</w:t>
            </w:r>
          </w:p>
        </w:tc>
        <w:tc>
          <w:tcPr>
            <w:tcW w:w="949" w:type="dxa"/>
            <w:tcBorders>
              <w:bottom w:val="single" w:sz="4" w:space="0" w:color="auto"/>
            </w:tcBorders>
            <w:shd w:val="clear" w:color="auto" w:fill="auto"/>
            <w:noWrap/>
            <w:vAlign w:val="center"/>
          </w:tcPr>
          <w:p w14:paraId="50FAAFFD" w14:textId="77777777" w:rsidR="00C16625" w:rsidRPr="00C16625" w:rsidRDefault="00C16625" w:rsidP="00B0565E">
            <w:pPr>
              <w:jc w:val="center"/>
              <w:rPr>
                <w:rFonts w:asciiTheme="majorBidi" w:hAnsiTheme="majorBidi" w:cstheme="majorBidi"/>
              </w:rPr>
            </w:pPr>
            <w:r w:rsidRPr="00C16625">
              <w:rPr>
                <w:rFonts w:asciiTheme="majorBidi" w:hAnsiTheme="majorBidi" w:cstheme="majorBidi"/>
                <w:bCs/>
              </w:rPr>
              <w:t>Total</w:t>
            </w:r>
          </w:p>
        </w:tc>
        <w:tc>
          <w:tcPr>
            <w:tcW w:w="949" w:type="dxa"/>
            <w:vMerge/>
            <w:tcBorders>
              <w:top w:val="nil"/>
              <w:bottom w:val="single" w:sz="4" w:space="0" w:color="auto"/>
            </w:tcBorders>
            <w:shd w:val="clear" w:color="auto" w:fill="auto"/>
            <w:noWrap/>
            <w:vAlign w:val="center"/>
          </w:tcPr>
          <w:p w14:paraId="3C3E50D5" w14:textId="77777777" w:rsidR="00C16625" w:rsidRPr="00C16625" w:rsidRDefault="00C16625" w:rsidP="00B0565E">
            <w:pPr>
              <w:jc w:val="center"/>
              <w:rPr>
                <w:rFonts w:asciiTheme="majorBidi" w:hAnsiTheme="majorBidi" w:cstheme="majorBidi"/>
                <w:bCs/>
              </w:rPr>
            </w:pPr>
          </w:p>
        </w:tc>
      </w:tr>
      <w:tr w:rsidR="00C16625" w:rsidRPr="00C16625" w14:paraId="18A1C50A" w14:textId="77777777" w:rsidTr="00983E82">
        <w:trPr>
          <w:trHeight w:val="20"/>
          <w:jc w:val="center"/>
        </w:trPr>
        <w:tc>
          <w:tcPr>
            <w:tcW w:w="1483" w:type="dxa"/>
            <w:tcBorders>
              <w:top w:val="single" w:sz="4" w:space="0" w:color="auto"/>
            </w:tcBorders>
            <w:shd w:val="clear" w:color="auto" w:fill="auto"/>
            <w:vAlign w:val="center"/>
          </w:tcPr>
          <w:p w14:paraId="1A57BC44" w14:textId="77777777" w:rsidR="00C16625" w:rsidRPr="00C16625" w:rsidRDefault="00C16625" w:rsidP="00B0565E">
            <w:pPr>
              <w:rPr>
                <w:rFonts w:asciiTheme="majorBidi" w:hAnsiTheme="majorBidi" w:cstheme="majorBidi"/>
              </w:rPr>
            </w:pPr>
            <w:r w:rsidRPr="00C16625">
              <w:rPr>
                <w:rFonts w:asciiTheme="majorBidi" w:hAnsiTheme="majorBidi" w:cstheme="majorBidi"/>
              </w:rPr>
              <w:t>Green Marketing</w:t>
            </w:r>
          </w:p>
          <w:p w14:paraId="32DE2D55" w14:textId="77777777" w:rsidR="00C16625" w:rsidRPr="00C16625" w:rsidRDefault="00C16625" w:rsidP="00B0565E">
            <w:pPr>
              <w:rPr>
                <w:rFonts w:asciiTheme="majorBidi" w:hAnsiTheme="majorBidi" w:cstheme="majorBidi"/>
              </w:rPr>
            </w:pPr>
            <w:r w:rsidRPr="00C16625">
              <w:rPr>
                <w:rFonts w:asciiTheme="majorBidi" w:hAnsiTheme="majorBidi" w:cstheme="majorBidi"/>
              </w:rPr>
              <w:t>(X1)</w:t>
            </w:r>
          </w:p>
        </w:tc>
        <w:tc>
          <w:tcPr>
            <w:tcW w:w="1136" w:type="dxa"/>
            <w:tcBorders>
              <w:top w:val="single" w:sz="4" w:space="0" w:color="auto"/>
            </w:tcBorders>
            <w:shd w:val="clear" w:color="auto" w:fill="auto"/>
            <w:noWrap/>
            <w:vAlign w:val="center"/>
            <w:hideMark/>
          </w:tcPr>
          <w:p w14:paraId="107DEB4D" w14:textId="77777777" w:rsidR="00C16625" w:rsidRPr="00C16625" w:rsidRDefault="00C16625" w:rsidP="00C809EC">
            <w:pPr>
              <w:jc w:val="center"/>
              <w:rPr>
                <w:rFonts w:asciiTheme="majorBidi" w:hAnsiTheme="majorBidi" w:cstheme="majorBidi"/>
              </w:rPr>
            </w:pPr>
            <w:r w:rsidRPr="00C16625">
              <w:rPr>
                <w:rFonts w:asciiTheme="majorBidi" w:hAnsiTheme="majorBidi" w:cstheme="majorBidi"/>
              </w:rPr>
              <w:t>0,298</w:t>
            </w:r>
          </w:p>
        </w:tc>
        <w:tc>
          <w:tcPr>
            <w:tcW w:w="1150" w:type="dxa"/>
            <w:tcBorders>
              <w:top w:val="single" w:sz="4" w:space="0" w:color="auto"/>
            </w:tcBorders>
            <w:shd w:val="clear" w:color="auto" w:fill="auto"/>
            <w:noWrap/>
            <w:vAlign w:val="center"/>
            <w:hideMark/>
          </w:tcPr>
          <w:p w14:paraId="49B89F25" w14:textId="77777777" w:rsidR="00C16625" w:rsidRPr="00C16625" w:rsidRDefault="00C16625" w:rsidP="00B0565E">
            <w:pPr>
              <w:jc w:val="center"/>
              <w:rPr>
                <w:rFonts w:asciiTheme="majorBidi" w:hAnsiTheme="majorBidi" w:cstheme="majorBidi"/>
              </w:rPr>
            </w:pPr>
            <w:r w:rsidRPr="00C16625">
              <w:rPr>
                <w:rFonts w:asciiTheme="majorBidi" w:hAnsiTheme="majorBidi" w:cstheme="majorBidi"/>
              </w:rPr>
              <w:t>8,9%</w:t>
            </w:r>
          </w:p>
        </w:tc>
        <w:tc>
          <w:tcPr>
            <w:tcW w:w="949" w:type="dxa"/>
            <w:tcBorders>
              <w:top w:val="single" w:sz="4" w:space="0" w:color="auto"/>
            </w:tcBorders>
            <w:shd w:val="clear" w:color="auto" w:fill="auto"/>
            <w:noWrap/>
            <w:vAlign w:val="center"/>
            <w:hideMark/>
          </w:tcPr>
          <w:p w14:paraId="4ABE34CB" w14:textId="77777777" w:rsidR="00C16625" w:rsidRPr="00C16625" w:rsidRDefault="00C16625" w:rsidP="00B0565E">
            <w:pPr>
              <w:jc w:val="center"/>
              <w:rPr>
                <w:rFonts w:asciiTheme="majorBidi" w:hAnsiTheme="majorBidi" w:cstheme="majorBidi"/>
              </w:rPr>
            </w:pPr>
          </w:p>
        </w:tc>
        <w:tc>
          <w:tcPr>
            <w:tcW w:w="949" w:type="dxa"/>
            <w:tcBorders>
              <w:top w:val="single" w:sz="4" w:space="0" w:color="auto"/>
            </w:tcBorders>
            <w:shd w:val="clear" w:color="auto" w:fill="auto"/>
            <w:noWrap/>
            <w:vAlign w:val="center"/>
            <w:hideMark/>
          </w:tcPr>
          <w:p w14:paraId="7DFC2E3A" w14:textId="77777777" w:rsidR="00C16625" w:rsidRPr="00C16625" w:rsidRDefault="00C16625" w:rsidP="00B0565E">
            <w:pPr>
              <w:jc w:val="center"/>
              <w:rPr>
                <w:rFonts w:asciiTheme="majorBidi" w:hAnsiTheme="majorBidi" w:cstheme="majorBidi"/>
              </w:rPr>
            </w:pPr>
            <w:r w:rsidRPr="00C16625">
              <w:rPr>
                <w:rFonts w:asciiTheme="majorBidi" w:hAnsiTheme="majorBidi" w:cstheme="majorBidi"/>
              </w:rPr>
              <w:t>5,1%</w:t>
            </w:r>
          </w:p>
        </w:tc>
        <w:tc>
          <w:tcPr>
            <w:tcW w:w="949" w:type="dxa"/>
            <w:tcBorders>
              <w:top w:val="single" w:sz="4" w:space="0" w:color="auto"/>
            </w:tcBorders>
            <w:shd w:val="clear" w:color="auto" w:fill="auto"/>
            <w:noWrap/>
            <w:vAlign w:val="center"/>
            <w:hideMark/>
          </w:tcPr>
          <w:p w14:paraId="4E866925" w14:textId="77777777" w:rsidR="00C16625" w:rsidRPr="00C16625" w:rsidRDefault="00C16625" w:rsidP="00B0565E">
            <w:pPr>
              <w:jc w:val="center"/>
              <w:rPr>
                <w:rFonts w:asciiTheme="majorBidi" w:hAnsiTheme="majorBidi" w:cstheme="majorBidi"/>
              </w:rPr>
            </w:pPr>
            <w:r w:rsidRPr="00C16625">
              <w:rPr>
                <w:rFonts w:asciiTheme="majorBidi" w:hAnsiTheme="majorBidi" w:cstheme="majorBidi"/>
              </w:rPr>
              <w:t>4,5%</w:t>
            </w:r>
          </w:p>
        </w:tc>
        <w:tc>
          <w:tcPr>
            <w:tcW w:w="949" w:type="dxa"/>
            <w:tcBorders>
              <w:top w:val="single" w:sz="4" w:space="0" w:color="auto"/>
            </w:tcBorders>
            <w:shd w:val="clear" w:color="auto" w:fill="auto"/>
            <w:noWrap/>
            <w:vAlign w:val="center"/>
            <w:hideMark/>
          </w:tcPr>
          <w:p w14:paraId="157C96DF" w14:textId="77777777" w:rsidR="00C16625" w:rsidRPr="00C16625" w:rsidRDefault="00C16625" w:rsidP="00B0565E">
            <w:pPr>
              <w:jc w:val="center"/>
              <w:rPr>
                <w:rFonts w:asciiTheme="majorBidi" w:hAnsiTheme="majorBidi" w:cstheme="majorBidi"/>
              </w:rPr>
            </w:pPr>
            <w:r w:rsidRPr="00C16625">
              <w:rPr>
                <w:rFonts w:asciiTheme="majorBidi" w:hAnsiTheme="majorBidi" w:cstheme="majorBidi"/>
              </w:rPr>
              <w:t>9,6%</w:t>
            </w:r>
          </w:p>
        </w:tc>
        <w:tc>
          <w:tcPr>
            <w:tcW w:w="949" w:type="dxa"/>
            <w:tcBorders>
              <w:top w:val="single" w:sz="4" w:space="0" w:color="auto"/>
            </w:tcBorders>
            <w:shd w:val="clear" w:color="auto" w:fill="auto"/>
            <w:noWrap/>
            <w:vAlign w:val="center"/>
            <w:hideMark/>
          </w:tcPr>
          <w:p w14:paraId="67B4A819" w14:textId="77777777" w:rsidR="00C16625" w:rsidRPr="00C16625" w:rsidRDefault="00C16625" w:rsidP="00B0565E">
            <w:pPr>
              <w:jc w:val="center"/>
              <w:rPr>
                <w:rFonts w:asciiTheme="majorBidi" w:hAnsiTheme="majorBidi" w:cstheme="majorBidi"/>
              </w:rPr>
            </w:pPr>
            <w:r w:rsidRPr="00C16625">
              <w:rPr>
                <w:rFonts w:asciiTheme="majorBidi" w:hAnsiTheme="majorBidi" w:cstheme="majorBidi"/>
              </w:rPr>
              <w:t>18,5%</w:t>
            </w:r>
          </w:p>
        </w:tc>
      </w:tr>
      <w:tr w:rsidR="00C16625" w:rsidRPr="00C16625" w14:paraId="4FC49685" w14:textId="77777777" w:rsidTr="00983E82">
        <w:trPr>
          <w:trHeight w:val="20"/>
          <w:jc w:val="center"/>
        </w:trPr>
        <w:tc>
          <w:tcPr>
            <w:tcW w:w="1483" w:type="dxa"/>
            <w:tcBorders>
              <w:bottom w:val="nil"/>
            </w:tcBorders>
            <w:shd w:val="clear" w:color="auto" w:fill="auto"/>
            <w:vAlign w:val="center"/>
          </w:tcPr>
          <w:p w14:paraId="1110D113" w14:textId="77777777" w:rsidR="00C16625" w:rsidRPr="00C16625" w:rsidRDefault="00C16625" w:rsidP="00B0565E">
            <w:pPr>
              <w:rPr>
                <w:rFonts w:asciiTheme="majorBidi" w:hAnsiTheme="majorBidi" w:cstheme="majorBidi"/>
              </w:rPr>
            </w:pPr>
            <w:r w:rsidRPr="00C16625">
              <w:rPr>
                <w:rFonts w:asciiTheme="majorBidi" w:hAnsiTheme="majorBidi" w:cstheme="majorBidi"/>
                <w:bCs/>
              </w:rPr>
              <w:t>Green Perceived Value (X</w:t>
            </w:r>
            <w:r w:rsidRPr="00C16625">
              <w:rPr>
                <w:rFonts w:asciiTheme="majorBidi" w:hAnsiTheme="majorBidi" w:cstheme="majorBidi"/>
                <w:bCs/>
                <w:vertAlign w:val="subscript"/>
              </w:rPr>
              <w:t>2</w:t>
            </w:r>
            <w:r w:rsidRPr="00C16625">
              <w:rPr>
                <w:rFonts w:asciiTheme="majorBidi" w:hAnsiTheme="majorBidi" w:cstheme="majorBidi"/>
                <w:bCs/>
              </w:rPr>
              <w:t>)</w:t>
            </w:r>
          </w:p>
        </w:tc>
        <w:tc>
          <w:tcPr>
            <w:tcW w:w="1136" w:type="dxa"/>
            <w:tcBorders>
              <w:bottom w:val="nil"/>
            </w:tcBorders>
            <w:shd w:val="clear" w:color="auto" w:fill="auto"/>
            <w:noWrap/>
            <w:vAlign w:val="center"/>
            <w:hideMark/>
          </w:tcPr>
          <w:p w14:paraId="4D318178" w14:textId="77777777" w:rsidR="00C16625" w:rsidRPr="00C16625" w:rsidRDefault="00C16625" w:rsidP="00C809EC">
            <w:pPr>
              <w:jc w:val="center"/>
              <w:rPr>
                <w:rFonts w:asciiTheme="majorBidi" w:hAnsiTheme="majorBidi" w:cstheme="majorBidi"/>
              </w:rPr>
            </w:pPr>
            <w:r w:rsidRPr="00C16625">
              <w:rPr>
                <w:rFonts w:asciiTheme="majorBidi" w:hAnsiTheme="majorBidi" w:cstheme="majorBidi"/>
              </w:rPr>
              <w:t>0,383</w:t>
            </w:r>
          </w:p>
        </w:tc>
        <w:tc>
          <w:tcPr>
            <w:tcW w:w="1150" w:type="dxa"/>
            <w:tcBorders>
              <w:bottom w:val="nil"/>
            </w:tcBorders>
            <w:shd w:val="clear" w:color="auto" w:fill="auto"/>
            <w:noWrap/>
            <w:vAlign w:val="center"/>
            <w:hideMark/>
          </w:tcPr>
          <w:p w14:paraId="7F40C1F0" w14:textId="77777777" w:rsidR="00C16625" w:rsidRPr="00C16625" w:rsidRDefault="00C16625" w:rsidP="00B0565E">
            <w:pPr>
              <w:jc w:val="center"/>
              <w:rPr>
                <w:rFonts w:asciiTheme="majorBidi" w:hAnsiTheme="majorBidi" w:cstheme="majorBidi"/>
              </w:rPr>
            </w:pPr>
            <w:r w:rsidRPr="00C16625">
              <w:rPr>
                <w:rFonts w:asciiTheme="majorBidi" w:hAnsiTheme="majorBidi" w:cstheme="majorBidi"/>
              </w:rPr>
              <w:t>14,7%</w:t>
            </w:r>
          </w:p>
        </w:tc>
        <w:tc>
          <w:tcPr>
            <w:tcW w:w="949" w:type="dxa"/>
            <w:tcBorders>
              <w:bottom w:val="nil"/>
            </w:tcBorders>
            <w:shd w:val="clear" w:color="auto" w:fill="auto"/>
            <w:noWrap/>
            <w:vAlign w:val="center"/>
            <w:hideMark/>
          </w:tcPr>
          <w:p w14:paraId="725D2339" w14:textId="77777777" w:rsidR="00C16625" w:rsidRPr="00C16625" w:rsidRDefault="00C16625" w:rsidP="00B0565E">
            <w:pPr>
              <w:jc w:val="center"/>
              <w:rPr>
                <w:rFonts w:asciiTheme="majorBidi" w:hAnsiTheme="majorBidi" w:cstheme="majorBidi"/>
              </w:rPr>
            </w:pPr>
            <w:r w:rsidRPr="00C16625">
              <w:rPr>
                <w:rFonts w:asciiTheme="majorBidi" w:hAnsiTheme="majorBidi" w:cstheme="majorBidi"/>
              </w:rPr>
              <w:t>5,1%</w:t>
            </w:r>
          </w:p>
        </w:tc>
        <w:tc>
          <w:tcPr>
            <w:tcW w:w="949" w:type="dxa"/>
            <w:tcBorders>
              <w:bottom w:val="nil"/>
            </w:tcBorders>
            <w:shd w:val="clear" w:color="auto" w:fill="auto"/>
            <w:noWrap/>
            <w:vAlign w:val="center"/>
            <w:hideMark/>
          </w:tcPr>
          <w:p w14:paraId="7A1D3877" w14:textId="77777777" w:rsidR="00C16625" w:rsidRPr="00C16625" w:rsidRDefault="00C16625" w:rsidP="00B0565E">
            <w:pPr>
              <w:jc w:val="center"/>
              <w:rPr>
                <w:rFonts w:asciiTheme="majorBidi" w:hAnsiTheme="majorBidi" w:cstheme="majorBidi"/>
              </w:rPr>
            </w:pPr>
          </w:p>
        </w:tc>
        <w:tc>
          <w:tcPr>
            <w:tcW w:w="949" w:type="dxa"/>
            <w:tcBorders>
              <w:bottom w:val="nil"/>
            </w:tcBorders>
            <w:shd w:val="clear" w:color="auto" w:fill="auto"/>
            <w:noWrap/>
            <w:vAlign w:val="center"/>
            <w:hideMark/>
          </w:tcPr>
          <w:p w14:paraId="4E0C29B0" w14:textId="77777777" w:rsidR="00C16625" w:rsidRPr="00C16625" w:rsidRDefault="00C16625" w:rsidP="00B0565E">
            <w:pPr>
              <w:jc w:val="center"/>
              <w:rPr>
                <w:rFonts w:asciiTheme="majorBidi" w:hAnsiTheme="majorBidi" w:cstheme="majorBidi"/>
              </w:rPr>
            </w:pPr>
            <w:r w:rsidRPr="00C16625">
              <w:rPr>
                <w:rFonts w:asciiTheme="majorBidi" w:hAnsiTheme="majorBidi" w:cstheme="majorBidi"/>
              </w:rPr>
              <w:t>4,6%</w:t>
            </w:r>
          </w:p>
        </w:tc>
        <w:tc>
          <w:tcPr>
            <w:tcW w:w="949" w:type="dxa"/>
            <w:tcBorders>
              <w:bottom w:val="nil"/>
            </w:tcBorders>
            <w:shd w:val="clear" w:color="auto" w:fill="auto"/>
            <w:noWrap/>
            <w:vAlign w:val="center"/>
            <w:hideMark/>
          </w:tcPr>
          <w:p w14:paraId="43A8138A" w14:textId="77777777" w:rsidR="00C16625" w:rsidRPr="00C16625" w:rsidRDefault="00C16625" w:rsidP="00B0565E">
            <w:pPr>
              <w:jc w:val="center"/>
              <w:rPr>
                <w:rFonts w:asciiTheme="majorBidi" w:hAnsiTheme="majorBidi" w:cstheme="majorBidi"/>
              </w:rPr>
            </w:pPr>
            <w:r w:rsidRPr="00C16625">
              <w:rPr>
                <w:rFonts w:asciiTheme="majorBidi" w:hAnsiTheme="majorBidi" w:cstheme="majorBidi"/>
              </w:rPr>
              <w:t>9,7%</w:t>
            </w:r>
          </w:p>
        </w:tc>
        <w:tc>
          <w:tcPr>
            <w:tcW w:w="949" w:type="dxa"/>
            <w:tcBorders>
              <w:bottom w:val="nil"/>
            </w:tcBorders>
            <w:shd w:val="clear" w:color="auto" w:fill="auto"/>
            <w:noWrap/>
            <w:vAlign w:val="center"/>
            <w:hideMark/>
          </w:tcPr>
          <w:p w14:paraId="22025D5E" w14:textId="77777777" w:rsidR="00C16625" w:rsidRPr="00C16625" w:rsidRDefault="00C16625" w:rsidP="00B0565E">
            <w:pPr>
              <w:jc w:val="center"/>
              <w:rPr>
                <w:rFonts w:asciiTheme="majorBidi" w:hAnsiTheme="majorBidi" w:cstheme="majorBidi"/>
              </w:rPr>
            </w:pPr>
            <w:r w:rsidRPr="00C16625">
              <w:rPr>
                <w:rFonts w:asciiTheme="majorBidi" w:hAnsiTheme="majorBidi" w:cstheme="majorBidi"/>
              </w:rPr>
              <w:t>24,4%</w:t>
            </w:r>
          </w:p>
        </w:tc>
      </w:tr>
      <w:tr w:rsidR="00C16625" w:rsidRPr="00C16625" w14:paraId="7890BBF3" w14:textId="77777777" w:rsidTr="00983E82">
        <w:trPr>
          <w:trHeight w:val="20"/>
          <w:jc w:val="center"/>
        </w:trPr>
        <w:tc>
          <w:tcPr>
            <w:tcW w:w="1483" w:type="dxa"/>
            <w:tcBorders>
              <w:top w:val="nil"/>
              <w:bottom w:val="single" w:sz="4" w:space="0" w:color="auto"/>
            </w:tcBorders>
            <w:shd w:val="clear" w:color="auto" w:fill="auto"/>
            <w:vAlign w:val="center"/>
          </w:tcPr>
          <w:p w14:paraId="43CF4F12" w14:textId="77777777" w:rsidR="00C16625" w:rsidRPr="00C16625" w:rsidRDefault="00C16625" w:rsidP="00B0565E">
            <w:pPr>
              <w:rPr>
                <w:rFonts w:asciiTheme="majorBidi" w:hAnsiTheme="majorBidi" w:cstheme="majorBidi"/>
              </w:rPr>
            </w:pPr>
            <w:r w:rsidRPr="00C16625">
              <w:rPr>
                <w:rFonts w:asciiTheme="majorBidi" w:hAnsiTheme="majorBidi" w:cstheme="majorBidi"/>
                <w:bCs/>
              </w:rPr>
              <w:t>Environmental Concern</w:t>
            </w:r>
            <w:r w:rsidRPr="00C16625">
              <w:rPr>
                <w:rFonts w:asciiTheme="majorBidi" w:hAnsiTheme="majorBidi" w:cstheme="majorBidi"/>
                <w:bCs/>
                <w:i/>
              </w:rPr>
              <w:t xml:space="preserve"> </w:t>
            </w:r>
            <w:r w:rsidRPr="00C16625">
              <w:rPr>
                <w:rFonts w:asciiTheme="majorBidi" w:hAnsiTheme="majorBidi" w:cstheme="majorBidi"/>
                <w:bCs/>
              </w:rPr>
              <w:t>(X</w:t>
            </w:r>
            <w:r w:rsidRPr="00C16625">
              <w:rPr>
                <w:rFonts w:asciiTheme="majorBidi" w:hAnsiTheme="majorBidi" w:cstheme="majorBidi"/>
                <w:bCs/>
                <w:vertAlign w:val="subscript"/>
              </w:rPr>
              <w:t>3</w:t>
            </w:r>
            <w:r w:rsidRPr="00C16625">
              <w:rPr>
                <w:rFonts w:asciiTheme="majorBidi" w:hAnsiTheme="majorBidi" w:cstheme="majorBidi"/>
                <w:bCs/>
              </w:rPr>
              <w:t>)</w:t>
            </w:r>
          </w:p>
        </w:tc>
        <w:tc>
          <w:tcPr>
            <w:tcW w:w="1136" w:type="dxa"/>
            <w:tcBorders>
              <w:top w:val="nil"/>
              <w:bottom w:val="single" w:sz="4" w:space="0" w:color="auto"/>
            </w:tcBorders>
            <w:shd w:val="clear" w:color="auto" w:fill="auto"/>
            <w:noWrap/>
            <w:vAlign w:val="center"/>
            <w:hideMark/>
          </w:tcPr>
          <w:p w14:paraId="03194ED1" w14:textId="77777777" w:rsidR="00C16625" w:rsidRPr="00C16625" w:rsidRDefault="00C16625" w:rsidP="00C809EC">
            <w:pPr>
              <w:jc w:val="center"/>
              <w:rPr>
                <w:rFonts w:asciiTheme="majorBidi" w:hAnsiTheme="majorBidi" w:cstheme="majorBidi"/>
              </w:rPr>
            </w:pPr>
            <w:r w:rsidRPr="00C16625">
              <w:rPr>
                <w:rFonts w:asciiTheme="majorBidi" w:hAnsiTheme="majorBidi" w:cstheme="majorBidi"/>
              </w:rPr>
              <w:t>0,465</w:t>
            </w:r>
          </w:p>
        </w:tc>
        <w:tc>
          <w:tcPr>
            <w:tcW w:w="1150" w:type="dxa"/>
            <w:tcBorders>
              <w:top w:val="nil"/>
              <w:bottom w:val="single" w:sz="4" w:space="0" w:color="auto"/>
            </w:tcBorders>
            <w:shd w:val="clear" w:color="auto" w:fill="auto"/>
            <w:noWrap/>
            <w:vAlign w:val="center"/>
            <w:hideMark/>
          </w:tcPr>
          <w:p w14:paraId="7CF16344" w14:textId="77777777" w:rsidR="00C16625" w:rsidRPr="00C16625" w:rsidRDefault="00C16625" w:rsidP="00B0565E">
            <w:pPr>
              <w:jc w:val="center"/>
              <w:rPr>
                <w:rFonts w:asciiTheme="majorBidi" w:hAnsiTheme="majorBidi" w:cstheme="majorBidi"/>
              </w:rPr>
            </w:pPr>
            <w:r w:rsidRPr="00C16625">
              <w:rPr>
                <w:rFonts w:asciiTheme="majorBidi" w:hAnsiTheme="majorBidi" w:cstheme="majorBidi"/>
              </w:rPr>
              <w:t>21,6%</w:t>
            </w:r>
          </w:p>
        </w:tc>
        <w:tc>
          <w:tcPr>
            <w:tcW w:w="949" w:type="dxa"/>
            <w:tcBorders>
              <w:top w:val="nil"/>
              <w:bottom w:val="single" w:sz="4" w:space="0" w:color="auto"/>
            </w:tcBorders>
            <w:shd w:val="clear" w:color="auto" w:fill="auto"/>
            <w:noWrap/>
            <w:vAlign w:val="center"/>
            <w:hideMark/>
          </w:tcPr>
          <w:p w14:paraId="537A2283" w14:textId="77777777" w:rsidR="00C16625" w:rsidRPr="00C16625" w:rsidRDefault="00C16625" w:rsidP="00B0565E">
            <w:pPr>
              <w:jc w:val="center"/>
              <w:rPr>
                <w:rFonts w:asciiTheme="majorBidi" w:hAnsiTheme="majorBidi" w:cstheme="majorBidi"/>
              </w:rPr>
            </w:pPr>
            <w:r w:rsidRPr="00C16625">
              <w:rPr>
                <w:rFonts w:asciiTheme="majorBidi" w:hAnsiTheme="majorBidi" w:cstheme="majorBidi"/>
              </w:rPr>
              <w:t>4,5%</w:t>
            </w:r>
          </w:p>
        </w:tc>
        <w:tc>
          <w:tcPr>
            <w:tcW w:w="949" w:type="dxa"/>
            <w:tcBorders>
              <w:top w:val="nil"/>
              <w:bottom w:val="single" w:sz="4" w:space="0" w:color="auto"/>
            </w:tcBorders>
            <w:shd w:val="clear" w:color="auto" w:fill="auto"/>
            <w:noWrap/>
            <w:vAlign w:val="center"/>
            <w:hideMark/>
          </w:tcPr>
          <w:p w14:paraId="0F8AE145" w14:textId="77777777" w:rsidR="00C16625" w:rsidRPr="00C16625" w:rsidRDefault="00C16625" w:rsidP="00B0565E">
            <w:pPr>
              <w:jc w:val="center"/>
              <w:rPr>
                <w:rFonts w:asciiTheme="majorBidi" w:hAnsiTheme="majorBidi" w:cstheme="majorBidi"/>
              </w:rPr>
            </w:pPr>
            <w:r w:rsidRPr="00C16625">
              <w:rPr>
                <w:rFonts w:asciiTheme="majorBidi" w:hAnsiTheme="majorBidi" w:cstheme="majorBidi"/>
              </w:rPr>
              <w:t>4,6%</w:t>
            </w:r>
          </w:p>
        </w:tc>
        <w:tc>
          <w:tcPr>
            <w:tcW w:w="949" w:type="dxa"/>
            <w:tcBorders>
              <w:top w:val="nil"/>
              <w:bottom w:val="single" w:sz="4" w:space="0" w:color="auto"/>
            </w:tcBorders>
            <w:shd w:val="clear" w:color="auto" w:fill="auto"/>
            <w:noWrap/>
            <w:vAlign w:val="center"/>
            <w:hideMark/>
          </w:tcPr>
          <w:p w14:paraId="5DF0DA33" w14:textId="77777777" w:rsidR="00C16625" w:rsidRPr="00C16625" w:rsidRDefault="00C16625" w:rsidP="00B0565E">
            <w:pPr>
              <w:jc w:val="center"/>
              <w:rPr>
                <w:rFonts w:asciiTheme="majorBidi" w:hAnsiTheme="majorBidi" w:cstheme="majorBidi"/>
              </w:rPr>
            </w:pPr>
          </w:p>
        </w:tc>
        <w:tc>
          <w:tcPr>
            <w:tcW w:w="949" w:type="dxa"/>
            <w:tcBorders>
              <w:top w:val="nil"/>
              <w:bottom w:val="single" w:sz="4" w:space="0" w:color="auto"/>
            </w:tcBorders>
            <w:shd w:val="clear" w:color="auto" w:fill="auto"/>
            <w:noWrap/>
            <w:vAlign w:val="center"/>
            <w:hideMark/>
          </w:tcPr>
          <w:p w14:paraId="7BEFB0F6" w14:textId="77777777" w:rsidR="00C16625" w:rsidRPr="00C16625" w:rsidRDefault="00C16625" w:rsidP="00B0565E">
            <w:pPr>
              <w:jc w:val="center"/>
              <w:rPr>
                <w:rFonts w:asciiTheme="majorBidi" w:hAnsiTheme="majorBidi" w:cstheme="majorBidi"/>
              </w:rPr>
            </w:pPr>
            <w:r w:rsidRPr="00C16625">
              <w:rPr>
                <w:rFonts w:asciiTheme="majorBidi" w:hAnsiTheme="majorBidi" w:cstheme="majorBidi"/>
              </w:rPr>
              <w:t>9,1%</w:t>
            </w:r>
          </w:p>
        </w:tc>
        <w:tc>
          <w:tcPr>
            <w:tcW w:w="949" w:type="dxa"/>
            <w:tcBorders>
              <w:top w:val="nil"/>
              <w:bottom w:val="single" w:sz="4" w:space="0" w:color="auto"/>
            </w:tcBorders>
            <w:shd w:val="clear" w:color="auto" w:fill="auto"/>
            <w:noWrap/>
            <w:vAlign w:val="center"/>
            <w:hideMark/>
          </w:tcPr>
          <w:p w14:paraId="3564D6C9" w14:textId="77777777" w:rsidR="00C16625" w:rsidRPr="00C16625" w:rsidRDefault="00C16625" w:rsidP="00B0565E">
            <w:pPr>
              <w:jc w:val="center"/>
              <w:rPr>
                <w:rFonts w:asciiTheme="majorBidi" w:hAnsiTheme="majorBidi" w:cstheme="majorBidi"/>
              </w:rPr>
            </w:pPr>
            <w:r w:rsidRPr="00C16625">
              <w:rPr>
                <w:rFonts w:asciiTheme="majorBidi" w:hAnsiTheme="majorBidi" w:cstheme="majorBidi"/>
              </w:rPr>
              <w:t>30,7%</w:t>
            </w:r>
          </w:p>
        </w:tc>
      </w:tr>
      <w:tr w:rsidR="00C16625" w:rsidRPr="00C16625" w14:paraId="277BBB6E" w14:textId="77777777" w:rsidTr="00983E82">
        <w:trPr>
          <w:trHeight w:val="20"/>
          <w:jc w:val="center"/>
        </w:trPr>
        <w:tc>
          <w:tcPr>
            <w:tcW w:w="7565" w:type="dxa"/>
            <w:gridSpan w:val="7"/>
            <w:tcBorders>
              <w:top w:val="single" w:sz="4" w:space="0" w:color="auto"/>
              <w:bottom w:val="single" w:sz="4" w:space="0" w:color="auto"/>
            </w:tcBorders>
            <w:shd w:val="clear" w:color="auto" w:fill="auto"/>
            <w:vAlign w:val="center"/>
          </w:tcPr>
          <w:p w14:paraId="63875ECC" w14:textId="77777777" w:rsidR="00C16625" w:rsidRPr="00C16625" w:rsidRDefault="00C16625" w:rsidP="00B0565E">
            <w:pPr>
              <w:jc w:val="center"/>
              <w:rPr>
                <w:rFonts w:asciiTheme="majorBidi" w:hAnsiTheme="majorBidi" w:cstheme="majorBidi"/>
              </w:rPr>
            </w:pPr>
            <w:r w:rsidRPr="00C16625">
              <w:rPr>
                <w:rFonts w:asciiTheme="majorBidi" w:hAnsiTheme="majorBidi" w:cstheme="majorBidi"/>
              </w:rPr>
              <w:t>The simultaneous influence of X1, X2, and X3 on Y</w:t>
            </w:r>
          </w:p>
        </w:tc>
        <w:tc>
          <w:tcPr>
            <w:tcW w:w="949" w:type="dxa"/>
            <w:tcBorders>
              <w:top w:val="single" w:sz="4" w:space="0" w:color="auto"/>
              <w:bottom w:val="single" w:sz="4" w:space="0" w:color="auto"/>
            </w:tcBorders>
            <w:shd w:val="clear" w:color="auto" w:fill="auto"/>
            <w:noWrap/>
            <w:vAlign w:val="center"/>
            <w:hideMark/>
          </w:tcPr>
          <w:p w14:paraId="5B4CAC52" w14:textId="77777777" w:rsidR="00C16625" w:rsidRPr="00C16625" w:rsidRDefault="00C16625" w:rsidP="00B0565E">
            <w:pPr>
              <w:jc w:val="center"/>
              <w:rPr>
                <w:rFonts w:asciiTheme="majorBidi" w:hAnsiTheme="majorBidi" w:cstheme="majorBidi"/>
              </w:rPr>
            </w:pPr>
            <w:r w:rsidRPr="00C16625">
              <w:rPr>
                <w:rFonts w:asciiTheme="majorBidi" w:hAnsiTheme="majorBidi" w:cstheme="majorBidi"/>
              </w:rPr>
              <w:t>73,6%</w:t>
            </w:r>
          </w:p>
        </w:tc>
      </w:tr>
      <w:tr w:rsidR="00C16625" w:rsidRPr="00C16625" w14:paraId="15985CF9" w14:textId="77777777" w:rsidTr="00983E82">
        <w:trPr>
          <w:trHeight w:val="20"/>
          <w:jc w:val="center"/>
        </w:trPr>
        <w:tc>
          <w:tcPr>
            <w:tcW w:w="7565" w:type="dxa"/>
            <w:gridSpan w:val="7"/>
            <w:tcBorders>
              <w:top w:val="single" w:sz="4" w:space="0" w:color="auto"/>
            </w:tcBorders>
            <w:shd w:val="clear" w:color="auto" w:fill="auto"/>
            <w:vAlign w:val="center"/>
          </w:tcPr>
          <w:p w14:paraId="50D2252E" w14:textId="77777777" w:rsidR="00C16625" w:rsidRPr="00C16625" w:rsidRDefault="00C16625" w:rsidP="00B0565E">
            <w:pPr>
              <w:jc w:val="center"/>
              <w:rPr>
                <w:rFonts w:asciiTheme="majorBidi" w:hAnsiTheme="majorBidi" w:cstheme="majorBidi"/>
              </w:rPr>
            </w:pPr>
            <w:r w:rsidRPr="00C16625">
              <w:rPr>
                <w:rFonts w:asciiTheme="majorBidi" w:hAnsiTheme="majorBidi" w:cstheme="majorBidi"/>
              </w:rPr>
              <w:t>External Variables on Y</w:t>
            </w:r>
          </w:p>
        </w:tc>
        <w:tc>
          <w:tcPr>
            <w:tcW w:w="949" w:type="dxa"/>
            <w:shd w:val="clear" w:color="auto" w:fill="auto"/>
            <w:noWrap/>
            <w:vAlign w:val="center"/>
          </w:tcPr>
          <w:p w14:paraId="28E934B9" w14:textId="77777777" w:rsidR="00C16625" w:rsidRPr="00C16625" w:rsidRDefault="00C16625" w:rsidP="00B0565E">
            <w:pPr>
              <w:jc w:val="center"/>
              <w:rPr>
                <w:rFonts w:asciiTheme="majorBidi" w:hAnsiTheme="majorBidi" w:cstheme="majorBidi"/>
              </w:rPr>
            </w:pPr>
            <w:r w:rsidRPr="00C16625">
              <w:rPr>
                <w:rFonts w:asciiTheme="majorBidi" w:hAnsiTheme="majorBidi" w:cstheme="majorBidi"/>
              </w:rPr>
              <w:t>26,4%</w:t>
            </w:r>
          </w:p>
        </w:tc>
      </w:tr>
    </w:tbl>
    <w:p w14:paraId="64508D55" w14:textId="17CB95F3" w:rsidR="00C16625" w:rsidRDefault="00C16625" w:rsidP="00C16625">
      <w:pPr>
        <w:widowControl/>
        <w:ind w:left="284"/>
        <w:jc w:val="center"/>
        <w:rPr>
          <w:rFonts w:asciiTheme="majorBidi" w:eastAsia="Calibri" w:hAnsiTheme="majorBidi" w:cstheme="majorBidi"/>
        </w:rPr>
      </w:pPr>
      <w:r w:rsidRPr="00C16625">
        <w:rPr>
          <w:rFonts w:asciiTheme="majorBidi" w:hAnsiTheme="majorBidi" w:cstheme="majorBidi"/>
        </w:rPr>
        <w:t xml:space="preserve">Source: Output </w:t>
      </w:r>
      <w:proofErr w:type="spellStart"/>
      <w:r w:rsidRPr="00C16625">
        <w:rPr>
          <w:rFonts w:asciiTheme="majorBidi" w:hAnsiTheme="majorBidi" w:cstheme="majorBidi"/>
        </w:rPr>
        <w:t>Lisrel</w:t>
      </w:r>
      <w:proofErr w:type="spellEnd"/>
      <w:r w:rsidRPr="00C16625">
        <w:rPr>
          <w:rFonts w:asciiTheme="majorBidi" w:hAnsiTheme="majorBidi" w:cstheme="majorBidi"/>
        </w:rPr>
        <w:t xml:space="preserve"> (2024)</w:t>
      </w:r>
    </w:p>
    <w:p w14:paraId="784440B3" w14:textId="77777777" w:rsidR="00C16625" w:rsidRPr="00C16625" w:rsidRDefault="00C16625" w:rsidP="00C16625">
      <w:pPr>
        <w:widowControl/>
      </w:pPr>
    </w:p>
    <w:p w14:paraId="172FE73B" w14:textId="5C1269C4" w:rsidR="002E6C6B" w:rsidRPr="00D73940" w:rsidRDefault="002E6C6B" w:rsidP="00D73940">
      <w:pPr>
        <w:widowControl/>
        <w:ind w:left="284" w:firstLine="283"/>
        <w:jc w:val="both"/>
        <w:rPr>
          <w:rFonts w:asciiTheme="majorBidi" w:eastAsia="Calibri" w:hAnsiTheme="majorBidi" w:cstheme="majorBidi"/>
          <w:lang w:val="en" w:eastAsia="en-ID"/>
        </w:rPr>
      </w:pPr>
      <w:r w:rsidRPr="002E6C6B">
        <w:rPr>
          <w:rFonts w:asciiTheme="majorBidi" w:hAnsiTheme="majorBidi" w:cstheme="majorBidi"/>
        </w:rPr>
        <w:lastRenderedPageBreak/>
        <w:t>Table 3 illustrates the influence of green marketing on green satisfaction, amounting to 18.5%, which comprises a direct effect of 8.9% and an indirect effect of 9.6% due to its interrelation with other independent variables (X). The influence of green perceived value on green satisfaction is 24.4%, consisting of a direct effect of 14.7% and an indirect effect of 9.7% resulting from its association with other independent variables. Meanwhile, the influence of environmental concern on green satisfaction reaches 30.7%, with a direct effect of 21.6% and an indirect effect of 9.1% due to its interrelation with other independent variables. Among these factors, environmental concern contributes the highest effect (30.7%), followed by green perceived value (24.4%), while green marketing has the smallest impact (18.5%).</w:t>
      </w:r>
    </w:p>
    <w:p w14:paraId="7EC8C94C" w14:textId="77777777" w:rsidR="002E6C6B" w:rsidRPr="002E6C6B" w:rsidRDefault="002E6C6B" w:rsidP="002E6C6B">
      <w:pPr>
        <w:widowControl/>
        <w:rPr>
          <w:lang w:val="en"/>
        </w:rPr>
      </w:pPr>
    </w:p>
    <w:p w14:paraId="744BCE45" w14:textId="60EBEFB1" w:rsidR="00D26AF7" w:rsidRPr="002D31AF" w:rsidRDefault="005519EA" w:rsidP="007F1A30">
      <w:pPr>
        <w:widowControl/>
        <w:numPr>
          <w:ilvl w:val="0"/>
          <w:numId w:val="5"/>
        </w:numPr>
        <w:ind w:left="709"/>
        <w:rPr>
          <w:rFonts w:ascii="Calibri" w:eastAsia="Calibri" w:hAnsi="Calibri"/>
          <w:b/>
          <w:lang w:val="en"/>
        </w:rPr>
      </w:pPr>
      <w:r w:rsidRPr="002D31AF">
        <w:rPr>
          <w:rFonts w:asciiTheme="majorBidi" w:hAnsiTheme="majorBidi" w:cstheme="majorBidi"/>
          <w:b/>
          <w:lang w:val="en"/>
        </w:rPr>
        <w:t>Partial Testing</w:t>
      </w:r>
    </w:p>
    <w:p w14:paraId="4395CB27" w14:textId="3B677C28" w:rsidR="00D73940" w:rsidRDefault="002E6C6B" w:rsidP="005F11BE">
      <w:pPr>
        <w:widowControl/>
        <w:ind w:left="284" w:firstLine="425"/>
        <w:jc w:val="both"/>
      </w:pPr>
      <w:r w:rsidRPr="00E11950">
        <w:t>The hypothesis testing was conducted partially on each independent or exogenous variable, specifically examining the influence of green marketing (X1) on green satisfaction (Y), green perceived value (X2) on green satisfaction (Y), and environmental concern (X3) on green satisfaction (Y).</w:t>
      </w:r>
    </w:p>
    <w:p w14:paraId="6911ED84" w14:textId="77777777" w:rsidR="00983E82" w:rsidRDefault="00983E82" w:rsidP="00983E82">
      <w:pPr>
        <w:widowControl/>
        <w:ind w:left="284"/>
        <w:jc w:val="center"/>
        <w:rPr>
          <w:rFonts w:eastAsia="Calibri"/>
          <w:b/>
          <w:lang w:val="en-ID" w:eastAsia="en-ID"/>
        </w:rPr>
      </w:pPr>
    </w:p>
    <w:p w14:paraId="0C12ED37" w14:textId="193076F5" w:rsidR="00983E82" w:rsidRPr="00555114" w:rsidRDefault="00983E82" w:rsidP="00983E82">
      <w:pPr>
        <w:widowControl/>
        <w:ind w:left="284"/>
        <w:jc w:val="center"/>
        <w:rPr>
          <w:rFonts w:asciiTheme="majorBidi" w:hAnsiTheme="majorBidi" w:cstheme="majorBidi"/>
        </w:rPr>
      </w:pPr>
      <w:r w:rsidRPr="00555114">
        <w:rPr>
          <w:rFonts w:asciiTheme="majorBidi" w:hAnsiTheme="majorBidi" w:cstheme="majorBidi"/>
          <w:b/>
        </w:rPr>
        <w:t xml:space="preserve">Table </w:t>
      </w:r>
      <w:r w:rsidR="004B53AB">
        <w:rPr>
          <w:rFonts w:asciiTheme="majorBidi" w:hAnsiTheme="majorBidi" w:cstheme="majorBidi"/>
          <w:b/>
        </w:rPr>
        <w:t>4</w:t>
      </w:r>
      <w:r w:rsidRPr="00555114">
        <w:rPr>
          <w:rFonts w:asciiTheme="majorBidi" w:hAnsiTheme="majorBidi" w:cstheme="majorBidi"/>
        </w:rPr>
        <w:t>: Contribution of X1, X2, and X3 on Y</w:t>
      </w:r>
    </w:p>
    <w:tbl>
      <w:tblPr>
        <w:tblW w:w="9072" w:type="dxa"/>
        <w:tblInd w:w="392" w:type="dxa"/>
        <w:tblBorders>
          <w:top w:val="single" w:sz="4" w:space="0" w:color="auto"/>
          <w:bottom w:val="single" w:sz="4" w:space="0" w:color="auto"/>
        </w:tblBorders>
        <w:tblLook w:val="04A0" w:firstRow="1" w:lastRow="0" w:firstColumn="1" w:lastColumn="0" w:noHBand="0" w:noVBand="1"/>
      </w:tblPr>
      <w:tblGrid>
        <w:gridCol w:w="1559"/>
        <w:gridCol w:w="1822"/>
        <w:gridCol w:w="992"/>
        <w:gridCol w:w="1018"/>
        <w:gridCol w:w="1249"/>
        <w:gridCol w:w="2432"/>
      </w:tblGrid>
      <w:tr w:rsidR="00983E82" w:rsidRPr="00983E82" w14:paraId="0A708539" w14:textId="77777777" w:rsidTr="00C96E82">
        <w:trPr>
          <w:trHeight w:val="20"/>
          <w:tblHeader/>
        </w:trPr>
        <w:tc>
          <w:tcPr>
            <w:tcW w:w="1559" w:type="dxa"/>
            <w:tcBorders>
              <w:bottom w:val="single" w:sz="4" w:space="0" w:color="auto"/>
            </w:tcBorders>
            <w:vAlign w:val="center"/>
          </w:tcPr>
          <w:p w14:paraId="429DE180" w14:textId="77777777" w:rsidR="00983E82" w:rsidRPr="00983E82" w:rsidRDefault="00983E82" w:rsidP="00B0565E">
            <w:pPr>
              <w:jc w:val="center"/>
            </w:pPr>
            <w:r w:rsidRPr="00983E82">
              <w:t>Hypothesis</w:t>
            </w:r>
          </w:p>
        </w:tc>
        <w:tc>
          <w:tcPr>
            <w:tcW w:w="1822" w:type="dxa"/>
            <w:tcBorders>
              <w:bottom w:val="single" w:sz="4" w:space="0" w:color="auto"/>
            </w:tcBorders>
            <w:noWrap/>
            <w:vAlign w:val="center"/>
          </w:tcPr>
          <w:p w14:paraId="3DE0B3E2" w14:textId="77777777" w:rsidR="00983E82" w:rsidRPr="00983E82" w:rsidRDefault="00983E82" w:rsidP="00B0565E">
            <w:pPr>
              <w:jc w:val="center"/>
              <w:rPr>
                <w:lang w:eastAsia="id-ID"/>
              </w:rPr>
            </w:pPr>
            <w:r w:rsidRPr="00983E82">
              <w:t>Path Coefficient</w:t>
            </w:r>
          </w:p>
        </w:tc>
        <w:tc>
          <w:tcPr>
            <w:tcW w:w="992" w:type="dxa"/>
            <w:tcBorders>
              <w:bottom w:val="single" w:sz="4" w:space="0" w:color="auto"/>
            </w:tcBorders>
            <w:shd w:val="clear" w:color="auto" w:fill="FFFFFF"/>
            <w:vAlign w:val="center"/>
          </w:tcPr>
          <w:p w14:paraId="7061AA68" w14:textId="77777777" w:rsidR="00983E82" w:rsidRPr="00983E82" w:rsidRDefault="00983E82" w:rsidP="00B0565E">
            <w:pPr>
              <w:jc w:val="center"/>
            </w:pPr>
            <w:proofErr w:type="spellStart"/>
            <w:r w:rsidRPr="00983E82">
              <w:t>t</w:t>
            </w:r>
            <w:r w:rsidRPr="00983E82">
              <w:rPr>
                <w:vertAlign w:val="subscript"/>
              </w:rPr>
              <w:t>value</w:t>
            </w:r>
            <w:proofErr w:type="spellEnd"/>
          </w:p>
        </w:tc>
        <w:tc>
          <w:tcPr>
            <w:tcW w:w="1018" w:type="dxa"/>
            <w:tcBorders>
              <w:bottom w:val="single" w:sz="4" w:space="0" w:color="auto"/>
            </w:tcBorders>
            <w:noWrap/>
            <w:vAlign w:val="center"/>
          </w:tcPr>
          <w:p w14:paraId="6DD358A8" w14:textId="77777777" w:rsidR="00983E82" w:rsidRPr="00983E82" w:rsidRDefault="00983E82" w:rsidP="00B0565E">
            <w:pPr>
              <w:jc w:val="center"/>
            </w:pPr>
            <w:proofErr w:type="spellStart"/>
            <w:r w:rsidRPr="00983E82">
              <w:t>t</w:t>
            </w:r>
            <w:r w:rsidRPr="00983E82">
              <w:rPr>
                <w:vertAlign w:val="subscript"/>
              </w:rPr>
              <w:t>tablel</w:t>
            </w:r>
            <w:proofErr w:type="spellEnd"/>
          </w:p>
        </w:tc>
        <w:tc>
          <w:tcPr>
            <w:tcW w:w="1249" w:type="dxa"/>
            <w:tcBorders>
              <w:bottom w:val="single" w:sz="4" w:space="0" w:color="auto"/>
            </w:tcBorders>
            <w:noWrap/>
            <w:vAlign w:val="center"/>
          </w:tcPr>
          <w:p w14:paraId="5FFD0F0E" w14:textId="77777777" w:rsidR="00983E82" w:rsidRPr="00983E82" w:rsidRDefault="00983E82" w:rsidP="00B0565E">
            <w:pPr>
              <w:jc w:val="center"/>
              <w:rPr>
                <w:lang w:eastAsia="id-ID"/>
              </w:rPr>
            </w:pPr>
            <w:r w:rsidRPr="00983E82">
              <w:rPr>
                <w:lang w:eastAsia="id-ID"/>
              </w:rPr>
              <w:t>Decision</w:t>
            </w:r>
          </w:p>
        </w:tc>
        <w:tc>
          <w:tcPr>
            <w:tcW w:w="2432" w:type="dxa"/>
            <w:tcBorders>
              <w:bottom w:val="single" w:sz="4" w:space="0" w:color="auto"/>
            </w:tcBorders>
            <w:noWrap/>
            <w:vAlign w:val="center"/>
          </w:tcPr>
          <w:p w14:paraId="0A3766D4" w14:textId="77777777" w:rsidR="00983E82" w:rsidRPr="00983E82" w:rsidRDefault="00983E82" w:rsidP="00B0565E">
            <w:pPr>
              <w:jc w:val="center"/>
              <w:rPr>
                <w:lang w:eastAsia="id-ID"/>
              </w:rPr>
            </w:pPr>
            <w:r w:rsidRPr="00983E82">
              <w:rPr>
                <w:lang w:eastAsia="id-ID"/>
              </w:rPr>
              <w:t>Result</w:t>
            </w:r>
          </w:p>
        </w:tc>
      </w:tr>
      <w:tr w:rsidR="00983E82" w:rsidRPr="00983E82" w14:paraId="3C2E6FD5" w14:textId="77777777" w:rsidTr="00C96E82">
        <w:trPr>
          <w:trHeight w:val="20"/>
        </w:trPr>
        <w:tc>
          <w:tcPr>
            <w:tcW w:w="1559" w:type="dxa"/>
            <w:tcBorders>
              <w:top w:val="single" w:sz="4" w:space="0" w:color="auto"/>
              <w:bottom w:val="nil"/>
            </w:tcBorders>
            <w:vAlign w:val="center"/>
          </w:tcPr>
          <w:p w14:paraId="19B383A5" w14:textId="77777777" w:rsidR="00983E82" w:rsidRPr="00983E82" w:rsidRDefault="00983E82" w:rsidP="00B0565E">
            <w:pPr>
              <w:jc w:val="center"/>
            </w:pPr>
            <w:r w:rsidRPr="00983E82">
              <w:t xml:space="preserve">H2: X1 </w:t>
            </w:r>
            <w:r w:rsidRPr="00983E82">
              <w:sym w:font="Wingdings" w:char="F0E0"/>
            </w:r>
            <w:r w:rsidRPr="00983E82">
              <w:t xml:space="preserve"> Y</w:t>
            </w:r>
          </w:p>
        </w:tc>
        <w:tc>
          <w:tcPr>
            <w:tcW w:w="1822" w:type="dxa"/>
            <w:tcBorders>
              <w:top w:val="single" w:sz="4" w:space="0" w:color="auto"/>
              <w:bottom w:val="nil"/>
            </w:tcBorders>
            <w:noWrap/>
            <w:vAlign w:val="center"/>
          </w:tcPr>
          <w:p w14:paraId="16CE23AA" w14:textId="77777777" w:rsidR="00983E82" w:rsidRPr="00983E82" w:rsidRDefault="00983E82" w:rsidP="00B0565E">
            <w:pPr>
              <w:jc w:val="center"/>
            </w:pPr>
            <w:r w:rsidRPr="00983E82">
              <w:t>0,298</w:t>
            </w:r>
          </w:p>
        </w:tc>
        <w:tc>
          <w:tcPr>
            <w:tcW w:w="992" w:type="dxa"/>
            <w:tcBorders>
              <w:top w:val="single" w:sz="4" w:space="0" w:color="auto"/>
              <w:bottom w:val="nil"/>
            </w:tcBorders>
            <w:shd w:val="clear" w:color="auto" w:fill="FFFFFF"/>
            <w:vAlign w:val="center"/>
          </w:tcPr>
          <w:p w14:paraId="7D3AF89C" w14:textId="77777777" w:rsidR="00983E82" w:rsidRPr="00983E82" w:rsidRDefault="00983E82" w:rsidP="00B0565E">
            <w:pPr>
              <w:jc w:val="center"/>
            </w:pPr>
            <w:r w:rsidRPr="00983E82">
              <w:t>6,26</w:t>
            </w:r>
          </w:p>
        </w:tc>
        <w:tc>
          <w:tcPr>
            <w:tcW w:w="1018" w:type="dxa"/>
            <w:tcBorders>
              <w:top w:val="single" w:sz="4" w:space="0" w:color="auto"/>
              <w:bottom w:val="nil"/>
            </w:tcBorders>
            <w:noWrap/>
            <w:vAlign w:val="center"/>
          </w:tcPr>
          <w:p w14:paraId="5A60804A" w14:textId="77777777" w:rsidR="00983E82" w:rsidRPr="00983E82" w:rsidRDefault="00983E82" w:rsidP="00B0565E">
            <w:pPr>
              <w:jc w:val="center"/>
            </w:pPr>
            <w:r w:rsidRPr="00983E82">
              <w:t>1,97</w:t>
            </w:r>
          </w:p>
        </w:tc>
        <w:tc>
          <w:tcPr>
            <w:tcW w:w="1249" w:type="dxa"/>
            <w:tcBorders>
              <w:top w:val="single" w:sz="4" w:space="0" w:color="auto"/>
              <w:bottom w:val="nil"/>
            </w:tcBorders>
            <w:noWrap/>
            <w:vAlign w:val="center"/>
          </w:tcPr>
          <w:p w14:paraId="43268E65" w14:textId="77777777" w:rsidR="00983E82" w:rsidRPr="00983E82" w:rsidRDefault="00983E82" w:rsidP="00B0565E">
            <w:pPr>
              <w:jc w:val="center"/>
            </w:pPr>
            <w:proofErr w:type="spellStart"/>
            <w:r w:rsidRPr="00983E82">
              <w:rPr>
                <w:lang w:eastAsia="id-ID"/>
              </w:rPr>
              <w:t>Rejcted</w:t>
            </w:r>
            <w:proofErr w:type="spellEnd"/>
            <w:r w:rsidRPr="00983E82">
              <w:rPr>
                <w:lang w:eastAsia="id-ID"/>
              </w:rPr>
              <w:t xml:space="preserve"> H</w:t>
            </w:r>
            <w:r w:rsidRPr="00983E82">
              <w:rPr>
                <w:vertAlign w:val="subscript"/>
                <w:lang w:eastAsia="id-ID"/>
              </w:rPr>
              <w:t>0</w:t>
            </w:r>
          </w:p>
        </w:tc>
        <w:tc>
          <w:tcPr>
            <w:tcW w:w="2432" w:type="dxa"/>
            <w:tcBorders>
              <w:top w:val="single" w:sz="4" w:space="0" w:color="auto"/>
              <w:bottom w:val="nil"/>
            </w:tcBorders>
            <w:noWrap/>
            <w:vAlign w:val="center"/>
          </w:tcPr>
          <w:p w14:paraId="393187AB" w14:textId="77777777" w:rsidR="00983E82" w:rsidRPr="00983E82" w:rsidRDefault="00983E82" w:rsidP="00B0565E">
            <w:pPr>
              <w:jc w:val="center"/>
              <w:rPr>
                <w:lang w:eastAsia="id-ID"/>
              </w:rPr>
            </w:pPr>
            <w:r w:rsidRPr="00983E82">
              <w:rPr>
                <w:lang w:eastAsia="id-ID"/>
              </w:rPr>
              <w:t>Accepted and Significant</w:t>
            </w:r>
          </w:p>
        </w:tc>
      </w:tr>
      <w:tr w:rsidR="00983E82" w:rsidRPr="00983E82" w14:paraId="5D1D23AD" w14:textId="77777777" w:rsidTr="00C96E82">
        <w:trPr>
          <w:trHeight w:val="20"/>
        </w:trPr>
        <w:tc>
          <w:tcPr>
            <w:tcW w:w="1559" w:type="dxa"/>
            <w:tcBorders>
              <w:top w:val="nil"/>
            </w:tcBorders>
            <w:vAlign w:val="center"/>
          </w:tcPr>
          <w:p w14:paraId="5C850782" w14:textId="77777777" w:rsidR="00983E82" w:rsidRPr="00983E82" w:rsidRDefault="00983E82" w:rsidP="00B0565E">
            <w:pPr>
              <w:jc w:val="center"/>
            </w:pPr>
            <w:r w:rsidRPr="00983E82">
              <w:t xml:space="preserve">H3: X2 </w:t>
            </w:r>
            <w:r w:rsidRPr="00983E82">
              <w:sym w:font="Wingdings" w:char="F0E0"/>
            </w:r>
            <w:r w:rsidRPr="00983E82">
              <w:t xml:space="preserve"> Y</w:t>
            </w:r>
          </w:p>
        </w:tc>
        <w:tc>
          <w:tcPr>
            <w:tcW w:w="1822" w:type="dxa"/>
            <w:tcBorders>
              <w:top w:val="nil"/>
            </w:tcBorders>
            <w:noWrap/>
            <w:vAlign w:val="center"/>
          </w:tcPr>
          <w:p w14:paraId="767DEADA" w14:textId="77777777" w:rsidR="00983E82" w:rsidRPr="00983E82" w:rsidRDefault="00983E82" w:rsidP="00B0565E">
            <w:pPr>
              <w:jc w:val="center"/>
            </w:pPr>
            <w:r w:rsidRPr="00983E82">
              <w:rPr>
                <w:rFonts w:eastAsia="Arial Unicode MS"/>
              </w:rPr>
              <w:t>0,383</w:t>
            </w:r>
          </w:p>
        </w:tc>
        <w:tc>
          <w:tcPr>
            <w:tcW w:w="992" w:type="dxa"/>
            <w:tcBorders>
              <w:top w:val="nil"/>
            </w:tcBorders>
            <w:shd w:val="clear" w:color="auto" w:fill="FFFFFF"/>
            <w:vAlign w:val="center"/>
          </w:tcPr>
          <w:p w14:paraId="57A7AB39" w14:textId="77777777" w:rsidR="00983E82" w:rsidRPr="00983E82" w:rsidRDefault="00983E82" w:rsidP="00B0565E">
            <w:pPr>
              <w:jc w:val="center"/>
            </w:pPr>
            <w:r w:rsidRPr="00983E82">
              <w:rPr>
                <w:rFonts w:eastAsia="Arial Unicode MS"/>
              </w:rPr>
              <w:t>7,78</w:t>
            </w:r>
          </w:p>
        </w:tc>
        <w:tc>
          <w:tcPr>
            <w:tcW w:w="1018" w:type="dxa"/>
            <w:tcBorders>
              <w:top w:val="nil"/>
            </w:tcBorders>
            <w:noWrap/>
            <w:vAlign w:val="center"/>
          </w:tcPr>
          <w:p w14:paraId="566097A0" w14:textId="77777777" w:rsidR="00983E82" w:rsidRPr="00983E82" w:rsidRDefault="00983E82" w:rsidP="00B0565E">
            <w:pPr>
              <w:jc w:val="center"/>
            </w:pPr>
            <w:r w:rsidRPr="00983E82">
              <w:t>1,97</w:t>
            </w:r>
          </w:p>
        </w:tc>
        <w:tc>
          <w:tcPr>
            <w:tcW w:w="1249" w:type="dxa"/>
            <w:tcBorders>
              <w:top w:val="nil"/>
            </w:tcBorders>
            <w:noWrap/>
            <w:vAlign w:val="center"/>
          </w:tcPr>
          <w:p w14:paraId="52A5C0DF" w14:textId="77777777" w:rsidR="00983E82" w:rsidRPr="00983E82" w:rsidRDefault="00983E82" w:rsidP="00B0565E">
            <w:pPr>
              <w:jc w:val="center"/>
            </w:pPr>
            <w:proofErr w:type="spellStart"/>
            <w:r w:rsidRPr="00983E82">
              <w:rPr>
                <w:lang w:eastAsia="id-ID"/>
              </w:rPr>
              <w:t>Rejcted</w:t>
            </w:r>
            <w:proofErr w:type="spellEnd"/>
            <w:r w:rsidRPr="00983E82">
              <w:rPr>
                <w:lang w:eastAsia="id-ID"/>
              </w:rPr>
              <w:t xml:space="preserve"> H</w:t>
            </w:r>
            <w:r w:rsidRPr="00983E82">
              <w:rPr>
                <w:vertAlign w:val="subscript"/>
                <w:lang w:eastAsia="id-ID"/>
              </w:rPr>
              <w:t>0</w:t>
            </w:r>
          </w:p>
        </w:tc>
        <w:tc>
          <w:tcPr>
            <w:tcW w:w="2432" w:type="dxa"/>
            <w:tcBorders>
              <w:top w:val="nil"/>
            </w:tcBorders>
            <w:noWrap/>
            <w:vAlign w:val="center"/>
          </w:tcPr>
          <w:p w14:paraId="3BE50C7E" w14:textId="77777777" w:rsidR="00983E82" w:rsidRPr="00983E82" w:rsidRDefault="00983E82" w:rsidP="00B0565E">
            <w:pPr>
              <w:jc w:val="center"/>
              <w:rPr>
                <w:lang w:eastAsia="id-ID"/>
              </w:rPr>
            </w:pPr>
            <w:r w:rsidRPr="00983E82">
              <w:rPr>
                <w:lang w:eastAsia="id-ID"/>
              </w:rPr>
              <w:t>Accepted and Significant</w:t>
            </w:r>
          </w:p>
        </w:tc>
      </w:tr>
      <w:tr w:rsidR="00983E82" w:rsidRPr="00983E82" w14:paraId="2344A11C" w14:textId="77777777" w:rsidTr="00C96E82">
        <w:trPr>
          <w:trHeight w:val="20"/>
        </w:trPr>
        <w:tc>
          <w:tcPr>
            <w:tcW w:w="1559" w:type="dxa"/>
            <w:vAlign w:val="center"/>
          </w:tcPr>
          <w:p w14:paraId="41EE7EE3" w14:textId="77777777" w:rsidR="00983E82" w:rsidRPr="00983E82" w:rsidRDefault="00983E82" w:rsidP="00B0565E">
            <w:pPr>
              <w:jc w:val="center"/>
            </w:pPr>
            <w:r w:rsidRPr="00983E82">
              <w:t xml:space="preserve">H4: X3 </w:t>
            </w:r>
            <w:r w:rsidRPr="00983E82">
              <w:sym w:font="Wingdings" w:char="F0E0"/>
            </w:r>
            <w:r w:rsidRPr="00983E82">
              <w:t xml:space="preserve"> Y</w:t>
            </w:r>
          </w:p>
        </w:tc>
        <w:tc>
          <w:tcPr>
            <w:tcW w:w="1822" w:type="dxa"/>
            <w:noWrap/>
            <w:vAlign w:val="center"/>
          </w:tcPr>
          <w:p w14:paraId="7586988A" w14:textId="77777777" w:rsidR="00983E82" w:rsidRPr="00983E82" w:rsidRDefault="00983E82" w:rsidP="00B0565E">
            <w:pPr>
              <w:jc w:val="center"/>
              <w:rPr>
                <w:rFonts w:eastAsia="Arial Unicode MS"/>
              </w:rPr>
            </w:pPr>
            <w:r w:rsidRPr="00983E82">
              <w:rPr>
                <w:rFonts w:eastAsia="Arial Unicode MS"/>
              </w:rPr>
              <w:t>0,465</w:t>
            </w:r>
          </w:p>
        </w:tc>
        <w:tc>
          <w:tcPr>
            <w:tcW w:w="992" w:type="dxa"/>
            <w:shd w:val="clear" w:color="auto" w:fill="FFFFFF"/>
            <w:vAlign w:val="center"/>
          </w:tcPr>
          <w:p w14:paraId="4796CA50" w14:textId="77777777" w:rsidR="00983E82" w:rsidRPr="00983E82" w:rsidRDefault="00983E82" w:rsidP="00B0565E">
            <w:pPr>
              <w:jc w:val="center"/>
              <w:rPr>
                <w:rFonts w:eastAsia="Arial Unicode MS"/>
              </w:rPr>
            </w:pPr>
            <w:r w:rsidRPr="00983E82">
              <w:rPr>
                <w:rFonts w:eastAsia="Arial Unicode MS"/>
              </w:rPr>
              <w:t>9,36</w:t>
            </w:r>
          </w:p>
        </w:tc>
        <w:tc>
          <w:tcPr>
            <w:tcW w:w="1018" w:type="dxa"/>
            <w:noWrap/>
            <w:vAlign w:val="center"/>
          </w:tcPr>
          <w:p w14:paraId="7EDC335A" w14:textId="77777777" w:rsidR="00983E82" w:rsidRPr="00983E82" w:rsidRDefault="00983E82" w:rsidP="00B0565E">
            <w:pPr>
              <w:jc w:val="center"/>
            </w:pPr>
            <w:r w:rsidRPr="00983E82">
              <w:t>1,97</w:t>
            </w:r>
          </w:p>
        </w:tc>
        <w:tc>
          <w:tcPr>
            <w:tcW w:w="1249" w:type="dxa"/>
            <w:noWrap/>
            <w:vAlign w:val="center"/>
          </w:tcPr>
          <w:p w14:paraId="60AB1129" w14:textId="77777777" w:rsidR="00983E82" w:rsidRPr="00983E82" w:rsidRDefault="00983E82" w:rsidP="00B0565E">
            <w:pPr>
              <w:jc w:val="center"/>
            </w:pPr>
            <w:proofErr w:type="spellStart"/>
            <w:r w:rsidRPr="00983E82">
              <w:rPr>
                <w:lang w:eastAsia="id-ID"/>
              </w:rPr>
              <w:t>Rejcted</w:t>
            </w:r>
            <w:proofErr w:type="spellEnd"/>
            <w:r w:rsidRPr="00983E82">
              <w:rPr>
                <w:lang w:eastAsia="id-ID"/>
              </w:rPr>
              <w:t xml:space="preserve"> H</w:t>
            </w:r>
            <w:r w:rsidRPr="00983E82">
              <w:rPr>
                <w:vertAlign w:val="subscript"/>
                <w:lang w:eastAsia="id-ID"/>
              </w:rPr>
              <w:t>0</w:t>
            </w:r>
          </w:p>
        </w:tc>
        <w:tc>
          <w:tcPr>
            <w:tcW w:w="2432" w:type="dxa"/>
            <w:noWrap/>
            <w:vAlign w:val="center"/>
          </w:tcPr>
          <w:p w14:paraId="1DBE2957" w14:textId="77777777" w:rsidR="00983E82" w:rsidRPr="00983E82" w:rsidRDefault="00983E82" w:rsidP="00B0565E">
            <w:pPr>
              <w:jc w:val="center"/>
            </w:pPr>
            <w:r w:rsidRPr="00983E82">
              <w:rPr>
                <w:lang w:eastAsia="id-ID"/>
              </w:rPr>
              <w:t>Accepted and Significant</w:t>
            </w:r>
          </w:p>
        </w:tc>
      </w:tr>
    </w:tbl>
    <w:p w14:paraId="54492531" w14:textId="53E4CCBF" w:rsidR="00D73940" w:rsidRPr="00983E82" w:rsidRDefault="00983E82" w:rsidP="00983E82">
      <w:pPr>
        <w:widowControl/>
        <w:ind w:left="284"/>
        <w:jc w:val="center"/>
        <w:rPr>
          <w:rFonts w:asciiTheme="majorBidi" w:eastAsia="Calibri" w:hAnsiTheme="majorBidi" w:cstheme="majorBidi"/>
          <w:lang w:eastAsia="en-ID"/>
        </w:rPr>
      </w:pPr>
      <w:r w:rsidRPr="00983E82">
        <w:rPr>
          <w:rFonts w:asciiTheme="majorBidi" w:eastAsia="Calibri" w:hAnsiTheme="majorBidi" w:cstheme="majorBidi"/>
          <w:lang w:eastAsia="en-ID"/>
        </w:rPr>
        <w:t xml:space="preserve">Source: Output </w:t>
      </w:r>
      <w:proofErr w:type="spellStart"/>
      <w:r w:rsidRPr="00983E82">
        <w:rPr>
          <w:rFonts w:asciiTheme="majorBidi" w:eastAsia="Calibri" w:hAnsiTheme="majorBidi" w:cstheme="majorBidi"/>
          <w:lang w:eastAsia="en-ID"/>
        </w:rPr>
        <w:t>Lisrel</w:t>
      </w:r>
      <w:proofErr w:type="spellEnd"/>
      <w:r w:rsidRPr="00983E82">
        <w:rPr>
          <w:rFonts w:asciiTheme="majorBidi" w:eastAsia="Calibri" w:hAnsiTheme="majorBidi" w:cstheme="majorBidi"/>
          <w:lang w:eastAsia="en-ID"/>
        </w:rPr>
        <w:t xml:space="preserve"> (2024)</w:t>
      </w:r>
    </w:p>
    <w:p w14:paraId="60A9595C" w14:textId="77777777" w:rsidR="00983E82" w:rsidRPr="00983E82" w:rsidRDefault="00983E82" w:rsidP="00983E82">
      <w:pPr>
        <w:widowControl/>
      </w:pPr>
    </w:p>
    <w:p w14:paraId="7C5FC10A" w14:textId="77777777" w:rsidR="00D73940" w:rsidRDefault="002E6C6B" w:rsidP="00D73940">
      <w:pPr>
        <w:widowControl/>
        <w:ind w:left="284" w:firstLine="425"/>
        <w:jc w:val="both"/>
        <w:rPr>
          <w:rFonts w:ascii="Calibri" w:eastAsia="Calibri" w:hAnsi="Calibri"/>
          <w:lang w:val="en-ID" w:eastAsia="en-ID"/>
        </w:rPr>
      </w:pPr>
      <w:r w:rsidRPr="002E6C6B">
        <w:rPr>
          <w:rFonts w:asciiTheme="majorBidi" w:eastAsia="Calibri" w:hAnsiTheme="majorBidi" w:cstheme="majorBidi"/>
          <w:lang w:val="en"/>
        </w:rPr>
        <w:t>The results of this study indicate that green marketing, green perceived value, and environmental concern have a positive and significant influence on green customer satisfaction. First, green marketing is proven to positively affect green satisfaction, with a t-value of 6.26, which is greater than the t-table value of 1.97. Thus, the null hypothesis (H₀) is rejected, indicating that an increase in green marketing will enhance green customer satisfaction by 0.298.</w:t>
      </w:r>
    </w:p>
    <w:p w14:paraId="2897E5FD" w14:textId="77777777" w:rsidR="00D73940" w:rsidRDefault="002E6C6B" w:rsidP="00D73940">
      <w:pPr>
        <w:widowControl/>
        <w:ind w:left="284" w:firstLine="425"/>
        <w:jc w:val="both"/>
        <w:rPr>
          <w:rFonts w:ascii="Calibri" w:eastAsia="Calibri" w:hAnsi="Calibri"/>
          <w:lang w:val="en-ID" w:eastAsia="en-ID"/>
        </w:rPr>
      </w:pPr>
      <w:r w:rsidRPr="002E6C6B">
        <w:rPr>
          <w:rFonts w:asciiTheme="majorBidi" w:eastAsia="Calibri" w:hAnsiTheme="majorBidi" w:cstheme="majorBidi"/>
          <w:lang w:val="en"/>
        </w:rPr>
        <w:t>Furthermore, green perceived value is also found to have a positive impact on green customer satisfaction. The analysis results show a t-value of 7.78, which again exceeds the t-table value of 1.97, leading to the rejection of H₀. With a path coefficient of 0.383, this finding confirms that the higher the customer's perception of the green value of a product, the greater their level of green satisfaction.</w:t>
      </w:r>
    </w:p>
    <w:p w14:paraId="69F695F4" w14:textId="77777777" w:rsidR="00D73940" w:rsidRDefault="002E6C6B" w:rsidP="00D73940">
      <w:pPr>
        <w:widowControl/>
        <w:ind w:left="284" w:firstLine="425"/>
        <w:jc w:val="both"/>
        <w:rPr>
          <w:rFonts w:ascii="Calibri" w:eastAsia="Calibri" w:hAnsi="Calibri"/>
          <w:lang w:val="en-ID" w:eastAsia="en-ID"/>
        </w:rPr>
      </w:pPr>
      <w:r w:rsidRPr="002E6C6B">
        <w:rPr>
          <w:rFonts w:asciiTheme="majorBidi" w:eastAsia="Calibri" w:hAnsiTheme="majorBidi" w:cstheme="majorBidi"/>
          <w:lang w:val="en"/>
        </w:rPr>
        <w:t>Additionally, environmental concern has the most significant influence on green customer satisfaction. With a t-value of 9.36, far exceeding the t-table threshold of 1.97, this study demonstrates that environmental concern contributes positively to green satisfaction, with a path coefficient of 0.465. This implies that the higher the customer’s environmental awareness, the greater their green satisfaction.</w:t>
      </w:r>
    </w:p>
    <w:p w14:paraId="54D242B8" w14:textId="0ECF486B" w:rsidR="002E6C6B" w:rsidRDefault="002E6C6B" w:rsidP="00D73940">
      <w:pPr>
        <w:widowControl/>
        <w:ind w:left="284" w:firstLine="425"/>
        <w:jc w:val="both"/>
        <w:rPr>
          <w:rFonts w:asciiTheme="majorBidi" w:hAnsiTheme="majorBidi" w:cstheme="majorBidi"/>
          <w:lang w:val="en"/>
        </w:rPr>
      </w:pPr>
      <w:r w:rsidRPr="002E6C6B">
        <w:rPr>
          <w:rFonts w:asciiTheme="majorBidi" w:hAnsiTheme="majorBidi" w:cstheme="majorBidi"/>
          <w:lang w:val="en"/>
        </w:rPr>
        <w:t>Overall, the findings of this study emphasize that green marketing strategies, green perceived value, and environmental concern are crucial factors in enhancing customer satisfaction with green products. Therefore, companies aiming to improve customer satisfaction in the context of green products should focus on developing effective green marketing strategies, enhancing customers’ perceived green value, and promoting environmental awareness and concern.</w:t>
      </w:r>
    </w:p>
    <w:p w14:paraId="4119D762" w14:textId="77777777" w:rsidR="00C809EC" w:rsidRPr="00D73940" w:rsidRDefault="00C809EC" w:rsidP="00D73940">
      <w:pPr>
        <w:widowControl/>
        <w:ind w:left="284" w:firstLine="425"/>
        <w:jc w:val="both"/>
      </w:pPr>
    </w:p>
    <w:p w14:paraId="02F7CA22" w14:textId="138FD3FE" w:rsidR="007F5B19" w:rsidRPr="002D31AF" w:rsidRDefault="007F5B19" w:rsidP="00D26AF7">
      <w:pPr>
        <w:widowControl/>
        <w:numPr>
          <w:ilvl w:val="0"/>
          <w:numId w:val="4"/>
        </w:numPr>
        <w:ind w:left="426"/>
        <w:rPr>
          <w:rFonts w:ascii="Calibri" w:eastAsia="Calibri" w:hAnsi="Calibri"/>
          <w:b/>
        </w:rPr>
      </w:pPr>
      <w:r w:rsidRPr="002D31AF">
        <w:rPr>
          <w:rFonts w:asciiTheme="majorBidi" w:hAnsiTheme="majorBidi" w:cstheme="majorBidi"/>
          <w:b/>
          <w:lang w:val="en"/>
        </w:rPr>
        <w:t xml:space="preserve">Sub </w:t>
      </w:r>
      <w:r w:rsidR="00D26AF7" w:rsidRPr="002D31AF">
        <w:rPr>
          <w:rFonts w:asciiTheme="majorBidi" w:hAnsiTheme="majorBidi" w:cstheme="majorBidi"/>
          <w:b/>
          <w:bCs/>
        </w:rPr>
        <w:t>Structure II (The Influence of Green Satisfaction to Green Loyalty)</w:t>
      </w:r>
    </w:p>
    <w:p w14:paraId="0FC46FC6" w14:textId="4B42EC78" w:rsidR="002F6EE3" w:rsidRDefault="002F6EE3" w:rsidP="005F11BE">
      <w:pPr>
        <w:widowControl/>
        <w:ind w:firstLine="426"/>
        <w:jc w:val="both"/>
        <w:rPr>
          <w:rFonts w:ascii="Calibri" w:eastAsia="Calibri" w:hAnsi="Calibri"/>
          <w:lang w:val="en-ID" w:eastAsia="en-ID"/>
        </w:rPr>
      </w:pPr>
      <w:r w:rsidRPr="004A30CD">
        <w:t>The following is the structural model for Sub-Structure I</w:t>
      </w:r>
      <w:r>
        <w:t>I</w:t>
      </w:r>
      <w:r w:rsidRPr="004A30CD">
        <w:t>:</w:t>
      </w:r>
    </w:p>
    <w:p w14:paraId="733E8C64" w14:textId="54185E12" w:rsidR="002F6EE3" w:rsidRDefault="00135909" w:rsidP="00555114">
      <w:pPr>
        <w:widowControl/>
        <w:jc w:val="center"/>
        <w:rPr>
          <w:noProof/>
        </w:rPr>
      </w:pPr>
      <w:r w:rsidRPr="003B4036">
        <w:rPr>
          <w:noProof/>
        </w:rPr>
        <w:lastRenderedPageBreak/>
        <w:drawing>
          <wp:inline distT="0" distB="0" distL="0" distR="0" wp14:anchorId="704605FD" wp14:editId="10381F60">
            <wp:extent cx="4347845" cy="2078990"/>
            <wp:effectExtent l="0" t="0" r="0" b="0"/>
            <wp:docPr id="284"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screenshot of a compu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771" r="14243" b="68382"/>
                    <a:stretch>
                      <a:fillRect/>
                    </a:stretch>
                  </pic:blipFill>
                  <pic:spPr bwMode="auto">
                    <a:xfrm>
                      <a:off x="0" y="0"/>
                      <a:ext cx="4347845" cy="2078990"/>
                    </a:xfrm>
                    <a:prstGeom prst="rect">
                      <a:avLst/>
                    </a:prstGeom>
                    <a:noFill/>
                    <a:ln>
                      <a:noFill/>
                    </a:ln>
                  </pic:spPr>
                </pic:pic>
              </a:graphicData>
            </a:graphic>
          </wp:inline>
        </w:drawing>
      </w:r>
    </w:p>
    <w:p w14:paraId="78DE2A93" w14:textId="0302400F" w:rsidR="00555114" w:rsidRDefault="006B1A36" w:rsidP="006B1A36">
      <w:pPr>
        <w:widowControl/>
        <w:jc w:val="center"/>
        <w:rPr>
          <w:rFonts w:asciiTheme="majorBidi" w:hAnsiTheme="majorBidi" w:cstheme="majorBidi"/>
          <w:bCs/>
          <w:sz w:val="18"/>
          <w:szCs w:val="18"/>
        </w:rPr>
      </w:pPr>
      <w:r w:rsidRPr="006B1A36">
        <w:rPr>
          <w:rFonts w:asciiTheme="majorBidi" w:hAnsiTheme="majorBidi" w:cstheme="majorBidi"/>
          <w:b/>
          <w:sz w:val="18"/>
          <w:szCs w:val="18"/>
        </w:rPr>
        <w:t xml:space="preserve">Figure </w:t>
      </w:r>
      <w:r w:rsidR="00C96E82">
        <w:rPr>
          <w:rFonts w:asciiTheme="majorBidi" w:hAnsiTheme="majorBidi" w:cstheme="majorBidi"/>
          <w:b/>
          <w:sz w:val="18"/>
          <w:szCs w:val="18"/>
        </w:rPr>
        <w:t>3</w:t>
      </w:r>
      <w:r w:rsidRPr="006B1A36">
        <w:rPr>
          <w:rFonts w:asciiTheme="majorBidi" w:hAnsiTheme="majorBidi" w:cstheme="majorBidi"/>
          <w:sz w:val="18"/>
          <w:szCs w:val="18"/>
        </w:rPr>
        <w:t xml:space="preserve">: </w:t>
      </w:r>
      <w:r>
        <w:rPr>
          <w:rFonts w:asciiTheme="majorBidi" w:hAnsiTheme="majorBidi" w:cstheme="majorBidi"/>
          <w:bCs/>
          <w:sz w:val="18"/>
          <w:szCs w:val="18"/>
        </w:rPr>
        <w:t>Sub Structure II Diagram Model</w:t>
      </w:r>
    </w:p>
    <w:p w14:paraId="126A3BF1" w14:textId="615FD4AF" w:rsidR="006B1A36" w:rsidRPr="006B1A36" w:rsidRDefault="006B1A36" w:rsidP="006B1A36">
      <w:pPr>
        <w:widowControl/>
        <w:jc w:val="center"/>
        <w:rPr>
          <w:rFonts w:asciiTheme="majorBidi" w:hAnsiTheme="majorBidi" w:cstheme="majorBidi"/>
          <w:sz w:val="18"/>
          <w:szCs w:val="18"/>
        </w:rPr>
      </w:pPr>
      <w:r w:rsidRPr="006B1A36">
        <w:rPr>
          <w:rFonts w:asciiTheme="majorBidi" w:hAnsiTheme="majorBidi" w:cstheme="majorBidi"/>
          <w:sz w:val="18"/>
          <w:szCs w:val="18"/>
        </w:rPr>
        <w:t xml:space="preserve">Source: Output </w:t>
      </w:r>
      <w:proofErr w:type="spellStart"/>
      <w:r w:rsidRPr="006B1A36">
        <w:rPr>
          <w:rFonts w:asciiTheme="majorBidi" w:hAnsiTheme="majorBidi" w:cstheme="majorBidi"/>
          <w:sz w:val="18"/>
          <w:szCs w:val="18"/>
        </w:rPr>
        <w:t>Lisrel</w:t>
      </w:r>
      <w:proofErr w:type="spellEnd"/>
      <w:r w:rsidRPr="006B1A36">
        <w:rPr>
          <w:rFonts w:asciiTheme="majorBidi" w:hAnsiTheme="majorBidi" w:cstheme="majorBidi"/>
          <w:sz w:val="18"/>
          <w:szCs w:val="18"/>
        </w:rPr>
        <w:t xml:space="preserve"> (2024)</w:t>
      </w:r>
    </w:p>
    <w:p w14:paraId="08019A27" w14:textId="77777777" w:rsidR="006B1A36" w:rsidRPr="006B1A36" w:rsidRDefault="006B1A36" w:rsidP="006B1A36">
      <w:pPr>
        <w:widowControl/>
      </w:pPr>
    </w:p>
    <w:p w14:paraId="2A11FA6F" w14:textId="77777777" w:rsidR="002F6EE3" w:rsidRPr="004B53AB" w:rsidRDefault="002F6EE3" w:rsidP="00E374D5">
      <w:pPr>
        <w:ind w:firstLine="426"/>
        <w:jc w:val="both"/>
        <w:rPr>
          <w:bCs/>
        </w:rPr>
      </w:pPr>
      <w:r w:rsidRPr="004B53AB">
        <w:rPr>
          <w:bCs/>
        </w:rPr>
        <w:t>Structural Equation I:</w:t>
      </w:r>
    </w:p>
    <w:p w14:paraId="0EC1422E" w14:textId="77777777" w:rsidR="002F6EE3" w:rsidRPr="004B53AB" w:rsidRDefault="002F6EE3" w:rsidP="00E374D5">
      <w:pPr>
        <w:ind w:firstLine="426"/>
        <w:jc w:val="both"/>
        <w:rPr>
          <w:bCs/>
        </w:rPr>
      </w:pPr>
      <w:r w:rsidRPr="004B53AB">
        <w:t xml:space="preserve">Z = 0.894*Y, </w:t>
      </w:r>
      <w:proofErr w:type="spellStart"/>
      <w:r w:rsidRPr="004B53AB">
        <w:t>Errorvar</w:t>
      </w:r>
      <w:proofErr w:type="spellEnd"/>
      <w:r w:rsidRPr="004B53AB">
        <w:t xml:space="preserve">. </w:t>
      </w:r>
      <w:proofErr w:type="gramStart"/>
      <w:r w:rsidRPr="004B53AB">
        <w:t>0.201  ,</w:t>
      </w:r>
      <w:proofErr w:type="gramEnd"/>
      <w:r w:rsidRPr="004B53AB">
        <w:t xml:space="preserve"> R² = 0.799</w:t>
      </w:r>
    </w:p>
    <w:p w14:paraId="271487A0" w14:textId="343E8C62" w:rsidR="002F6EE3" w:rsidRPr="004B53AB" w:rsidRDefault="002F6EE3" w:rsidP="00E374D5">
      <w:pPr>
        <w:pStyle w:val="PlainText"/>
        <w:ind w:left="708" w:firstLine="426"/>
        <w:rPr>
          <w:rFonts w:ascii="Times New Roman" w:hAnsi="Times New Roman" w:cs="Times New Roman"/>
          <w:sz w:val="20"/>
          <w:szCs w:val="20"/>
        </w:rPr>
      </w:pPr>
      <w:r w:rsidRPr="004B53AB">
        <w:rPr>
          <w:rFonts w:ascii="Times New Roman" w:hAnsi="Times New Roman" w:cs="Times New Roman"/>
          <w:sz w:val="20"/>
          <w:szCs w:val="20"/>
        </w:rPr>
        <w:t>(0.0635)</w:t>
      </w:r>
      <w:r w:rsidR="004B53AB">
        <w:rPr>
          <w:rFonts w:ascii="Times New Roman" w:hAnsi="Times New Roman" w:cs="Times New Roman"/>
          <w:sz w:val="20"/>
          <w:szCs w:val="20"/>
        </w:rPr>
        <w:tab/>
        <w:t xml:space="preserve"> </w:t>
      </w:r>
      <w:proofErr w:type="gramStart"/>
      <w:r w:rsidR="004B53AB">
        <w:rPr>
          <w:rFonts w:ascii="Times New Roman" w:hAnsi="Times New Roman" w:cs="Times New Roman"/>
          <w:sz w:val="20"/>
          <w:szCs w:val="20"/>
        </w:rPr>
        <w:t xml:space="preserve">   </w:t>
      </w:r>
      <w:r w:rsidRPr="004B53AB">
        <w:rPr>
          <w:rFonts w:ascii="Times New Roman" w:hAnsi="Times New Roman" w:cs="Times New Roman"/>
          <w:sz w:val="20"/>
          <w:szCs w:val="20"/>
        </w:rPr>
        <w:t>(</w:t>
      </w:r>
      <w:proofErr w:type="gramEnd"/>
      <w:r w:rsidRPr="004B53AB">
        <w:rPr>
          <w:rFonts w:ascii="Times New Roman" w:hAnsi="Times New Roman" w:cs="Times New Roman"/>
          <w:sz w:val="20"/>
          <w:szCs w:val="20"/>
        </w:rPr>
        <w:t>0.0441)</w:t>
      </w:r>
    </w:p>
    <w:p w14:paraId="394869DC" w14:textId="5562E37C" w:rsidR="002F6EE3" w:rsidRPr="004B53AB" w:rsidRDefault="002F6EE3" w:rsidP="00E374D5">
      <w:pPr>
        <w:widowControl/>
        <w:ind w:left="696" w:firstLine="426"/>
        <w:rPr>
          <w:rFonts w:eastAsia="Calibri"/>
          <w:lang w:val="en-ID" w:eastAsia="en-ID"/>
        </w:rPr>
      </w:pPr>
      <w:r w:rsidRPr="004B53AB">
        <w:t>14.084</w:t>
      </w:r>
      <w:r w:rsidR="004B53AB">
        <w:tab/>
        <w:t xml:space="preserve">    </w:t>
      </w:r>
      <w:r w:rsidRPr="004B53AB">
        <w:t>4.562</w:t>
      </w:r>
    </w:p>
    <w:p w14:paraId="40571519" w14:textId="77777777" w:rsidR="005775C7" w:rsidRDefault="005775C7" w:rsidP="005775C7">
      <w:pPr>
        <w:widowControl/>
        <w:jc w:val="center"/>
        <w:rPr>
          <w:b/>
        </w:rPr>
      </w:pPr>
    </w:p>
    <w:p w14:paraId="1F38AE06" w14:textId="7650F10F" w:rsidR="009A7F8F" w:rsidRDefault="005775C7" w:rsidP="005775C7">
      <w:pPr>
        <w:widowControl/>
        <w:jc w:val="center"/>
      </w:pPr>
      <w:r w:rsidRPr="005775C7">
        <w:rPr>
          <w:b/>
        </w:rPr>
        <w:t xml:space="preserve">Table </w:t>
      </w:r>
      <w:r>
        <w:rPr>
          <w:b/>
        </w:rPr>
        <w:t>5</w:t>
      </w:r>
      <w:r w:rsidRPr="005775C7">
        <w:t xml:space="preserve">: </w:t>
      </w:r>
      <w:r>
        <w:t>Partial Hypothesis Testing of Y on Z</w:t>
      </w:r>
    </w:p>
    <w:tbl>
      <w:tblPr>
        <w:tblW w:w="9072" w:type="dxa"/>
        <w:tblInd w:w="250" w:type="dxa"/>
        <w:tblBorders>
          <w:top w:val="single" w:sz="4" w:space="0" w:color="auto"/>
          <w:bottom w:val="single" w:sz="4" w:space="0" w:color="auto"/>
          <w:insideH w:val="single" w:sz="4" w:space="0" w:color="auto"/>
        </w:tblBorders>
        <w:tblLook w:val="04A0" w:firstRow="1" w:lastRow="0" w:firstColumn="1" w:lastColumn="0" w:noHBand="0" w:noVBand="1"/>
      </w:tblPr>
      <w:tblGrid>
        <w:gridCol w:w="1701"/>
        <w:gridCol w:w="1701"/>
        <w:gridCol w:w="1006"/>
        <w:gridCol w:w="876"/>
        <w:gridCol w:w="1457"/>
        <w:gridCol w:w="2331"/>
      </w:tblGrid>
      <w:tr w:rsidR="005775C7" w:rsidRPr="005775C7" w14:paraId="6A504261" w14:textId="77777777" w:rsidTr="00C96E82">
        <w:trPr>
          <w:trHeight w:val="20"/>
        </w:trPr>
        <w:tc>
          <w:tcPr>
            <w:tcW w:w="1701" w:type="dxa"/>
            <w:vAlign w:val="center"/>
          </w:tcPr>
          <w:p w14:paraId="3155F051" w14:textId="77777777" w:rsidR="005775C7" w:rsidRPr="005775C7" w:rsidRDefault="005775C7" w:rsidP="00B0565E">
            <w:pPr>
              <w:jc w:val="center"/>
            </w:pPr>
            <w:r w:rsidRPr="005775C7">
              <w:t>Hypothesis</w:t>
            </w:r>
          </w:p>
        </w:tc>
        <w:tc>
          <w:tcPr>
            <w:tcW w:w="1701" w:type="dxa"/>
            <w:noWrap/>
            <w:vAlign w:val="center"/>
          </w:tcPr>
          <w:p w14:paraId="48F10F4B" w14:textId="77777777" w:rsidR="005775C7" w:rsidRPr="005775C7" w:rsidRDefault="005775C7" w:rsidP="00B0565E">
            <w:pPr>
              <w:jc w:val="center"/>
              <w:rPr>
                <w:lang w:eastAsia="id-ID"/>
              </w:rPr>
            </w:pPr>
            <w:r w:rsidRPr="005775C7">
              <w:t>Path Coefficient</w:t>
            </w:r>
          </w:p>
        </w:tc>
        <w:tc>
          <w:tcPr>
            <w:tcW w:w="1006" w:type="dxa"/>
            <w:shd w:val="clear" w:color="auto" w:fill="FFFFFF"/>
            <w:vAlign w:val="center"/>
          </w:tcPr>
          <w:p w14:paraId="62E48F1A" w14:textId="77777777" w:rsidR="005775C7" w:rsidRPr="005775C7" w:rsidRDefault="005775C7" w:rsidP="00B0565E">
            <w:pPr>
              <w:jc w:val="center"/>
            </w:pPr>
            <w:proofErr w:type="spellStart"/>
            <w:r w:rsidRPr="005775C7">
              <w:t>t</w:t>
            </w:r>
            <w:r w:rsidRPr="005775C7">
              <w:rPr>
                <w:vertAlign w:val="subscript"/>
              </w:rPr>
              <w:t>value</w:t>
            </w:r>
            <w:proofErr w:type="spellEnd"/>
          </w:p>
        </w:tc>
        <w:tc>
          <w:tcPr>
            <w:tcW w:w="876" w:type="dxa"/>
            <w:noWrap/>
            <w:vAlign w:val="center"/>
          </w:tcPr>
          <w:p w14:paraId="7552D6FF" w14:textId="77777777" w:rsidR="005775C7" w:rsidRPr="005775C7" w:rsidRDefault="005775C7" w:rsidP="00B0565E">
            <w:pPr>
              <w:jc w:val="center"/>
            </w:pPr>
            <w:proofErr w:type="spellStart"/>
            <w:r w:rsidRPr="005775C7">
              <w:t>t</w:t>
            </w:r>
            <w:r w:rsidRPr="005775C7">
              <w:rPr>
                <w:vertAlign w:val="subscript"/>
              </w:rPr>
              <w:t>tablel</w:t>
            </w:r>
            <w:proofErr w:type="spellEnd"/>
          </w:p>
        </w:tc>
        <w:tc>
          <w:tcPr>
            <w:tcW w:w="1457" w:type="dxa"/>
            <w:noWrap/>
            <w:vAlign w:val="center"/>
          </w:tcPr>
          <w:p w14:paraId="060EECD3" w14:textId="77777777" w:rsidR="005775C7" w:rsidRPr="005775C7" w:rsidRDefault="005775C7" w:rsidP="00B0565E">
            <w:pPr>
              <w:jc w:val="center"/>
              <w:rPr>
                <w:lang w:eastAsia="id-ID"/>
              </w:rPr>
            </w:pPr>
            <w:r w:rsidRPr="005775C7">
              <w:rPr>
                <w:lang w:eastAsia="id-ID"/>
              </w:rPr>
              <w:t>Decision</w:t>
            </w:r>
          </w:p>
        </w:tc>
        <w:tc>
          <w:tcPr>
            <w:tcW w:w="2331" w:type="dxa"/>
            <w:noWrap/>
            <w:vAlign w:val="center"/>
          </w:tcPr>
          <w:p w14:paraId="05A01B9E" w14:textId="77777777" w:rsidR="005775C7" w:rsidRPr="005775C7" w:rsidRDefault="005775C7" w:rsidP="00B0565E">
            <w:pPr>
              <w:jc w:val="center"/>
              <w:rPr>
                <w:lang w:eastAsia="id-ID"/>
              </w:rPr>
            </w:pPr>
            <w:r w:rsidRPr="005775C7">
              <w:rPr>
                <w:lang w:eastAsia="id-ID"/>
              </w:rPr>
              <w:t>Result</w:t>
            </w:r>
          </w:p>
        </w:tc>
      </w:tr>
      <w:tr w:rsidR="005775C7" w:rsidRPr="005775C7" w14:paraId="42398C2E" w14:textId="77777777" w:rsidTr="00C96E82">
        <w:trPr>
          <w:trHeight w:val="20"/>
        </w:trPr>
        <w:tc>
          <w:tcPr>
            <w:tcW w:w="1701" w:type="dxa"/>
            <w:vAlign w:val="center"/>
          </w:tcPr>
          <w:p w14:paraId="240F761B" w14:textId="77777777" w:rsidR="005775C7" w:rsidRPr="005775C7" w:rsidRDefault="005775C7" w:rsidP="00B0565E">
            <w:pPr>
              <w:jc w:val="center"/>
            </w:pPr>
            <w:r w:rsidRPr="005775C7">
              <w:t xml:space="preserve">H5: Y </w:t>
            </w:r>
            <w:r w:rsidRPr="005775C7">
              <w:sym w:font="Wingdings" w:char="F0E0"/>
            </w:r>
            <w:r w:rsidRPr="005775C7">
              <w:t xml:space="preserve"> Z</w:t>
            </w:r>
          </w:p>
        </w:tc>
        <w:tc>
          <w:tcPr>
            <w:tcW w:w="1701" w:type="dxa"/>
            <w:noWrap/>
            <w:vAlign w:val="center"/>
          </w:tcPr>
          <w:p w14:paraId="0032AEBF" w14:textId="77777777" w:rsidR="005775C7" w:rsidRPr="005775C7" w:rsidRDefault="005775C7" w:rsidP="00B0565E">
            <w:pPr>
              <w:jc w:val="center"/>
            </w:pPr>
            <w:r w:rsidRPr="005775C7">
              <w:rPr>
                <w:rFonts w:eastAsia="Arial Unicode MS"/>
              </w:rPr>
              <w:t>0,894</w:t>
            </w:r>
          </w:p>
        </w:tc>
        <w:tc>
          <w:tcPr>
            <w:tcW w:w="1006" w:type="dxa"/>
            <w:shd w:val="clear" w:color="auto" w:fill="FFFFFF"/>
            <w:vAlign w:val="center"/>
          </w:tcPr>
          <w:p w14:paraId="33668D0F" w14:textId="77777777" w:rsidR="005775C7" w:rsidRPr="005775C7" w:rsidRDefault="005775C7" w:rsidP="00B0565E">
            <w:pPr>
              <w:jc w:val="center"/>
            </w:pPr>
            <w:r w:rsidRPr="005775C7">
              <w:rPr>
                <w:rFonts w:eastAsia="Arial Unicode MS"/>
              </w:rPr>
              <w:t>14,08</w:t>
            </w:r>
          </w:p>
        </w:tc>
        <w:tc>
          <w:tcPr>
            <w:tcW w:w="876" w:type="dxa"/>
            <w:noWrap/>
            <w:vAlign w:val="center"/>
          </w:tcPr>
          <w:p w14:paraId="003E50B8" w14:textId="77777777" w:rsidR="005775C7" w:rsidRPr="005775C7" w:rsidRDefault="005775C7" w:rsidP="00B0565E">
            <w:pPr>
              <w:jc w:val="center"/>
            </w:pPr>
            <w:r w:rsidRPr="005775C7">
              <w:t>1,97</w:t>
            </w:r>
          </w:p>
        </w:tc>
        <w:tc>
          <w:tcPr>
            <w:tcW w:w="1457" w:type="dxa"/>
            <w:noWrap/>
            <w:vAlign w:val="center"/>
          </w:tcPr>
          <w:p w14:paraId="71AB63A7" w14:textId="77777777" w:rsidR="005775C7" w:rsidRPr="005775C7" w:rsidRDefault="005775C7" w:rsidP="00B0565E">
            <w:pPr>
              <w:jc w:val="center"/>
            </w:pPr>
            <w:proofErr w:type="spellStart"/>
            <w:r w:rsidRPr="005775C7">
              <w:rPr>
                <w:lang w:eastAsia="id-ID"/>
              </w:rPr>
              <w:t>Rejcted</w:t>
            </w:r>
            <w:proofErr w:type="spellEnd"/>
            <w:r w:rsidRPr="005775C7">
              <w:rPr>
                <w:lang w:eastAsia="id-ID"/>
              </w:rPr>
              <w:t xml:space="preserve"> H</w:t>
            </w:r>
            <w:r w:rsidRPr="005775C7">
              <w:rPr>
                <w:vertAlign w:val="subscript"/>
                <w:lang w:eastAsia="id-ID"/>
              </w:rPr>
              <w:t>0</w:t>
            </w:r>
          </w:p>
        </w:tc>
        <w:tc>
          <w:tcPr>
            <w:tcW w:w="2331" w:type="dxa"/>
            <w:noWrap/>
            <w:vAlign w:val="center"/>
          </w:tcPr>
          <w:p w14:paraId="571B0271" w14:textId="77777777" w:rsidR="005775C7" w:rsidRPr="005775C7" w:rsidRDefault="005775C7" w:rsidP="00B0565E">
            <w:pPr>
              <w:jc w:val="center"/>
              <w:rPr>
                <w:lang w:eastAsia="id-ID"/>
              </w:rPr>
            </w:pPr>
            <w:r w:rsidRPr="005775C7">
              <w:rPr>
                <w:lang w:eastAsia="id-ID"/>
              </w:rPr>
              <w:t>Accepted and Significant</w:t>
            </w:r>
          </w:p>
        </w:tc>
      </w:tr>
    </w:tbl>
    <w:p w14:paraId="1A3CB461" w14:textId="14A8FB56" w:rsidR="005775C7" w:rsidRDefault="005775C7" w:rsidP="005775C7">
      <w:pPr>
        <w:widowControl/>
        <w:jc w:val="center"/>
        <w:rPr>
          <w:rFonts w:asciiTheme="majorBidi" w:eastAsia="Calibri" w:hAnsiTheme="majorBidi" w:cstheme="majorBidi"/>
        </w:rPr>
      </w:pPr>
      <w:r w:rsidRPr="005775C7">
        <w:rPr>
          <w:rFonts w:asciiTheme="majorBidi" w:hAnsiTheme="majorBidi" w:cstheme="majorBidi"/>
        </w:rPr>
        <w:t xml:space="preserve">Source: Output </w:t>
      </w:r>
      <w:proofErr w:type="spellStart"/>
      <w:r w:rsidRPr="005775C7">
        <w:rPr>
          <w:rFonts w:asciiTheme="majorBidi" w:hAnsiTheme="majorBidi" w:cstheme="majorBidi"/>
        </w:rPr>
        <w:t>Lisrel</w:t>
      </w:r>
      <w:proofErr w:type="spellEnd"/>
      <w:r w:rsidRPr="005775C7">
        <w:rPr>
          <w:rFonts w:asciiTheme="majorBidi" w:hAnsiTheme="majorBidi" w:cstheme="majorBidi"/>
        </w:rPr>
        <w:t xml:space="preserve"> (2024)</w:t>
      </w:r>
    </w:p>
    <w:p w14:paraId="31BEDBE6" w14:textId="77777777" w:rsidR="005775C7" w:rsidRPr="005775C7" w:rsidRDefault="005775C7" w:rsidP="005775C7">
      <w:pPr>
        <w:widowControl/>
      </w:pPr>
    </w:p>
    <w:p w14:paraId="21D750CD" w14:textId="78AF67E1" w:rsidR="009A7F8F" w:rsidRDefault="009A7F8F" w:rsidP="005F11BE">
      <w:pPr>
        <w:widowControl/>
        <w:ind w:firstLine="426"/>
        <w:jc w:val="both"/>
        <w:rPr>
          <w:rFonts w:ascii="Calibri" w:eastAsia="Calibri" w:hAnsi="Calibri"/>
          <w:lang w:val="en-ID" w:eastAsia="en-ID"/>
        </w:rPr>
      </w:pPr>
      <w:r w:rsidRPr="00487DBD">
        <w:t>Based on the calculation results</w:t>
      </w:r>
      <w:r>
        <w:t xml:space="preserve"> on Table 5</w:t>
      </w:r>
      <w:r w:rsidRPr="00487DBD">
        <w:t>, the t-value for green satisfaction is 14.08. The obtained t-statistic falls within the rejection region of H₀, as the t-value is greater than the t-table value of 1.97 (t-value = 14.08 &gt; 1.97). Thus, the decision is to reject H₀. Therefore, the statistical test results indicate that green satisfaction has a positive influence on green loyalty, with a path coefficient of 0.894, meaning that every increase in green satisfaction will enhance consumer green loyalty by 0.894.</w:t>
      </w:r>
    </w:p>
    <w:p w14:paraId="7C3110CE" w14:textId="77777777" w:rsidR="009A7F8F" w:rsidRPr="009A7F8F" w:rsidRDefault="009A7F8F" w:rsidP="009A7F8F">
      <w:pPr>
        <w:widowControl/>
      </w:pPr>
    </w:p>
    <w:p w14:paraId="5356B8AC" w14:textId="1A3FA91E" w:rsidR="00D26AF7" w:rsidRPr="002D31AF" w:rsidRDefault="00D26AF7" w:rsidP="00D26AF7">
      <w:pPr>
        <w:widowControl/>
        <w:numPr>
          <w:ilvl w:val="0"/>
          <w:numId w:val="4"/>
        </w:numPr>
        <w:ind w:left="426"/>
        <w:rPr>
          <w:rFonts w:ascii="Calibri" w:eastAsia="Calibri" w:hAnsi="Calibri"/>
          <w:b/>
          <w:lang w:val="sv-SE"/>
        </w:rPr>
      </w:pPr>
      <w:r w:rsidRPr="002D31AF">
        <w:rPr>
          <w:rFonts w:asciiTheme="majorBidi" w:hAnsiTheme="majorBidi" w:cstheme="majorBidi"/>
          <w:b/>
          <w:lang w:val="sv-SE"/>
        </w:rPr>
        <w:t>Model Fit Assessment (Goodness of Fit)</w:t>
      </w:r>
    </w:p>
    <w:p w14:paraId="1747A337" w14:textId="77F2D49C" w:rsidR="009A7F8F" w:rsidRDefault="00135909" w:rsidP="00C96E82">
      <w:pPr>
        <w:widowControl/>
        <w:jc w:val="center"/>
        <w:rPr>
          <w:noProof/>
        </w:rPr>
      </w:pPr>
      <w:r w:rsidRPr="003B4036">
        <w:rPr>
          <w:noProof/>
        </w:rPr>
        <w:drawing>
          <wp:inline distT="0" distB="0" distL="0" distR="0" wp14:anchorId="488B26F1" wp14:editId="65A4A24A">
            <wp:extent cx="3985260" cy="2726055"/>
            <wp:effectExtent l="0" t="0" r="0" b="0"/>
            <wp:docPr id="13"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screenshot of a comput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l="1775" r="14326" b="55801"/>
                    <a:stretch>
                      <a:fillRect/>
                    </a:stretch>
                  </pic:blipFill>
                  <pic:spPr bwMode="auto">
                    <a:xfrm>
                      <a:off x="0" y="0"/>
                      <a:ext cx="3985260" cy="2726055"/>
                    </a:xfrm>
                    <a:prstGeom prst="rect">
                      <a:avLst/>
                    </a:prstGeom>
                    <a:noFill/>
                    <a:ln>
                      <a:noFill/>
                    </a:ln>
                  </pic:spPr>
                </pic:pic>
              </a:graphicData>
            </a:graphic>
          </wp:inline>
        </w:drawing>
      </w:r>
    </w:p>
    <w:p w14:paraId="223362B2" w14:textId="4E425857" w:rsidR="00D2209F" w:rsidRPr="00D2209F" w:rsidRDefault="00D2209F" w:rsidP="00D2209F">
      <w:pPr>
        <w:widowControl/>
        <w:jc w:val="center"/>
        <w:rPr>
          <w:bCs/>
          <w:sz w:val="18"/>
          <w:szCs w:val="18"/>
        </w:rPr>
      </w:pPr>
      <w:r w:rsidRPr="00D2209F">
        <w:rPr>
          <w:b/>
          <w:sz w:val="18"/>
          <w:szCs w:val="18"/>
        </w:rPr>
        <w:t>Figure 4</w:t>
      </w:r>
      <w:r w:rsidRPr="00D2209F">
        <w:rPr>
          <w:sz w:val="18"/>
          <w:szCs w:val="18"/>
        </w:rPr>
        <w:t>: Overall Structural Model Diagram: The Influence X1, X2, X3 on Y and Its Implications for Z</w:t>
      </w:r>
    </w:p>
    <w:p w14:paraId="022A6947" w14:textId="285E1531" w:rsidR="00C96E82" w:rsidRPr="00C96E82" w:rsidRDefault="00D2209F" w:rsidP="00D2209F">
      <w:pPr>
        <w:widowControl/>
        <w:jc w:val="center"/>
      </w:pPr>
      <w:r w:rsidRPr="00D2209F">
        <w:rPr>
          <w:sz w:val="18"/>
          <w:szCs w:val="18"/>
        </w:rPr>
        <w:t xml:space="preserve">Source: Output </w:t>
      </w:r>
      <w:proofErr w:type="spellStart"/>
      <w:r w:rsidRPr="00D2209F">
        <w:rPr>
          <w:sz w:val="18"/>
          <w:szCs w:val="18"/>
        </w:rPr>
        <w:t>Lisrel</w:t>
      </w:r>
      <w:proofErr w:type="spellEnd"/>
      <w:r w:rsidRPr="00D2209F">
        <w:rPr>
          <w:sz w:val="18"/>
          <w:szCs w:val="18"/>
        </w:rPr>
        <w:t xml:space="preserve"> (2024)</w:t>
      </w:r>
    </w:p>
    <w:p w14:paraId="6E4D2788" w14:textId="20F28917" w:rsidR="009A7F8F" w:rsidRDefault="009A7F8F" w:rsidP="009A7F8F">
      <w:pPr>
        <w:widowControl/>
        <w:rPr>
          <w:rFonts w:ascii="Calibri" w:eastAsia="Calibri" w:hAnsi="Calibri"/>
          <w:lang w:val="sv-SE"/>
        </w:rPr>
      </w:pPr>
    </w:p>
    <w:p w14:paraId="1381F46D" w14:textId="6CA56B04" w:rsidR="009A7F8F" w:rsidRDefault="009A7F8F" w:rsidP="005F11BE">
      <w:pPr>
        <w:widowControl/>
        <w:ind w:firstLine="426"/>
        <w:jc w:val="both"/>
        <w:rPr>
          <w:rFonts w:ascii="Calibri" w:eastAsia="Calibri" w:hAnsi="Calibri"/>
          <w:lang w:val="en-ID" w:eastAsia="en-ID"/>
        </w:rPr>
      </w:pPr>
      <w:r w:rsidRPr="00771A7E">
        <w:t>The results of the Goodness of Fit (GOF) measures indicate a well-fitting model, as evidenced by the following criteria:</w:t>
      </w:r>
    </w:p>
    <w:p w14:paraId="21077968" w14:textId="3A63D67C" w:rsidR="009A7F8F" w:rsidRDefault="009A7F8F" w:rsidP="009A7F8F">
      <w:pPr>
        <w:widowControl/>
        <w:rPr>
          <w:rFonts w:ascii="Calibri" w:eastAsia="Calibri" w:hAnsi="Calibri"/>
          <w:lang w:val="sv-SE"/>
        </w:rPr>
      </w:pPr>
    </w:p>
    <w:p w14:paraId="23282C97" w14:textId="798FCE69" w:rsidR="00D2209F" w:rsidRPr="00D2209F" w:rsidRDefault="00D2209F" w:rsidP="00D2209F">
      <w:pPr>
        <w:widowControl/>
        <w:jc w:val="center"/>
        <w:rPr>
          <w:rFonts w:asciiTheme="majorBidi" w:hAnsiTheme="majorBidi" w:cstheme="majorBidi"/>
          <w:lang w:val="sv-SE"/>
        </w:rPr>
      </w:pPr>
      <w:r w:rsidRPr="00D2209F">
        <w:rPr>
          <w:rFonts w:asciiTheme="majorBidi" w:hAnsiTheme="majorBidi" w:cstheme="majorBidi"/>
          <w:b/>
        </w:rPr>
        <w:t xml:space="preserve">Table </w:t>
      </w:r>
      <w:r>
        <w:rPr>
          <w:rFonts w:asciiTheme="majorBidi" w:hAnsiTheme="majorBidi" w:cstheme="majorBidi"/>
          <w:b/>
        </w:rPr>
        <w:t>6</w:t>
      </w:r>
      <w:r w:rsidRPr="00D2209F">
        <w:rPr>
          <w:rFonts w:asciiTheme="majorBidi" w:hAnsiTheme="majorBidi" w:cstheme="majorBidi"/>
        </w:rPr>
        <w:t>: Results of the Structural Model Goodness of Fit Analysis</w:t>
      </w:r>
    </w:p>
    <w:tbl>
      <w:tblPr>
        <w:tblW w:w="9100" w:type="dxa"/>
        <w:tblBorders>
          <w:top w:val="single" w:sz="4" w:space="0" w:color="auto"/>
          <w:bottom w:val="single" w:sz="4" w:space="0" w:color="auto"/>
        </w:tblBorders>
        <w:tblCellMar>
          <w:left w:w="28" w:type="dxa"/>
          <w:right w:w="28" w:type="dxa"/>
        </w:tblCellMar>
        <w:tblLook w:val="04A0" w:firstRow="1" w:lastRow="0" w:firstColumn="1" w:lastColumn="0" w:noHBand="0" w:noVBand="1"/>
      </w:tblPr>
      <w:tblGrid>
        <w:gridCol w:w="2256"/>
        <w:gridCol w:w="2410"/>
        <w:gridCol w:w="2427"/>
        <w:gridCol w:w="2007"/>
      </w:tblGrid>
      <w:tr w:rsidR="00FA4508" w:rsidRPr="005F11BE" w14:paraId="2B5756B1" w14:textId="77777777" w:rsidTr="005F11BE">
        <w:trPr>
          <w:trHeight w:val="20"/>
        </w:trPr>
        <w:tc>
          <w:tcPr>
            <w:tcW w:w="2256" w:type="dxa"/>
            <w:tcBorders>
              <w:bottom w:val="single" w:sz="4" w:space="0" w:color="auto"/>
            </w:tcBorders>
            <w:shd w:val="clear" w:color="auto" w:fill="auto"/>
            <w:vAlign w:val="center"/>
            <w:hideMark/>
          </w:tcPr>
          <w:p w14:paraId="071CF1C7"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rPr>
              <w:t>GOF Measure</w:t>
            </w:r>
          </w:p>
        </w:tc>
        <w:tc>
          <w:tcPr>
            <w:tcW w:w="2410" w:type="dxa"/>
            <w:tcBorders>
              <w:bottom w:val="single" w:sz="4" w:space="0" w:color="auto"/>
            </w:tcBorders>
            <w:shd w:val="clear" w:color="auto" w:fill="auto"/>
            <w:vAlign w:val="center"/>
            <w:hideMark/>
          </w:tcPr>
          <w:p w14:paraId="0D1A9491" w14:textId="5E40D601" w:rsidR="00FA4508" w:rsidRPr="005F11BE" w:rsidRDefault="00FA4508" w:rsidP="00FA4508">
            <w:pPr>
              <w:autoSpaceDE w:val="0"/>
              <w:autoSpaceDN w:val="0"/>
              <w:adjustRightInd w:val="0"/>
              <w:jc w:val="center"/>
              <w:rPr>
                <w:rFonts w:asciiTheme="majorBidi" w:hAnsiTheme="majorBidi" w:cstheme="majorBidi"/>
                <w:lang w:eastAsia="id-ID"/>
              </w:rPr>
            </w:pPr>
            <w:r w:rsidRPr="005F11BE">
              <w:rPr>
                <w:rFonts w:asciiTheme="majorBidi" w:hAnsiTheme="majorBidi" w:cstheme="majorBidi"/>
                <w:lang w:eastAsia="id-ID"/>
              </w:rPr>
              <w:t>Nilai Cut-off Value</w:t>
            </w:r>
          </w:p>
        </w:tc>
        <w:tc>
          <w:tcPr>
            <w:tcW w:w="2427" w:type="dxa"/>
            <w:tcBorders>
              <w:bottom w:val="single" w:sz="4" w:space="0" w:color="auto"/>
            </w:tcBorders>
            <w:shd w:val="clear" w:color="auto" w:fill="auto"/>
            <w:vAlign w:val="center"/>
            <w:hideMark/>
          </w:tcPr>
          <w:p w14:paraId="4FC243D5"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lang w:eastAsia="id-ID"/>
              </w:rPr>
              <w:t>Computational Result</w:t>
            </w:r>
          </w:p>
        </w:tc>
        <w:tc>
          <w:tcPr>
            <w:tcW w:w="2007" w:type="dxa"/>
            <w:tcBorders>
              <w:bottom w:val="single" w:sz="4" w:space="0" w:color="auto"/>
            </w:tcBorders>
            <w:shd w:val="clear" w:color="auto" w:fill="auto"/>
            <w:vAlign w:val="center"/>
            <w:hideMark/>
          </w:tcPr>
          <w:p w14:paraId="6AB13551"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lang w:val="en-CA"/>
              </w:rPr>
              <w:t>Test Finding</w:t>
            </w:r>
          </w:p>
        </w:tc>
      </w:tr>
      <w:tr w:rsidR="00FA4508" w:rsidRPr="005F11BE" w14:paraId="6C3CE305" w14:textId="77777777" w:rsidTr="005F11BE">
        <w:trPr>
          <w:trHeight w:val="20"/>
        </w:trPr>
        <w:tc>
          <w:tcPr>
            <w:tcW w:w="2256" w:type="dxa"/>
            <w:tcBorders>
              <w:top w:val="single" w:sz="4" w:space="0" w:color="auto"/>
              <w:bottom w:val="nil"/>
            </w:tcBorders>
            <w:shd w:val="clear" w:color="auto" w:fill="auto"/>
            <w:vAlign w:val="center"/>
            <w:hideMark/>
          </w:tcPr>
          <w:p w14:paraId="50A59E37"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lang w:eastAsia="id-ID"/>
              </w:rPr>
              <w:t>Chi-Square</w:t>
            </w:r>
          </w:p>
        </w:tc>
        <w:tc>
          <w:tcPr>
            <w:tcW w:w="2410" w:type="dxa"/>
            <w:tcBorders>
              <w:top w:val="single" w:sz="4" w:space="0" w:color="auto"/>
              <w:bottom w:val="nil"/>
            </w:tcBorders>
            <w:shd w:val="clear" w:color="auto" w:fill="auto"/>
            <w:vAlign w:val="center"/>
            <w:hideMark/>
          </w:tcPr>
          <w:p w14:paraId="7CB37C9E" w14:textId="77777777" w:rsidR="00FA4508" w:rsidRPr="005F11BE" w:rsidRDefault="00FA4508" w:rsidP="00B0565E">
            <w:pPr>
              <w:pStyle w:val="BodyTextIndent"/>
              <w:spacing w:line="240" w:lineRule="auto"/>
              <w:ind w:firstLine="0"/>
              <w:jc w:val="center"/>
              <w:rPr>
                <w:rFonts w:asciiTheme="majorBidi" w:hAnsiTheme="majorBidi" w:cstheme="majorBidi"/>
                <w:sz w:val="20"/>
                <w:szCs w:val="20"/>
                <w:lang w:val="id-ID"/>
              </w:rPr>
            </w:pPr>
            <w:r w:rsidRPr="005F11BE">
              <w:rPr>
                <w:rFonts w:asciiTheme="majorBidi" w:hAnsiTheme="majorBidi" w:cstheme="majorBidi"/>
                <w:sz w:val="20"/>
                <w:szCs w:val="20"/>
              </w:rPr>
              <w:t>df = 292</w:t>
            </w:r>
          </w:p>
          <w:p w14:paraId="0CC0B509" w14:textId="1BB854AC" w:rsidR="00FA4508" w:rsidRPr="005F11BE" w:rsidRDefault="00DD7D85" w:rsidP="00B0565E">
            <w:pPr>
              <w:jc w:val="center"/>
              <w:rPr>
                <w:rFonts w:ascii="Cambria Math" w:hAnsi="Cambria Math" w:cstheme="majorBidi"/>
                <w:oMath/>
              </w:rPr>
            </w:pPr>
            <m:oMath>
              <m:sSubSup>
                <m:sSubSupPr>
                  <m:ctrlPr>
                    <w:rPr>
                      <w:rFonts w:ascii="Cambria Math" w:hAnsi="Cambria Math"/>
                      <w:vertAlign w:val="subscript"/>
                    </w:rPr>
                  </m:ctrlPr>
                </m:sSubSupPr>
                <m:e>
                  <m:r>
                    <m:rPr>
                      <m:sty m:val="p"/>
                    </m:rPr>
                    <w:rPr>
                      <w:rFonts w:ascii="Cambria Math" w:hAnsi="Cambria Math"/>
                    </w:rPr>
                    <w:sym w:font="Symbol" w:char="F063"/>
                  </m:r>
                </m:e>
                <m:sub>
                  <m:r>
                    <m:rPr>
                      <m:sty m:val="p"/>
                    </m:rPr>
                    <w:rPr>
                      <w:rFonts w:ascii="Cambria Math" w:hAnsi="Cambria Math"/>
                      <w:vertAlign w:val="subscript"/>
                    </w:rPr>
                    <m:t>tabel</m:t>
                  </m:r>
                </m:sub>
                <m:sup>
                  <m:r>
                    <m:rPr>
                      <m:sty m:val="p"/>
                    </m:rPr>
                    <w:rPr>
                      <w:rFonts w:ascii="Cambria Math" w:hAnsi="Cambria Math"/>
                      <w:vertAlign w:val="subscript"/>
                    </w:rPr>
                    <m:t>2</m:t>
                  </m:r>
                </m:sup>
              </m:sSubSup>
              <m:r>
                <m:rPr>
                  <m:sty m:val="p"/>
                </m:rPr>
                <w:rPr>
                  <w:rFonts w:ascii="Cambria Math" w:hAnsi="Cambria Math"/>
                </w:rPr>
                <m:t xml:space="preserve">=  </m:t>
              </m:r>
            </m:oMath>
            <w:r w:rsidR="00FA4508" w:rsidRPr="005F11BE">
              <w:rPr>
                <w:rFonts w:asciiTheme="majorBidi" w:hAnsiTheme="majorBidi" w:cstheme="majorBidi"/>
              </w:rPr>
              <w:t>332,85</w:t>
            </w:r>
          </w:p>
        </w:tc>
        <w:tc>
          <w:tcPr>
            <w:tcW w:w="2427" w:type="dxa"/>
            <w:tcBorders>
              <w:top w:val="single" w:sz="4" w:space="0" w:color="auto"/>
              <w:bottom w:val="nil"/>
            </w:tcBorders>
            <w:shd w:val="clear" w:color="auto" w:fill="auto"/>
            <w:vAlign w:val="center"/>
            <w:hideMark/>
          </w:tcPr>
          <w:p w14:paraId="57EDC2A8" w14:textId="77777777" w:rsidR="00FA4508" w:rsidRPr="005F11BE" w:rsidRDefault="00FA4508" w:rsidP="00B0565E">
            <w:pPr>
              <w:pStyle w:val="BodyTextIndent"/>
              <w:spacing w:line="240" w:lineRule="auto"/>
              <w:ind w:firstLine="0"/>
              <w:jc w:val="center"/>
              <w:rPr>
                <w:rFonts w:asciiTheme="majorBidi" w:hAnsiTheme="majorBidi" w:cstheme="majorBidi"/>
                <w:sz w:val="20"/>
                <w:szCs w:val="20"/>
              </w:rPr>
            </w:pPr>
            <w:r w:rsidRPr="005F11BE">
              <w:rPr>
                <w:rFonts w:asciiTheme="majorBidi" w:hAnsiTheme="majorBidi" w:cstheme="majorBidi"/>
                <w:sz w:val="20"/>
                <w:szCs w:val="20"/>
              </w:rPr>
              <w:t>446,826</w:t>
            </w:r>
          </w:p>
        </w:tc>
        <w:tc>
          <w:tcPr>
            <w:tcW w:w="2007" w:type="dxa"/>
            <w:tcBorders>
              <w:top w:val="single" w:sz="4" w:space="0" w:color="auto"/>
              <w:bottom w:val="nil"/>
            </w:tcBorders>
            <w:shd w:val="clear" w:color="auto" w:fill="auto"/>
            <w:vAlign w:val="center"/>
            <w:hideMark/>
          </w:tcPr>
          <w:p w14:paraId="57517D33" w14:textId="77777777" w:rsidR="00FA4508" w:rsidRPr="005F11BE" w:rsidRDefault="00FA4508" w:rsidP="00B0565E">
            <w:pPr>
              <w:pStyle w:val="BodyTextIndent"/>
              <w:spacing w:line="240" w:lineRule="auto"/>
              <w:ind w:firstLine="0"/>
              <w:jc w:val="center"/>
              <w:rPr>
                <w:rFonts w:asciiTheme="majorBidi" w:hAnsiTheme="majorBidi" w:cstheme="majorBidi"/>
                <w:sz w:val="20"/>
                <w:szCs w:val="20"/>
                <w:lang w:val="id-ID"/>
              </w:rPr>
            </w:pPr>
            <w:r w:rsidRPr="005F11BE">
              <w:rPr>
                <w:rFonts w:asciiTheme="majorBidi" w:hAnsiTheme="majorBidi" w:cstheme="majorBidi"/>
                <w:sz w:val="20"/>
                <w:szCs w:val="20"/>
              </w:rPr>
              <w:t>Not Fit</w:t>
            </w:r>
            <w:r w:rsidRPr="005F11BE">
              <w:rPr>
                <w:rFonts w:asciiTheme="majorBidi" w:hAnsiTheme="majorBidi" w:cstheme="majorBidi"/>
                <w:sz w:val="20"/>
                <w:szCs w:val="20"/>
                <w:lang w:val="id-ID"/>
              </w:rPr>
              <w:t xml:space="preserve"> </w:t>
            </w:r>
          </w:p>
        </w:tc>
      </w:tr>
      <w:tr w:rsidR="00FA4508" w:rsidRPr="005F11BE" w14:paraId="7630C7AB" w14:textId="77777777" w:rsidTr="005F11BE">
        <w:trPr>
          <w:trHeight w:val="20"/>
        </w:trPr>
        <w:tc>
          <w:tcPr>
            <w:tcW w:w="2256" w:type="dxa"/>
            <w:tcBorders>
              <w:top w:val="nil"/>
            </w:tcBorders>
            <w:shd w:val="clear" w:color="auto" w:fill="auto"/>
            <w:vAlign w:val="center"/>
            <w:hideMark/>
          </w:tcPr>
          <w:p w14:paraId="76DE1A51" w14:textId="77777777" w:rsidR="00FA4508" w:rsidRPr="005F11BE" w:rsidRDefault="00FA4508" w:rsidP="00B0565E">
            <w:pPr>
              <w:autoSpaceDE w:val="0"/>
              <w:autoSpaceDN w:val="0"/>
              <w:adjustRightInd w:val="0"/>
              <w:jc w:val="center"/>
              <w:rPr>
                <w:rFonts w:asciiTheme="majorBidi" w:hAnsiTheme="majorBidi" w:cstheme="majorBidi"/>
                <w:lang w:eastAsia="id-ID"/>
              </w:rPr>
            </w:pPr>
            <w:proofErr w:type="spellStart"/>
            <w:r w:rsidRPr="005F11BE">
              <w:rPr>
                <w:rFonts w:asciiTheme="majorBidi" w:hAnsiTheme="majorBidi" w:cstheme="majorBidi"/>
                <w:lang w:eastAsia="id-ID"/>
              </w:rPr>
              <w:t>Probalibilitas</w:t>
            </w:r>
            <w:proofErr w:type="spellEnd"/>
          </w:p>
          <w:p w14:paraId="41A49E05"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lang w:eastAsia="id-ID"/>
              </w:rPr>
              <w:t>(</w:t>
            </w:r>
            <w:proofErr w:type="spellStart"/>
            <w:r w:rsidRPr="005F11BE">
              <w:rPr>
                <w:rFonts w:asciiTheme="majorBidi" w:hAnsiTheme="majorBidi" w:cstheme="majorBidi"/>
                <w:lang w:eastAsia="id-ID"/>
              </w:rPr>
              <w:t>signifikansi</w:t>
            </w:r>
            <w:proofErr w:type="spellEnd"/>
            <w:r w:rsidRPr="005F11BE">
              <w:rPr>
                <w:rFonts w:asciiTheme="majorBidi" w:hAnsiTheme="majorBidi" w:cstheme="majorBidi"/>
                <w:lang w:eastAsia="id-ID"/>
              </w:rPr>
              <w:t>)</w:t>
            </w:r>
          </w:p>
        </w:tc>
        <w:tc>
          <w:tcPr>
            <w:tcW w:w="2410" w:type="dxa"/>
            <w:tcBorders>
              <w:top w:val="nil"/>
            </w:tcBorders>
            <w:shd w:val="clear" w:color="auto" w:fill="auto"/>
            <w:vAlign w:val="center"/>
            <w:hideMark/>
          </w:tcPr>
          <w:p w14:paraId="634F04C0" w14:textId="77777777" w:rsidR="00FA4508" w:rsidRPr="005F11BE" w:rsidRDefault="00FA4508" w:rsidP="00B0565E">
            <w:pPr>
              <w:pStyle w:val="BodyTextIndent"/>
              <w:spacing w:line="240" w:lineRule="auto"/>
              <w:ind w:firstLine="0"/>
              <w:jc w:val="center"/>
              <w:rPr>
                <w:rFonts w:asciiTheme="majorBidi" w:hAnsiTheme="majorBidi" w:cstheme="majorBidi"/>
                <w:sz w:val="20"/>
                <w:szCs w:val="20"/>
                <w:lang w:val="id-ID"/>
              </w:rPr>
            </w:pPr>
            <w:r w:rsidRPr="005F11BE">
              <w:rPr>
                <w:rFonts w:asciiTheme="majorBidi" w:hAnsiTheme="majorBidi" w:cstheme="majorBidi"/>
                <w:sz w:val="20"/>
                <w:szCs w:val="20"/>
                <w:lang w:val="id-ID"/>
              </w:rPr>
              <w:t>≥ 0,05</w:t>
            </w:r>
          </w:p>
        </w:tc>
        <w:tc>
          <w:tcPr>
            <w:tcW w:w="2427" w:type="dxa"/>
            <w:tcBorders>
              <w:top w:val="nil"/>
            </w:tcBorders>
            <w:shd w:val="clear" w:color="auto" w:fill="auto"/>
            <w:vAlign w:val="center"/>
            <w:hideMark/>
          </w:tcPr>
          <w:p w14:paraId="697618E8" w14:textId="77777777" w:rsidR="00FA4508" w:rsidRPr="005F11BE" w:rsidRDefault="00FA4508" w:rsidP="00B0565E">
            <w:pPr>
              <w:pStyle w:val="BodyTextIndent"/>
              <w:spacing w:line="240" w:lineRule="auto"/>
              <w:ind w:firstLine="0"/>
              <w:jc w:val="center"/>
              <w:rPr>
                <w:rFonts w:asciiTheme="majorBidi" w:hAnsiTheme="majorBidi" w:cstheme="majorBidi"/>
                <w:sz w:val="20"/>
                <w:szCs w:val="20"/>
              </w:rPr>
            </w:pPr>
            <w:r w:rsidRPr="005F11BE">
              <w:rPr>
                <w:rFonts w:asciiTheme="majorBidi" w:hAnsiTheme="majorBidi" w:cstheme="majorBidi"/>
                <w:sz w:val="20"/>
                <w:szCs w:val="20"/>
              </w:rPr>
              <w:t>0,000</w:t>
            </w:r>
          </w:p>
        </w:tc>
        <w:tc>
          <w:tcPr>
            <w:tcW w:w="2007" w:type="dxa"/>
            <w:tcBorders>
              <w:top w:val="nil"/>
            </w:tcBorders>
            <w:shd w:val="clear" w:color="auto" w:fill="auto"/>
            <w:vAlign w:val="center"/>
            <w:hideMark/>
          </w:tcPr>
          <w:p w14:paraId="72A67058" w14:textId="77777777" w:rsidR="00FA4508" w:rsidRPr="005F11BE" w:rsidRDefault="00FA4508" w:rsidP="00B0565E">
            <w:pPr>
              <w:pStyle w:val="BodyTextIndent"/>
              <w:spacing w:line="240" w:lineRule="auto"/>
              <w:ind w:firstLine="0"/>
              <w:jc w:val="center"/>
              <w:rPr>
                <w:rFonts w:asciiTheme="majorBidi" w:hAnsiTheme="majorBidi" w:cstheme="majorBidi"/>
                <w:sz w:val="20"/>
                <w:szCs w:val="20"/>
              </w:rPr>
            </w:pPr>
            <w:r w:rsidRPr="005F11BE">
              <w:rPr>
                <w:rFonts w:asciiTheme="majorBidi" w:hAnsiTheme="majorBidi" w:cstheme="majorBidi"/>
                <w:sz w:val="20"/>
                <w:szCs w:val="20"/>
              </w:rPr>
              <w:t>Not Fit</w:t>
            </w:r>
          </w:p>
        </w:tc>
      </w:tr>
      <w:tr w:rsidR="00FA4508" w:rsidRPr="005F11BE" w14:paraId="3FD6675A" w14:textId="77777777" w:rsidTr="005F11BE">
        <w:trPr>
          <w:trHeight w:val="20"/>
        </w:trPr>
        <w:tc>
          <w:tcPr>
            <w:tcW w:w="2256" w:type="dxa"/>
            <w:shd w:val="clear" w:color="auto" w:fill="auto"/>
            <w:vAlign w:val="center"/>
            <w:hideMark/>
          </w:tcPr>
          <w:p w14:paraId="4868D3F2"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lang w:eastAsia="id-ID"/>
              </w:rPr>
              <w:t>RMSEA</w:t>
            </w:r>
          </w:p>
        </w:tc>
        <w:tc>
          <w:tcPr>
            <w:tcW w:w="2410" w:type="dxa"/>
            <w:shd w:val="clear" w:color="auto" w:fill="auto"/>
            <w:vAlign w:val="center"/>
            <w:hideMark/>
          </w:tcPr>
          <w:p w14:paraId="7897C93F" w14:textId="77777777" w:rsidR="00FA4508" w:rsidRPr="005F11BE" w:rsidRDefault="00FA4508" w:rsidP="00B0565E">
            <w:pPr>
              <w:pStyle w:val="BodyTextIndent"/>
              <w:spacing w:line="240" w:lineRule="auto"/>
              <w:ind w:firstLine="0"/>
              <w:jc w:val="center"/>
              <w:rPr>
                <w:rFonts w:asciiTheme="majorBidi" w:hAnsiTheme="majorBidi" w:cstheme="majorBidi"/>
                <w:sz w:val="20"/>
                <w:szCs w:val="20"/>
              </w:rPr>
            </w:pPr>
            <w:r w:rsidRPr="005F11BE">
              <w:rPr>
                <w:rFonts w:asciiTheme="majorBidi" w:hAnsiTheme="majorBidi" w:cstheme="majorBidi"/>
                <w:sz w:val="20"/>
                <w:szCs w:val="20"/>
                <w:lang w:val="id-ID"/>
              </w:rPr>
              <w:t>&lt; 0,0</w:t>
            </w:r>
            <w:r w:rsidRPr="005F11BE">
              <w:rPr>
                <w:rFonts w:asciiTheme="majorBidi" w:hAnsiTheme="majorBidi" w:cstheme="majorBidi"/>
                <w:sz w:val="20"/>
                <w:szCs w:val="20"/>
              </w:rPr>
              <w:t>8</w:t>
            </w:r>
          </w:p>
        </w:tc>
        <w:tc>
          <w:tcPr>
            <w:tcW w:w="2427" w:type="dxa"/>
            <w:shd w:val="clear" w:color="auto" w:fill="auto"/>
            <w:vAlign w:val="center"/>
            <w:hideMark/>
          </w:tcPr>
          <w:p w14:paraId="72106A06" w14:textId="77777777" w:rsidR="00FA4508" w:rsidRPr="005F11BE" w:rsidRDefault="00FA4508" w:rsidP="00B0565E">
            <w:pPr>
              <w:pStyle w:val="BodyTextIndent"/>
              <w:spacing w:line="240" w:lineRule="auto"/>
              <w:ind w:firstLine="0"/>
              <w:jc w:val="center"/>
              <w:rPr>
                <w:rFonts w:asciiTheme="majorBidi" w:hAnsiTheme="majorBidi" w:cstheme="majorBidi"/>
                <w:sz w:val="20"/>
                <w:szCs w:val="20"/>
              </w:rPr>
            </w:pPr>
            <w:r w:rsidRPr="005F11BE">
              <w:rPr>
                <w:rFonts w:asciiTheme="majorBidi" w:hAnsiTheme="majorBidi" w:cstheme="majorBidi"/>
                <w:sz w:val="20"/>
                <w:szCs w:val="20"/>
              </w:rPr>
              <w:t>0,036</w:t>
            </w:r>
          </w:p>
        </w:tc>
        <w:tc>
          <w:tcPr>
            <w:tcW w:w="2007" w:type="dxa"/>
            <w:shd w:val="clear" w:color="auto" w:fill="auto"/>
            <w:vAlign w:val="center"/>
            <w:hideMark/>
          </w:tcPr>
          <w:p w14:paraId="7AC056FF"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lang w:eastAsia="id-ID"/>
              </w:rPr>
              <w:t>Fit</w:t>
            </w:r>
          </w:p>
        </w:tc>
      </w:tr>
      <w:tr w:rsidR="00FA4508" w:rsidRPr="005F11BE" w14:paraId="148FD043" w14:textId="77777777" w:rsidTr="005F11BE">
        <w:trPr>
          <w:trHeight w:val="20"/>
        </w:trPr>
        <w:tc>
          <w:tcPr>
            <w:tcW w:w="2256" w:type="dxa"/>
            <w:shd w:val="clear" w:color="auto" w:fill="auto"/>
            <w:vAlign w:val="center"/>
            <w:hideMark/>
          </w:tcPr>
          <w:p w14:paraId="1F47C522"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lang w:eastAsia="id-ID"/>
              </w:rPr>
              <w:t>GFI</w:t>
            </w:r>
          </w:p>
        </w:tc>
        <w:tc>
          <w:tcPr>
            <w:tcW w:w="2410" w:type="dxa"/>
            <w:shd w:val="clear" w:color="auto" w:fill="auto"/>
            <w:vAlign w:val="center"/>
            <w:hideMark/>
          </w:tcPr>
          <w:p w14:paraId="1F62703C"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lang w:eastAsia="id-ID"/>
              </w:rPr>
              <w:t>&gt; 0.90</w:t>
            </w:r>
          </w:p>
        </w:tc>
        <w:tc>
          <w:tcPr>
            <w:tcW w:w="2427" w:type="dxa"/>
            <w:shd w:val="clear" w:color="auto" w:fill="auto"/>
            <w:vAlign w:val="center"/>
            <w:hideMark/>
          </w:tcPr>
          <w:p w14:paraId="1E788132"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rPr>
              <w:t>0.919</w:t>
            </w:r>
          </w:p>
        </w:tc>
        <w:tc>
          <w:tcPr>
            <w:tcW w:w="2007" w:type="dxa"/>
            <w:shd w:val="clear" w:color="auto" w:fill="auto"/>
            <w:hideMark/>
          </w:tcPr>
          <w:p w14:paraId="10011503"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lang w:eastAsia="id-ID"/>
              </w:rPr>
              <w:t>Fit</w:t>
            </w:r>
          </w:p>
        </w:tc>
      </w:tr>
      <w:tr w:rsidR="00FA4508" w:rsidRPr="005F11BE" w14:paraId="2F30ED48" w14:textId="77777777" w:rsidTr="005F11BE">
        <w:trPr>
          <w:trHeight w:val="20"/>
        </w:trPr>
        <w:tc>
          <w:tcPr>
            <w:tcW w:w="2256" w:type="dxa"/>
            <w:shd w:val="clear" w:color="auto" w:fill="auto"/>
            <w:vAlign w:val="center"/>
            <w:hideMark/>
          </w:tcPr>
          <w:p w14:paraId="6C354858"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lang w:eastAsia="id-ID"/>
              </w:rPr>
              <w:t>AGFI</w:t>
            </w:r>
          </w:p>
        </w:tc>
        <w:tc>
          <w:tcPr>
            <w:tcW w:w="2410" w:type="dxa"/>
            <w:shd w:val="clear" w:color="auto" w:fill="auto"/>
            <w:vAlign w:val="center"/>
            <w:hideMark/>
          </w:tcPr>
          <w:p w14:paraId="5325460A"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lang w:eastAsia="id-ID"/>
              </w:rPr>
              <w:t>&gt; 0.90</w:t>
            </w:r>
          </w:p>
        </w:tc>
        <w:tc>
          <w:tcPr>
            <w:tcW w:w="2427" w:type="dxa"/>
            <w:shd w:val="clear" w:color="auto" w:fill="auto"/>
            <w:vAlign w:val="center"/>
            <w:hideMark/>
          </w:tcPr>
          <w:p w14:paraId="57FCC107"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rPr>
              <w:t>0.903</w:t>
            </w:r>
          </w:p>
        </w:tc>
        <w:tc>
          <w:tcPr>
            <w:tcW w:w="2007" w:type="dxa"/>
            <w:shd w:val="clear" w:color="auto" w:fill="auto"/>
            <w:hideMark/>
          </w:tcPr>
          <w:p w14:paraId="168609C1"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lang w:eastAsia="id-ID"/>
              </w:rPr>
              <w:t>Fit</w:t>
            </w:r>
          </w:p>
        </w:tc>
      </w:tr>
      <w:tr w:rsidR="00FA4508" w:rsidRPr="005F11BE" w14:paraId="7CEC222F" w14:textId="77777777" w:rsidTr="005F11BE">
        <w:trPr>
          <w:trHeight w:val="20"/>
        </w:trPr>
        <w:tc>
          <w:tcPr>
            <w:tcW w:w="2256" w:type="dxa"/>
            <w:shd w:val="clear" w:color="auto" w:fill="auto"/>
            <w:vAlign w:val="center"/>
            <w:hideMark/>
          </w:tcPr>
          <w:p w14:paraId="030BB788"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iCs/>
                <w:lang w:eastAsia="id-ID"/>
              </w:rPr>
              <w:t>CMIN/DF</w:t>
            </w:r>
          </w:p>
        </w:tc>
        <w:tc>
          <w:tcPr>
            <w:tcW w:w="2410" w:type="dxa"/>
            <w:shd w:val="clear" w:color="auto" w:fill="auto"/>
            <w:vAlign w:val="center"/>
            <w:hideMark/>
          </w:tcPr>
          <w:p w14:paraId="738C7DBF"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lang w:eastAsia="id-ID"/>
              </w:rPr>
              <w:t>≤ 2</w:t>
            </w:r>
          </w:p>
        </w:tc>
        <w:tc>
          <w:tcPr>
            <w:tcW w:w="2427" w:type="dxa"/>
            <w:shd w:val="clear" w:color="auto" w:fill="auto"/>
            <w:vAlign w:val="center"/>
            <w:hideMark/>
          </w:tcPr>
          <w:p w14:paraId="6FC10212" w14:textId="77777777" w:rsidR="00FA4508" w:rsidRPr="005F11BE" w:rsidRDefault="00FA4508" w:rsidP="00B0565E">
            <w:pPr>
              <w:jc w:val="center"/>
              <w:rPr>
                <w:rFonts w:asciiTheme="majorBidi" w:hAnsiTheme="majorBidi" w:cstheme="majorBidi"/>
              </w:rPr>
            </w:pPr>
            <w:r w:rsidRPr="005F11BE">
              <w:rPr>
                <w:rFonts w:asciiTheme="majorBidi" w:hAnsiTheme="majorBidi" w:cstheme="majorBidi"/>
              </w:rPr>
              <w:t>1.530</w:t>
            </w:r>
          </w:p>
        </w:tc>
        <w:tc>
          <w:tcPr>
            <w:tcW w:w="2007" w:type="dxa"/>
            <w:shd w:val="clear" w:color="auto" w:fill="auto"/>
            <w:hideMark/>
          </w:tcPr>
          <w:p w14:paraId="5A795CDB"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lang w:eastAsia="id-ID"/>
              </w:rPr>
              <w:t>Fit</w:t>
            </w:r>
          </w:p>
        </w:tc>
      </w:tr>
      <w:tr w:rsidR="00FA4508" w:rsidRPr="005F11BE" w14:paraId="728EC95D" w14:textId="77777777" w:rsidTr="005F11BE">
        <w:trPr>
          <w:trHeight w:val="20"/>
        </w:trPr>
        <w:tc>
          <w:tcPr>
            <w:tcW w:w="2256" w:type="dxa"/>
            <w:shd w:val="clear" w:color="auto" w:fill="auto"/>
            <w:vAlign w:val="center"/>
            <w:hideMark/>
          </w:tcPr>
          <w:p w14:paraId="09E8631B"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lang w:eastAsia="id-ID"/>
              </w:rPr>
              <w:t>NFI</w:t>
            </w:r>
          </w:p>
        </w:tc>
        <w:tc>
          <w:tcPr>
            <w:tcW w:w="2410" w:type="dxa"/>
            <w:shd w:val="clear" w:color="auto" w:fill="auto"/>
            <w:vAlign w:val="center"/>
            <w:hideMark/>
          </w:tcPr>
          <w:p w14:paraId="332ECA5E"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lang w:eastAsia="id-ID"/>
              </w:rPr>
              <w:t>&gt; 0.90</w:t>
            </w:r>
          </w:p>
        </w:tc>
        <w:tc>
          <w:tcPr>
            <w:tcW w:w="2427" w:type="dxa"/>
            <w:shd w:val="clear" w:color="auto" w:fill="auto"/>
            <w:vAlign w:val="center"/>
            <w:hideMark/>
          </w:tcPr>
          <w:p w14:paraId="25163D89"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rPr>
              <w:t>0.972</w:t>
            </w:r>
          </w:p>
        </w:tc>
        <w:tc>
          <w:tcPr>
            <w:tcW w:w="2007" w:type="dxa"/>
            <w:shd w:val="clear" w:color="auto" w:fill="auto"/>
            <w:hideMark/>
          </w:tcPr>
          <w:p w14:paraId="61436BE3"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lang w:eastAsia="id-ID"/>
              </w:rPr>
              <w:t>Fit</w:t>
            </w:r>
          </w:p>
        </w:tc>
      </w:tr>
      <w:tr w:rsidR="00FA4508" w:rsidRPr="005F11BE" w14:paraId="316D4C3F" w14:textId="77777777" w:rsidTr="005F11BE">
        <w:trPr>
          <w:trHeight w:val="20"/>
        </w:trPr>
        <w:tc>
          <w:tcPr>
            <w:tcW w:w="2256" w:type="dxa"/>
            <w:shd w:val="clear" w:color="auto" w:fill="auto"/>
            <w:vAlign w:val="center"/>
            <w:hideMark/>
          </w:tcPr>
          <w:p w14:paraId="6ACFF62F"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lang w:eastAsia="id-ID"/>
              </w:rPr>
              <w:t>NNFI</w:t>
            </w:r>
          </w:p>
        </w:tc>
        <w:tc>
          <w:tcPr>
            <w:tcW w:w="2410" w:type="dxa"/>
            <w:shd w:val="clear" w:color="auto" w:fill="auto"/>
            <w:vAlign w:val="center"/>
            <w:hideMark/>
          </w:tcPr>
          <w:p w14:paraId="47245D96"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lang w:eastAsia="id-ID"/>
              </w:rPr>
              <w:t>&gt; 0.90</w:t>
            </w:r>
          </w:p>
        </w:tc>
        <w:tc>
          <w:tcPr>
            <w:tcW w:w="2427" w:type="dxa"/>
            <w:shd w:val="clear" w:color="auto" w:fill="auto"/>
            <w:vAlign w:val="center"/>
            <w:hideMark/>
          </w:tcPr>
          <w:p w14:paraId="59272EB7"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rPr>
              <w:t>0.989</w:t>
            </w:r>
          </w:p>
        </w:tc>
        <w:tc>
          <w:tcPr>
            <w:tcW w:w="2007" w:type="dxa"/>
            <w:shd w:val="clear" w:color="auto" w:fill="auto"/>
            <w:hideMark/>
          </w:tcPr>
          <w:p w14:paraId="4F37F98C"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lang w:eastAsia="id-ID"/>
              </w:rPr>
              <w:t>Fit</w:t>
            </w:r>
          </w:p>
        </w:tc>
      </w:tr>
      <w:tr w:rsidR="00FA4508" w:rsidRPr="005F11BE" w14:paraId="09ED4649" w14:textId="77777777" w:rsidTr="005F11BE">
        <w:trPr>
          <w:trHeight w:val="20"/>
        </w:trPr>
        <w:tc>
          <w:tcPr>
            <w:tcW w:w="2256" w:type="dxa"/>
            <w:shd w:val="clear" w:color="auto" w:fill="auto"/>
            <w:vAlign w:val="center"/>
            <w:hideMark/>
          </w:tcPr>
          <w:p w14:paraId="4912E54D" w14:textId="77777777" w:rsidR="00FA4508" w:rsidRPr="005F11BE" w:rsidRDefault="00FA4508" w:rsidP="00B0565E">
            <w:pPr>
              <w:jc w:val="center"/>
              <w:rPr>
                <w:rFonts w:asciiTheme="majorBidi" w:hAnsiTheme="majorBidi" w:cstheme="majorBidi"/>
              </w:rPr>
            </w:pPr>
            <w:r w:rsidRPr="005F11BE">
              <w:rPr>
                <w:rFonts w:asciiTheme="majorBidi" w:hAnsiTheme="majorBidi" w:cstheme="majorBidi"/>
              </w:rPr>
              <w:t>IFI</w:t>
            </w:r>
          </w:p>
        </w:tc>
        <w:tc>
          <w:tcPr>
            <w:tcW w:w="2410" w:type="dxa"/>
            <w:shd w:val="clear" w:color="auto" w:fill="auto"/>
            <w:vAlign w:val="center"/>
            <w:hideMark/>
          </w:tcPr>
          <w:p w14:paraId="74F3A1B2" w14:textId="77777777" w:rsidR="00FA4508" w:rsidRPr="005F11BE" w:rsidRDefault="00FA4508" w:rsidP="00B0565E">
            <w:pPr>
              <w:jc w:val="center"/>
              <w:rPr>
                <w:rFonts w:asciiTheme="majorBidi" w:hAnsiTheme="majorBidi" w:cstheme="majorBidi"/>
              </w:rPr>
            </w:pPr>
            <w:r w:rsidRPr="005F11BE">
              <w:rPr>
                <w:rFonts w:asciiTheme="majorBidi" w:hAnsiTheme="majorBidi" w:cstheme="majorBidi"/>
                <w:lang w:eastAsia="id-ID"/>
              </w:rPr>
              <w:t>&gt; 0.90</w:t>
            </w:r>
          </w:p>
        </w:tc>
        <w:tc>
          <w:tcPr>
            <w:tcW w:w="2427" w:type="dxa"/>
            <w:shd w:val="clear" w:color="auto" w:fill="auto"/>
            <w:vAlign w:val="center"/>
            <w:hideMark/>
          </w:tcPr>
          <w:p w14:paraId="418F2AFE" w14:textId="77777777" w:rsidR="00FA4508" w:rsidRPr="005F11BE" w:rsidRDefault="00FA4508" w:rsidP="00B0565E">
            <w:pPr>
              <w:jc w:val="center"/>
              <w:rPr>
                <w:rFonts w:asciiTheme="majorBidi" w:hAnsiTheme="majorBidi" w:cstheme="majorBidi"/>
              </w:rPr>
            </w:pPr>
            <w:r w:rsidRPr="005F11BE">
              <w:rPr>
                <w:rFonts w:asciiTheme="majorBidi" w:hAnsiTheme="majorBidi" w:cstheme="majorBidi"/>
              </w:rPr>
              <w:t>0.990</w:t>
            </w:r>
          </w:p>
        </w:tc>
        <w:tc>
          <w:tcPr>
            <w:tcW w:w="2007" w:type="dxa"/>
            <w:shd w:val="clear" w:color="auto" w:fill="auto"/>
            <w:hideMark/>
          </w:tcPr>
          <w:p w14:paraId="2C711988"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lang w:eastAsia="id-ID"/>
              </w:rPr>
              <w:t>Fit</w:t>
            </w:r>
          </w:p>
        </w:tc>
      </w:tr>
      <w:tr w:rsidR="00FA4508" w:rsidRPr="005F11BE" w14:paraId="41AEC0C6" w14:textId="77777777" w:rsidTr="005F11BE">
        <w:trPr>
          <w:trHeight w:val="20"/>
        </w:trPr>
        <w:tc>
          <w:tcPr>
            <w:tcW w:w="2256" w:type="dxa"/>
            <w:shd w:val="clear" w:color="auto" w:fill="auto"/>
            <w:vAlign w:val="center"/>
            <w:hideMark/>
          </w:tcPr>
          <w:p w14:paraId="6EAE03C2" w14:textId="77777777" w:rsidR="00FA4508" w:rsidRPr="005F11BE" w:rsidRDefault="00FA4508" w:rsidP="00B0565E">
            <w:pPr>
              <w:jc w:val="center"/>
              <w:rPr>
                <w:rFonts w:asciiTheme="majorBidi" w:hAnsiTheme="majorBidi" w:cstheme="majorBidi"/>
              </w:rPr>
            </w:pPr>
            <w:r w:rsidRPr="005F11BE">
              <w:rPr>
                <w:rFonts w:asciiTheme="majorBidi" w:hAnsiTheme="majorBidi" w:cstheme="majorBidi"/>
              </w:rPr>
              <w:t>RFI</w:t>
            </w:r>
          </w:p>
        </w:tc>
        <w:tc>
          <w:tcPr>
            <w:tcW w:w="2410" w:type="dxa"/>
            <w:shd w:val="clear" w:color="auto" w:fill="auto"/>
            <w:vAlign w:val="center"/>
            <w:hideMark/>
          </w:tcPr>
          <w:p w14:paraId="24D30DE2" w14:textId="77777777" w:rsidR="00FA4508" w:rsidRPr="005F11BE" w:rsidRDefault="00FA4508" w:rsidP="00B0565E">
            <w:pPr>
              <w:jc w:val="center"/>
              <w:rPr>
                <w:rFonts w:asciiTheme="majorBidi" w:hAnsiTheme="majorBidi" w:cstheme="majorBidi"/>
              </w:rPr>
            </w:pPr>
            <w:r w:rsidRPr="005F11BE">
              <w:rPr>
                <w:rFonts w:asciiTheme="majorBidi" w:hAnsiTheme="majorBidi" w:cstheme="majorBidi"/>
                <w:lang w:eastAsia="id-ID"/>
              </w:rPr>
              <w:t>&gt; 0.90</w:t>
            </w:r>
          </w:p>
        </w:tc>
        <w:tc>
          <w:tcPr>
            <w:tcW w:w="2427" w:type="dxa"/>
            <w:shd w:val="clear" w:color="auto" w:fill="auto"/>
            <w:vAlign w:val="center"/>
            <w:hideMark/>
          </w:tcPr>
          <w:p w14:paraId="4FC859DD" w14:textId="77777777" w:rsidR="00FA4508" w:rsidRPr="005F11BE" w:rsidRDefault="00FA4508" w:rsidP="00B0565E">
            <w:pPr>
              <w:jc w:val="center"/>
              <w:rPr>
                <w:rFonts w:asciiTheme="majorBidi" w:hAnsiTheme="majorBidi" w:cstheme="majorBidi"/>
              </w:rPr>
            </w:pPr>
            <w:r w:rsidRPr="005F11BE">
              <w:rPr>
                <w:rFonts w:asciiTheme="majorBidi" w:hAnsiTheme="majorBidi" w:cstheme="majorBidi"/>
              </w:rPr>
              <w:t>0.968</w:t>
            </w:r>
          </w:p>
        </w:tc>
        <w:tc>
          <w:tcPr>
            <w:tcW w:w="2007" w:type="dxa"/>
            <w:shd w:val="clear" w:color="auto" w:fill="auto"/>
            <w:hideMark/>
          </w:tcPr>
          <w:p w14:paraId="542C470E"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lang w:eastAsia="id-ID"/>
              </w:rPr>
              <w:t>Fit</w:t>
            </w:r>
          </w:p>
        </w:tc>
      </w:tr>
      <w:tr w:rsidR="00FA4508" w:rsidRPr="005F11BE" w14:paraId="02DFC3DD" w14:textId="77777777" w:rsidTr="005F11BE">
        <w:trPr>
          <w:trHeight w:val="20"/>
        </w:trPr>
        <w:tc>
          <w:tcPr>
            <w:tcW w:w="2256" w:type="dxa"/>
            <w:shd w:val="clear" w:color="auto" w:fill="auto"/>
            <w:vAlign w:val="center"/>
            <w:hideMark/>
          </w:tcPr>
          <w:p w14:paraId="682639DA"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lang w:eastAsia="id-ID"/>
              </w:rPr>
              <w:t>CFI</w:t>
            </w:r>
          </w:p>
        </w:tc>
        <w:tc>
          <w:tcPr>
            <w:tcW w:w="2410" w:type="dxa"/>
            <w:shd w:val="clear" w:color="auto" w:fill="auto"/>
            <w:vAlign w:val="center"/>
            <w:hideMark/>
          </w:tcPr>
          <w:p w14:paraId="1D865CCE"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lang w:eastAsia="id-ID"/>
              </w:rPr>
              <w:t>&gt; 0.90</w:t>
            </w:r>
          </w:p>
        </w:tc>
        <w:tc>
          <w:tcPr>
            <w:tcW w:w="2427" w:type="dxa"/>
            <w:shd w:val="clear" w:color="auto" w:fill="auto"/>
            <w:vAlign w:val="center"/>
            <w:hideMark/>
          </w:tcPr>
          <w:p w14:paraId="46A300EF"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rPr>
              <w:t>0.990</w:t>
            </w:r>
          </w:p>
        </w:tc>
        <w:tc>
          <w:tcPr>
            <w:tcW w:w="2007" w:type="dxa"/>
            <w:shd w:val="clear" w:color="auto" w:fill="auto"/>
            <w:hideMark/>
          </w:tcPr>
          <w:p w14:paraId="7667B034"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lang w:eastAsia="id-ID"/>
              </w:rPr>
              <w:t>Fit</w:t>
            </w:r>
          </w:p>
        </w:tc>
      </w:tr>
      <w:tr w:rsidR="00FA4508" w:rsidRPr="005F11BE" w14:paraId="6B5F5AB5" w14:textId="77777777" w:rsidTr="005F11BE">
        <w:trPr>
          <w:trHeight w:val="20"/>
        </w:trPr>
        <w:tc>
          <w:tcPr>
            <w:tcW w:w="2256" w:type="dxa"/>
            <w:shd w:val="clear" w:color="auto" w:fill="auto"/>
            <w:vAlign w:val="center"/>
            <w:hideMark/>
          </w:tcPr>
          <w:p w14:paraId="5D69AA42" w14:textId="77777777" w:rsidR="00FA4508" w:rsidRPr="005F11BE" w:rsidRDefault="00FA4508" w:rsidP="00B0565E">
            <w:pPr>
              <w:autoSpaceDE w:val="0"/>
              <w:autoSpaceDN w:val="0"/>
              <w:adjustRightInd w:val="0"/>
              <w:jc w:val="center"/>
              <w:rPr>
                <w:rFonts w:asciiTheme="majorBidi" w:hAnsiTheme="majorBidi" w:cstheme="majorBidi"/>
                <w:iCs/>
                <w:lang w:eastAsia="id-ID"/>
              </w:rPr>
            </w:pPr>
            <w:r w:rsidRPr="005F11BE">
              <w:rPr>
                <w:rFonts w:asciiTheme="majorBidi" w:hAnsiTheme="majorBidi" w:cstheme="majorBidi"/>
                <w:iCs/>
                <w:lang w:eastAsia="id-ID"/>
              </w:rPr>
              <w:t>RMR</w:t>
            </w:r>
          </w:p>
        </w:tc>
        <w:tc>
          <w:tcPr>
            <w:tcW w:w="2410" w:type="dxa"/>
            <w:shd w:val="clear" w:color="auto" w:fill="auto"/>
            <w:vAlign w:val="center"/>
            <w:hideMark/>
          </w:tcPr>
          <w:p w14:paraId="39B58FEE"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lang w:eastAsia="id-ID"/>
              </w:rPr>
              <w:t>&lt; 0.08</w:t>
            </w:r>
          </w:p>
        </w:tc>
        <w:tc>
          <w:tcPr>
            <w:tcW w:w="2427" w:type="dxa"/>
            <w:shd w:val="clear" w:color="auto" w:fill="auto"/>
            <w:vAlign w:val="center"/>
            <w:hideMark/>
          </w:tcPr>
          <w:p w14:paraId="055F61CD"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rPr>
              <w:t>0.501</w:t>
            </w:r>
          </w:p>
        </w:tc>
        <w:tc>
          <w:tcPr>
            <w:tcW w:w="2007" w:type="dxa"/>
            <w:shd w:val="clear" w:color="auto" w:fill="auto"/>
            <w:hideMark/>
          </w:tcPr>
          <w:p w14:paraId="37379BC3"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lang w:eastAsia="id-ID"/>
              </w:rPr>
              <w:t>Fit</w:t>
            </w:r>
          </w:p>
        </w:tc>
      </w:tr>
      <w:tr w:rsidR="00FA4508" w:rsidRPr="005F11BE" w14:paraId="18CF2D12" w14:textId="77777777" w:rsidTr="005F11BE">
        <w:trPr>
          <w:trHeight w:val="20"/>
        </w:trPr>
        <w:tc>
          <w:tcPr>
            <w:tcW w:w="2256" w:type="dxa"/>
            <w:shd w:val="clear" w:color="auto" w:fill="auto"/>
            <w:vAlign w:val="center"/>
            <w:hideMark/>
          </w:tcPr>
          <w:p w14:paraId="4427CDE9" w14:textId="77777777" w:rsidR="00FA4508" w:rsidRPr="005F11BE" w:rsidRDefault="00FA4508" w:rsidP="00B0565E">
            <w:pPr>
              <w:autoSpaceDE w:val="0"/>
              <w:autoSpaceDN w:val="0"/>
              <w:adjustRightInd w:val="0"/>
              <w:jc w:val="center"/>
              <w:rPr>
                <w:rFonts w:asciiTheme="majorBidi" w:hAnsiTheme="majorBidi" w:cstheme="majorBidi"/>
                <w:iCs/>
                <w:lang w:eastAsia="id-ID"/>
              </w:rPr>
            </w:pPr>
            <w:r w:rsidRPr="005F11BE">
              <w:rPr>
                <w:rFonts w:asciiTheme="majorBidi" w:hAnsiTheme="majorBidi" w:cstheme="majorBidi"/>
                <w:iCs/>
                <w:lang w:eastAsia="id-ID"/>
              </w:rPr>
              <w:t>SRMR</w:t>
            </w:r>
          </w:p>
        </w:tc>
        <w:tc>
          <w:tcPr>
            <w:tcW w:w="2410" w:type="dxa"/>
            <w:shd w:val="clear" w:color="auto" w:fill="auto"/>
            <w:vAlign w:val="center"/>
            <w:hideMark/>
          </w:tcPr>
          <w:p w14:paraId="46133CBC"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lang w:eastAsia="id-ID"/>
              </w:rPr>
              <w:t>&lt; 0.08</w:t>
            </w:r>
          </w:p>
        </w:tc>
        <w:tc>
          <w:tcPr>
            <w:tcW w:w="2427" w:type="dxa"/>
            <w:shd w:val="clear" w:color="auto" w:fill="auto"/>
            <w:vAlign w:val="center"/>
            <w:hideMark/>
          </w:tcPr>
          <w:p w14:paraId="6B0DD102"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rPr>
              <w:t>0.043</w:t>
            </w:r>
          </w:p>
        </w:tc>
        <w:tc>
          <w:tcPr>
            <w:tcW w:w="2007" w:type="dxa"/>
            <w:shd w:val="clear" w:color="auto" w:fill="auto"/>
            <w:hideMark/>
          </w:tcPr>
          <w:p w14:paraId="0C183C54" w14:textId="77777777" w:rsidR="00FA4508" w:rsidRPr="005F11BE" w:rsidRDefault="00FA4508" w:rsidP="00B0565E">
            <w:pPr>
              <w:autoSpaceDE w:val="0"/>
              <w:autoSpaceDN w:val="0"/>
              <w:adjustRightInd w:val="0"/>
              <w:jc w:val="center"/>
              <w:rPr>
                <w:rFonts w:asciiTheme="majorBidi" w:hAnsiTheme="majorBidi" w:cstheme="majorBidi"/>
                <w:lang w:eastAsia="id-ID"/>
              </w:rPr>
            </w:pPr>
            <w:r w:rsidRPr="005F11BE">
              <w:rPr>
                <w:rFonts w:asciiTheme="majorBidi" w:hAnsiTheme="majorBidi" w:cstheme="majorBidi"/>
                <w:lang w:eastAsia="id-ID"/>
              </w:rPr>
              <w:t>Fit</w:t>
            </w:r>
          </w:p>
        </w:tc>
      </w:tr>
    </w:tbl>
    <w:p w14:paraId="4229B77F" w14:textId="623A1160" w:rsidR="00D2209F" w:rsidRDefault="005F11BE" w:rsidP="005F11BE">
      <w:pPr>
        <w:widowControl/>
        <w:jc w:val="center"/>
        <w:rPr>
          <w:rFonts w:asciiTheme="majorBidi" w:eastAsia="Calibri" w:hAnsiTheme="majorBidi" w:cstheme="majorBidi"/>
          <w:lang w:val="en-ID" w:eastAsia="en-ID"/>
        </w:rPr>
      </w:pPr>
      <w:r>
        <w:rPr>
          <w:rFonts w:asciiTheme="majorBidi" w:eastAsia="Calibri" w:hAnsiTheme="majorBidi" w:cstheme="majorBidi"/>
          <w:lang w:val="en-ID" w:eastAsia="en-ID"/>
        </w:rPr>
        <w:t xml:space="preserve">Source: Output </w:t>
      </w:r>
      <w:proofErr w:type="spellStart"/>
      <w:r>
        <w:rPr>
          <w:rFonts w:asciiTheme="majorBidi" w:eastAsia="Calibri" w:hAnsiTheme="majorBidi" w:cstheme="majorBidi"/>
          <w:lang w:val="en-ID" w:eastAsia="en-ID"/>
        </w:rPr>
        <w:t>Lisrel</w:t>
      </w:r>
      <w:proofErr w:type="spellEnd"/>
      <w:r>
        <w:rPr>
          <w:rFonts w:asciiTheme="majorBidi" w:eastAsia="Calibri" w:hAnsiTheme="majorBidi" w:cstheme="majorBidi"/>
          <w:lang w:val="en-ID" w:eastAsia="en-ID"/>
        </w:rPr>
        <w:t xml:space="preserve"> (2024)</w:t>
      </w:r>
    </w:p>
    <w:p w14:paraId="68B96DFC" w14:textId="77777777" w:rsidR="005F11BE" w:rsidRPr="005F11BE" w:rsidRDefault="005F11BE" w:rsidP="005F11BE">
      <w:pPr>
        <w:widowControl/>
      </w:pPr>
    </w:p>
    <w:p w14:paraId="5292E142" w14:textId="34513A94" w:rsidR="009A7F8F" w:rsidRPr="00835F5C" w:rsidRDefault="009A7F8F" w:rsidP="005F11BE">
      <w:pPr>
        <w:widowControl/>
        <w:ind w:firstLine="426"/>
        <w:jc w:val="both"/>
        <w:rPr>
          <w:rFonts w:asciiTheme="majorBidi" w:hAnsiTheme="majorBidi" w:cstheme="majorBidi"/>
        </w:rPr>
      </w:pPr>
      <w:r w:rsidRPr="00835F5C">
        <w:rPr>
          <w:rFonts w:asciiTheme="majorBidi" w:hAnsiTheme="majorBidi" w:cstheme="majorBidi"/>
        </w:rPr>
        <w:t>The goodness of fit test results indicate that the overall model is fit. Although the chi-square value is greater than the table value with a significance level of &lt; 0.05, other fit indices such as CMIN/DF &lt; 2, GFI &gt; 0.9, NFI &gt; 0.9, and RMSEA &lt; 0.08 demonstrate a good model fit</w:t>
      </w:r>
      <w:r w:rsidR="00661D4F">
        <w:rPr>
          <w:rFonts w:asciiTheme="majorBidi" w:hAnsiTheme="majorBidi" w:cstheme="majorBidi"/>
        </w:rPr>
        <w:t xml:space="preserve"> </w:t>
      </w:r>
      <w:r w:rsidR="00833982">
        <w:rPr>
          <w:rFonts w:asciiTheme="majorBidi" w:hAnsiTheme="majorBidi" w:cstheme="majorBidi"/>
        </w:rPr>
        <w:t>(</w:t>
      </w:r>
      <w:r w:rsidR="00661D4F">
        <w:rPr>
          <w:rFonts w:asciiTheme="majorBidi" w:hAnsiTheme="majorBidi" w:cstheme="majorBidi"/>
        </w:rPr>
        <w:fldChar w:fldCharType="begin" w:fldLock="1"/>
      </w:r>
      <w:r w:rsidR="00E9004A">
        <w:rPr>
          <w:rFonts w:asciiTheme="majorBidi" w:hAnsiTheme="majorBidi" w:cstheme="majorBidi"/>
        </w:rPr>
        <w:instrText>ADDIN CSL_CITATION {"citationItems":[{"id":"ITEM-1","itemData":{"DOI":"10.29408/jpek.v5i2.4842","abstract":"The aims of this study were to: analyze the influence of entrepreneurial knowledge on entrepreneurial interest in cross-study entrepreneurship program students, analyze the effect of knowladge entrepreneurship for attitude in cross-study entrepreneurship program students,  and analyze the influence of attitudes on entrepreneurial interest in cross-study entrepreneurship program students. This research was a quantitative approach with descriptive research type. The subjects of this study were 101 students who had finished taking entrepreneurship courses across study programs. Techniques of collection data were carried out by interviewing and distributing questionnaires. The analyzed of data was used quantitative descriptive analysis techniques. The tool of analiticall used was SEM (structural equation modeling) with AMOSS software programs. The results of this study were indicated: knowledge of entrepreneurship has a positive effect on interest in entrepreneurship in cross-study entrepreneurship program students, those were indicated by the value of the standardized regression weight coefficient obtained by 0.521 and the C.R value of 4.331 with a probability value of 0.000 (p 0.05), knowledge of entrepreneurship has a positive effect on attitude in cross-study entrepreneurship program students, those were indicated by the value of the standardized regression weight coefficient obtained by 0,464 and the C.R value of 3,834 with a probability value of 0.000 (p 0.05), and attitudes has a positive effect on interest in entrepreneurship in cross-study entrepreneurship program students. Those were indicated by the value of the standardized regression weight coefficient obtained by 0.333 and the C.R value of 2.517 with a probability value of 0.012 (p 0.05)","author":[{"dropping-particle":"","family":"Ali","given":"Muhamad","non-dropping-particle":"","parse-names":false,"suffix":""}],"container-title":"JPEK (Jurnal Pendidikan Ekonomi dan Kewirausahaan)","id":"ITEM-1","issue":"2","issued":{"date-parts":[["2021"]]},"page":"365-375","title":"Pengaruh Pengetahuan Dan Sikap Terhadap Minat Berwirausaha Pada Mahasiswa Program Kewirausahaan Lintas Prodi","type":"article-journal","volume":"5"},"uris":["http://www.mendeley.com/documents/?uuid=bf37fd17-9b2a-4f2d-9b6f-cd3b0ce50c1c"]}],"mendeley":{"formattedCitation":"(Ali, 2021)","manualFormatting":"Ghozali dalam Ali, 2021)","plainTextFormattedCitation":"(Ali, 2021)","previouslyFormattedCitation":"(Ali, 2021)"},"properties":{"noteIndex":0},"schema":"https://github.com/citation-style-language/schema/raw/master/csl-citation.json"}</w:instrText>
      </w:r>
      <w:r w:rsidR="00661D4F">
        <w:rPr>
          <w:rFonts w:asciiTheme="majorBidi" w:hAnsiTheme="majorBidi" w:cstheme="majorBidi"/>
        </w:rPr>
        <w:fldChar w:fldCharType="separate"/>
      </w:r>
      <w:r w:rsidR="00661D4F">
        <w:rPr>
          <w:rFonts w:asciiTheme="majorBidi" w:hAnsiTheme="majorBidi" w:cstheme="majorBidi"/>
          <w:noProof/>
        </w:rPr>
        <w:t xml:space="preserve">Ghozali dalam </w:t>
      </w:r>
      <w:r w:rsidR="00661D4F" w:rsidRPr="00661D4F">
        <w:rPr>
          <w:rFonts w:asciiTheme="majorBidi" w:hAnsiTheme="majorBidi" w:cstheme="majorBidi"/>
          <w:noProof/>
        </w:rPr>
        <w:t>Ali</w:t>
      </w:r>
      <w:r w:rsidR="00833982">
        <w:rPr>
          <w:rFonts w:asciiTheme="majorBidi" w:hAnsiTheme="majorBidi" w:cstheme="majorBidi"/>
          <w:noProof/>
        </w:rPr>
        <w:t xml:space="preserve">, </w:t>
      </w:r>
      <w:r w:rsidR="00661D4F" w:rsidRPr="00661D4F">
        <w:rPr>
          <w:rFonts w:asciiTheme="majorBidi" w:hAnsiTheme="majorBidi" w:cstheme="majorBidi"/>
          <w:noProof/>
        </w:rPr>
        <w:t>2021)</w:t>
      </w:r>
      <w:r w:rsidR="00661D4F">
        <w:rPr>
          <w:rFonts w:asciiTheme="majorBidi" w:hAnsiTheme="majorBidi" w:cstheme="majorBidi"/>
        </w:rPr>
        <w:fldChar w:fldCharType="end"/>
      </w:r>
      <w:r w:rsidR="00661D4F">
        <w:rPr>
          <w:rFonts w:asciiTheme="majorBidi" w:hAnsiTheme="majorBidi" w:cstheme="majorBidi"/>
        </w:rPr>
        <w:t xml:space="preserve">. </w:t>
      </w:r>
      <w:r w:rsidRPr="00835F5C">
        <w:rPr>
          <w:rFonts w:asciiTheme="majorBidi" w:hAnsiTheme="majorBidi" w:cstheme="majorBidi"/>
        </w:rPr>
        <w:t xml:space="preserve">RMSEA, as the primary indicator of good fit, has a value of 0.036 &lt; 0.08, supporting the conclusion that the tested structural model aligns with expectations and exhibits a good fit </w:t>
      </w:r>
      <w:r w:rsidR="00E9004A">
        <w:rPr>
          <w:rFonts w:asciiTheme="majorBidi" w:hAnsiTheme="majorBidi" w:cstheme="majorBidi"/>
        </w:rPr>
        <w:fldChar w:fldCharType="begin" w:fldLock="1"/>
      </w:r>
      <w:r w:rsidR="00E9004A">
        <w:rPr>
          <w:rFonts w:asciiTheme="majorBidi" w:hAnsiTheme="majorBidi" w:cstheme="majorBidi"/>
        </w:rPr>
        <w:instrText>ADDIN CSL_CITATION {"citationItems":[{"id":"ITEM-1","itemData":{"DOI":"10.1111/jan.14399","ISSN":"13652648","PMID":"32323338","author":[{"dropping-particle":"","family":"Alavi","given":"Mousa","non-dropping-particle":"","parse-names":false,"suffix":""},{"dropping-particle":"","family":"Visentin","given":"Denis C.","non-dropping-particle":"","parse-names":false,"suffix":""},{"dropping-particle":"","family":"Thapa","given":"Deependra K.","non-dropping-particle":"","parse-names":false,"suffix":""},{"dropping-particle":"","family":"Hunt","given":"Glenn E.","non-dropping-particle":"","parse-names":false,"suffix":""},{"dropping-particle":"","family":"Watson","given":"Roger","non-dropping-particle":"","parse-names":false,"suffix":""},{"dropping-particle":"","family":"Cleary","given":"Michelle","non-dropping-particle":"","parse-names":false,"suffix":""}],"container-title":"Journal of Advanced Nursing","id":"ITEM-1","issue":"9","issued":{"date-parts":[["2020"]]},"page":"2209-2211","title":"Chi-square for model fit in confirmatory factor analysis","type":"article-journal","volume":"76"},"uris":["http://www.mendeley.com/documents/?uuid=7c036a23-3c2f-4ab9-9669-552f5cbfa6d2"]},{"id":"ITEM-2","itemData":{"DOI":"10.3233/978-1-61499-538-8-3","ISBN":"9781614995371","ISSN":"18798365","PMID":"26152937","abstract":"In this contribution the principles behind Structural Equation Modeling (SEM) are presented. SEM is used for assessing the quality of models that are proposed on the basis of theory and experience. This contribution has an introductory level.","author":[{"dropping-particle":"","family":"Hox","given":"J.J.","non-dropping-particle":"","parse-names":false,"suffix":""},{"dropping-particle":"","family":"Bechger","given":"T.M.","non-dropping-particle":"","parse-names":false,"suffix":""}],"container-title":"Studies in Health Technology and Informatics","id":"ITEM-2","issued":{"date-parts":[["2015"]]},"page":"3-6","title":"An introduction to structural equation modeling","type":"article-journal","volume":"213"},"uris":["http://www.mendeley.com/documents/?uuid=a7e4107e-8840-4152-ac90-5e1fc7417ce1"]}],"mendeley":{"formattedCitation":"(Alavi et al., 2020; Hox &amp; Bechger, 2015)","plainTextFormattedCitation":"(Alavi et al., 2020; Hox &amp; Bechger, 2015)","previouslyFormattedCitation":"(Alavi et al., 2020; Hox &amp; Bechger, 2015)"},"properties":{"noteIndex":0},"schema":"https://github.com/citation-style-language/schema/raw/master/csl-citation.json"}</w:instrText>
      </w:r>
      <w:r w:rsidR="00E9004A">
        <w:rPr>
          <w:rFonts w:asciiTheme="majorBidi" w:hAnsiTheme="majorBidi" w:cstheme="majorBidi"/>
        </w:rPr>
        <w:fldChar w:fldCharType="separate"/>
      </w:r>
      <w:r w:rsidR="00E9004A" w:rsidRPr="00E9004A">
        <w:rPr>
          <w:rFonts w:asciiTheme="majorBidi" w:hAnsiTheme="majorBidi" w:cstheme="majorBidi"/>
          <w:noProof/>
        </w:rPr>
        <w:t>(Alavi et al., 2020; Hox &amp; Bechger, 2015)</w:t>
      </w:r>
      <w:r w:rsidR="00E9004A">
        <w:rPr>
          <w:rFonts w:asciiTheme="majorBidi" w:hAnsiTheme="majorBidi" w:cstheme="majorBidi"/>
        </w:rPr>
        <w:fldChar w:fldCharType="end"/>
      </w:r>
      <w:r w:rsidR="00E9004A">
        <w:rPr>
          <w:rFonts w:asciiTheme="majorBidi" w:hAnsiTheme="majorBidi" w:cstheme="majorBidi"/>
        </w:rPr>
        <w:t>.</w:t>
      </w:r>
    </w:p>
    <w:p w14:paraId="54D069CB" w14:textId="6D8C5303" w:rsidR="00A403AA" w:rsidRPr="009B7D1B" w:rsidRDefault="00A403AA" w:rsidP="009B7D1B">
      <w:pPr>
        <w:pStyle w:val="Els-1storder-head"/>
        <w:numPr>
          <w:ilvl w:val="0"/>
          <w:numId w:val="3"/>
        </w:numPr>
        <w:rPr>
          <w:sz w:val="24"/>
          <w:szCs w:val="24"/>
          <w:lang w:val="id-ID"/>
        </w:rPr>
      </w:pPr>
      <w:r w:rsidRPr="009B7D1B">
        <w:rPr>
          <w:sz w:val="24"/>
          <w:szCs w:val="24"/>
        </w:rPr>
        <w:t>Discussion</w:t>
      </w:r>
    </w:p>
    <w:p w14:paraId="3492FCD1" w14:textId="6FC3014B" w:rsidR="005668B1" w:rsidRPr="007F5B19" w:rsidRDefault="005668B1" w:rsidP="005668B1">
      <w:pPr>
        <w:pStyle w:val="Els-body-text"/>
        <w:rPr>
          <w:rStyle w:val="tlid-translation"/>
          <w:rFonts w:ascii="Times New Roman" w:hAnsi="Times New Roman"/>
          <w:sz w:val="22"/>
          <w:szCs w:val="22"/>
          <w:lang w:val="en"/>
        </w:rPr>
      </w:pPr>
      <w:r w:rsidRPr="007F5B19">
        <w:rPr>
          <w:rStyle w:val="tlid-translation"/>
          <w:rFonts w:ascii="Times New Roman" w:hAnsi="Times New Roman"/>
          <w:sz w:val="22"/>
          <w:szCs w:val="22"/>
          <w:lang w:val="en"/>
        </w:rPr>
        <w:t xml:space="preserve">Hypothesis 1 is accepted, demonstrating that, green marketing (X1), green perceived value (X2) and environment concern (X3) </w:t>
      </w:r>
      <w:proofErr w:type="spellStart"/>
      <w:r w:rsidRPr="007F5B19">
        <w:rPr>
          <w:rStyle w:val="tlid-translation"/>
          <w:rFonts w:ascii="Times New Roman" w:hAnsi="Times New Roman"/>
          <w:sz w:val="22"/>
          <w:szCs w:val="22"/>
          <w:lang w:val="en"/>
        </w:rPr>
        <w:t>simultaniously</w:t>
      </w:r>
      <w:proofErr w:type="spellEnd"/>
      <w:r w:rsidRPr="007F5B19">
        <w:rPr>
          <w:rStyle w:val="tlid-translation"/>
          <w:rFonts w:ascii="Times New Roman" w:hAnsi="Times New Roman"/>
          <w:sz w:val="22"/>
          <w:szCs w:val="22"/>
          <w:lang w:val="en"/>
        </w:rPr>
        <w:t xml:space="preserve"> and significantly influence green satisfaction (Y). This finding aligns with previous studies by </w:t>
      </w:r>
      <w:r w:rsidR="005251DC">
        <w:rPr>
          <w:rStyle w:val="tlid-translation"/>
          <w:rFonts w:ascii="Times New Roman" w:hAnsi="Times New Roman"/>
          <w:sz w:val="22"/>
          <w:szCs w:val="22"/>
          <w:lang w:val="en"/>
        </w:rPr>
        <w:fldChar w:fldCharType="begin" w:fldLock="1"/>
      </w:r>
      <w:r w:rsidR="005251DC">
        <w:rPr>
          <w:rStyle w:val="tlid-translation"/>
          <w:rFonts w:ascii="Times New Roman" w:hAnsi="Times New Roman"/>
          <w:sz w:val="22"/>
          <w:szCs w:val="22"/>
          <w:lang w:val="en"/>
        </w:rPr>
        <w:instrText>ADDIN CSL_CITATION {"citationItems":[{"id":"ITEM-1","itemData":{"abstract":"See, stats, and : https : / / www . researchgate . net / publication / 268502673 The satisfaction Conference CITATIONS 9 READS 5 , 886 2 , including : Dr . Rashad London 268 SEE All - text , letting . Available : Dr . Rashad Retrieved : 25 Abstract . Green revolution , going green , environmental protection , sustainable life style , sustainable development , protecting our earth and many more have become a natural phenomenon in our everyday life . Green marketing is a tool used by many companies in various industries to follow this trend . There have been a lot of literature review on green marketing over the years , this paper analysis the impact of green marketing strategies on customer satisfaction and environmental safety using comprehensive literature review . As a result , this paper can be used by researchers who need to find out the impact of green marketing on customer satisfaction and environmental safety .","author":[{"dropping-particle":"","family":"Yazdanifard","given":"Rashad","non-dropping-particle":"","parse-names":false,"suffix":""},{"dropping-particle":"","family":"Mercy","given":"Igbazua Erdoo","non-dropping-particle":"","parse-names":false,"suffix":""}],"container-title":"International Conference on Computer Communication and Management","id":"ITEM-1","issue":"January 2011","issued":{"date-parts":[["2011"]]},"page":"637-641","title":"The impact of Green Marketing on Customer satisfaction and Envi- ronmental safety","type":"article-journal","volume":"5"},"uris":["http://www.mendeley.com/documents/?uuid=73bd57b7-5090-4826-9cb3-a663d29b5cfa"]}],"mendeley":{"formattedCitation":"(Yazdanifard &amp; Mercy, 2011)","manualFormatting":"Yazdanifard &amp; Mercy (2011)","plainTextFormattedCitation":"(Yazdanifard &amp; Mercy, 2011)","previouslyFormattedCitation":"(Yazdanifard &amp; Mercy, 2011)"},"properties":{"noteIndex":0},"schema":"https://github.com/citation-style-language/schema/raw/master/csl-citation.json"}</w:instrText>
      </w:r>
      <w:r w:rsidR="005251DC">
        <w:rPr>
          <w:rStyle w:val="tlid-translation"/>
          <w:rFonts w:ascii="Times New Roman" w:hAnsi="Times New Roman"/>
          <w:sz w:val="22"/>
          <w:szCs w:val="22"/>
          <w:lang w:val="en"/>
        </w:rPr>
        <w:fldChar w:fldCharType="separate"/>
      </w:r>
      <w:r w:rsidR="005251DC" w:rsidRPr="005251DC">
        <w:rPr>
          <w:rStyle w:val="tlid-translation"/>
          <w:rFonts w:ascii="Times New Roman" w:hAnsi="Times New Roman"/>
          <w:noProof/>
          <w:sz w:val="22"/>
          <w:szCs w:val="22"/>
          <w:lang w:val="en"/>
        </w:rPr>
        <w:t xml:space="preserve">Yazdanifard &amp; Mercy </w:t>
      </w:r>
      <w:r w:rsidR="005251DC">
        <w:rPr>
          <w:rStyle w:val="tlid-translation"/>
          <w:rFonts w:ascii="Times New Roman" w:hAnsi="Times New Roman"/>
          <w:noProof/>
          <w:sz w:val="22"/>
          <w:szCs w:val="22"/>
          <w:lang w:val="en"/>
        </w:rPr>
        <w:t>(</w:t>
      </w:r>
      <w:r w:rsidR="005251DC" w:rsidRPr="005251DC">
        <w:rPr>
          <w:rStyle w:val="tlid-translation"/>
          <w:rFonts w:ascii="Times New Roman" w:hAnsi="Times New Roman"/>
          <w:noProof/>
          <w:sz w:val="22"/>
          <w:szCs w:val="22"/>
          <w:lang w:val="en"/>
        </w:rPr>
        <w:t>2011)</w:t>
      </w:r>
      <w:r w:rsidR="005251DC">
        <w:rPr>
          <w:rStyle w:val="tlid-translation"/>
          <w:rFonts w:ascii="Times New Roman" w:hAnsi="Times New Roman"/>
          <w:sz w:val="22"/>
          <w:szCs w:val="22"/>
          <w:lang w:val="en"/>
        </w:rPr>
        <w:fldChar w:fldCharType="end"/>
      </w:r>
      <w:r w:rsidRPr="007F5B19">
        <w:rPr>
          <w:rStyle w:val="tlid-translation"/>
          <w:rFonts w:ascii="Times New Roman" w:hAnsi="Times New Roman"/>
          <w:sz w:val="22"/>
          <w:szCs w:val="22"/>
          <w:lang w:val="en"/>
        </w:rPr>
        <w:t xml:space="preserve">, </w:t>
      </w:r>
      <w:r w:rsidR="005251DC">
        <w:rPr>
          <w:rStyle w:val="tlid-translation"/>
          <w:rFonts w:ascii="Times New Roman" w:hAnsi="Times New Roman"/>
          <w:sz w:val="22"/>
          <w:szCs w:val="22"/>
          <w:lang w:val="en"/>
        </w:rPr>
        <w:fldChar w:fldCharType="begin" w:fldLock="1"/>
      </w:r>
      <w:r w:rsidR="005251DC">
        <w:rPr>
          <w:rStyle w:val="tlid-translation"/>
          <w:rFonts w:ascii="Times New Roman" w:hAnsi="Times New Roman"/>
          <w:sz w:val="22"/>
          <w:szCs w:val="22"/>
          <w:lang w:val="en"/>
        </w:rPr>
        <w:instrText>ADDIN CSL_CITATION {"citationItems":[{"id":"ITEM-1","itemData":{"author":[{"dropping-particle":"","family":"Suki","given":"Norbayah Mohd","non-dropping-particle":"","parse-names":false,"suffix":""}],"container-title":"Journal of Consumer Behavior","id":"ITEM-1","issue":"5","issued":{"date-parts":[["2019"]]},"page":"392-406","title":"Green product purchase intention: Impact of green perceived value, environmental concern, and green trust","type":"article-journal","volume":"18"},"uris":["http://www.mendeley.com/documents/?uuid=bc1dd336-627d-4931-8f12-dbdeab840a17"]}],"mendeley":{"formattedCitation":"(Suki, 2019)","manualFormatting":"Suki (2019)","plainTextFormattedCitation":"(Suki, 2019)","previouslyFormattedCitation":"(Suki, 2019)"},"properties":{"noteIndex":0},"schema":"https://github.com/citation-style-language/schema/raw/master/csl-citation.json"}</w:instrText>
      </w:r>
      <w:r w:rsidR="005251DC">
        <w:rPr>
          <w:rStyle w:val="tlid-translation"/>
          <w:rFonts w:ascii="Times New Roman" w:hAnsi="Times New Roman"/>
          <w:sz w:val="22"/>
          <w:szCs w:val="22"/>
          <w:lang w:val="en"/>
        </w:rPr>
        <w:fldChar w:fldCharType="separate"/>
      </w:r>
      <w:r w:rsidR="005251DC" w:rsidRPr="005251DC">
        <w:rPr>
          <w:rStyle w:val="tlid-translation"/>
          <w:rFonts w:ascii="Times New Roman" w:hAnsi="Times New Roman"/>
          <w:noProof/>
          <w:sz w:val="22"/>
          <w:szCs w:val="22"/>
          <w:lang w:val="en"/>
        </w:rPr>
        <w:t xml:space="preserve">Suki </w:t>
      </w:r>
      <w:r w:rsidR="005251DC">
        <w:rPr>
          <w:rStyle w:val="tlid-translation"/>
          <w:rFonts w:ascii="Times New Roman" w:hAnsi="Times New Roman"/>
          <w:noProof/>
          <w:sz w:val="22"/>
          <w:szCs w:val="22"/>
          <w:lang w:val="en"/>
        </w:rPr>
        <w:t>(</w:t>
      </w:r>
      <w:r w:rsidR="005251DC" w:rsidRPr="005251DC">
        <w:rPr>
          <w:rStyle w:val="tlid-translation"/>
          <w:rFonts w:ascii="Times New Roman" w:hAnsi="Times New Roman"/>
          <w:noProof/>
          <w:sz w:val="22"/>
          <w:szCs w:val="22"/>
          <w:lang w:val="en"/>
        </w:rPr>
        <w:t>2019)</w:t>
      </w:r>
      <w:r w:rsidR="005251DC">
        <w:rPr>
          <w:rStyle w:val="tlid-translation"/>
          <w:rFonts w:ascii="Times New Roman" w:hAnsi="Times New Roman"/>
          <w:sz w:val="22"/>
          <w:szCs w:val="22"/>
          <w:lang w:val="en"/>
        </w:rPr>
        <w:fldChar w:fldCharType="end"/>
      </w:r>
      <w:r w:rsidRPr="007F5B19">
        <w:rPr>
          <w:rStyle w:val="tlid-translation"/>
          <w:rFonts w:ascii="Times New Roman" w:hAnsi="Times New Roman"/>
          <w:sz w:val="22"/>
          <w:szCs w:val="22"/>
          <w:lang w:val="en"/>
        </w:rPr>
        <w:t xml:space="preserve">, and </w:t>
      </w:r>
      <w:r w:rsidR="005251DC">
        <w:rPr>
          <w:rStyle w:val="tlid-translation"/>
          <w:rFonts w:ascii="Times New Roman" w:hAnsi="Times New Roman"/>
          <w:sz w:val="22"/>
          <w:szCs w:val="22"/>
          <w:lang w:val="en"/>
        </w:rPr>
        <w:fldChar w:fldCharType="begin" w:fldLock="1"/>
      </w:r>
      <w:r w:rsidR="00135909">
        <w:rPr>
          <w:rStyle w:val="tlid-translation"/>
          <w:rFonts w:ascii="Times New Roman" w:hAnsi="Times New Roman"/>
          <w:sz w:val="22"/>
          <w:szCs w:val="22"/>
          <w:lang w:val="en"/>
        </w:rPr>
        <w:instrText>ADDIN CSL_CITATION {"citationItems":[{"id":"ITEM-1","itemData":{"author":[{"dropping-particle":"","family":"Martinez","given":"P.","non-dropping-particle":"","parse-names":false,"suffix":""}],"container-title":"Journal of Sustainable Marketing","id":"ITEM-1","issue":"3","issued":{"date-parts":[["2022"]]},"page":"45-60","title":"Environmental concern and customer satisfaction: The role of green marketing strategies","type":"article-journal","volume":"8"},"uris":["http://www.mendeley.com/documents/?uuid=de208842-4c8f-4332-8808-b2af790ef081"]}],"mendeley":{"formattedCitation":"(Martinez, 2022)","manualFormatting":"Martinez (2022)","plainTextFormattedCitation":"(Martinez, 2022)","previouslyFormattedCitation":"(Martinez, 2022)"},"properties":{"noteIndex":0},"schema":"https://github.com/citation-style-language/schema/raw/master/csl-citation.json"}</w:instrText>
      </w:r>
      <w:r w:rsidR="005251DC">
        <w:rPr>
          <w:rStyle w:val="tlid-translation"/>
          <w:rFonts w:ascii="Times New Roman" w:hAnsi="Times New Roman"/>
          <w:sz w:val="22"/>
          <w:szCs w:val="22"/>
          <w:lang w:val="en"/>
        </w:rPr>
        <w:fldChar w:fldCharType="separate"/>
      </w:r>
      <w:r w:rsidR="005251DC" w:rsidRPr="005251DC">
        <w:rPr>
          <w:rStyle w:val="tlid-translation"/>
          <w:rFonts w:ascii="Times New Roman" w:hAnsi="Times New Roman"/>
          <w:noProof/>
          <w:sz w:val="22"/>
          <w:szCs w:val="22"/>
          <w:lang w:val="en"/>
        </w:rPr>
        <w:t xml:space="preserve">Martinez </w:t>
      </w:r>
      <w:r w:rsidR="005251DC">
        <w:rPr>
          <w:rStyle w:val="tlid-translation"/>
          <w:rFonts w:ascii="Times New Roman" w:hAnsi="Times New Roman"/>
          <w:noProof/>
          <w:sz w:val="22"/>
          <w:szCs w:val="22"/>
          <w:lang w:val="en"/>
        </w:rPr>
        <w:t>(</w:t>
      </w:r>
      <w:r w:rsidR="005251DC" w:rsidRPr="005251DC">
        <w:rPr>
          <w:rStyle w:val="tlid-translation"/>
          <w:rFonts w:ascii="Times New Roman" w:hAnsi="Times New Roman"/>
          <w:noProof/>
          <w:sz w:val="22"/>
          <w:szCs w:val="22"/>
          <w:lang w:val="en"/>
        </w:rPr>
        <w:t>2022)</w:t>
      </w:r>
      <w:r w:rsidR="005251DC">
        <w:rPr>
          <w:rStyle w:val="tlid-translation"/>
          <w:rFonts w:ascii="Times New Roman" w:hAnsi="Times New Roman"/>
          <w:sz w:val="22"/>
          <w:szCs w:val="22"/>
          <w:lang w:val="en"/>
        </w:rPr>
        <w:fldChar w:fldCharType="end"/>
      </w:r>
      <w:r w:rsidRPr="007F5B19">
        <w:rPr>
          <w:rStyle w:val="tlid-translation"/>
          <w:rFonts w:ascii="Times New Roman" w:hAnsi="Times New Roman"/>
          <w:sz w:val="22"/>
          <w:szCs w:val="22"/>
          <w:lang w:val="en"/>
        </w:rPr>
        <w:t>, which suggest that the combination of green marketing implementation, customers’ perceived value of green products, and environmental concern collectively contributes to improving customer satisfaction with sustainable products. Therefore, the researcher proposes this hypothesis.</w:t>
      </w:r>
    </w:p>
    <w:p w14:paraId="05F9AC61" w14:textId="1DC64039" w:rsidR="005668B1" w:rsidRPr="007F5B19" w:rsidRDefault="005668B1" w:rsidP="005668B1">
      <w:pPr>
        <w:pStyle w:val="Els-body-text"/>
        <w:rPr>
          <w:rStyle w:val="tlid-translation"/>
          <w:rFonts w:ascii="Times New Roman" w:hAnsi="Times New Roman"/>
          <w:sz w:val="22"/>
          <w:szCs w:val="22"/>
          <w:lang w:val="en"/>
        </w:rPr>
      </w:pPr>
      <w:r w:rsidRPr="007F5B19">
        <w:rPr>
          <w:rStyle w:val="tlid-translation"/>
          <w:rFonts w:ascii="Times New Roman" w:hAnsi="Times New Roman"/>
          <w:sz w:val="22"/>
          <w:szCs w:val="22"/>
          <w:lang w:val="en"/>
        </w:rPr>
        <w:t xml:space="preserve">Hypothesis 2 is accepted, confirm that green marketing (X1) positively and significantly influences green satisfaction (Y). This finding is consistent with previous research, which shows that green marketing significantly impacts customer satisfaction and green consumption behavior </w:t>
      </w:r>
      <w:r w:rsidR="00E9004A">
        <w:rPr>
          <w:rStyle w:val="tlid-translation"/>
          <w:rFonts w:ascii="Times New Roman" w:hAnsi="Times New Roman"/>
          <w:sz w:val="22"/>
          <w:szCs w:val="22"/>
          <w:lang w:val="en"/>
        </w:rPr>
        <w:fldChar w:fldCharType="begin" w:fldLock="1"/>
      </w:r>
      <w:r w:rsidR="00E9004A">
        <w:rPr>
          <w:rStyle w:val="tlid-translation"/>
          <w:rFonts w:ascii="Times New Roman" w:hAnsi="Times New Roman"/>
          <w:sz w:val="22"/>
          <w:szCs w:val="22"/>
          <w:lang w:val="en"/>
        </w:rPr>
        <w:instrText>ADDIN CSL_CITATION {"citationItems":[{"id":"ITEM-1","itemData":{"DOI":"10.7441/joc.2024.03.10","ISSN":"18041728","abstract":"This paper examines the impact of green environmental practices and their dimensions, such as attitude towards green products, green marketing mix, and green customer value on green environmental practices and green purchase intention, which enhance the brands’ competitiveness of manufacturing units of Asian economies. This paper further examines the influence of green entrepreneurial orientation, psychological benefits, and green innovation as mediating variables between exogenous and endogenous variables. The paper finally investigates the impact of green marketing as a moderator between exogenous and endogenous variables. The researchers employed a modified and structured questionnaire to obtain 498 responses from China, Pakistan, India, South Korea, and Bangladesh. For analysis, the researchers used PLS-SEM modeling using Smart-PLS 4.0. The research study’s findings demonstrated that green environmental practices have a positive and significant relationship with green purchase intention. The outcomes of this research further reveal that attitudes towards green products, green marketing mix, and green customer value significantly and positively impact green environmental practices, enhancing competitiveness and corporate image. The mediation findings exhibited that green entrepreneurial orientation, psychological benefits, and innovation have a significant and positive influence as mediating variables between green environmental practices and green purchase intention. Finally, the outcomes of moderation of green marketing exhibited a significant and positive impact between exogenous and endogenous variables. The study’s findings have demonstrated a significant theoretical and managerial implication for researchers, academicians, industry practitioners, and policymakers. Industry practitioners can develop effective strategies to enhance the competitiveness of their brands in industrial manufacturing units in Asian economies.","author":[{"dropping-particle":"","family":"Ahmed","given":"Rizwan Raheem","non-dropping-particle":"","parse-names":false,"suffix":""},{"dropping-particle":"","family":"Streimikiene","given":"Dalia","non-dropping-particle":"","parse-names":false,"suffix":""},{"dropping-particle":"","family":"Sulaiman","given":"Yaty","non-dropping-particle":"","parse-names":false,"suffix":""},{"dropping-particle":"","family":"Asim","given":"Jahanzeb","non-dropping-particle":"","parse-names":false,"suffix":""},{"dropping-particle":"","family":"Streimikis","given":"Justas","non-dropping-particle":"","parse-names":false,"suffix":""}],"container-title":"Journal of Competitiveness","id":"ITEM-1","issue":"3","issued":{"date-parts":[["2024"]]},"page":"204-220","title":"Enhancing competitiveness of green environmental practices and green purchase intentions in Asian markets: Evidence from the extended norm activation model","type":"article-journal","volume":"16"},"uris":["http://www.mendeley.com/documents/?uuid=f5fe3f7f-178f-4ac4-aa5e-ccbcbb0be00a"]},{"id":"ITEM-2","itemData":{"DOI":"10.1007/s10551-022-05044-x","ISSN":"15730697","abstract":"Given that services differ from goods in terms of intangibility, heterogeneity, and inseparability, customers may evaluate green services differently from how they evaluate green goods. Previous research has investigated customers’ perceptions and purchase decisions regarding green products. However, limited attention has been paid to the impact of green practices on customer evaluations of the service experience as well as important contingencies that bear on this relationship. Drawing on stakeholder theory, our study examines the impact of green practices on customer evaluations and further considers the influences of environmental- and firm-level contingencies. We test our model with a multi-source dataset in the Chinese hotel industry. The findings indicate that green practices improve customer evaluations of the service experience. This positive impact is, however, weaker in external environments characterized by high internet penetration and market complexity but is stronger for hotels with innovative services and for business hotels. Our findings provide novel insights into the environmental ethics and stakeholder management literatures by revealing the role of green practices in promoting positive service evaluations as well as the contingent influences of external environments and internal firm-level characteristics.","author":[{"dropping-particle":"","family":"Jiang","given":"Wei","non-dropping-particle":"","parse-names":false,"suffix":""},{"dropping-particle":"","family":"Wang","given":"Liwen","non-dropping-particle":"","parse-names":false,"suffix":""},{"dropping-particle":"","family":"Zhou","given":"Kevin Zheng","non-dropping-particle":"","parse-names":false,"suffix":""}],"container-title":"Journal of Business Ethics","id":"ITEM-2","issue":"1","issued":{"date-parts":[["2023"]]},"page":"237-253","title":"Green Practices and Customer Evaluations of the Service Experience: The Moderating Roles of External Environmental Factors and Firm Characteristics","type":"article-journal","volume":"183"},"uris":["http://www.mendeley.com/documents/?uuid=78758acf-9aeb-45fa-afd9-623b2aa84eec"]}],"mendeley":{"formattedCitation":"(Ahmed et al., 2024; Jiang et al., 2023)","plainTextFormattedCitation":"(Ahmed et al., 2024; Jiang et al., 2023)","previouslyFormattedCitation":"(Ahmed et al., 2024; Jiang et al., 2023)"},"properties":{"noteIndex":0},"schema":"https://github.com/citation-style-language/schema/raw/master/csl-citation.json"}</w:instrText>
      </w:r>
      <w:r w:rsidR="00E9004A">
        <w:rPr>
          <w:rStyle w:val="tlid-translation"/>
          <w:rFonts w:ascii="Times New Roman" w:hAnsi="Times New Roman"/>
          <w:sz w:val="22"/>
          <w:szCs w:val="22"/>
          <w:lang w:val="en"/>
        </w:rPr>
        <w:fldChar w:fldCharType="separate"/>
      </w:r>
      <w:r w:rsidR="00E9004A" w:rsidRPr="00E9004A">
        <w:rPr>
          <w:rStyle w:val="tlid-translation"/>
          <w:rFonts w:ascii="Times New Roman" w:hAnsi="Times New Roman"/>
          <w:noProof/>
          <w:sz w:val="22"/>
          <w:szCs w:val="22"/>
          <w:lang w:val="en"/>
        </w:rPr>
        <w:t>(Ahmed et al., 2024; Jiang et al., 2023)</w:t>
      </w:r>
      <w:r w:rsidR="00E9004A">
        <w:rPr>
          <w:rStyle w:val="tlid-translation"/>
          <w:rFonts w:ascii="Times New Roman" w:hAnsi="Times New Roman"/>
          <w:sz w:val="22"/>
          <w:szCs w:val="22"/>
          <w:lang w:val="en"/>
        </w:rPr>
        <w:fldChar w:fldCharType="end"/>
      </w:r>
      <w:r w:rsidR="00E9004A">
        <w:rPr>
          <w:rStyle w:val="tlid-translation"/>
          <w:rFonts w:ascii="Times New Roman" w:hAnsi="Times New Roman"/>
          <w:sz w:val="22"/>
          <w:szCs w:val="22"/>
          <w:lang w:val="en"/>
        </w:rPr>
        <w:t>.</w:t>
      </w:r>
      <w:r w:rsidRPr="007F5B19">
        <w:rPr>
          <w:rStyle w:val="tlid-translation"/>
          <w:rFonts w:ascii="Times New Roman" w:hAnsi="Times New Roman"/>
          <w:sz w:val="22"/>
          <w:szCs w:val="22"/>
          <w:lang w:val="en"/>
        </w:rPr>
        <w:t xml:space="preserve"> Transparent communication of a company’s green initiatives enhances customers’ positive perceptions and strengthens brand loyalty toward green brands</w:t>
      </w:r>
      <w:r w:rsidR="009B7351">
        <w:rPr>
          <w:rStyle w:val="tlid-translation"/>
          <w:rFonts w:ascii="Times New Roman" w:hAnsi="Times New Roman"/>
          <w:sz w:val="22"/>
          <w:szCs w:val="22"/>
          <w:lang w:val="en"/>
        </w:rPr>
        <w:t xml:space="preserve"> </w:t>
      </w:r>
      <w:r w:rsidR="009B7351">
        <w:rPr>
          <w:rStyle w:val="tlid-translation"/>
          <w:rFonts w:ascii="Times New Roman" w:hAnsi="Times New Roman"/>
          <w:sz w:val="22"/>
          <w:szCs w:val="22"/>
          <w:lang w:val="en"/>
        </w:rPr>
        <w:fldChar w:fldCharType="begin" w:fldLock="1"/>
      </w:r>
      <w:r w:rsidR="009B7351">
        <w:rPr>
          <w:rStyle w:val="tlid-translation"/>
          <w:rFonts w:ascii="Times New Roman" w:hAnsi="Times New Roman"/>
          <w:sz w:val="22"/>
          <w:szCs w:val="22"/>
          <w:lang w:val="en"/>
        </w:rPr>
        <w:instrText>ADDIN CSL_CITATION {"citationItems":[{"id":"ITEM-1","itemData":{"DOI":"10.1002/bse.2732","ISSN":"10990836","abstract":"Many companies have developed a green marketing strategy, aimed at promoting and selling green environmental products. While the majority of articles on this topic report on studies in a business-to-consumer setting, this research focusses on the impact of green marketing strategies on the satisfaction and loyalty of professional buyers in a business-to-business setting. Hypotheses were tested with survey data from 148 Dutch professional purchasers in the cleaning industry. The results emphasize the impact and importance of product quality, product price and corporate image. The most notable and strong impact on satisfaction and loyalty was found for the salesperson expertise.","author":[{"dropping-particle":"","family":"Gelderman","given":"Cees J.","non-dropping-particle":"","parse-names":false,"suffix":""},{"dropping-particle":"","family":"Schijns","given":"Jos","non-dropping-particle":"","parse-names":false,"suffix":""},{"dropping-particle":"","family":"Lambrechts","given":"Wim","non-dropping-particle":"","parse-names":false,"suffix":""},{"dropping-particle":"","family":"Vijgen","given":"Simon","non-dropping-particle":"","parse-names":false,"suffix":""}],"container-title":"Business Strategy and the Environment","id":"ITEM-1","issue":"4","issued":{"date-parts":[["2021"]]},"page":"2061-2076","title":"Green marketing as an environmental practice: The impact on green satisfaction and green loyalty in a business-to-business context","type":"article-journal","volume":"30"},"uris":["http://www.mendeley.com/documents/?uuid=642ae184-ab98-41f2-9be3-0895ce669a62"]}],"mendeley":{"formattedCitation":"(Gelderman et al., 2021)","plainTextFormattedCitation":"(Gelderman et al., 2021)","previouslyFormattedCitation":"(Gelderman et al., 2021)"},"properties":{"noteIndex":0},"schema":"https://github.com/citation-style-language/schema/raw/master/csl-citation.json"}</w:instrText>
      </w:r>
      <w:r w:rsidR="009B7351">
        <w:rPr>
          <w:rStyle w:val="tlid-translation"/>
          <w:rFonts w:ascii="Times New Roman" w:hAnsi="Times New Roman"/>
          <w:sz w:val="22"/>
          <w:szCs w:val="22"/>
          <w:lang w:val="en"/>
        </w:rPr>
        <w:fldChar w:fldCharType="separate"/>
      </w:r>
      <w:r w:rsidR="009B7351" w:rsidRPr="009B7351">
        <w:rPr>
          <w:rStyle w:val="tlid-translation"/>
          <w:rFonts w:ascii="Times New Roman" w:hAnsi="Times New Roman"/>
          <w:noProof/>
          <w:sz w:val="22"/>
          <w:szCs w:val="22"/>
          <w:lang w:val="en"/>
        </w:rPr>
        <w:t>(Gelderman et al., 2021)</w:t>
      </w:r>
      <w:r w:rsidR="009B7351">
        <w:rPr>
          <w:rStyle w:val="tlid-translation"/>
          <w:rFonts w:ascii="Times New Roman" w:hAnsi="Times New Roman"/>
          <w:sz w:val="22"/>
          <w:szCs w:val="22"/>
          <w:lang w:val="en"/>
        </w:rPr>
        <w:fldChar w:fldCharType="end"/>
      </w:r>
      <w:r w:rsidR="009B7351">
        <w:rPr>
          <w:rStyle w:val="tlid-translation"/>
          <w:rFonts w:ascii="Times New Roman" w:hAnsi="Times New Roman"/>
          <w:sz w:val="22"/>
          <w:szCs w:val="22"/>
          <w:lang w:val="en"/>
        </w:rPr>
        <w:t>.</w:t>
      </w:r>
      <w:r w:rsidRPr="007F5B19">
        <w:rPr>
          <w:rStyle w:val="tlid-translation"/>
          <w:rFonts w:ascii="Times New Roman" w:hAnsi="Times New Roman"/>
          <w:sz w:val="22"/>
          <w:szCs w:val="22"/>
          <w:lang w:val="en"/>
        </w:rPr>
        <w:t xml:space="preserve"> Other studies further support that green marketing has a positive correlation with customer satisfaction </w:t>
      </w:r>
      <w:r w:rsidR="009B7351">
        <w:rPr>
          <w:rStyle w:val="tlid-translation"/>
          <w:rFonts w:ascii="Times New Roman" w:hAnsi="Times New Roman"/>
          <w:sz w:val="22"/>
          <w:szCs w:val="22"/>
          <w:lang w:val="en"/>
        </w:rPr>
        <w:fldChar w:fldCharType="begin" w:fldLock="1"/>
      </w:r>
      <w:r w:rsidR="00DA3EF6">
        <w:rPr>
          <w:rStyle w:val="tlid-translation"/>
          <w:rFonts w:ascii="Times New Roman" w:hAnsi="Times New Roman"/>
          <w:sz w:val="22"/>
          <w:szCs w:val="22"/>
          <w:lang w:val="en"/>
        </w:rPr>
        <w:instrText>ADDIN CSL_CITATION {"citationItems":[{"id":"ITEM-1","itemData":{"abstract":"Sustainability is an issue that must be paid attention to by various sectors of life, including the marketing sector, which is mentioned as Green marketing. This research wants to explore the role of green marketing in customer satisfaction and loyalty, as well as its role in environmental awareness. Reflecting on previous research, this research uses quantitative descriptive by distributing structured questionnaires, with non-probability purposive sampling with a total of 206 respondents in the capital area, with the category being consumers of FMCG products. This research offers a novelty on how green marketing influences environmental and social concerns. Most research on green marketing was conducted in developed countries, but this research was conducted in developing countries in Indonesia. The findings show that Green Marketing significantly influences consumers in terms of satisfaction and loyalty variables, and has a significant effect on social responsibility and environmental safety, moreover, it influences on product innovation and development. This study seeks to unravel the intricacies of how eco-conscious marketing strategies affect not only consumer contentment but also the environment. This conscious consumer behaviour, particularly among FMCG consumers in Indonesia, underscores the significance of these green aspects in shaping their satisfaction and fostering loyalty, despite potential price increases. Companies must prioritize eco-friendly product development, emphasize sustainability, and effectively communicate their green initiatives to succeed in this landscape. It's evident that consumers today no longer base their purchases solely on personal needs but consider the broader environmental and social impacts, urging marketers to embrace sustainability and responsible practices in their strategies.\nKeywords: Customer Satisfaction; Customer Loyalty; Environmental Safety; Green Marketing; Sustainability","author":[{"dropping-particle":"","family":"Mudrika","given":"Siti","non-dropping-particle":"","parse-names":false,"suffix":""},{"dropping-particle":"","family":"Suharjo","given":"Diyono","non-dropping-particle":"","parse-names":false,"suffix":""},{"dropping-particle":"","family":"Deni","given":"","non-dropping-particle":"","parse-names":false,"suffix":""},{"dropping-particle":"","family":"Wiadi","given":"Iyus","non-dropping-particle":"","parse-names":false,"suffix":""}],"container-title":"International Journal of Multicultural and Multireligious Understanding","id":"ITEM-1","issue":"2","issued":{"date-parts":[["2024"]]},"page":"97-112","title":"Sustainability in Marketing: Exploring the Impact of Green Marketing on Environmental Concern and Customer Satisfaction","type":"article-journal","volume":"11"},"uris":["http://www.mendeley.com/documents/?uuid=3acbbe3d-4efd-4b15-8c22-b99680acf0d1"]},{"id":"ITEM-2","itemData":{"DOI":"10.46799/jst.v4i12.881","ISSN":"2721-3854","abstract":"The concept of environmentally friendly marketing has developed due to public awareness. This matter made many companies apply the green marketing concept in marketing their products to create customer satisfaction. Research was conducted with the aim of finding out The influence of green marketing on customer satisfaction. In the process of analysis, research A case study was conducted at Starbucks Coffee located at Bez Plaza. The location was selected because Starbucks Coffee is one of the first businesses to implement a green marketing system. The research method used is quantitative. The data collection process is carried out by distributing questionnaires to 243 visitors. In this research, it was concluded that green marketing has a significant effect on customer satisfaction.","author":[{"dropping-particle":"","family":"Giwa-Amu","given":"Olufunmi","non-dropping-particle":"","parse-names":false,"suffix":""}],"container-title":"Jurnal Syntax Transformation","id":"ITEM-2","issue":"12","issued":{"date-parts":[["2023"]]},"page":"149-161","title":"The Effect of Green Marketing on Customer Satisfaction","type":"article-journal","volume":"4"},"uris":["http://www.mendeley.com/documents/?uuid=9e2fe302-1b20-407d-87f5-25f9f38e1053"]}],"mendeley":{"formattedCitation":"(Giwa-Amu, 2023; Mudrika et al., 2024)","plainTextFormattedCitation":"(Giwa-Amu, 2023; Mudrika et al., 2024)","previouslyFormattedCitation":"(Giwa-Amu, 2023; Mudrika et al., 2024)"},"properties":{"noteIndex":0},"schema":"https://github.com/citation-style-language/schema/raw/master/csl-citation.json"}</w:instrText>
      </w:r>
      <w:r w:rsidR="009B7351">
        <w:rPr>
          <w:rStyle w:val="tlid-translation"/>
          <w:rFonts w:ascii="Times New Roman" w:hAnsi="Times New Roman"/>
          <w:sz w:val="22"/>
          <w:szCs w:val="22"/>
          <w:lang w:val="en"/>
        </w:rPr>
        <w:fldChar w:fldCharType="separate"/>
      </w:r>
      <w:r w:rsidR="009B7351" w:rsidRPr="009B7351">
        <w:rPr>
          <w:rStyle w:val="tlid-translation"/>
          <w:rFonts w:ascii="Times New Roman" w:hAnsi="Times New Roman"/>
          <w:noProof/>
          <w:sz w:val="22"/>
          <w:szCs w:val="22"/>
          <w:lang w:val="en"/>
        </w:rPr>
        <w:t>(Giwa-Amu, 2023; Mudrika et al., 2024)</w:t>
      </w:r>
      <w:r w:rsidR="009B7351">
        <w:rPr>
          <w:rStyle w:val="tlid-translation"/>
          <w:rFonts w:ascii="Times New Roman" w:hAnsi="Times New Roman"/>
          <w:sz w:val="22"/>
          <w:szCs w:val="22"/>
          <w:lang w:val="en"/>
        </w:rPr>
        <w:fldChar w:fldCharType="end"/>
      </w:r>
      <w:r w:rsidR="009B7351">
        <w:rPr>
          <w:rStyle w:val="tlid-translation"/>
          <w:rFonts w:ascii="Times New Roman" w:hAnsi="Times New Roman"/>
          <w:sz w:val="22"/>
          <w:szCs w:val="22"/>
          <w:lang w:val="en"/>
        </w:rPr>
        <w:t>.</w:t>
      </w:r>
      <w:r w:rsidRPr="007F5B19">
        <w:rPr>
          <w:rStyle w:val="tlid-translation"/>
          <w:rFonts w:ascii="Times New Roman" w:hAnsi="Times New Roman"/>
          <w:sz w:val="22"/>
          <w:szCs w:val="22"/>
          <w:lang w:val="en"/>
        </w:rPr>
        <w:t xml:space="preserve"> More aggressive green marketing campaigns and government policy support are needed to strengthen this impact. Additionally, businesses implementing green marketing strategies are more likely to thrive in an increasingly environmentally conscious market </w:t>
      </w:r>
      <w:r w:rsidR="00E9004A">
        <w:rPr>
          <w:rStyle w:val="tlid-translation"/>
          <w:rFonts w:ascii="Times New Roman" w:hAnsi="Times New Roman"/>
          <w:sz w:val="22"/>
          <w:szCs w:val="22"/>
          <w:lang w:val="en"/>
        </w:rPr>
        <w:fldChar w:fldCharType="begin" w:fldLock="1"/>
      </w:r>
      <w:r w:rsidR="00E9004A">
        <w:rPr>
          <w:rStyle w:val="tlid-translation"/>
          <w:rFonts w:ascii="Times New Roman" w:hAnsi="Times New Roman"/>
          <w:sz w:val="22"/>
          <w:szCs w:val="22"/>
          <w:lang w:val="en"/>
        </w:rPr>
        <w:instrText>ADDIN CSL_CITATION {"citationItems":[{"id":"ITEM-1","itemData":{"DOI":"10.1108/SAMPJ-07-2023-0492","ISSN":"2040803X","abstract":"Purpose: Green consumption is fundamental to sustainable development, as it involves adopting practices and technologies that reduce the environmental impact of human activities. This study aims to analyze the influence of consumers’ green orientation on their environmental concerns and green purchase decisions. Furthermore, the study investigates the mediating role of consumers’ environmental concerns in the relationship between pro-sustainable orientation and green purchase decisions. Design/methodology/approach: This study uses a quantitative methodology, applying the partial least squares method to a sample of 927 Portuguese consumers of green products. The sample was collected through an online survey. Findings: Perceived benefits and perceived quality of products play a positive and significant role in influencing green behavior, especially when consumers are endowed with greater environmental concerns. In addition, consumers’ awareness of the prices of green products and their expectations regarding the future benefits of sustainable consumption positively impact green consumption behavior, further intensifying their environmental concerns. Practical implications: According to the present findings, companies should adopt a holistic and integrated approach to promote green consumption. This means creating premium eco-friendly products, communicating their benefits, addressing the cost factor, emphasizing the future impact of eco-friendly options and raising consumers’ environmental awareness. Social implications: It is critical that environmental education is a priority in schools and that there are political incentives for green behaviors. In addition, media campaigns can be an important tool to raise awareness in society. Originality/value: The results of this study provide important insights for companies on consumer engagement in the circular economy. Deepening knowledge of the antecedents of consumers’ environmental concerns contributes to a deeper understanding of green purchasing decision behavior, allowing companies to support new business strategies.","author":[{"dropping-particle":"","family":"Lopes","given":"João M.M.","non-dropping-particle":"","parse-names":false,"suffix":""},{"dropping-particle":"","family":"Gomes","given":"Sofia","non-dropping-particle":"","parse-names":false,"suffix":""},{"dropping-particle":"","family":"Trancoso","given":"Tiago","non-dropping-particle":"","parse-names":false,"suffix":""}],"container-title":"Sustainability Accounting, Management and Policy Journal","id":"ITEM-1","issue":"4","issued":{"date-parts":[["2024"]]},"page":"861-883","title":"Navigating the green maze: insights for businesses on consumer decision-making and the mediating role of their environmental concerns","type":"article-journal","volume":"15"},"uris":["http://www.mendeley.com/documents/?uuid=eaf4c7c1-24e5-41a2-a661-c45ff54e025b"]},{"id":"ITEM-2","itemData":{"DOI":"10.1080/09640568.2021.1922995","ISSN":"13600559","abstract":"This study aims to investigate the influencing factors on consumers’ choice behavior for green products by applying the theory of consumption values in Pakistan. It also studied the mediating effects of consumers’ environmental concerns among the associations of multidimensional consumption values and choice behavior. The data was collected from the consumers of green products in four metropolitan cities of Punjab Province (e.g. Lahore, Islamabad, Multan, and Faisalabad) using a structured self-administered questionnaire. The random sampling technique was employed. Based on the 480 responses, the empirical findings revealed that functional value-quality, emotional value, conditional value, and epistemic value have a positive impact on consumers’ choice behavior and their environmental concerns. Contrary to this, the functional value-price, social value, and environmental concerns have a negative impact on consumers’ choice behavior. Relating to mediation, environmental concerns have partially mediated between the associations of functional value-quality, functional value-price, emotional value, epistemic value, and consumers’ choice behavior. Practitioners and managers can use the study findings to reach out to their target audiences to increase the consumption of green products in the mainstream market.","author":[{"dropping-particle":"","family":"Majeed","given":"Abdul","non-dropping-particle":"","parse-names":false,"suffix":""},{"dropping-particle":"","family":"Ahmed","given":"Ishfaq","non-dropping-particle":"","parse-names":false,"suffix":""},{"dropping-particle":"","family":"Rasheed","given":"Abdul","non-dropping-particle":"","parse-names":false,"suffix":""}],"container-title":"Journal of Environmental Planning and Management","id":"ITEM-2","issue":"6","issued":{"date-parts":[["2022"]]},"page":"1110-1134","publisher":"Routledge","title":"Investigating influencing factors on consumers’ choice behavior and their environmental concerns while purchasing green products in Pakistan","type":"article-journal","volume":"65"},"uris":["http://www.mendeley.com/documents/?uuid=fa727bc3-ec87-41e9-821a-c375f14957a3"]}],"mendeley":{"formattedCitation":"(Lopes et al., 2024; Majeed et al., 2022)","plainTextFormattedCitation":"(Lopes et al., 2024; Majeed et al., 2022)","previouslyFormattedCitation":"(Lopes et al., 2024; Majeed et al., 2022)"},"properties":{"noteIndex":0},"schema":"https://github.com/citation-style-language/schema/raw/master/csl-citation.json"}</w:instrText>
      </w:r>
      <w:r w:rsidR="00E9004A">
        <w:rPr>
          <w:rStyle w:val="tlid-translation"/>
          <w:rFonts w:ascii="Times New Roman" w:hAnsi="Times New Roman"/>
          <w:sz w:val="22"/>
          <w:szCs w:val="22"/>
          <w:lang w:val="en"/>
        </w:rPr>
        <w:fldChar w:fldCharType="separate"/>
      </w:r>
      <w:r w:rsidR="00E9004A" w:rsidRPr="00E9004A">
        <w:rPr>
          <w:rStyle w:val="tlid-translation"/>
          <w:rFonts w:ascii="Times New Roman" w:hAnsi="Times New Roman"/>
          <w:noProof/>
          <w:sz w:val="22"/>
          <w:szCs w:val="22"/>
          <w:lang w:val="en"/>
        </w:rPr>
        <w:t>(Lopes et al., 2024; Majeed et al., 2022)</w:t>
      </w:r>
      <w:r w:rsidR="00E9004A">
        <w:rPr>
          <w:rStyle w:val="tlid-translation"/>
          <w:rFonts w:ascii="Times New Roman" w:hAnsi="Times New Roman"/>
          <w:sz w:val="22"/>
          <w:szCs w:val="22"/>
          <w:lang w:val="en"/>
        </w:rPr>
        <w:fldChar w:fldCharType="end"/>
      </w:r>
      <w:r w:rsidR="00E9004A">
        <w:rPr>
          <w:rStyle w:val="tlid-translation"/>
          <w:rFonts w:ascii="Times New Roman" w:hAnsi="Times New Roman"/>
          <w:sz w:val="22"/>
          <w:szCs w:val="22"/>
          <w:lang w:val="en"/>
        </w:rPr>
        <w:t>.</w:t>
      </w:r>
    </w:p>
    <w:p w14:paraId="5656BF88" w14:textId="3275AC78" w:rsidR="005668B1" w:rsidRPr="007F5B19" w:rsidRDefault="005668B1" w:rsidP="008B7024">
      <w:pPr>
        <w:pStyle w:val="Els-body-text"/>
        <w:rPr>
          <w:rStyle w:val="tlid-translation"/>
          <w:rFonts w:ascii="Times New Roman" w:hAnsi="Times New Roman"/>
          <w:sz w:val="22"/>
          <w:szCs w:val="22"/>
          <w:lang w:val="en"/>
        </w:rPr>
      </w:pPr>
      <w:r w:rsidRPr="00E9004A">
        <w:rPr>
          <w:rStyle w:val="tlid-translation"/>
          <w:rFonts w:ascii="Times New Roman" w:hAnsi="Times New Roman"/>
          <w:sz w:val="22"/>
          <w:szCs w:val="22"/>
          <w:lang w:val="en"/>
        </w:rPr>
        <w:t>Hypothesis 3 is accepted, confirm that green perceived value (X2) positively and significantly influences green satisfaction (Y). This finding aligns with previous studies that indicate green perceived value significantly impacts consumers’ satisfaction, as consumers evaluate eco-friendly products based on their functional, social, emotional, epistemic, and conditional benefits</w:t>
      </w:r>
      <w:r w:rsidR="00DA3EF6" w:rsidRPr="00E9004A">
        <w:rPr>
          <w:rStyle w:val="tlid-translation"/>
          <w:rFonts w:ascii="Times New Roman" w:hAnsi="Times New Roman"/>
          <w:sz w:val="22"/>
          <w:szCs w:val="22"/>
          <w:lang w:val="en"/>
        </w:rPr>
        <w:t xml:space="preserve"> </w:t>
      </w:r>
      <w:r w:rsidR="00DA3EF6" w:rsidRPr="00E9004A">
        <w:rPr>
          <w:rStyle w:val="tlid-translation"/>
          <w:rFonts w:ascii="Times New Roman" w:hAnsi="Times New Roman"/>
          <w:sz w:val="22"/>
          <w:szCs w:val="22"/>
          <w:lang w:val="en"/>
        </w:rPr>
        <w:fldChar w:fldCharType="begin" w:fldLock="1"/>
      </w:r>
      <w:r w:rsidR="00DA3EF6" w:rsidRPr="00E9004A">
        <w:rPr>
          <w:rStyle w:val="tlid-translation"/>
          <w:rFonts w:ascii="Times New Roman" w:hAnsi="Times New Roman"/>
          <w:sz w:val="22"/>
          <w:szCs w:val="22"/>
          <w:lang w:val="en"/>
        </w:rPr>
        <w:instrText>ADDIN CSL_CITATION {"citationItems":[{"id":"ITEM-1","itemData":{"DOI":"10.1016/j.jclepro.2019.06.350","ISSN":"09596526","abstract":"This study investigated the factors driving ethical consumption intentions and choice behavior among community-based buyers and non-buyers using the theory of consumption values. The moderating influence of buying involvement and environment concerns on all the studied relationships was also examined. Data were collected using structured questionnaire survey at different organic farmers' markets. A total of 282 community-centric organic buyers and 170 non-buyers participated in the study. Structural equation modelling approach was employed for data analysis. The results indicated the significant association of social, emotional, and epistemic values with ethical consumption intentions. Epistemic value was identified as the most important influencer towards both ethical consumption and choice behavior. Buyers and non-buyers were not significantly different. However, consumers with varying levels of environmental concerns were statistically different when it came to the associations of epistemic and price-related functional values and ethical consumption intentions. The study results could be utilized by managers and practitioners to target this niche market and promote organic food among the mainstream market. This may, in turn, lead to increased adoption of the cleaner production practices in terms of organic farming, which is beneficial for both people and the planet.","author":[{"dropping-particle":"","family":"Kushwah","given":"Shiksha","non-dropping-particle":"","parse-names":false,"suffix":""},{"dropping-particle":"","family":"Dhir","given":"Amandeep","non-dropping-particle":"","parse-names":false,"suffix":""},{"dropping-particle":"","family":"Sagar","given":"M.","non-dropping-particle":"","parse-names":false,"suffix":""}],"container-title":"Journal of Cleaner Production","id":"ITEM-1","issued":{"date-parts":[["2019"]]},"page":"117519","publisher":"Elsevier Ltd","title":"Ethical consumption intentions and choice behavior towards organic food. Moderation role of buying and environmental concerns","type":"article-journal","volume":"236"},"uris":["http://www.mendeley.com/documents/?uuid=0e889514-2f05-44db-b60e-3783241e72a5"]},{"id":"ITEM-2","itemData":{"DOI":"10.1016/j.jclepro.2020.120844","ISSN":"09596526","abstract":"The rise of pollution due to massive use of plastic products has increased public awareness in environmental protection through the increased consumption of eco-friendly plastic products. However, as its cost of production is expensive, the consumption of eco-friendly plastic product is low. In this business environment, understanding and developing a strategy to create customer loyalty is a key factor to ensure business success. Driven by this research gap, this study is intended to gain a comprehensive understanding of loyalty formation towards eco-friendly plastic products by integrating the trust and perceived risk in the loyalty model. This study used data collected through the distribution of questionnaires to 400 consumers of eco-friendly plastic products in Bandung, Indonesia. This research used partial least squares structural equation modelling to examine the hypotheses proposed. The results note that the integration of green trust and green perceived risk in the Quality-Loyalty Model can increase the prediction of loyalty towards eco-friendly plastic products. Further, this research reveals that green perceived quality and green perceived value are the main drivers of loyalty towards eco-friendly plastic product. The identified relationships between the variables provide a guide for eco-friendly business players to enhance their innovative and competitive capabilities as well as encourage them to face the environmental challenges.","author":[{"dropping-particle":"","family":"Pahlevi","given":"Mohamad Reza","non-dropping-particle":"","parse-names":false,"suffix":""},{"dropping-particle":"","family":"Suhartanto","given":"Dwi","non-dropping-particle":"","parse-names":false,"suffix":""}],"container-title":"Journal of Cleaner Production","id":"ITEM-2","issued":{"date-parts":[["2020"]]},"page":"120844","publisher":"Elsevier Ltd","title":"The integrated model of green loyalty: Evidence from eco-friendly plastic products","type":"article-journal","volume":"257"},"uris":["http://www.mendeley.com/documents/?uuid=be13e501-28ff-49c2-abb8-b0741f2520d9"]}],"mendeley":{"formattedCitation":"(Kushwah et al., 2019; Pahlevi &amp; Suhartanto, 2020)","plainTextFormattedCitation":"(Kushwah et al., 2019; Pahlevi &amp; Suhartanto, 2020)","previouslyFormattedCitation":"(Kushwah et al., 2019; Pahlevi &amp; Suhartanto, 2020)"},"properties":{"noteIndex":0},"schema":"https://github.com/citation-style-language/schema/raw/master/csl-citation.json"}</w:instrText>
      </w:r>
      <w:r w:rsidR="00DA3EF6" w:rsidRPr="00E9004A">
        <w:rPr>
          <w:rStyle w:val="tlid-translation"/>
          <w:rFonts w:ascii="Times New Roman" w:hAnsi="Times New Roman"/>
          <w:sz w:val="22"/>
          <w:szCs w:val="22"/>
          <w:lang w:val="en"/>
        </w:rPr>
        <w:fldChar w:fldCharType="separate"/>
      </w:r>
      <w:r w:rsidR="00DA3EF6" w:rsidRPr="00E9004A">
        <w:rPr>
          <w:rStyle w:val="tlid-translation"/>
          <w:rFonts w:ascii="Times New Roman" w:hAnsi="Times New Roman"/>
          <w:noProof/>
          <w:sz w:val="22"/>
          <w:szCs w:val="22"/>
          <w:lang w:val="en"/>
        </w:rPr>
        <w:t>(Kushwah et al., 2019; Pahlevi &amp; Suhartanto, 2020)</w:t>
      </w:r>
      <w:r w:rsidR="00DA3EF6" w:rsidRPr="00E9004A">
        <w:rPr>
          <w:rStyle w:val="tlid-translation"/>
          <w:rFonts w:ascii="Times New Roman" w:hAnsi="Times New Roman"/>
          <w:sz w:val="22"/>
          <w:szCs w:val="22"/>
          <w:lang w:val="en"/>
        </w:rPr>
        <w:fldChar w:fldCharType="end"/>
      </w:r>
      <w:r w:rsidR="008B7024" w:rsidRPr="00E9004A">
        <w:rPr>
          <w:rStyle w:val="tlid-translation"/>
          <w:rFonts w:ascii="Times New Roman" w:hAnsi="Times New Roman"/>
          <w:sz w:val="22"/>
          <w:szCs w:val="22"/>
          <w:lang w:val="en"/>
        </w:rPr>
        <w:t xml:space="preserve">. </w:t>
      </w:r>
      <w:r w:rsidR="008B7024" w:rsidRPr="00E9004A">
        <w:rPr>
          <w:rStyle w:val="tlid-translation"/>
          <w:rFonts w:ascii="Times New Roman" w:hAnsi="Times New Roman"/>
          <w:sz w:val="22"/>
          <w:szCs w:val="22"/>
          <w:lang w:val="en"/>
        </w:rPr>
        <w:fldChar w:fldCharType="begin" w:fldLock="1"/>
      </w:r>
      <w:r w:rsidR="008B7024" w:rsidRPr="00E9004A">
        <w:rPr>
          <w:rStyle w:val="tlid-translation"/>
          <w:rFonts w:ascii="Times New Roman" w:hAnsi="Times New Roman"/>
          <w:sz w:val="22"/>
          <w:szCs w:val="22"/>
          <w:lang w:val="en"/>
        </w:rPr>
        <w:instrText>ADDIN CSL_CITATION {"citationItems":[{"id":"ITEM-1","itemData":{"DOI":"10.1007/s11356-020-11027-0","ISSN":"16147499","PMID":"33029772","abstract":"In order to effectively promoting green consumption, this paper constructs a theoretical model from the perspective of double-entry mental accounting to study the impact of perceived value and consumption sensitivity on green consumption intention. Conducting a large-scale empirical study, we analyzed the influence of perceived value on green consumption intention, tested the mediating effect of double-entry mental accounting, and explored the moderating effect of consumption sensitivity on perceived value and green consumption intention. The results indicate that perceived benefits are significantly positively correlated with green consumption intention, and perceived sacrifices are significantly negatively correlated with green consumption intention. In addition, perceived benefits have a greater impact on green consumption intention than perceived sacrifices. Double-entry mental accounting plays a significant mediating role on the path from perceived value to green consumption intention. Compared with the mediating effect of the coefficient of pleasure attenuation and the coefficient of pain buffering, the mediating effect of coefficient of pleasure attenuation is stronger and the mediating path is more important. This study concludes that individuals with lower consumption sensitivity are more willing to buy green products. When consumption sensitivity is lower, the negative correlation between perceived sacrifices and green consumption intention is stronger. Finally, corresponding policies are proposed based on the results of this study.","author":[{"dropping-particle":"","family":"Yue","given":"Ting","non-dropping-particle":"","parse-names":false,"suffix":""},{"dropping-particle":"","family":"Liu","given":"Junli","non-dropping-particle":"","parse-names":false,"suffix":""},{"dropping-particle":"","family":"Long","given":"Ruyin","non-dropping-particle":"","parse-names":false,"suffix":""},{"dropping-particle":"","family":"Chen","given":"Hong","non-dropping-particle":"","parse-names":false,"suffix":""},{"dropping-particle":"","family":"Li","given":"Qianwen","non-dropping-particle":"","parse-names":false,"suffix":""},{"dropping-particle":"","family":"Liu","given":"Haiwen","non-dropping-particle":"","parse-names":false,"suffix":""},{"dropping-particle":"","family":"Gu","given":"Yu","non-dropping-particle":"","parse-names":false,"suffix":""}],"container-title":"Environmental Science and Pollution Research","id":"ITEM-1","issue":"6","issued":{"date-parts":[["2020"]]},"page":"7236-7248","title":"Effects of perceived value on green consumption intention based on double-entry mental accounting: taking energy-efficient appliance purchase as an example","type":"article-journal","volume":"28"},"uris":["http://www.mendeley.com/documents/?uuid=1750afe0-748b-453c-a023-9b2841ed93a5"]}],"mendeley":{"formattedCitation":"(Yue et al., 2020)","plainTextFormattedCitation":"(Yue et al., 2020)","previouslyFormattedCitation":"(Yue et al., 2020)"},"properties":{"noteIndex":0},"schema":"https://github.com/citation-style-language/schema/raw/master/csl-citation.json"}</w:instrText>
      </w:r>
      <w:r w:rsidR="008B7024" w:rsidRPr="00E9004A">
        <w:rPr>
          <w:rStyle w:val="tlid-translation"/>
          <w:rFonts w:ascii="Times New Roman" w:hAnsi="Times New Roman"/>
          <w:sz w:val="22"/>
          <w:szCs w:val="22"/>
          <w:lang w:val="en"/>
        </w:rPr>
        <w:fldChar w:fldCharType="separate"/>
      </w:r>
      <w:r w:rsidR="008B7024" w:rsidRPr="00E9004A">
        <w:rPr>
          <w:rStyle w:val="tlid-translation"/>
          <w:rFonts w:ascii="Times New Roman" w:hAnsi="Times New Roman"/>
          <w:noProof/>
          <w:sz w:val="22"/>
          <w:szCs w:val="22"/>
          <w:lang w:val="en"/>
        </w:rPr>
        <w:t>(Yue et al., 2020)</w:t>
      </w:r>
      <w:r w:rsidR="008B7024" w:rsidRPr="00E9004A">
        <w:rPr>
          <w:rStyle w:val="tlid-translation"/>
          <w:rFonts w:ascii="Times New Roman" w:hAnsi="Times New Roman"/>
          <w:sz w:val="22"/>
          <w:szCs w:val="22"/>
          <w:lang w:val="en"/>
        </w:rPr>
        <w:fldChar w:fldCharType="end"/>
      </w:r>
      <w:r w:rsidRPr="00E9004A">
        <w:rPr>
          <w:rStyle w:val="tlid-translation"/>
          <w:rFonts w:ascii="Times New Roman" w:hAnsi="Times New Roman"/>
          <w:sz w:val="22"/>
          <w:szCs w:val="22"/>
          <w:lang w:val="en"/>
        </w:rPr>
        <w:t xml:space="preserve"> found that green perceived value contributes to green consumption intentions, with social value being a key factor in shaping customer satisfaction. Green consumers tend to </w:t>
      </w:r>
      <w:r w:rsidRPr="00E9004A">
        <w:rPr>
          <w:rStyle w:val="tlid-translation"/>
          <w:rFonts w:ascii="Times New Roman" w:hAnsi="Times New Roman"/>
          <w:sz w:val="22"/>
          <w:szCs w:val="22"/>
          <w:lang w:val="en"/>
        </w:rPr>
        <w:lastRenderedPageBreak/>
        <w:t>associate eco-friendly product consumption with positive social identity</w:t>
      </w:r>
      <w:r w:rsidR="008B7024" w:rsidRPr="00E9004A">
        <w:rPr>
          <w:rStyle w:val="tlid-translation"/>
          <w:rFonts w:ascii="Times New Roman" w:hAnsi="Times New Roman"/>
          <w:sz w:val="22"/>
          <w:szCs w:val="22"/>
          <w:lang w:val="en"/>
        </w:rPr>
        <w:t xml:space="preserve"> </w:t>
      </w:r>
      <w:r w:rsidR="008B7024" w:rsidRPr="00E9004A">
        <w:rPr>
          <w:rStyle w:val="tlid-translation"/>
          <w:rFonts w:ascii="Times New Roman" w:hAnsi="Times New Roman"/>
          <w:sz w:val="22"/>
          <w:szCs w:val="22"/>
          <w:lang w:val="en"/>
        </w:rPr>
        <w:fldChar w:fldCharType="begin" w:fldLock="1"/>
      </w:r>
      <w:r w:rsidR="008B7024" w:rsidRPr="00E9004A">
        <w:rPr>
          <w:rStyle w:val="tlid-translation"/>
          <w:rFonts w:ascii="Times New Roman" w:hAnsi="Times New Roman"/>
          <w:sz w:val="22"/>
          <w:szCs w:val="22"/>
          <w:lang w:val="en"/>
        </w:rPr>
        <w:instrText>ADDIN CSL_CITATION {"citationItems":[{"id":"ITEM-1","itemData":{"DOI":"10.1016/j.jclepro.2017.02.187","ISSN":"09596526","abstract":"Using the theory of consumption values, this research proposes to explore the consumer choice behavior for green products in Pakistan. Functional value (price and quality), social value, conditional value, epistemic value, and emotional value and environmental value were used to study the consumer choice behavior for green products. It also gauges the extent to which emotional value moderates the impact of other consumption values on green product consumer choice behavior. Based on a sample of 260 respondents, the results indicate that functional value (price), social value and environmental value have a positive impact on green product consumer choice behavior, while conditional value and epistemic value have a negative effect. Functional value (quality) and emotional value do not influence green product consumer choice behavior. As a moderator, emotional value has a significant effect on the role of functional value, social value, conditional value, epistemic value and environmental value. This confirms and significantly adds to the literature of green product consumer choice behavior in a developing market.","author":[{"dropping-particle":"","family":"Khan","given":"Shamila Nabi","non-dropping-particle":"","parse-names":false,"suffix":""},{"dropping-particle":"","family":"Mohsin","given":"Muhammad","non-dropping-particle":"","parse-names":false,"suffix":""}],"container-title":"Journal of Cleaner Production","id":"ITEM-1","issued":{"date-parts":[["2017"]]},"page":"65-74","publisher":"Elsevier B.V.","title":"The power of emotional value: Exploring the effects of values on green product consumer choice behavior","type":"article-journal","volume":"150"},"uris":["http://www.mendeley.com/documents/?uuid=5a1e7555-1456-440f-8dc9-7802bc6d02c8"]}],"mendeley":{"formattedCitation":"(Khan &amp; Mohsin, 2017)","plainTextFormattedCitation":"(Khan &amp; Mohsin, 2017)","previouslyFormattedCitation":"(Khan &amp; Mohsin, 2017)"},"properties":{"noteIndex":0},"schema":"https://github.com/citation-style-language/schema/raw/master/csl-citation.json"}</w:instrText>
      </w:r>
      <w:r w:rsidR="008B7024" w:rsidRPr="00E9004A">
        <w:rPr>
          <w:rStyle w:val="tlid-translation"/>
          <w:rFonts w:ascii="Times New Roman" w:hAnsi="Times New Roman"/>
          <w:sz w:val="22"/>
          <w:szCs w:val="22"/>
          <w:lang w:val="en"/>
        </w:rPr>
        <w:fldChar w:fldCharType="separate"/>
      </w:r>
      <w:r w:rsidR="008B7024" w:rsidRPr="00E9004A">
        <w:rPr>
          <w:rStyle w:val="tlid-translation"/>
          <w:rFonts w:ascii="Times New Roman" w:hAnsi="Times New Roman"/>
          <w:noProof/>
          <w:sz w:val="22"/>
          <w:szCs w:val="22"/>
          <w:lang w:val="en"/>
        </w:rPr>
        <w:t>(Khan &amp; Mohsin, 2017)</w:t>
      </w:r>
      <w:r w:rsidR="008B7024" w:rsidRPr="00E9004A">
        <w:rPr>
          <w:rStyle w:val="tlid-translation"/>
          <w:rFonts w:ascii="Times New Roman" w:hAnsi="Times New Roman"/>
          <w:sz w:val="22"/>
          <w:szCs w:val="22"/>
          <w:lang w:val="en"/>
        </w:rPr>
        <w:fldChar w:fldCharType="end"/>
      </w:r>
      <w:r w:rsidR="008B7024" w:rsidRPr="00E9004A">
        <w:rPr>
          <w:rStyle w:val="tlid-translation"/>
          <w:rFonts w:ascii="Times New Roman" w:hAnsi="Times New Roman"/>
          <w:sz w:val="22"/>
          <w:szCs w:val="22"/>
          <w:lang w:val="en"/>
        </w:rPr>
        <w:t>.</w:t>
      </w:r>
      <w:r w:rsidRPr="00E9004A">
        <w:rPr>
          <w:rStyle w:val="tlid-translation"/>
          <w:rFonts w:ascii="Times New Roman" w:hAnsi="Times New Roman"/>
          <w:sz w:val="22"/>
          <w:szCs w:val="22"/>
          <w:lang w:val="en"/>
        </w:rPr>
        <w:t xml:space="preserve"> Moreover, customer satisfaction with green products is influenced by the balance between price, time, and effort spent compared to the benefits received </w:t>
      </w:r>
      <w:r w:rsidR="008B7024" w:rsidRPr="00E9004A">
        <w:rPr>
          <w:rStyle w:val="tlid-translation"/>
          <w:rFonts w:ascii="Times New Roman" w:hAnsi="Times New Roman"/>
          <w:sz w:val="22"/>
          <w:szCs w:val="22"/>
          <w:lang w:val="en"/>
        </w:rPr>
        <w:fldChar w:fldCharType="begin" w:fldLock="1"/>
      </w:r>
      <w:r w:rsidR="00E846F2" w:rsidRPr="00E9004A">
        <w:rPr>
          <w:rStyle w:val="tlid-translation"/>
          <w:rFonts w:ascii="Times New Roman" w:hAnsi="Times New Roman"/>
          <w:sz w:val="22"/>
          <w:szCs w:val="22"/>
          <w:lang w:val="en"/>
        </w:rPr>
        <w:instrText>ADDIN CSL_CITATION {"citationItems":[{"id":"ITEM-1","itemData":{"DOI":"10.22587/anas.2020.14.2.8","abstract":"… It discusses the mass market to pay attention to green products which include … Trust Memediasi Green Perceived Value Dan Green Perceived Risk Terhadap Green Repurchase Intention … The Influence of Green Marketing on Green Satisfaction Mediated By Perceived Quality and …","author":[{"dropping-particle":"","family":"Yusiana","given":"Rennyta","non-dropping-particle":"","parse-names":false,"suffix":""},{"dropping-particle":"","family":"Widodo","given":"Arry","non-dropping-particle":"","parse-names":false,"suffix":""}],"container-title":"Advances in Natural and Applied Sciences","id":"ITEM-1","issue":"2","issued":{"date-parts":[["2020"]]},"page":"55-62","title":"Green perceived value and green satisfaction to green trust rumah Karung Goni consumers","type":"article-journal","volume":"14"},"uris":["http://www.mendeley.com/documents/?uuid=c401d41d-f79f-462b-9613-37ea05f01582"]},{"id":"ITEM-2","itemData":{"author":[{"dropping-particle":"","family":"Fauziyah","given":"Nafilah","non-dropping-particle":"","parse-names":false,"suffix":""},{"dropping-particle":"","family":"Mugiono","given":"","non-dropping-particle":"","parse-names":false,"suffix":""},{"dropping-particle":"","family":"Sudjatno","given":"","non-dropping-particle":"","parse-names":false,"suffix":""}],"container-title":"International Journal of Economic, Business, Accounting, Agriculture Management and Sharia Administration (IJEBAS)","id":"ITEM-2","issue":"6","issued":{"date-parts":[["2023"]]},"page":"2051-2058","title":"The Effects of Green Perceived Value on Green Customer Loyalty Through Green Satisfaction and Green Trust (A Study of the Users of Avoskin Skincare Product in Malang City)","type":"article-journal","volume":"3"},"uris":["http://www.mendeley.com/documents/?uuid=f2134d77-c11a-40d4-90b3-182b40925833"]}],"mendeley":{"formattedCitation":"(Fauziyah et al., 2023; Yusiana &amp; Widodo, 2020)","plainTextFormattedCitation":"(Fauziyah et al., 2023; Yusiana &amp; Widodo, 2020)","previouslyFormattedCitation":"(Fauziyah et al., 2023; Yusiana &amp; Widodo, 2020)"},"properties":{"noteIndex":0},"schema":"https://github.com/citation-style-language/schema/raw/master/csl-citation.json"}</w:instrText>
      </w:r>
      <w:r w:rsidR="008B7024" w:rsidRPr="00E9004A">
        <w:rPr>
          <w:rStyle w:val="tlid-translation"/>
          <w:rFonts w:ascii="Times New Roman" w:hAnsi="Times New Roman"/>
          <w:sz w:val="22"/>
          <w:szCs w:val="22"/>
          <w:lang w:val="en"/>
        </w:rPr>
        <w:fldChar w:fldCharType="separate"/>
      </w:r>
      <w:r w:rsidR="008B7024" w:rsidRPr="00E9004A">
        <w:rPr>
          <w:rStyle w:val="tlid-translation"/>
          <w:rFonts w:ascii="Times New Roman" w:hAnsi="Times New Roman"/>
          <w:noProof/>
          <w:sz w:val="22"/>
          <w:szCs w:val="22"/>
          <w:lang w:val="en"/>
        </w:rPr>
        <w:t>(Fauziyah et al., 2023; Yusiana &amp; Widodo, 2020)</w:t>
      </w:r>
      <w:r w:rsidR="008B7024" w:rsidRPr="00E9004A">
        <w:rPr>
          <w:rStyle w:val="tlid-translation"/>
          <w:rFonts w:ascii="Times New Roman" w:hAnsi="Times New Roman"/>
          <w:sz w:val="22"/>
          <w:szCs w:val="22"/>
          <w:lang w:val="en"/>
        </w:rPr>
        <w:fldChar w:fldCharType="end"/>
      </w:r>
      <w:r w:rsidR="008B7024" w:rsidRPr="00E9004A">
        <w:rPr>
          <w:rStyle w:val="tlid-translation"/>
          <w:rFonts w:ascii="Times New Roman" w:hAnsi="Times New Roman"/>
          <w:sz w:val="22"/>
          <w:szCs w:val="22"/>
          <w:lang w:val="en"/>
        </w:rPr>
        <w:t>.</w:t>
      </w:r>
      <w:r w:rsidRPr="00E9004A">
        <w:rPr>
          <w:rStyle w:val="tlid-translation"/>
          <w:rFonts w:ascii="Times New Roman" w:hAnsi="Times New Roman"/>
          <w:sz w:val="22"/>
          <w:szCs w:val="22"/>
          <w:lang w:val="en"/>
        </w:rPr>
        <w:t xml:space="preserve"> Products with high environmental value increase consumer trust in the brand</w:t>
      </w:r>
      <w:r w:rsidR="00E846F2" w:rsidRPr="00E9004A">
        <w:rPr>
          <w:rStyle w:val="tlid-translation"/>
          <w:rFonts w:ascii="Times New Roman" w:hAnsi="Times New Roman"/>
          <w:sz w:val="22"/>
          <w:szCs w:val="22"/>
          <w:lang w:val="en"/>
        </w:rPr>
        <w:t xml:space="preserve"> </w:t>
      </w:r>
      <w:r w:rsidR="00E846F2" w:rsidRPr="00E9004A">
        <w:rPr>
          <w:rStyle w:val="tlid-translation"/>
          <w:rFonts w:ascii="Times New Roman" w:hAnsi="Times New Roman"/>
          <w:sz w:val="22"/>
          <w:szCs w:val="22"/>
          <w:lang w:val="en"/>
        </w:rPr>
        <w:fldChar w:fldCharType="begin" w:fldLock="1"/>
      </w:r>
      <w:r w:rsidR="00E846F2" w:rsidRPr="00E9004A">
        <w:rPr>
          <w:rStyle w:val="tlid-translation"/>
          <w:rFonts w:ascii="Times New Roman" w:hAnsi="Times New Roman"/>
          <w:sz w:val="22"/>
          <w:szCs w:val="22"/>
          <w:lang w:val="en"/>
        </w:rPr>
        <w:instrText>ADDIN CSL_CITATION {"citationItems":[{"id":"ITEM-1","itemData":{"DOI":"10.3390/su141710580","ISSN":"20711050","abstract":"Green marketing is currently one of the most powerful strategies in the corporate world as it responds to a growing demand for green products. Therefore, this study aims to analyse the influence of green perceived value on green trust and green satisfaction, study how both variables impact green word of mouth in turn and, at the same time, how the three variables influence green purchase intention. Data collection was carried out through a digital survey of buyers of green products. The hypotheses posed were solved with a PLS-SEM model through the Smart-PLS software. The results showed that green perceived value positively affects green trust and green satisfaction. Furthermore, green satisfaction was found to influence green trust and green WOM. Green trust also influences green WOM. Regarding the antecedents of green purchase intention, only green satisfaction and green trust showed a positive relationship. In contrast, green WOM did not show a relationship with green purchase intention. The article shows the importance of green satisfaction for green companies in achieving green purchase intention, green WOM and green trust. Green perceived value is also an important variable, as it is the trigger for the process that leads to green purchase intention.","author":[{"dropping-particle":"","family":"Román-Augusto","given":"Jose Antonio","non-dropping-particle":"","parse-names":false,"suffix":""},{"dropping-particle":"","family":"Garrido-Lecca-Vera","given":"Camila","non-dropping-particle":"","parse-names":false,"suffix":""},{"dropping-particle":"","family":"Lodeiros-Zubiria","given":"Manuel Luis","non-dropping-particle":"","parse-names":false,"suffix":""},{"dropping-particle":"","family":"Mauricio-Andia","given":"Martin","non-dropping-particle":"","parse-names":false,"suffix":""}],"container-title":"Sustainability (Switzerland)","id":"ITEM-1","issue":"17","issued":{"date-parts":[["2022"]]},"title":"Green Marketing: Drivers in the Process of Buying Green Products—The Role of Green Satisfaction, Green Trust, Green WOM and Green Perceived Value","type":"article-journal","volume":"14"},"uris":["http://www.mendeley.com/documents/?uuid=c4f27f64-72b9-4ba8-8886-66d9012f363e"]}],"mendeley":{"formattedCitation":"(Román-Augusto et al., 2022)","plainTextFormattedCitation":"(Román-Augusto et al., 2022)","previouslyFormattedCitation":"(Román-Augusto et al., 2022)"},"properties":{"noteIndex":0},"schema":"https://github.com/citation-style-language/schema/raw/master/csl-citation.json"}</w:instrText>
      </w:r>
      <w:r w:rsidR="00E846F2" w:rsidRPr="00E9004A">
        <w:rPr>
          <w:rStyle w:val="tlid-translation"/>
          <w:rFonts w:ascii="Times New Roman" w:hAnsi="Times New Roman"/>
          <w:sz w:val="22"/>
          <w:szCs w:val="22"/>
          <w:lang w:val="en"/>
        </w:rPr>
        <w:fldChar w:fldCharType="separate"/>
      </w:r>
      <w:r w:rsidR="00E846F2" w:rsidRPr="00E9004A">
        <w:rPr>
          <w:rStyle w:val="tlid-translation"/>
          <w:rFonts w:ascii="Times New Roman" w:hAnsi="Times New Roman"/>
          <w:noProof/>
          <w:sz w:val="22"/>
          <w:szCs w:val="22"/>
          <w:lang w:val="en"/>
        </w:rPr>
        <w:t>(Román-Augusto et al., 2022)</w:t>
      </w:r>
      <w:r w:rsidR="00E846F2" w:rsidRPr="00E9004A">
        <w:rPr>
          <w:rStyle w:val="tlid-translation"/>
          <w:rFonts w:ascii="Times New Roman" w:hAnsi="Times New Roman"/>
          <w:sz w:val="22"/>
          <w:szCs w:val="22"/>
          <w:lang w:val="en"/>
        </w:rPr>
        <w:fldChar w:fldCharType="end"/>
      </w:r>
      <w:r w:rsidR="00E846F2" w:rsidRPr="00E9004A">
        <w:rPr>
          <w:rStyle w:val="tlid-translation"/>
          <w:rFonts w:ascii="Times New Roman" w:hAnsi="Times New Roman"/>
          <w:sz w:val="22"/>
          <w:szCs w:val="22"/>
          <w:lang w:val="en"/>
        </w:rPr>
        <w:t>.</w:t>
      </w:r>
      <w:r w:rsidRPr="00E9004A">
        <w:rPr>
          <w:rStyle w:val="tlid-translation"/>
          <w:rFonts w:ascii="Times New Roman" w:hAnsi="Times New Roman"/>
          <w:sz w:val="22"/>
          <w:szCs w:val="22"/>
          <w:lang w:val="en"/>
        </w:rPr>
        <w:t xml:space="preserve"> Consumers are more satisfied when the environmental, social, and emotional benefits they receive align with the price they pay, even though concerns about quality and pricing persist </w:t>
      </w:r>
      <w:r w:rsidR="00E846F2" w:rsidRPr="00E9004A">
        <w:rPr>
          <w:rStyle w:val="tlid-translation"/>
          <w:rFonts w:ascii="Times New Roman" w:hAnsi="Times New Roman"/>
          <w:sz w:val="22"/>
          <w:szCs w:val="22"/>
          <w:lang w:val="en"/>
        </w:rPr>
        <w:fldChar w:fldCharType="begin" w:fldLock="1"/>
      </w:r>
      <w:r w:rsidR="004144B0" w:rsidRPr="00E9004A">
        <w:rPr>
          <w:rStyle w:val="tlid-translation"/>
          <w:rFonts w:ascii="Times New Roman" w:hAnsi="Times New Roman"/>
          <w:sz w:val="22"/>
          <w:szCs w:val="22"/>
          <w:lang w:val="en"/>
        </w:rPr>
        <w:instrText>ADDIN CSL_CITATION {"citationItems":[{"id":"ITEM-1","itemData":{"abstract":"The study aims to determine the effect of Green Perceived Valueand perception of green risk towards customer loyalty through customer satisfaction. This research is quantitative research using descriptive research and design explanations. The population in this study was at The Body Shop customers in Malang. The samples taken in this study were 104 respondents. Calculated using Daniel &amp; Terrel. Then the instrument feasibility test uses validity and reliability tests. The analytical techniques use descriptive statistical analysis and partial analytical least squares (PLS). The results showed that Green Perceived Value has positive and significant effect on customer satisfaction, then customer satisfaction has positive and significant effect on customer loyalty, then Green Perceived Value has positive and significant effect on customer loyalty, and Green Perceived Valuehas positive and significant effect on customer loyalty through customer satisfaction, as well as Green Perceived Risk has positive and significant effect on customer satisfaction , therefore, the green risk has negative effect and a significant to customer loyalty, then Green Perceived Risk has positive and significant effect on customer loyalty through customer satisfaction","author":[{"dropping-particle":"","family":"Amin","given":"Zaqqi","non-dropping-particle":"Al","parse-names":false,"suffix":""},{"dropping-particle":"","family":"Dhewi","given":"Titis Shinta","non-dropping-particle":"","parse-names":false,"suffix":""}],"container-title":"Advances in Economics, Business and Management Research","id":"ITEM-1","issue":"1","issued":{"date-parts":[["2021"]]},"page":"285-290","title":"How Green Perceived Value and Green Perceived Risk Influence Customer Loyalty Through Customer Satisfaction","type":"article-journal","volume":"193"},"uris":["http://www.mendeley.com/documents/?uuid=b957c892-a27e-4344-ba0d-c98f230ae4a0"]}],"mendeley":{"formattedCitation":"(Al Amin &amp; Dhewi, 2021)","plainTextFormattedCitation":"(Al Amin &amp; Dhewi, 2021)","previouslyFormattedCitation":"(Al Amin &amp; Dhewi, 2021)"},"properties":{"noteIndex":0},"schema":"https://github.com/citation-style-language/schema/raw/master/csl-citation.json"}</w:instrText>
      </w:r>
      <w:r w:rsidR="00E846F2" w:rsidRPr="00E9004A">
        <w:rPr>
          <w:rStyle w:val="tlid-translation"/>
          <w:rFonts w:ascii="Times New Roman" w:hAnsi="Times New Roman"/>
          <w:sz w:val="22"/>
          <w:szCs w:val="22"/>
          <w:lang w:val="en"/>
        </w:rPr>
        <w:fldChar w:fldCharType="separate"/>
      </w:r>
      <w:r w:rsidR="00E846F2" w:rsidRPr="00E9004A">
        <w:rPr>
          <w:rStyle w:val="tlid-translation"/>
          <w:rFonts w:ascii="Times New Roman" w:hAnsi="Times New Roman"/>
          <w:noProof/>
          <w:sz w:val="22"/>
          <w:szCs w:val="22"/>
          <w:lang w:val="en"/>
        </w:rPr>
        <w:t>(Al Amin &amp; Dhewi, 2021)</w:t>
      </w:r>
      <w:r w:rsidR="00E846F2" w:rsidRPr="00E9004A">
        <w:rPr>
          <w:rStyle w:val="tlid-translation"/>
          <w:rFonts w:ascii="Times New Roman" w:hAnsi="Times New Roman"/>
          <w:sz w:val="22"/>
          <w:szCs w:val="22"/>
          <w:lang w:val="en"/>
        </w:rPr>
        <w:fldChar w:fldCharType="end"/>
      </w:r>
      <w:r w:rsidR="008F6259" w:rsidRPr="00E9004A">
        <w:rPr>
          <w:rStyle w:val="tlid-translation"/>
          <w:rFonts w:ascii="Times New Roman" w:hAnsi="Times New Roman"/>
          <w:sz w:val="22"/>
          <w:szCs w:val="22"/>
          <w:lang w:val="en"/>
        </w:rPr>
        <w:t xml:space="preserve">. </w:t>
      </w:r>
      <w:r w:rsidR="00E9004A" w:rsidRPr="00E9004A">
        <w:rPr>
          <w:rStyle w:val="tlid-translation"/>
          <w:rFonts w:ascii="Times New Roman" w:hAnsi="Times New Roman"/>
          <w:sz w:val="22"/>
          <w:szCs w:val="22"/>
          <w:lang w:val="en"/>
        </w:rPr>
        <w:fldChar w:fldCharType="begin" w:fldLock="1"/>
      </w:r>
      <w:r w:rsidR="00D156B7">
        <w:rPr>
          <w:rStyle w:val="tlid-translation"/>
          <w:rFonts w:ascii="Times New Roman" w:hAnsi="Times New Roman"/>
          <w:sz w:val="22"/>
          <w:szCs w:val="22"/>
          <w:lang w:val="en"/>
        </w:rPr>
        <w:instrText>ADDIN CSL_CITATION {"citationItems":[{"id":"ITEM-1","itemData":{"DOI":"10.18415/ijmmu.v8i5.2670","ISSN":"2364-5369","abstract":"The purpose of this study was to build an understanding of the influence of utilitarian values and hedonic values on customer satisfaction and customer loyalty at hypermarket in Pamekasan Regency, Jawatimur Province, Indonesia. Type of research is Explanatory Research. Data collection using a questionnaire. The sampling technique used purposive sampling. The number of samples was 250 consumers and data analysis used the Structural Equation Model (SEM) with AMOS software. The results of this study indicate utilitarian value and hedonic value have a positive and significant effect on customer satisfaction and customer satisfaction has a positive and significant effect on customer loyalty and Demographic variables have a significant differences on each variable partially.","author":[{"dropping-particle":"","family":"Zainurrafiqi","given":"Zainurrafiqi","non-dropping-particle":"","parse-names":false,"suffix":""},{"dropping-particle":"","family":"Amar","given":"Siti Salama","non-dropping-particle":"","parse-names":false,"suffix":""},{"dropping-particle":"","family":"Rohmaniyah","given":"Rohmaniyah","non-dropping-particle":"","parse-names":false,"suffix":""},{"dropping-particle":"","family":"Aristin","given":"Rini","non-dropping-particle":"","parse-names":false,"suffix":""},{"dropping-particle":"","family":"Muchtar","given":"R.P.Much","non-dropping-particle":"","parse-names":false,"suffix":""},{"dropping-particle":"","family":"Rusnani","given":"Rusnani","non-dropping-particle":"","parse-names":false,"suffix":""},{"dropping-particle":"","family":"Arifin","given":"Miftahol","non-dropping-particle":"","parse-names":false,"suffix":""},{"dropping-particle":"","family":"Hadi","given":"Abdul","non-dropping-particle":"","parse-names":false,"suffix":""},{"dropping-particle":"","family":"Bangsa","given":"Kusik Kusuma","non-dropping-particle":"","parse-names":false,"suffix":""},{"dropping-particle":"","family":"Hidayati","given":"Nurul","non-dropping-particle":"","parse-names":false,"suffix":""}],"container-title":"International Journal of Multicultural and Multireligious Understanding","id":"ITEM-1","issue":"5","issued":{"date-parts":[["2021"]]},"page":"291","title":"The Effect of Utilitarian Value and Hedonic Value on Customer Loyalty with Customer Satisfaction As an Intervening Variable: Empirical Evidence from Indonesia","type":"article-journal","volume":"8"},"uris":["http://www.mendeley.com/documents/?uuid=9a591cc7-80cd-4a71-aeb5-0f82406c2755"]}],"mendeley":{"formattedCitation":"(Zainurrafiqi et al., 2021)","plainTextFormattedCitation":"(Zainurrafiqi et al., 2021)","previouslyFormattedCitation":"(Zainurrafiqi et al., 2021)"},"properties":{"noteIndex":0},"schema":"https://github.com/citation-style-language/schema/raw/master/csl-citation.json"}</w:instrText>
      </w:r>
      <w:r w:rsidR="00E9004A" w:rsidRPr="00E9004A">
        <w:rPr>
          <w:rStyle w:val="tlid-translation"/>
          <w:rFonts w:ascii="Times New Roman" w:hAnsi="Times New Roman"/>
          <w:sz w:val="22"/>
          <w:szCs w:val="22"/>
          <w:lang w:val="en"/>
        </w:rPr>
        <w:fldChar w:fldCharType="separate"/>
      </w:r>
      <w:r w:rsidR="00E9004A" w:rsidRPr="00E9004A">
        <w:rPr>
          <w:rStyle w:val="tlid-translation"/>
          <w:rFonts w:ascii="Times New Roman" w:hAnsi="Times New Roman"/>
          <w:noProof/>
          <w:sz w:val="22"/>
          <w:szCs w:val="22"/>
          <w:lang w:val="en"/>
        </w:rPr>
        <w:t>(Zainurrafiqi et al., 2021)</w:t>
      </w:r>
      <w:r w:rsidR="00E9004A" w:rsidRPr="00E9004A">
        <w:rPr>
          <w:rStyle w:val="tlid-translation"/>
          <w:rFonts w:ascii="Times New Roman" w:hAnsi="Times New Roman"/>
          <w:sz w:val="22"/>
          <w:szCs w:val="22"/>
          <w:lang w:val="en"/>
        </w:rPr>
        <w:fldChar w:fldCharType="end"/>
      </w:r>
      <w:r w:rsidRPr="007F5B19">
        <w:rPr>
          <w:rStyle w:val="tlid-translation"/>
          <w:rFonts w:ascii="Times New Roman" w:hAnsi="Times New Roman"/>
          <w:sz w:val="22"/>
          <w:szCs w:val="22"/>
          <w:lang w:val="en"/>
        </w:rPr>
        <w:t xml:space="preserve"> further confirmed that functional, social, and emotional values contribute to customer satisfaction, emphasizing the need for brands to ensure real benefits, foster community engagement, and create positive consumer experiences.</w:t>
      </w:r>
    </w:p>
    <w:p w14:paraId="58FEAA62" w14:textId="08290FDF" w:rsidR="005668B1" w:rsidRPr="007F5B19" w:rsidRDefault="005668B1" w:rsidP="005668B1">
      <w:pPr>
        <w:pStyle w:val="Els-body-text"/>
        <w:rPr>
          <w:rStyle w:val="tlid-translation"/>
          <w:rFonts w:ascii="Times New Roman" w:hAnsi="Times New Roman"/>
          <w:sz w:val="22"/>
          <w:szCs w:val="22"/>
          <w:lang w:val="en"/>
        </w:rPr>
      </w:pPr>
      <w:r w:rsidRPr="007F5B19">
        <w:rPr>
          <w:rStyle w:val="tlid-translation"/>
          <w:rFonts w:ascii="Times New Roman" w:hAnsi="Times New Roman"/>
          <w:sz w:val="22"/>
          <w:szCs w:val="22"/>
          <w:lang w:val="en"/>
        </w:rPr>
        <w:t>Hypothesis 4 is accepted, confirm that environmental concern has a significant positive effect on green satisfaction (Y). Attitudes, personal norms, and consumer awareness of environmental issues, such as pollution and resource conservation, drive pro-environmental behaviors, including the purchase of green products</w:t>
      </w:r>
      <w:r w:rsidR="004144B0">
        <w:rPr>
          <w:rStyle w:val="tlid-translation"/>
          <w:rFonts w:ascii="Times New Roman" w:hAnsi="Times New Roman"/>
          <w:sz w:val="22"/>
          <w:szCs w:val="22"/>
          <w:lang w:val="en"/>
        </w:rPr>
        <w:t xml:space="preserve"> </w:t>
      </w:r>
      <w:r w:rsidR="004144B0">
        <w:rPr>
          <w:rStyle w:val="tlid-translation"/>
          <w:rFonts w:ascii="Times New Roman" w:hAnsi="Times New Roman"/>
          <w:sz w:val="22"/>
          <w:szCs w:val="22"/>
          <w:lang w:val="en"/>
        </w:rPr>
        <w:fldChar w:fldCharType="begin" w:fldLock="1"/>
      </w:r>
      <w:r w:rsidR="00ED62D8">
        <w:rPr>
          <w:rStyle w:val="tlid-translation"/>
          <w:rFonts w:ascii="Times New Roman" w:hAnsi="Times New Roman"/>
          <w:sz w:val="22"/>
          <w:szCs w:val="22"/>
          <w:lang w:val="en"/>
        </w:rPr>
        <w:instrText>ADDIN CSL_CITATION {"citationItems":[{"id":"ITEM-1","itemData":{"DOI":"10.3390/su70810135","ISSN":"20711050","abstract":"As global green trends became more prevalent, green marketing also developed into an important issue. Although prior literature explored the main factors affecting green trust, it was inconclusive as to how environmental friendliness could affect the green trust in green marketing. This study aims to focus on the positive influence of environmental friendliness on green trust, and explore the mediation effects of green satisfaction and green perceived quality. This study undertakes an empirical study by means of questionnaire survey. The respondents are consumers who have experience purchasing green products. This study applies structural equation modeling (SEM) to test the hypotheses. The findings of this study indicate that (1) environmental friendliness has a significant positive impact on green satisfaction, green perceived quality, and green trust; (2) both green satisfaction and green perceived quality positively affect green trust; and (3) green satisfaction and green perceived quality partially mediate the positive relationship between environmental friendliness and green trust.","author":[{"dropping-particle":"","family":"Chen","given":"Yu Shan","non-dropping-particle":"","parse-names":false,"suffix":""},{"dropping-particle":"","family":"Lin","given":"Ching Ying","non-dropping-particle":"","parse-names":false,"suffix":""},{"dropping-particle":"","family":"Weng","given":"Chia Sui","non-dropping-particle":"","parse-names":false,"suffix":""}],"container-title":"Sustainability (Switzerland)","id":"ITEM-1","issue":"8","issued":{"date-parts":[["2015"]]},"page":"10135-10152","title":"The influence of environmental friendliness on green trust: The mediation effects of green satisfaction and green perceived quality","type":"article-journal","volume":"7"},"uris":["http://www.mendeley.com/documents/?uuid=fd558853-8a6d-4028-95d3-da48ef45e3cc"]},{"id":"ITEM-2","itemData":{"DOI":"10.3389/fpsyg.2020.00363","ISSN":"16641078","abstract":"Growing concern about the seriousness of issues such as climate change has made the value of research on social and behavioral aspects of environmental problems clearer than ever. For authors studying environmental concern or attitudes, however, survey development can be a daunting task. A large number of scales measuring environmental concern have been developed, and it can be challenging to make informed decisions about which to use. To assist authors in navigating the literature, we present a review of existing scales, followed by two studies in which we examine the structural validity of five scales that are commonly implemented in this corpus and that adhere to classical test theory. These results have important implications for general issues with measurement in this area, and inform our recommendations for authors about key considerations when selecting and using environmental concern scales.","author":[{"dropping-particle":"","family":"Cruz","given":"Shannon M.","non-dropping-particle":"","parse-names":false,"suffix":""},{"dropping-particle":"","family":"Manata","given":"Brian","non-dropping-particle":"","parse-names":false,"suffix":""}],"container-title":"Frontiers in Psychology","id":"ITEM-2","issue":"March","issued":{"date-parts":[["2020"]]},"page":"1-14","title":"Measurement of Environmental Concern: A Review and Analysis","type":"article-journal","volume":"11"},"uris":["http://www.mendeley.com/documents/?uuid=532fd7d2-edb2-42dc-8cf0-bc7a05704ccc"]}],"mendeley":{"formattedCitation":"(Chen et al., 2015; Cruz &amp; Manata, 2020)","plainTextFormattedCitation":"(Chen et al., 2015; Cruz &amp; Manata, 2020)","previouslyFormattedCitation":"(Chen et al., 2015; Cruz &amp; Manata, 2020)"},"properties":{"noteIndex":0},"schema":"https://github.com/citation-style-language/schema/raw/master/csl-citation.json"}</w:instrText>
      </w:r>
      <w:r w:rsidR="004144B0">
        <w:rPr>
          <w:rStyle w:val="tlid-translation"/>
          <w:rFonts w:ascii="Times New Roman" w:hAnsi="Times New Roman"/>
          <w:sz w:val="22"/>
          <w:szCs w:val="22"/>
          <w:lang w:val="en"/>
        </w:rPr>
        <w:fldChar w:fldCharType="separate"/>
      </w:r>
      <w:r w:rsidR="004144B0" w:rsidRPr="004144B0">
        <w:rPr>
          <w:rStyle w:val="tlid-translation"/>
          <w:rFonts w:ascii="Times New Roman" w:hAnsi="Times New Roman"/>
          <w:noProof/>
          <w:sz w:val="22"/>
          <w:szCs w:val="22"/>
          <w:lang w:val="en"/>
        </w:rPr>
        <w:t>(Chen et al., 2015; Cruz &amp; Manata, 2020)</w:t>
      </w:r>
      <w:r w:rsidR="004144B0">
        <w:rPr>
          <w:rStyle w:val="tlid-translation"/>
          <w:rFonts w:ascii="Times New Roman" w:hAnsi="Times New Roman"/>
          <w:sz w:val="22"/>
          <w:szCs w:val="22"/>
          <w:lang w:val="en"/>
        </w:rPr>
        <w:fldChar w:fldCharType="end"/>
      </w:r>
      <w:r w:rsidR="00ED62D8">
        <w:rPr>
          <w:rStyle w:val="tlid-translation"/>
          <w:rFonts w:ascii="Times New Roman" w:hAnsi="Times New Roman"/>
          <w:sz w:val="22"/>
          <w:szCs w:val="22"/>
          <w:lang w:val="en"/>
        </w:rPr>
        <w:t>.</w:t>
      </w:r>
      <w:r w:rsidRPr="007F5B19">
        <w:rPr>
          <w:rStyle w:val="tlid-translation"/>
          <w:rFonts w:ascii="Times New Roman" w:hAnsi="Times New Roman"/>
          <w:sz w:val="22"/>
          <w:szCs w:val="22"/>
          <w:lang w:val="en"/>
        </w:rPr>
        <w:t xml:space="preserve"> With rising awareness of climate change and ecosystem degradation, consumers increasingly prioritize sustainability in their purchasing decisions, enhancing satisfaction with eco-friendly products</w:t>
      </w:r>
      <w:r w:rsidR="00ED62D8">
        <w:rPr>
          <w:rStyle w:val="tlid-translation"/>
          <w:rFonts w:ascii="Times New Roman" w:hAnsi="Times New Roman"/>
          <w:sz w:val="22"/>
          <w:szCs w:val="22"/>
          <w:lang w:val="en"/>
        </w:rPr>
        <w:t xml:space="preserve"> </w:t>
      </w:r>
      <w:r w:rsidR="00ED62D8">
        <w:rPr>
          <w:rStyle w:val="tlid-translation"/>
          <w:rFonts w:ascii="Times New Roman" w:hAnsi="Times New Roman"/>
          <w:sz w:val="22"/>
          <w:szCs w:val="22"/>
          <w:lang w:val="en"/>
        </w:rPr>
        <w:fldChar w:fldCharType="begin" w:fldLock="1"/>
      </w:r>
      <w:r w:rsidR="00ED62D8">
        <w:rPr>
          <w:rStyle w:val="tlid-translation"/>
          <w:rFonts w:ascii="Times New Roman" w:hAnsi="Times New Roman"/>
          <w:sz w:val="22"/>
          <w:szCs w:val="22"/>
          <w:lang w:val="en"/>
        </w:rPr>
        <w:instrText>ADDIN CSL_CITATION {"citationItems":[{"id":"ITEM-1","itemData":{"DOI":"10.3389/fpsyg.2020.00363","ISSN":"16641078","abstract":"Growing concern about the seriousness of issues such as climate change has made the value of research on social and behavioral aspects of environmental problems clearer than ever. For authors studying environmental concern or attitudes, however, survey development can be a daunting task. A large number of scales measuring environmental concern have been developed, and it can be challenging to make informed decisions about which to use. To assist authors in navigating the literature, we present a review of existing scales, followed by two studies in which we examine the structural validity of five scales that are commonly implemented in this corpus and that adhere to classical test theory. These results have important implications for general issues with measurement in this area, and inform our recommendations for authors about key considerations when selecting and using environmental concern scales.","author":[{"dropping-particle":"","family":"Cruz","given":"Shannon M.","non-dropping-particle":"","parse-names":false,"suffix":""},{"dropping-particle":"","family":"Manata","given":"Brian","non-dropping-particle":"","parse-names":false,"suffix":""}],"container-title":"Frontiers in Psychology","id":"ITEM-1","issue":"March","issued":{"date-parts":[["2020"]]},"page":"1-14","title":"Measurement of Environmental Concern: A Review and Analysis","type":"article-journal","volume":"11"},"uris":["http://www.mendeley.com/documents/?uuid=532fd7d2-edb2-42dc-8cf0-bc7a05704ccc"]}],"mendeley":{"formattedCitation":"(Cruz &amp; Manata, 2020)","plainTextFormattedCitation":"(Cruz &amp; Manata, 2020)","previouslyFormattedCitation":"(Cruz &amp; Manata, 2020)"},"properties":{"noteIndex":0},"schema":"https://github.com/citation-style-language/schema/raw/master/csl-citation.json"}</w:instrText>
      </w:r>
      <w:r w:rsidR="00ED62D8">
        <w:rPr>
          <w:rStyle w:val="tlid-translation"/>
          <w:rFonts w:ascii="Times New Roman" w:hAnsi="Times New Roman"/>
          <w:sz w:val="22"/>
          <w:szCs w:val="22"/>
          <w:lang w:val="en"/>
        </w:rPr>
        <w:fldChar w:fldCharType="separate"/>
      </w:r>
      <w:r w:rsidR="00ED62D8" w:rsidRPr="00ED62D8">
        <w:rPr>
          <w:rStyle w:val="tlid-translation"/>
          <w:rFonts w:ascii="Times New Roman" w:hAnsi="Times New Roman"/>
          <w:noProof/>
          <w:sz w:val="22"/>
          <w:szCs w:val="22"/>
          <w:lang w:val="en"/>
        </w:rPr>
        <w:t>(Cruz &amp; Manata, 2020)</w:t>
      </w:r>
      <w:r w:rsidR="00ED62D8">
        <w:rPr>
          <w:rStyle w:val="tlid-translation"/>
          <w:rFonts w:ascii="Times New Roman" w:hAnsi="Times New Roman"/>
          <w:sz w:val="22"/>
          <w:szCs w:val="22"/>
          <w:lang w:val="en"/>
        </w:rPr>
        <w:fldChar w:fldCharType="end"/>
      </w:r>
      <w:r w:rsidR="00ED62D8">
        <w:rPr>
          <w:rStyle w:val="tlid-translation"/>
          <w:rFonts w:ascii="Times New Roman" w:hAnsi="Times New Roman"/>
          <w:sz w:val="22"/>
          <w:szCs w:val="22"/>
          <w:lang w:val="en"/>
        </w:rPr>
        <w:t>.</w:t>
      </w:r>
      <w:r w:rsidRPr="007F5B19">
        <w:rPr>
          <w:rStyle w:val="tlid-translation"/>
          <w:rFonts w:ascii="Times New Roman" w:hAnsi="Times New Roman"/>
          <w:sz w:val="22"/>
          <w:szCs w:val="22"/>
          <w:lang w:val="en"/>
        </w:rPr>
        <w:t xml:space="preserve"> Altruistic consumers experience higher satisfaction when their choices align with moral values, such as supporting ecological balance and the well-being of future generations, while also avoiding guilt associated with using environmentally harmful products </w:t>
      </w:r>
      <w:r w:rsidR="00D156B7">
        <w:rPr>
          <w:rStyle w:val="tlid-translation"/>
          <w:rFonts w:ascii="Times New Roman" w:hAnsi="Times New Roman"/>
          <w:sz w:val="22"/>
          <w:szCs w:val="22"/>
          <w:lang w:val="en"/>
        </w:rPr>
        <w:fldChar w:fldCharType="begin" w:fldLock="1"/>
      </w:r>
      <w:r w:rsidR="00680941">
        <w:rPr>
          <w:rStyle w:val="tlid-translation"/>
          <w:rFonts w:ascii="Times New Roman" w:hAnsi="Times New Roman"/>
          <w:sz w:val="22"/>
          <w:szCs w:val="22"/>
          <w:lang w:val="en"/>
        </w:rPr>
        <w:instrText>ADDIN CSL_CITATION {"citationItems":[{"id":"ITEM-1","itemData":{"DOI":"10.1007/s11356-021-13946-y","ISBN":"1135602113946","ISSN":"16147499","PMID":"33884555","abstract":"Environmental values are key factors influencing consumers’ purchase intentions and improving consumers’ willingness to buy green products is crucial for the sustainable development of ecological environments. Based on environmental values and green product trust, the present study classified environmental values into egoistic, altruistic, and biospheric values and discussed the influence mechanisms of environmental values on green product purchase intention. On this basis, the study verified the mediating role of environmental concern and the moderating role of green trust on the relationship between environmental concern and green product purchase intention. The research results revealed that (1) altruistic and biospheric values had a significant positive impact on green product purchase intention, while egoistic values had a negative impact on green product purchase intention; (2) environmental concern had a partial mediating effect on the relationship between environmental values and green product purchase intention; and (3) green trust had a positive moderating effect on the relationship between environmental concern and green product purchase intention. The present study expanded on the existing research on green product purchase intention driven by values, and the conclusions provided theoretical guidance for green marketing by enterprises and the establishment of customers’ trust in the green attributes of products.","author":[{"dropping-particle":"","family":"Li","given":"Guangxia","non-dropping-particle":"","parse-names":false,"suffix":""},{"dropping-particle":"","family":"Yang","given":"Lifeng","non-dropping-particle":"","parse-names":false,"suffix":""},{"dropping-particle":"","family":"Zhang","given":"Baojie","non-dropping-particle":"","parse-names":false,"suffix":""},{"dropping-particle":"","family":"Li","given":"Xiaoxuan","non-dropping-particle":"","parse-names":false,"suffix":""},{"dropping-particle":"","family":"Chen","given":"Feiyu","non-dropping-particle":"","parse-names":false,"suffix":""}],"container-title":"Environmental Science and Pollution Research","id":"ITEM-1","issue":"33","issued":{"date-parts":[["2021"]]},"page":"46020-46034","publisher":"Environmental Science and Pollution Research","title":"How do environmental values impact green product purchase intention? The moderating role of green trust","type":"article-journal","volume":"28"},"uris":["http://www.mendeley.com/documents/?uuid=a5eaea4a-4fef-4ce0-b92e-4e243373edba"]},{"id":"ITEM-2","itemData":{"DOI":"10.1016/j.jretconser.2019.05.011","ISSN":"09696989","abstract":"Increasing demand for products with eco-friendly packaging is an example of the environmental consciousness of customers. That consciousness forces companies not only to develop eco-friendly products, but also motivates practitioners and academicians to understand the eco-friendly buying behaviour of the customer. Yet in current literature, there is little discussion available where researchers talk about the influencing relationship of altruistic and egoistic values of customers on their attitudes and purchase intentions towards eco-friendly packaged products. Therefore, this work aims to build a structural model to establish the relationship between egoistic and altruistic values on customers’ attitudes and their intention to purchase products with eco-friendly packaging. With the help of a structured questionnaire, data from 227 young Indian customers was collected. An empirical investigation was carried out and the conceptual model was tested using Structural Equation Modelling (SEM). The analysis indicates that these values do influence purchase intention for products with eco-friendly packaging. However, altruistic value exerts greater influence than egoistic value. This research provides relevant findings about young consumers and their response to products with ecological packaging. These findings will assist marketers in reducing the environmental footprint caused by packaging materials, helping them to retain customers as a result. From the Asian perspective, the present research is among the early efforts towards understanding the significance of values (altruistic and egoistic) pertaining to products with ecological packaging.","author":[{"dropping-particle":"","family":"Prakash","given":"Gyan","non-dropping-particle":"","parse-names":false,"suffix":""},{"dropping-particle":"","family":"Choudhary","given":"Sangita","non-dropping-particle":"","parse-names":false,"suffix":""},{"dropping-particle":"","family":"Kumar","given":"Anil","non-dropping-particle":"","parse-names":false,"suffix":""},{"dropping-particle":"","family":"Garza-Reyes","given":"Jose Arturo","non-dropping-particle":"","parse-names":false,"suffix":""},{"dropping-particle":"","family":"Khan","given":"Syed Abdul Rehman","non-dropping-particle":"","parse-names":false,"suffix":""},{"dropping-particle":"","family":"Panda","given":"Tapan Kumar","non-dropping-particle":"","parse-names":false,"suffix":""}],"container-title":"Journal of Retailing and Consumer Services","id":"ITEM-2","issue":"February","issued":{"date-parts":[["2019"]]},"page":"163-169","title":"Do altruistic and egoistic values influence consumers’ attitudes and purchase intentions towards eco-friendly packaged products? An empirical investigation","type":"article-journal","volume":"50"},"uris":["http://www.mendeley.com/documents/?uuid=b021f0c7-44bb-4dd9-b491-a63693e73a8f"]}],"mendeley":{"formattedCitation":"(Li et al., 2021; Prakash et al., 2019)","plainTextFormattedCitation":"(Li et al., 2021; Prakash et al., 2019)","previouslyFormattedCitation":"(Li et al., 2021; Prakash et al., 2019)"},"properties":{"noteIndex":0},"schema":"https://github.com/citation-style-language/schema/raw/master/csl-citation.json"}</w:instrText>
      </w:r>
      <w:r w:rsidR="00D156B7">
        <w:rPr>
          <w:rStyle w:val="tlid-translation"/>
          <w:rFonts w:ascii="Times New Roman" w:hAnsi="Times New Roman"/>
          <w:sz w:val="22"/>
          <w:szCs w:val="22"/>
          <w:lang w:val="en"/>
        </w:rPr>
        <w:fldChar w:fldCharType="separate"/>
      </w:r>
      <w:r w:rsidR="00D156B7" w:rsidRPr="00D156B7">
        <w:rPr>
          <w:rStyle w:val="tlid-translation"/>
          <w:rFonts w:ascii="Times New Roman" w:hAnsi="Times New Roman"/>
          <w:noProof/>
          <w:sz w:val="22"/>
          <w:szCs w:val="22"/>
          <w:lang w:val="en"/>
        </w:rPr>
        <w:t>(Li et al., 2021; Prakash et al., 2019)</w:t>
      </w:r>
      <w:r w:rsidR="00D156B7">
        <w:rPr>
          <w:rStyle w:val="tlid-translation"/>
          <w:rFonts w:ascii="Times New Roman" w:hAnsi="Times New Roman"/>
          <w:sz w:val="22"/>
          <w:szCs w:val="22"/>
          <w:lang w:val="en"/>
        </w:rPr>
        <w:fldChar w:fldCharType="end"/>
      </w:r>
      <w:r w:rsidR="00680941">
        <w:rPr>
          <w:rStyle w:val="tlid-translation"/>
          <w:rFonts w:ascii="Times New Roman" w:hAnsi="Times New Roman"/>
          <w:sz w:val="22"/>
          <w:szCs w:val="22"/>
          <w:lang w:val="en"/>
        </w:rPr>
        <w:t>.</w:t>
      </w:r>
      <w:r w:rsidRPr="007F5B19">
        <w:rPr>
          <w:rStyle w:val="tlid-translation"/>
          <w:rFonts w:ascii="Times New Roman" w:hAnsi="Times New Roman"/>
          <w:sz w:val="22"/>
          <w:szCs w:val="22"/>
          <w:lang w:val="en"/>
        </w:rPr>
        <w:t xml:space="preserve"> Research has shown that higher environmental concern leads to greater satisfaction with green products, particularly when brands </w:t>
      </w:r>
      <w:r w:rsidRPr="000033D6">
        <w:rPr>
          <w:rStyle w:val="tlid-translation"/>
          <w:rFonts w:ascii="Times New Roman" w:hAnsi="Times New Roman"/>
          <w:sz w:val="22"/>
          <w:szCs w:val="22"/>
          <w:lang w:val="en"/>
        </w:rPr>
        <w:t xml:space="preserve">demonstrate a strong commitment to sustainability through eco-friendly materials </w:t>
      </w:r>
      <w:r w:rsidR="00ED62D8" w:rsidRPr="000033D6">
        <w:rPr>
          <w:rStyle w:val="tlid-translation"/>
          <w:rFonts w:ascii="Times New Roman" w:hAnsi="Times New Roman"/>
          <w:sz w:val="22"/>
          <w:szCs w:val="22"/>
          <w:lang w:val="en"/>
        </w:rPr>
        <w:fldChar w:fldCharType="begin" w:fldLock="1"/>
      </w:r>
      <w:r w:rsidR="000033D6" w:rsidRPr="000033D6">
        <w:rPr>
          <w:rStyle w:val="tlid-translation"/>
          <w:rFonts w:ascii="Times New Roman" w:hAnsi="Times New Roman"/>
          <w:sz w:val="22"/>
          <w:szCs w:val="22"/>
          <w:lang w:val="en"/>
        </w:rPr>
        <w:instrText>ADDIN CSL_CITATION {"citationItems":[{"id":"ITEM-1","itemData":{"ISSN":"2721-1452","abstract":"this study aimed to observe the effect of concern environment, physical and social environment as an independent variable that affects revisit intention with customer satisfaction as a mediating variable. Questionnaires distributed in eco-friendly resort in Sabang Zone, Indonesia, which is a recreational diving center in western part of Indonesia, using probability sampling techniques. Data were collected and then be analyzed using covariance Based SEM, AMOS. Hypothesis test results proved that there were positive and significant influence among five variables examined in the study, both directly and indirectly","author":[{"dropping-particle":"","family":"Chan","given":"Syafruddin","non-dropping-particle":"","parse-names":false,"suffix":""}],"container-title":"Jurnal Manajemen Inovasi","id":"ITEM-1","issue":"1","issued":{"date-parts":[["2018"]]},"page":"1-13","title":"Factors Affecting Revisit Intention With Customer Satisfaction As a Mediating Variable in Eco Friendly Resorts","type":"article-journal","volume":"9"},"uris":["http://www.mendeley.com/documents/?uuid=ff232e99-77cd-4960-88f8-a37415ddf741"]},{"id":"ITEM-2","itemData":{"DOI":"10.6007/ijarbss/v13-i4/15677","author":[{"dropping-particle":"","family":"Khaw","given":"Thean Boon","non-dropping-particle":"","parse-names":false,"suffix":""},{"dropping-particle":"","family":"Huam","given":"Hon Tat","non-dropping-particle":"","parse-names":false,"suffix":""},{"dropping-particle":"","family":"Sade","given":"Abu Bakar","non-dropping-particle":"","parse-names":false,"suffix":""}],"container-title":"International Journal of Academic Research in Business and Social Sciences","id":"ITEM-2","issue":"4","issued":{"date-parts":[["2023"]]},"title":"The Role of Environmental Concern in Post-Purchase Satisfaction among Green Car Owners in Malaysia","type":"article-journal","volume":"13"},"uris":["http://www.mendeley.com/documents/?uuid=c8f97d6f-4045-406c-9132-8b70a2e0319d"]}],"mendeley":{"formattedCitation":"(Chan, 2018; Khaw et al., 2023)","plainTextFormattedCitation":"(Chan, 2018; Khaw et al., 2023)","previouslyFormattedCitation":"(Chan, 2018; Khaw et al., 2023)"},"properties":{"noteIndex":0},"schema":"https://github.com/citation-style-language/schema/raw/master/csl-citation.json"}</w:instrText>
      </w:r>
      <w:r w:rsidR="00ED62D8" w:rsidRPr="000033D6">
        <w:rPr>
          <w:rStyle w:val="tlid-translation"/>
          <w:rFonts w:ascii="Times New Roman" w:hAnsi="Times New Roman"/>
          <w:sz w:val="22"/>
          <w:szCs w:val="22"/>
          <w:lang w:val="en"/>
        </w:rPr>
        <w:fldChar w:fldCharType="separate"/>
      </w:r>
      <w:r w:rsidR="00ED62D8" w:rsidRPr="000033D6">
        <w:rPr>
          <w:rStyle w:val="tlid-translation"/>
          <w:rFonts w:ascii="Times New Roman" w:hAnsi="Times New Roman"/>
          <w:noProof/>
          <w:sz w:val="22"/>
          <w:szCs w:val="22"/>
          <w:lang w:val="en"/>
        </w:rPr>
        <w:t>(Chan, 2018; Khaw et al., 2023)</w:t>
      </w:r>
      <w:r w:rsidR="00ED62D8" w:rsidRPr="000033D6">
        <w:rPr>
          <w:rStyle w:val="tlid-translation"/>
          <w:rFonts w:ascii="Times New Roman" w:hAnsi="Times New Roman"/>
          <w:sz w:val="22"/>
          <w:szCs w:val="22"/>
          <w:lang w:val="en"/>
        </w:rPr>
        <w:fldChar w:fldCharType="end"/>
      </w:r>
      <w:r w:rsidR="00ED62D8" w:rsidRPr="000033D6">
        <w:rPr>
          <w:rStyle w:val="tlid-translation"/>
          <w:rFonts w:ascii="Times New Roman" w:hAnsi="Times New Roman"/>
          <w:sz w:val="22"/>
          <w:szCs w:val="22"/>
          <w:lang w:val="en"/>
        </w:rPr>
        <w:t xml:space="preserve">. </w:t>
      </w:r>
      <w:r w:rsidR="000033D6" w:rsidRPr="000033D6">
        <w:rPr>
          <w:rStyle w:val="tlid-translation"/>
          <w:rFonts w:ascii="Times New Roman" w:hAnsi="Times New Roman"/>
          <w:sz w:val="22"/>
          <w:szCs w:val="22"/>
          <w:lang w:val="en"/>
        </w:rPr>
        <w:fldChar w:fldCharType="begin" w:fldLock="1"/>
      </w:r>
      <w:r w:rsidR="00BB22B4">
        <w:rPr>
          <w:rStyle w:val="tlid-translation"/>
          <w:rFonts w:ascii="Times New Roman" w:hAnsi="Times New Roman"/>
          <w:sz w:val="22"/>
          <w:szCs w:val="22"/>
          <w:lang w:val="en"/>
        </w:rPr>
        <w:instrText>ADDIN CSL_CITATION {"citationItems":[{"id":"ITEM-1","itemData":{"DOI":"10.1016/j.trf.2018.09.029","ISSN":"13698478","abstract":"The development of electric vehicles (EVs) and autonomous vehicles (AVs) has made great progress and been expected to play an important role in a future transport system. Some researchers have explored the potential impacts of autonomous electric vehicles (AEVs), while few have focused on the public attitude towards AEVs. This paper aims to understand the public acceptance of AEVs through the application of Technology Acceptance Model. Considering the potential environmental benefits of AEVs, this study concentrates on how environmental concern affects AEVs acceptance. Data is collected from an online survey in China and analyzed by a structural model. The results indicate that green perceived usefulness, perceived ease of use and environmental concern have a positive relationship with people's intentions to use AEVs. Environmental concern poses a powerful indirect effect on using intention through mediating effects. Implications for improving the public acceptance of AEVs and suggestions for further research are given correspondingly in this study.","author":[{"dropping-particle":"","family":"Wu","given":"Jingwen","non-dropping-particle":"","parse-names":false,"suffix":""},{"dropping-particle":"","family":"Liao","given":"Hua","non-dropping-particle":"","parse-names":false,"suffix":""},{"dropping-particle":"","family":"Wang","given":"Jin Wei","non-dropping-particle":"","parse-names":false,"suffix":""},{"dropping-particle":"","family":"Chen","given":"Tianqi","non-dropping-particle":"","parse-names":false,"suffix":""}],"container-title":"Transportation Research Part F: Traffic Psychology and Behaviour","id":"ITEM-1","issued":{"date-parts":[["2019"]]},"page":"37-46","publisher":"Elsevier Ltd","title":"The role of environmental concern in the public acceptance of autonomous electric vehicles: A survey from China","type":"article-journal","volume":"60"},"uris":["http://www.mendeley.com/documents/?uuid=1cdc526f-d5bc-4fbd-81a2-18bc3c67eb97"]},{"id":"ITEM-2","itemData":{"abstract":"… of advertising claims made for eco-friendly goods. The present … Religiousness and environmental concern: A multilevel and … green perceived quality and green purchase intention: A …","author":[{"dropping-particle":"","family":"Vinoth","given":"S","non-dropping-particle":"","parse-names":false,"suffix":""}],"container-title":"The Online Journal of Distance Education and e-Learning","id":"ITEM-2","issue":"2","issued":{"date-parts":[["2023"]]},"page":"2193-2201","title":"Green Loyalty: The Mediating Role Of Green Trust And The Effects Of Environmental Concern, Environmental Advertising","type":"article-journal","volume":"11"},"uris":["http://www.mendeley.com/documents/?uuid=8bff2b42-84e0-436e-aaa0-cb0b60ddfd19"]}],"mendeley":{"formattedCitation":"(Vinoth, 2023; Wu et al., 2019)","manualFormatting":"Vinoth (2023); Wu et al. (2019)","plainTextFormattedCitation":"(Vinoth, 2023; Wu et al., 2019)","previouslyFormattedCitation":"(Vinoth, 2023; Wu et al., 2019)"},"properties":{"noteIndex":0},"schema":"https://github.com/citation-style-language/schema/raw/master/csl-citation.json"}</w:instrText>
      </w:r>
      <w:r w:rsidR="000033D6" w:rsidRPr="000033D6">
        <w:rPr>
          <w:rStyle w:val="tlid-translation"/>
          <w:rFonts w:ascii="Times New Roman" w:hAnsi="Times New Roman"/>
          <w:sz w:val="22"/>
          <w:szCs w:val="22"/>
          <w:lang w:val="en"/>
        </w:rPr>
        <w:fldChar w:fldCharType="separate"/>
      </w:r>
      <w:r w:rsidR="000033D6" w:rsidRPr="000033D6">
        <w:rPr>
          <w:rStyle w:val="tlid-translation"/>
          <w:rFonts w:ascii="Times New Roman" w:hAnsi="Times New Roman"/>
          <w:noProof/>
          <w:sz w:val="22"/>
          <w:szCs w:val="22"/>
          <w:lang w:val="en"/>
        </w:rPr>
        <w:t>Vinoth (2023); Wu et al. (2019)</w:t>
      </w:r>
      <w:r w:rsidR="000033D6" w:rsidRPr="000033D6">
        <w:rPr>
          <w:rStyle w:val="tlid-translation"/>
          <w:rFonts w:ascii="Times New Roman" w:hAnsi="Times New Roman"/>
          <w:sz w:val="22"/>
          <w:szCs w:val="22"/>
          <w:lang w:val="en"/>
        </w:rPr>
        <w:fldChar w:fldCharType="end"/>
      </w:r>
      <w:r w:rsidRPr="000033D6">
        <w:rPr>
          <w:rStyle w:val="tlid-translation"/>
          <w:rFonts w:ascii="Times New Roman" w:hAnsi="Times New Roman"/>
          <w:sz w:val="22"/>
          <w:szCs w:val="22"/>
          <w:lang w:val="en"/>
        </w:rPr>
        <w:t xml:space="preserve"> found that individuals with high environmental concern report</w:t>
      </w:r>
      <w:r w:rsidRPr="007F5B19">
        <w:rPr>
          <w:rStyle w:val="tlid-translation"/>
          <w:rFonts w:ascii="Times New Roman" w:hAnsi="Times New Roman"/>
          <w:sz w:val="22"/>
          <w:szCs w:val="22"/>
          <w:lang w:val="en"/>
        </w:rPr>
        <w:t xml:space="preserve"> higher green satisfaction as they perceive their purchases as contributing to environmental preservation. However, transparency is crucial, as consumers tend to be skeptical of green claims that lack verifiable evidence, which can reduce their overall satisfaction</w:t>
      </w:r>
      <w:r w:rsidR="00BB22B4">
        <w:rPr>
          <w:rStyle w:val="tlid-translation"/>
          <w:rFonts w:ascii="Times New Roman" w:hAnsi="Times New Roman"/>
          <w:sz w:val="22"/>
          <w:szCs w:val="22"/>
          <w:lang w:val="en"/>
        </w:rPr>
        <w:t xml:space="preserve"> </w:t>
      </w:r>
      <w:r w:rsidR="00BB22B4">
        <w:rPr>
          <w:rStyle w:val="tlid-translation"/>
          <w:rFonts w:ascii="Times New Roman" w:hAnsi="Times New Roman"/>
          <w:sz w:val="22"/>
          <w:szCs w:val="22"/>
          <w:lang w:val="en"/>
        </w:rPr>
        <w:fldChar w:fldCharType="begin" w:fldLock="1"/>
      </w:r>
      <w:r w:rsidR="00BB22B4">
        <w:rPr>
          <w:rStyle w:val="tlid-translation"/>
          <w:rFonts w:ascii="Times New Roman" w:hAnsi="Times New Roman"/>
          <w:sz w:val="22"/>
          <w:szCs w:val="22"/>
          <w:lang w:val="en"/>
        </w:rPr>
        <w:instrText>ADDIN CSL_CITATION {"citationItems":[{"id":"ITEM-1","itemData":{"DOI":"10.1002/bse.3523","ISSN":"10990836","abstract":"While a number of studies have explored consumer attitudes and behaviors towards green brands, the importance of green brand image for mainstream brands is less well understood. This study seeks to explore if the green image of mainstream fast food brands influences consumer loyalty and how their attitudes towards and knowledge of environmental issues may affect perceptions of the environmental performance of fast food brands. Using data gathered from a convenience sample of 2001 Gen Y and Gen Z consumers in France, our study establishes a critical linkage between consumers' environmental values and brand loyalty by including green brand image as a mediator. Further, by exploring mainstream brands, rather than brands that are positioned primarily on green attributes, we find that the mediating effect of green brand image may be dependent on the brand positioning.","author":[{"dropping-particle":"","family":"Watson","given":"Anna","non-dropping-particle":"","parse-names":false,"suffix":""},{"dropping-particle":"","family":"Perrigot","given":"Rozenn","non-dropping-particle":"","parse-names":false,"suffix":""},{"dropping-particle":"","family":"Dada","given":"Olufunmilola","non-dropping-particle":"","parse-names":false,"suffix":""}],"container-title":"Business Strategy and the Environment","id":"ITEM-1","issue":"May","issued":{"date-parts":[["2023"]]},"page":"1-14","title":"The effects of green brand image on brand loyalty: The case of mainstream fast food brands","type":"article-journal"},"uris":["http://www.mendeley.com/documents/?uuid=2d287ff0-fa0e-4c8d-9d07-8b9cc4e97647"]}],"mendeley":{"formattedCitation":"(Watson et al., 2023)","plainTextFormattedCitation":"(Watson et al., 2023)","previouslyFormattedCitation":"(Watson et al., 2023)"},"properties":{"noteIndex":0},"schema":"https://github.com/citation-style-language/schema/raw/master/csl-citation.json"}</w:instrText>
      </w:r>
      <w:r w:rsidR="00BB22B4">
        <w:rPr>
          <w:rStyle w:val="tlid-translation"/>
          <w:rFonts w:ascii="Times New Roman" w:hAnsi="Times New Roman"/>
          <w:sz w:val="22"/>
          <w:szCs w:val="22"/>
          <w:lang w:val="en"/>
        </w:rPr>
        <w:fldChar w:fldCharType="separate"/>
      </w:r>
      <w:r w:rsidR="00BB22B4" w:rsidRPr="00BB22B4">
        <w:rPr>
          <w:rStyle w:val="tlid-translation"/>
          <w:rFonts w:ascii="Times New Roman" w:hAnsi="Times New Roman"/>
          <w:noProof/>
          <w:sz w:val="22"/>
          <w:szCs w:val="22"/>
          <w:lang w:val="en"/>
        </w:rPr>
        <w:t>(Watson et al., 2023)</w:t>
      </w:r>
      <w:r w:rsidR="00BB22B4">
        <w:rPr>
          <w:rStyle w:val="tlid-translation"/>
          <w:rFonts w:ascii="Times New Roman" w:hAnsi="Times New Roman"/>
          <w:sz w:val="22"/>
          <w:szCs w:val="22"/>
          <w:lang w:val="en"/>
        </w:rPr>
        <w:fldChar w:fldCharType="end"/>
      </w:r>
      <w:r w:rsidR="00BB22B4">
        <w:rPr>
          <w:rStyle w:val="tlid-translation"/>
          <w:rFonts w:ascii="Times New Roman" w:hAnsi="Times New Roman"/>
          <w:sz w:val="22"/>
          <w:szCs w:val="22"/>
          <w:lang w:val="en"/>
        </w:rPr>
        <w:t>.</w:t>
      </w:r>
    </w:p>
    <w:p w14:paraId="5A7762B7" w14:textId="18EF7AFB" w:rsidR="00A403AA" w:rsidRPr="007B5913" w:rsidRDefault="005668B1" w:rsidP="005668B1">
      <w:pPr>
        <w:pStyle w:val="Els-body-text"/>
        <w:rPr>
          <w:rStyle w:val="tlid-translation"/>
          <w:rFonts w:ascii="Times New Roman" w:hAnsi="Times New Roman"/>
          <w:lang w:val="en"/>
        </w:rPr>
      </w:pPr>
      <w:r w:rsidRPr="007F5B19">
        <w:rPr>
          <w:rStyle w:val="tlid-translation"/>
          <w:rFonts w:ascii="Times New Roman" w:hAnsi="Times New Roman"/>
          <w:sz w:val="22"/>
          <w:szCs w:val="22"/>
          <w:lang w:val="en"/>
        </w:rPr>
        <w:t>Hypothesis 5 is accepted, confirm that green satisfaction (Y) positively and significantly affects green loyalty (Z). Consumers who are satisfied with eco-friendly products tend to remain loyal and recommend them to others</w:t>
      </w:r>
      <w:r w:rsidR="00BB22B4">
        <w:rPr>
          <w:rStyle w:val="tlid-translation"/>
          <w:rFonts w:ascii="Times New Roman" w:hAnsi="Times New Roman"/>
          <w:sz w:val="22"/>
          <w:szCs w:val="22"/>
          <w:lang w:val="en"/>
        </w:rPr>
        <w:t xml:space="preserve"> </w:t>
      </w:r>
      <w:r w:rsidR="00BB22B4">
        <w:rPr>
          <w:rStyle w:val="tlid-translation"/>
          <w:rFonts w:ascii="Times New Roman" w:hAnsi="Times New Roman"/>
          <w:sz w:val="22"/>
          <w:szCs w:val="22"/>
          <w:lang w:val="en"/>
        </w:rPr>
        <w:fldChar w:fldCharType="begin" w:fldLock="1"/>
      </w:r>
      <w:r w:rsidR="00D67429">
        <w:rPr>
          <w:rStyle w:val="tlid-translation"/>
          <w:rFonts w:ascii="Times New Roman" w:hAnsi="Times New Roman"/>
          <w:sz w:val="22"/>
          <w:szCs w:val="22"/>
          <w:lang w:val="en"/>
        </w:rPr>
        <w:instrText>ADDIN CSL_CITATION {"citationItems":[{"id":"ITEM-1","itemData":{"DOI":"10.1016/j.jclepro.2020.120844","ISSN":"09596526","abstract":"The rise of pollution due to massive use of plastic products has increased public awareness in environmental protection through the increased consumption of eco-friendly plastic products. However, as its cost of production is expensive, the consumption of eco-friendly plastic product is low. In this business environment, understanding and developing a strategy to create customer loyalty is a key factor to ensure business success. Driven by this research gap, this study is intended to gain a comprehensive understanding of loyalty formation towards eco-friendly plastic products by integrating the trust and perceived risk in the loyalty model. This study used data collected through the distribution of questionnaires to 400 consumers of eco-friendly plastic products in Bandung, Indonesia. This research used partial least squares structural equation modelling to examine the hypotheses proposed. The results note that the integration of green trust and green perceived risk in the Quality-Loyalty Model can increase the prediction of loyalty towards eco-friendly plastic products. Further, this research reveals that green perceived quality and green perceived value are the main drivers of loyalty towards eco-friendly plastic product. The identified relationships between the variables provide a guide for eco-friendly business players to enhance their innovative and competitive capabilities as well as encourage them to face the environmental challenges.","author":[{"dropping-particle":"","family":"Pahlevi","given":"Mohamad Reza","non-dropping-particle":"","parse-names":false,"suffix":""},{"dropping-particle":"","family":"Suhartanto","given":"Dwi","non-dropping-particle":"","parse-names":false,"suffix":""}],"container-title":"Journal of Cleaner Production","id":"ITEM-1","issued":{"date-parts":[["2020"]]},"page":"120844","publisher":"Elsevier Ltd","title":"The integrated model of green loyalty: Evidence from eco-friendly plastic products","type":"article-journal","volume":"257"},"uris":["http://www.mendeley.com/documents/?uuid=be13e501-28ff-49c2-abb8-b0741f2520d9"]}],"mendeley":{"formattedCitation":"(Pahlevi &amp; Suhartanto, 2020)","plainTextFormattedCitation":"(Pahlevi &amp; Suhartanto, 2020)","previouslyFormattedCitation":"(Pahlevi &amp; Suhartanto, 2020)"},"properties":{"noteIndex":0},"schema":"https://github.com/citation-style-language/schema/raw/master/csl-citation.json"}</w:instrText>
      </w:r>
      <w:r w:rsidR="00BB22B4">
        <w:rPr>
          <w:rStyle w:val="tlid-translation"/>
          <w:rFonts w:ascii="Times New Roman" w:hAnsi="Times New Roman"/>
          <w:sz w:val="22"/>
          <w:szCs w:val="22"/>
          <w:lang w:val="en"/>
        </w:rPr>
        <w:fldChar w:fldCharType="separate"/>
      </w:r>
      <w:r w:rsidR="00BB22B4" w:rsidRPr="00BB22B4">
        <w:rPr>
          <w:rStyle w:val="tlid-translation"/>
          <w:rFonts w:ascii="Times New Roman" w:hAnsi="Times New Roman"/>
          <w:noProof/>
          <w:sz w:val="22"/>
          <w:szCs w:val="22"/>
          <w:lang w:val="en"/>
        </w:rPr>
        <w:t>(Pahlevi &amp; Suhartanto, 2020)</w:t>
      </w:r>
      <w:r w:rsidR="00BB22B4">
        <w:rPr>
          <w:rStyle w:val="tlid-translation"/>
          <w:rFonts w:ascii="Times New Roman" w:hAnsi="Times New Roman"/>
          <w:sz w:val="22"/>
          <w:szCs w:val="22"/>
          <w:lang w:val="en"/>
        </w:rPr>
        <w:fldChar w:fldCharType="end"/>
      </w:r>
      <w:r w:rsidR="00D67429">
        <w:rPr>
          <w:rStyle w:val="tlid-translation"/>
          <w:rFonts w:ascii="Times New Roman" w:hAnsi="Times New Roman"/>
          <w:sz w:val="22"/>
          <w:szCs w:val="22"/>
          <w:lang w:val="en"/>
        </w:rPr>
        <w:t>.</w:t>
      </w:r>
      <w:r w:rsidRPr="007F5B19">
        <w:rPr>
          <w:rStyle w:val="tlid-translation"/>
          <w:rFonts w:ascii="Times New Roman" w:hAnsi="Times New Roman"/>
          <w:sz w:val="22"/>
          <w:szCs w:val="22"/>
          <w:lang w:val="en"/>
        </w:rPr>
        <w:t xml:space="preserve"> Green consumers exhibit stronger loyalty when products meet their functional and emotional expectations and provide tangible benefits such as energy efficiency and reasonable pricing </w:t>
      </w:r>
      <w:r w:rsidR="00D67429">
        <w:rPr>
          <w:rStyle w:val="tlid-translation"/>
          <w:rFonts w:ascii="Times New Roman" w:hAnsi="Times New Roman"/>
          <w:sz w:val="22"/>
          <w:szCs w:val="22"/>
          <w:lang w:val="en"/>
        </w:rPr>
        <w:fldChar w:fldCharType="begin" w:fldLock="1"/>
      </w:r>
      <w:r w:rsidR="00D67429">
        <w:rPr>
          <w:rStyle w:val="tlid-translation"/>
          <w:rFonts w:ascii="Times New Roman" w:hAnsi="Times New Roman"/>
          <w:sz w:val="22"/>
          <w:szCs w:val="22"/>
          <w:lang w:val="en"/>
        </w:rPr>
        <w:instrText>ADDIN CSL_CITATION {"citationItems":[{"id":"ITEM-1","itemData":{"ISSN":"2308-1365","abstract":"The growing of being aware of the destruction of natural resources have increased human activities and need for the preservation of the environment. Destruction of natural resources because of producing products by many companies that pollute the environment with waste dumped in the river, using materials that can not be recycled. Growing environmental problems caused by industrialization,this condition increased the environmental concerns of customers, communities, and governments. The purpose of this study to determine the effect of Green Product and Green Advertising to Satisfactionand Loyalty which mediated by Purchase Decision.Questionnaires were distibuted to 196 visitors Plaza Semanggi that used environmentally friendly products by usingrandom sampling technique.Datawere analyzed by usingStructural Equation Modeling (SEM). SEM analysis in this study was carried out using a one-step approach and Lisrel 8.70 as the SEM software.The results showed that Green Product and Green Advertising have direct influence to Purchase Decision. In addition, the Purchase Decision has direct influence to Customer Satisfaction and Customer Satisfaction has a direct influence to customer loyalty. Green Product and Green Advertising have indirect influence to Customer Loyalty through Purchase Decision and Customer Satisfaction.","author":[{"dropping-particle":"","family":"Suhaily","given":"Lily","non-dropping-particle":"","parse-names":false,"suffix":""},{"dropping-particle":"","family":"Darmoyo","given":"Syarief","non-dropping-particle":"","parse-names":false,"suffix":""}],"container-title":"International Journal of Contemporary Applied Researches","id":"ITEM-1","issue":"1","issued":{"date-parts":[["2019"]]},"page":"44-57","title":"Effect of green product and green advertising to satisfaction and loyalty which mediated by purchase decision","type":"article-journal","volume":"6"},"uris":["http://www.mendeley.com/documents/?uuid=1198e76e-455f-4ee6-a04d-7d40574f6d8b"]},{"id":"ITEM-2","itemData":{"abstract":"The study aims to determine the effect of Green Perceived Valueand perception of green risk towards customer loyalty through customer satisfaction. This research is quantitative research using descriptive research and design explanations. The population in this study was at The Body Shop customers in Malang. The samples taken in this study were 104 respondents. Calculated using Daniel &amp; Terrel. Then the instrument feasibility test uses validity and reliability tests. The analytical techniques use descriptive statistical analysis and partial analytical least squares (PLS). The results showed that Green Perceived Value has positive and significant effect on customer satisfaction, then customer satisfaction has positive and significant effect on customer loyalty, then Green Perceived Value has positive and significant effect on customer loyalty, and Green Perceived Valuehas positive and significant effect on customer loyalty through customer satisfaction, as well as Green Perceived Risk has positive and significant effect on customer satisfaction , therefore, the green risk has negative effect and a significant to customer loyalty, then Green Perceived Risk has positive and significant effect on customer loyalty through customer satisfaction","author":[{"dropping-particle":"","family":"Amin","given":"Zaqqi","non-dropping-particle":"Al","parse-names":false,"suffix":""},{"dropping-particle":"","family":"Dhewi","given":"Titis Shinta","non-dropping-particle":"","parse-names":false,"suffix":""}],"container-title":"Advances in Economics, Business and Management Research","id":"ITEM-2","issue":"1","issued":{"date-parts":[["2021"]]},"page":"285-290","title":"How Green Perceived Value and Green Perceived Risk Influence Customer Loyalty Through Customer Satisfaction","type":"article-journal","volume":"193"},"uris":["http://www.mendeley.com/documents/?uuid=b957c892-a27e-4344-ba0d-c98f230ae4a0"]}],"mendeley":{"formattedCitation":"(Al Amin &amp; Dhewi, 2021; Suhaily &amp; Darmoyo, 2019)","plainTextFormattedCitation":"(Al Amin &amp; Dhewi, 2021; Suhaily &amp; Darmoyo, 2019)","previouslyFormattedCitation":"(Al Amin &amp; Dhewi, 2021; Suhaily &amp; Darmoyo, 2019)"},"properties":{"noteIndex":0},"schema":"https://github.com/citation-style-language/schema/raw/master/csl-citation.json"}</w:instrText>
      </w:r>
      <w:r w:rsidR="00D67429">
        <w:rPr>
          <w:rStyle w:val="tlid-translation"/>
          <w:rFonts w:ascii="Times New Roman" w:hAnsi="Times New Roman"/>
          <w:sz w:val="22"/>
          <w:szCs w:val="22"/>
          <w:lang w:val="en"/>
        </w:rPr>
        <w:fldChar w:fldCharType="separate"/>
      </w:r>
      <w:r w:rsidR="00D67429" w:rsidRPr="00D67429">
        <w:rPr>
          <w:rStyle w:val="tlid-translation"/>
          <w:rFonts w:ascii="Times New Roman" w:hAnsi="Times New Roman"/>
          <w:noProof/>
          <w:sz w:val="22"/>
          <w:szCs w:val="22"/>
          <w:lang w:val="en"/>
        </w:rPr>
        <w:t>(Al Amin &amp; Dhewi, 2021; Suhaily &amp; Darmoyo, 2019)</w:t>
      </w:r>
      <w:r w:rsidR="00D67429">
        <w:rPr>
          <w:rStyle w:val="tlid-translation"/>
          <w:rFonts w:ascii="Times New Roman" w:hAnsi="Times New Roman"/>
          <w:sz w:val="22"/>
          <w:szCs w:val="22"/>
          <w:lang w:val="en"/>
        </w:rPr>
        <w:fldChar w:fldCharType="end"/>
      </w:r>
      <w:r w:rsidR="00D67429">
        <w:rPr>
          <w:rStyle w:val="tlid-translation"/>
          <w:rFonts w:ascii="Times New Roman" w:hAnsi="Times New Roman"/>
          <w:sz w:val="22"/>
          <w:szCs w:val="22"/>
          <w:lang w:val="en"/>
        </w:rPr>
        <w:t>.</w:t>
      </w:r>
      <w:r w:rsidRPr="007F5B19">
        <w:rPr>
          <w:rStyle w:val="tlid-translation"/>
          <w:rFonts w:ascii="Times New Roman" w:hAnsi="Times New Roman"/>
          <w:sz w:val="22"/>
          <w:szCs w:val="22"/>
          <w:lang w:val="en"/>
        </w:rPr>
        <w:t xml:space="preserve"> Purchasing green products that align with sustainability values further enhances both satisfaction and loyalty</w:t>
      </w:r>
      <w:r w:rsidR="00D67429">
        <w:rPr>
          <w:rStyle w:val="tlid-translation"/>
          <w:rFonts w:ascii="Times New Roman" w:hAnsi="Times New Roman"/>
          <w:sz w:val="22"/>
          <w:szCs w:val="22"/>
          <w:lang w:val="en"/>
        </w:rPr>
        <w:t xml:space="preserve"> </w:t>
      </w:r>
      <w:r w:rsidR="00D67429">
        <w:rPr>
          <w:rStyle w:val="tlid-translation"/>
          <w:rFonts w:ascii="Times New Roman" w:hAnsi="Times New Roman"/>
          <w:sz w:val="22"/>
          <w:szCs w:val="22"/>
          <w:lang w:val="en"/>
        </w:rPr>
        <w:fldChar w:fldCharType="begin" w:fldLock="1"/>
      </w:r>
      <w:r w:rsidR="00D41B5A">
        <w:rPr>
          <w:rStyle w:val="tlid-translation"/>
          <w:rFonts w:ascii="Times New Roman" w:hAnsi="Times New Roman"/>
          <w:sz w:val="22"/>
          <w:szCs w:val="22"/>
          <w:lang w:val="en"/>
        </w:rPr>
        <w:instrText>ADDIN CSL_CITATION {"citationItems":[{"id":"ITEM-1","itemData":{"DOI":"10.30892/gtg.334spl10-601","ISSN":"20651198","abstract":"The research was carried out to determine the effect of attitude towards green behavior on green image, green customer satisfaction and green customer loyalty. The universe of the study consists of customers who have visited green hotels in Turkey. In order to test the hypotheses, Smart PLS 3 (Partial Least Squares) statistics program was used in the research. Bootstrapping technique was used to test the hypotheses that were aimed to be measured in the research. According to the results of the analysis, the attitude towards green behavior is on the green image; the green image has also been found to have a positive effect on green customer satisfaction and green customer loyalty. In addition, as a result of the analysis, it was determined that green customer satisfaction positively affected green customer loyalty.","author":[{"dropping-particle":"","family":"Çavusoglu","given":"Sinan","non-dropping-particle":"","parse-names":false,"suffix":""},{"dropping-particle":"","family":"Demirag","given":"Bülent","non-dropping-particle":"","parse-names":false,"suffix":""},{"dropping-particle":"","family":"Jusuf","given":"Eddy","non-dropping-particle":"","parse-names":false,"suffix":""},{"dropping-particle":"","family":"Gunardi","given":"Ardi","non-dropping-particle":"","parse-names":false,"suffix":""}],"container-title":"Geojournal of Tourism and Geosites ","id":"ITEM-1","issue":"4","issued":{"date-parts":[["2021"]]},"page":"1513-1519","title":"The effect of attitudes toward green behaviors on green image, green customer satisfaction and green customer loyalty","type":"article-journal","volume":"33"},"uris":["http://www.mendeley.com/documents/?uuid=f08e82db-1197-4e16-a3bb-8f196c2238a7"]},{"id":"ITEM-2","itemData":{"ISSN":"2337-3792","abstract":"An effective strategy in generating customer loyalty is to make consumers believe and be satisfied with the products and actions of the company. To make consumers believe, companies need to pay attention to greenwashing, green perceived value, eco-brands and eco-labels. The purpose of present study is to design and develop an empirical conceptual model of how greenwashing, green perceived value, eco-brand, and eco-label affect brand loyalty through green trust and green satisfaction as mediating variables. This study uses Panasonic consumers as the research population, then sampling is carried out using purposive sampling and has several criteria. The sample in this study was 150 respondents who live in Central Java. The collected data will be analysed using the structural equation model (SEM) method and processed with AMOS software. The results of this study indicate that greenwash has a significant negative effect on green trust, green perceived value has a significant positive effect on green trust, eco-brand has a significant positive effect on green trust, eco-label has a significant positive effect on green trust, greenwash has no effect on green satisfaction, green perceived value has no effect on green satisfaction, eco-brand has no effect on brand loyalty, green trust has a significant positive effect on brand loyalty, dan green satisfaction has a significant positive effect on brand loyalty.","author":[{"dropping-particle":"","family":"Sofyan","given":"Muhammad Ariq","non-dropping-particle":"","parse-names":false,"suffix":""},{"dropping-particle":"","family":"Lumban Batu","given":"Kardison","non-dropping-particle":"","parse-names":false,"suffix":""}],"container-title":"Diponegoro Journal of Management","id":"ITEM-2","issue":"1","issued":{"date-parts":[["2023"]]},"page":"1-15","title":"Investigating The Antecedents of Brand Loyalty Mediated by Green Trust and Green Satisfaction Empirical Study in Central Java","type":"article-journal","volume":"12"},"uris":["http://www.mendeley.com/documents/?uuid=60e23281-dcbb-46d5-a9e1-857ec6fd7f2c"]}],"mendeley":{"formattedCitation":"(Çavusoglu et al., 2021; Sofyan &amp; Lumban Batu, 2023)","plainTextFormattedCitation":"(Çavusoglu et al., 2021; Sofyan &amp; Lumban Batu, 2023)","previouslyFormattedCitation":"(Çavusoglu et al., 2021; Sofyan &amp; Lumban Batu, 2023)"},"properties":{"noteIndex":0},"schema":"https://github.com/citation-style-language/schema/raw/master/csl-citation.json"}</w:instrText>
      </w:r>
      <w:r w:rsidR="00D67429">
        <w:rPr>
          <w:rStyle w:val="tlid-translation"/>
          <w:rFonts w:ascii="Times New Roman" w:hAnsi="Times New Roman"/>
          <w:sz w:val="22"/>
          <w:szCs w:val="22"/>
          <w:lang w:val="en"/>
        </w:rPr>
        <w:fldChar w:fldCharType="separate"/>
      </w:r>
      <w:r w:rsidR="00D67429" w:rsidRPr="00D67429">
        <w:rPr>
          <w:rStyle w:val="tlid-translation"/>
          <w:rFonts w:ascii="Times New Roman" w:hAnsi="Times New Roman"/>
          <w:noProof/>
          <w:sz w:val="22"/>
          <w:szCs w:val="22"/>
          <w:lang w:val="en"/>
        </w:rPr>
        <w:t>(Çavusoglu et al., 2021; Sofyan &amp; Lumban Batu, 2023)</w:t>
      </w:r>
      <w:r w:rsidR="00D67429">
        <w:rPr>
          <w:rStyle w:val="tlid-translation"/>
          <w:rFonts w:ascii="Times New Roman" w:hAnsi="Times New Roman"/>
          <w:sz w:val="22"/>
          <w:szCs w:val="22"/>
          <w:lang w:val="en"/>
        </w:rPr>
        <w:fldChar w:fldCharType="end"/>
      </w:r>
      <w:r w:rsidR="00D67429">
        <w:rPr>
          <w:rStyle w:val="tlid-translation"/>
          <w:rFonts w:ascii="Times New Roman" w:hAnsi="Times New Roman"/>
          <w:sz w:val="22"/>
          <w:szCs w:val="22"/>
          <w:lang w:val="en"/>
        </w:rPr>
        <w:t>.</w:t>
      </w:r>
      <w:r w:rsidRPr="007F5B19">
        <w:rPr>
          <w:rStyle w:val="tlid-translation"/>
          <w:rFonts w:ascii="Times New Roman" w:hAnsi="Times New Roman"/>
          <w:sz w:val="22"/>
          <w:szCs w:val="22"/>
          <w:lang w:val="en"/>
        </w:rPr>
        <w:t xml:space="preserve"> Brands that maintain transparency in their environmental commitments and product quality are more effective in retaining customer loyalty</w:t>
      </w:r>
      <w:r w:rsidR="00680941">
        <w:rPr>
          <w:rStyle w:val="tlid-translation"/>
          <w:rFonts w:ascii="Times New Roman" w:hAnsi="Times New Roman"/>
          <w:sz w:val="22"/>
          <w:szCs w:val="22"/>
          <w:lang w:val="en"/>
        </w:rPr>
        <w:t xml:space="preserve"> </w:t>
      </w:r>
      <w:r w:rsidR="00680941">
        <w:rPr>
          <w:rStyle w:val="tlid-translation"/>
          <w:rFonts w:ascii="Times New Roman" w:hAnsi="Times New Roman"/>
          <w:sz w:val="22"/>
          <w:szCs w:val="22"/>
          <w:lang w:val="en"/>
        </w:rPr>
        <w:fldChar w:fldCharType="begin" w:fldLock="1"/>
      </w:r>
      <w:r w:rsidR="00680941">
        <w:rPr>
          <w:rStyle w:val="tlid-translation"/>
          <w:rFonts w:ascii="Times New Roman" w:hAnsi="Times New Roman"/>
          <w:sz w:val="22"/>
          <w:szCs w:val="22"/>
          <w:lang w:val="en"/>
        </w:rPr>
        <w:instrText>ADDIN CSL_CITATION {"citationItems":[{"id":"ITEM-1","itemData":{"DOI":"10.1088/1755-1315/106/1/012085","ISSN":"17551315","abstract":"The paper aims to present a comprehensive framework for the influences of green perceived risk, green image, green trust and green satisfaction to green loyalty. The paper also seeks to account explicitly for the differences in green perceived risk, green image, green trust, green satisfaction and green loyalty found among green products customers. Data were obtained from 155 green products customers. Structural equation modeling was used in order to test the proposed hypotheses. The findings show that green image, green trust and green satisfaction has positive effects to green loyalty. But green perceived risk has negative effects to green image, green trust and green satisfaction. However, green perceived risk, green image, green trust and green satisfaction also seems to be a good device to gain green products customers from competitors. The contributions of the paper are, firstly, a more complete framework of the influences of green perceived risk, green image, green trust and green satisfaction to green loyalty analyses simultaneously. Secondly, the study allows a direct comparison of the difference in green perceived risk, green image, green trust, green satisfaction and green loyalty between green products customers.","author":[{"dropping-particle":"","family":"Chrisjatmiko","given":"K.","non-dropping-particle":"","parse-names":false,"suffix":""}],"container-title":"IOP Conference Series: Earth and Environmental Science","id":"ITEM-1","issue":"1","issued":{"date-parts":[["2018"]]},"title":"Towards green loyalty: The influences of green perceived risk, green image, green trust and green satisfaction","type":"article-journal","volume":"106"},"uris":["http://www.mendeley.com/documents/?uuid=ab30ed80-f1e7-447d-a239-00e21886e0ac"]},{"id":"ITEM-2","itemData":{"DOI":"10.3390/su14148499","ISSN":"20711050","abstract":"This systematic review research has two objectives: (a) to identify Green Marketing (GM) practices related to the key variables of consumer purchasing behavior, and (b) to present a model for the generation of sustainable value by companies based on the results found. The PRISMA (Preferred Reporting Items for Systematic Reviews and Meta-Analyses) statement process was followed and Scopus and Web of Science (WoS) sources were used for the document search. A total of 248 documents were found (Scopus = 110; WoS = 138), and the final selection was 34 papers. The GM practices found were placed in five categories: (a) Green products and services; (b) Green business image; (c) Green advertising; (d) Green purchasing experience; (e) Green marketing mix. The key variables of purchasing behavior that were found are: Environmental awareness, Green satisfaction, Green attitude, Green purchasing intention, Green purchasing preference, Word of mouth, Perceived value, Green experiential value, Responsible consumption, Green engagement, Green trust, Green loyalty, and Green purchasing decision. Finally, a sustainable value generation model called “Green consumption cycle for sustainable value” was presented.","author":[{"dropping-particle":"","family":"García-Salirrosas","given":"Elizabeth Emperatriz","non-dropping-particle":"","parse-names":false,"suffix":""},{"dropping-particle":"","family":"Rondon-Eusebio","given":"Rafael Fernando","non-dropping-particle":"","parse-names":false,"suffix":""}],"container-title":"Sustainability (Switzerland)","id":"ITEM-2","issue":"14","issued":{"date-parts":[["2022"]]},"title":"Green Marketing Practices Related to Key Variables of Consumer Purchasing Behavior","type":"article-journal","volume":"14"},"uris":["http://www.mendeley.com/documents/?uuid=5696085f-a261-4c94-bc9c-37b7c55b5c72"]},{"id":"ITEM-3","itemData":{"DOI":"10.1186/s40852-018-0090-7","ISBN":"4085201800907","ISSN":"21998531","abstract":"Faced with an array of scandals and challenges caused by environmental pollution and exploitation of workers, apparel retailers are often compelled to re-think their strategies in compliance with environmental governance, and to implement specific measures aimed at environmental protection and preserving resources. By adopting green-based strategies to reach their target segments, retailers seek not only to capture the attention of different consumer generations, but also to inspire loyalty and encourage them to re-visit stores. Based on the generational theory and by means of quantitative research addressing four consumer generations in an emerging market, the authors highlight the extent to which clothing retailers are able, by adopting green strategies and consistently implementing environmental protection actions, to attract mainly young consumers to their stores, encouraging the sharing of peer recommendations, increasing purchasing behaviour and invoking loyalty. The article highlights the contribution of green marketing strategies in developing consumer loyalty in an emerging market by offering retailers the possibility of deepening their understanding when approaching different consumer generations.","author":[{"dropping-particle":"","family":"Dabija","given":"Dan Cristian","non-dropping-particle":"","parse-names":false,"suffix":""}],"container-title":"Journal of Open Innovation: Technology, Market, and Complexity","id":"ITEM-3","issue":"1","issued":{"date-parts":[["2018"]]},"page":"1-16","publisher":"Journal of Open Innovation: Technology, Market, and Complexity","title":"Enhancing green loyalty towards apparel retail stores: A cross-generational analysis on an emerging market","type":"article-journal","volume":"4"},"uris":["http://www.mendeley.com/documents/?uuid=1bcf499b-3733-45f2-9e08-584209879ddb"]}],"mendeley":{"formattedCitation":"(Chrisjatmiko, 2018; Dabija, 2018; García-Salirrosas &amp; Rondon-Eusebio, 2022)","plainTextFormattedCitation":"(Chrisjatmiko, 2018; Dabija, 2018; García-Salirrosas &amp; Rondon-Eusebio, 2022)"},"properties":{"noteIndex":0},"schema":"https://github.com/citation-style-language/schema/raw/master/csl-citation.json"}</w:instrText>
      </w:r>
      <w:r w:rsidR="00680941">
        <w:rPr>
          <w:rStyle w:val="tlid-translation"/>
          <w:rFonts w:ascii="Times New Roman" w:hAnsi="Times New Roman"/>
          <w:sz w:val="22"/>
          <w:szCs w:val="22"/>
          <w:lang w:val="en"/>
        </w:rPr>
        <w:fldChar w:fldCharType="separate"/>
      </w:r>
      <w:r w:rsidR="00680941" w:rsidRPr="00680941">
        <w:rPr>
          <w:rStyle w:val="tlid-translation"/>
          <w:rFonts w:ascii="Times New Roman" w:hAnsi="Times New Roman"/>
          <w:noProof/>
          <w:sz w:val="22"/>
          <w:szCs w:val="22"/>
          <w:lang w:val="en"/>
        </w:rPr>
        <w:t>(Chrisjatmiko, 2018; Dabija, 2018; García-Salirrosas &amp; Rondon-Eusebio, 2022)</w:t>
      </w:r>
      <w:r w:rsidR="00680941">
        <w:rPr>
          <w:rStyle w:val="tlid-translation"/>
          <w:rFonts w:ascii="Times New Roman" w:hAnsi="Times New Roman"/>
          <w:sz w:val="22"/>
          <w:szCs w:val="22"/>
          <w:lang w:val="en"/>
        </w:rPr>
        <w:fldChar w:fldCharType="end"/>
      </w:r>
      <w:r w:rsidR="00680941">
        <w:rPr>
          <w:rStyle w:val="tlid-translation"/>
          <w:rFonts w:ascii="Times New Roman" w:hAnsi="Times New Roman"/>
          <w:sz w:val="22"/>
          <w:szCs w:val="22"/>
          <w:lang w:val="en"/>
        </w:rPr>
        <w:t>.</w:t>
      </w:r>
      <w:r w:rsidR="00A403AA" w:rsidRPr="007F5B19">
        <w:rPr>
          <w:rStyle w:val="tlid-translation"/>
          <w:rFonts w:ascii="Times New Roman" w:hAnsi="Times New Roman"/>
          <w:sz w:val="22"/>
          <w:szCs w:val="22"/>
          <w:lang w:val="en"/>
        </w:rPr>
        <w:t xml:space="preserve"> </w:t>
      </w:r>
    </w:p>
    <w:p w14:paraId="6D1C9B3D" w14:textId="2D079A31" w:rsidR="00A403AA" w:rsidRDefault="005668B1" w:rsidP="00A403AA">
      <w:pPr>
        <w:pStyle w:val="Els-1storder-head"/>
        <w:rPr>
          <w:sz w:val="24"/>
          <w:szCs w:val="24"/>
          <w:lang w:val="id-ID"/>
        </w:rPr>
      </w:pPr>
      <w:r>
        <w:rPr>
          <w:sz w:val="24"/>
          <w:szCs w:val="24"/>
        </w:rPr>
        <w:t>Conclusion</w:t>
      </w:r>
    </w:p>
    <w:p w14:paraId="5898D4F2" w14:textId="77777777" w:rsidR="005668B1" w:rsidRPr="007F5B19" w:rsidRDefault="005668B1" w:rsidP="005668B1">
      <w:pPr>
        <w:pStyle w:val="Els-body-text"/>
        <w:rPr>
          <w:rStyle w:val="tlid-translation"/>
          <w:rFonts w:ascii="Times New Roman" w:hAnsi="Times New Roman"/>
          <w:sz w:val="22"/>
          <w:szCs w:val="22"/>
          <w:lang w:val="en"/>
        </w:rPr>
      </w:pPr>
      <w:r w:rsidRPr="007F5B19">
        <w:rPr>
          <w:rStyle w:val="tlid-translation"/>
          <w:rFonts w:ascii="Times New Roman" w:hAnsi="Times New Roman"/>
          <w:sz w:val="22"/>
          <w:szCs w:val="22"/>
          <w:lang w:val="en"/>
        </w:rPr>
        <w:t>The primary objective of this study is to analyze consumer loyalty towards Uniqlo’s green products in Bandung Metropolitan and to verify the proposed research hypotheses. Hypotheses 1 to 5 indicate a positive and significant influence. The findings reveal that green marketing, green perceived value, and environmental concern collectively contribute 73.6% to green customer satisfaction with Uniqlo in Bandung Metropolitan, while the remaining 26.4% is influenced by other variables. Partially, green marketing contributes 18.5%, green perceived value 24.4%, and environmental concern 30.7% to green satisfaction. Additionally, green satisfaction has been proven to have a significant influence of 79.9% on green loyalty among Uniqlo consumers.</w:t>
      </w:r>
    </w:p>
    <w:p w14:paraId="591660A9" w14:textId="77777777" w:rsidR="005668B1" w:rsidRPr="007F5B19" w:rsidRDefault="005668B1" w:rsidP="005668B1">
      <w:pPr>
        <w:pStyle w:val="Els-body-text"/>
        <w:rPr>
          <w:rStyle w:val="tlid-translation"/>
          <w:rFonts w:ascii="Times New Roman" w:hAnsi="Times New Roman"/>
          <w:sz w:val="22"/>
          <w:szCs w:val="22"/>
          <w:lang w:val="en"/>
        </w:rPr>
      </w:pPr>
      <w:r w:rsidRPr="007F5B19">
        <w:rPr>
          <w:rStyle w:val="tlid-translation"/>
          <w:rFonts w:ascii="Times New Roman" w:hAnsi="Times New Roman"/>
          <w:sz w:val="22"/>
          <w:szCs w:val="22"/>
          <w:lang w:val="en"/>
        </w:rPr>
        <w:t>From a practical perspective, this study provides valuable implications for Uniqlo in strengthening its green marketing efforts, enhancing green perceived value, increasing environmental concern, and improving green satisfaction and loyalty. To reinforce green marketing, Uniqlo should actively communicate its environmental initiatives through educational and transparent campaigns, including the use of sustainable raw materials and clothing recycling programs. Green perceived value can be improved by highlighting the functional, aesthetic, and environmental benefits of green products while ensuring competitive pricing. Environmental concern can be strengthened by encouraging consumer participation in sustainability programs, such as returning used clothing or collaborating with green communities.</w:t>
      </w:r>
    </w:p>
    <w:p w14:paraId="1CF34C03" w14:textId="73F53865" w:rsidR="00EB51FC" w:rsidRDefault="005668B1" w:rsidP="00E5387B">
      <w:pPr>
        <w:pStyle w:val="Els-body-text"/>
        <w:rPr>
          <w:rStyle w:val="tlid-translation"/>
          <w:rFonts w:ascii="Times New Roman" w:hAnsi="Times New Roman"/>
          <w:lang w:val="en"/>
        </w:rPr>
      </w:pPr>
      <w:r w:rsidRPr="007F5B19">
        <w:rPr>
          <w:rStyle w:val="tlid-translation"/>
          <w:rFonts w:ascii="Times New Roman" w:hAnsi="Times New Roman"/>
          <w:sz w:val="22"/>
          <w:szCs w:val="22"/>
          <w:lang w:val="en"/>
        </w:rPr>
        <w:lastRenderedPageBreak/>
        <w:t>To enhance green satisfaction, Uniqlo must ensure that its eco-friendly products provide tangible comfort and benefits that align with consumer expectations, while also strengthening advocacy through campaigns and incentives for consumers supporting sustainability. Green loyalty can be fostered by creating a sustainable shopping ecosystem, such as loyalty programs based on eco-friendly actions or rewards for customers contributing to Uniqlo’s green initiatives. Through consistent and innovative strategies, Uniqlo can further solidify its brand image as an environmentally responsible company while increasing customer satisfaction and loyalty.</w:t>
      </w:r>
      <w:r w:rsidR="00A403AA" w:rsidRPr="007F5B19">
        <w:rPr>
          <w:rStyle w:val="tlid-translation"/>
          <w:rFonts w:ascii="Times New Roman" w:hAnsi="Times New Roman"/>
          <w:sz w:val="22"/>
          <w:szCs w:val="22"/>
          <w:lang w:val="en"/>
        </w:rPr>
        <w:t xml:space="preserve"> </w:t>
      </w:r>
    </w:p>
    <w:p w14:paraId="3CB7E016" w14:textId="77777777" w:rsidR="00EB51FC" w:rsidRPr="003D7997" w:rsidRDefault="00EB51FC" w:rsidP="00680941">
      <w:pPr>
        <w:pStyle w:val="Els-reference-head"/>
        <w:spacing w:before="240"/>
        <w:rPr>
          <w:sz w:val="24"/>
          <w:szCs w:val="24"/>
        </w:rPr>
      </w:pPr>
      <w:r w:rsidRPr="003D7997">
        <w:rPr>
          <w:sz w:val="24"/>
          <w:szCs w:val="24"/>
        </w:rPr>
        <w:t>References</w:t>
      </w:r>
    </w:p>
    <w:p w14:paraId="0E7CE41B" w14:textId="36F96EC3" w:rsidR="00680941" w:rsidRPr="00BD504D" w:rsidRDefault="0091359B"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sz w:val="22"/>
          <w:szCs w:val="22"/>
        </w:rPr>
        <w:fldChar w:fldCharType="begin" w:fldLock="1"/>
      </w:r>
      <w:r w:rsidRPr="00BD504D">
        <w:rPr>
          <w:rFonts w:asciiTheme="majorBidi" w:hAnsiTheme="majorBidi" w:cstheme="majorBidi"/>
          <w:sz w:val="22"/>
          <w:szCs w:val="22"/>
        </w:rPr>
        <w:instrText xml:space="preserve">ADDIN Mendeley Bibliography CSL_BIBLIOGRAPHY </w:instrText>
      </w:r>
      <w:r w:rsidRPr="00BD504D">
        <w:rPr>
          <w:rFonts w:asciiTheme="majorBidi" w:hAnsiTheme="majorBidi" w:cstheme="majorBidi"/>
          <w:sz w:val="22"/>
          <w:szCs w:val="22"/>
        </w:rPr>
        <w:fldChar w:fldCharType="separate"/>
      </w:r>
      <w:r w:rsidR="00680941" w:rsidRPr="00BD504D">
        <w:rPr>
          <w:rFonts w:asciiTheme="majorBidi" w:hAnsiTheme="majorBidi" w:cstheme="majorBidi"/>
          <w:noProof/>
          <w:sz w:val="22"/>
          <w:szCs w:val="22"/>
        </w:rPr>
        <w:t xml:space="preserve">Ahmed, R. R., Streimikiene, D., Sulaiman, Y., Asim, J., &amp; Streimikis, J. (2024). Enhancing competitiveness of green environmental practices and green purchase intentions in Asian markets: Evidence from the extended norm activation model. </w:t>
      </w:r>
      <w:r w:rsidR="00680941" w:rsidRPr="00BD504D">
        <w:rPr>
          <w:rFonts w:asciiTheme="majorBidi" w:hAnsiTheme="majorBidi" w:cstheme="majorBidi"/>
          <w:i/>
          <w:iCs/>
          <w:noProof/>
          <w:sz w:val="22"/>
          <w:szCs w:val="22"/>
        </w:rPr>
        <w:t>Journal of Competitiveness</w:t>
      </w:r>
      <w:r w:rsidR="00680941" w:rsidRPr="00BD504D">
        <w:rPr>
          <w:rFonts w:asciiTheme="majorBidi" w:hAnsiTheme="majorBidi" w:cstheme="majorBidi"/>
          <w:noProof/>
          <w:sz w:val="22"/>
          <w:szCs w:val="22"/>
        </w:rPr>
        <w:t xml:space="preserve">, </w:t>
      </w:r>
      <w:r w:rsidR="00680941" w:rsidRPr="00BD504D">
        <w:rPr>
          <w:rFonts w:asciiTheme="majorBidi" w:hAnsiTheme="majorBidi" w:cstheme="majorBidi"/>
          <w:i/>
          <w:iCs/>
          <w:noProof/>
          <w:sz w:val="22"/>
          <w:szCs w:val="22"/>
        </w:rPr>
        <w:t>16</w:t>
      </w:r>
      <w:r w:rsidR="00680941" w:rsidRPr="00BD504D">
        <w:rPr>
          <w:rFonts w:asciiTheme="majorBidi" w:hAnsiTheme="majorBidi" w:cstheme="majorBidi"/>
          <w:noProof/>
          <w:sz w:val="22"/>
          <w:szCs w:val="22"/>
        </w:rPr>
        <w:t>(3), 204–220. https://doi.org/10.7441/joc.2024.03.10</w:t>
      </w:r>
    </w:p>
    <w:p w14:paraId="6847A5F0"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Al-Majali, M. M., &amp; Tarabieh, S. M. Z. A. (2020). Effect of internal green marketing mix elements on customers’ satisfaction in Jordan: Mu’tah University students. </w:t>
      </w:r>
      <w:r w:rsidRPr="00BD504D">
        <w:rPr>
          <w:rFonts w:asciiTheme="majorBidi" w:hAnsiTheme="majorBidi" w:cstheme="majorBidi"/>
          <w:i/>
          <w:iCs/>
          <w:noProof/>
          <w:sz w:val="22"/>
          <w:szCs w:val="22"/>
        </w:rPr>
        <w:t>Jordan Journal of Business Administration</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16</w:t>
      </w:r>
      <w:r w:rsidRPr="00BD504D">
        <w:rPr>
          <w:rFonts w:asciiTheme="majorBidi" w:hAnsiTheme="majorBidi" w:cstheme="majorBidi"/>
          <w:noProof/>
          <w:sz w:val="22"/>
          <w:szCs w:val="22"/>
        </w:rPr>
        <w:t>(2), 411–434. https://doi.org/10.35516/0338-016-002-004</w:t>
      </w:r>
    </w:p>
    <w:p w14:paraId="1FB5E8FE"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Al Amin, Z., &amp; Dhewi, T. S. (2021). How Green Perceived Value and Green Perceived Risk Influence Customer Loyalty Through Customer Satisfaction. </w:t>
      </w:r>
      <w:r w:rsidRPr="00BD504D">
        <w:rPr>
          <w:rFonts w:asciiTheme="majorBidi" w:hAnsiTheme="majorBidi" w:cstheme="majorBidi"/>
          <w:i/>
          <w:iCs/>
          <w:noProof/>
          <w:sz w:val="22"/>
          <w:szCs w:val="22"/>
        </w:rPr>
        <w:t>Advances in Economics, Business and Management Research</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193</w:t>
      </w:r>
      <w:r w:rsidRPr="00BD504D">
        <w:rPr>
          <w:rFonts w:asciiTheme="majorBidi" w:hAnsiTheme="majorBidi" w:cstheme="majorBidi"/>
          <w:noProof/>
          <w:sz w:val="22"/>
          <w:szCs w:val="22"/>
        </w:rPr>
        <w:t>(1), 285–290.</w:t>
      </w:r>
    </w:p>
    <w:p w14:paraId="20B814F8"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Alavi, M., Visentin, D. C., Thapa, D. K., Hunt, G. E., Watson, R., &amp; Cleary, M. (2020). Chi-square for model fit in confirmatory factor analysis. </w:t>
      </w:r>
      <w:r w:rsidRPr="00BD504D">
        <w:rPr>
          <w:rFonts w:asciiTheme="majorBidi" w:hAnsiTheme="majorBidi" w:cstheme="majorBidi"/>
          <w:i/>
          <w:iCs/>
          <w:noProof/>
          <w:sz w:val="22"/>
          <w:szCs w:val="22"/>
        </w:rPr>
        <w:t>Journal of Advanced Nursing</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76</w:t>
      </w:r>
      <w:r w:rsidRPr="00BD504D">
        <w:rPr>
          <w:rFonts w:asciiTheme="majorBidi" w:hAnsiTheme="majorBidi" w:cstheme="majorBidi"/>
          <w:noProof/>
          <w:sz w:val="22"/>
          <w:szCs w:val="22"/>
        </w:rPr>
        <w:t>(9), 2209–2211. https://doi.org/10.1111/jan.14399</w:t>
      </w:r>
    </w:p>
    <w:p w14:paraId="51092684"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Ali, M. (2021). Pengaruh Pengetahuan Dan Sikap Terhadap Minat Berwirausaha Pada Mahasiswa Program Kewirausahaan Lintas Prodi. </w:t>
      </w:r>
      <w:r w:rsidRPr="00BD504D">
        <w:rPr>
          <w:rFonts w:asciiTheme="majorBidi" w:hAnsiTheme="majorBidi" w:cstheme="majorBidi"/>
          <w:i/>
          <w:iCs/>
          <w:noProof/>
          <w:sz w:val="22"/>
          <w:szCs w:val="22"/>
        </w:rPr>
        <w:t>JPEK (Jurnal Pendidikan Ekonomi Dan Kewirausahaan)</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5</w:t>
      </w:r>
      <w:r w:rsidRPr="00BD504D">
        <w:rPr>
          <w:rFonts w:asciiTheme="majorBidi" w:hAnsiTheme="majorBidi" w:cstheme="majorBidi"/>
          <w:noProof/>
          <w:sz w:val="22"/>
          <w:szCs w:val="22"/>
        </w:rPr>
        <w:t>(2), 365–375. https://doi.org/10.29408/jpek.v5i2.4842</w:t>
      </w:r>
    </w:p>
    <w:p w14:paraId="6717672C"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Bekar, A., Durmaz, Ş., &amp; Yozukmaz, N. (2020). The effect of green practices on emotional attachment and green loyalty of coffee shop consumers (Turkey). </w:t>
      </w:r>
      <w:r w:rsidRPr="00BD504D">
        <w:rPr>
          <w:rFonts w:asciiTheme="majorBidi" w:hAnsiTheme="majorBidi" w:cstheme="majorBidi"/>
          <w:i/>
          <w:iCs/>
          <w:noProof/>
          <w:sz w:val="22"/>
          <w:szCs w:val="22"/>
        </w:rPr>
        <w:t>Turizam</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24</w:t>
      </w:r>
      <w:r w:rsidRPr="00BD504D">
        <w:rPr>
          <w:rFonts w:asciiTheme="majorBidi" w:hAnsiTheme="majorBidi" w:cstheme="majorBidi"/>
          <w:noProof/>
          <w:sz w:val="22"/>
          <w:szCs w:val="22"/>
        </w:rPr>
        <w:t>(1), 33–45. https://doi.org/10.5937/turizam24-23444</w:t>
      </w:r>
    </w:p>
    <w:p w14:paraId="07DDFF4B"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Bick, R., Halsey, E., &amp; Ekenga, C. C. (2018). The global environmental injustice of fast fashion. </w:t>
      </w:r>
      <w:r w:rsidRPr="00BD504D">
        <w:rPr>
          <w:rFonts w:asciiTheme="majorBidi" w:hAnsiTheme="majorBidi" w:cstheme="majorBidi"/>
          <w:i/>
          <w:iCs/>
          <w:noProof/>
          <w:sz w:val="22"/>
          <w:szCs w:val="22"/>
        </w:rPr>
        <w:t>Environmental Health: A Global Access Science Source</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17</w:t>
      </w:r>
      <w:r w:rsidRPr="00BD504D">
        <w:rPr>
          <w:rFonts w:asciiTheme="majorBidi" w:hAnsiTheme="majorBidi" w:cstheme="majorBidi"/>
          <w:noProof/>
          <w:sz w:val="22"/>
          <w:szCs w:val="22"/>
        </w:rPr>
        <w:t>(1), 1–4. https://doi.org/10.1186/s12940-018-0433-7</w:t>
      </w:r>
    </w:p>
    <w:p w14:paraId="6A97A0D5"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Business Wire. (2020). </w:t>
      </w:r>
      <w:r w:rsidRPr="00BD504D">
        <w:rPr>
          <w:rFonts w:asciiTheme="majorBidi" w:hAnsiTheme="majorBidi" w:cstheme="majorBidi"/>
          <w:i/>
          <w:iCs/>
          <w:noProof/>
          <w:sz w:val="22"/>
          <w:szCs w:val="22"/>
        </w:rPr>
        <w:t>Global Ethical Fashion Market to Reach $8.25 Billion by 2023 (COVID-19 Adjusted)</w:t>
      </w:r>
      <w:r w:rsidRPr="00BD504D">
        <w:rPr>
          <w:rFonts w:asciiTheme="majorBidi" w:hAnsiTheme="majorBidi" w:cstheme="majorBidi"/>
          <w:noProof/>
          <w:sz w:val="22"/>
          <w:szCs w:val="22"/>
        </w:rPr>
        <w:t>. Businesswire. https://www.businesswire.com/news/home/20200619005202/en/Global-Ethical-Fashion-Market-to-Reach-8.25-Billion-by-2023-COVID-19-Adjusted---ResearchAndMarkets.com</w:t>
      </w:r>
    </w:p>
    <w:p w14:paraId="5601FB3F"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Cameron, B., &amp; Kafi, A. (2019). </w:t>
      </w:r>
      <w:r w:rsidRPr="00BD504D">
        <w:rPr>
          <w:rFonts w:asciiTheme="majorBidi" w:hAnsiTheme="majorBidi" w:cstheme="majorBidi"/>
          <w:i/>
          <w:iCs/>
          <w:noProof/>
          <w:sz w:val="22"/>
          <w:szCs w:val="22"/>
        </w:rPr>
        <w:t>Investigating Consumers Online Clothing Buying Behavior Through the Lens of Extended Unified Theory of Acceptance and the Use of Technology</w:t>
      </w:r>
      <w:r w:rsidRPr="00BD504D">
        <w:rPr>
          <w:rFonts w:asciiTheme="majorBidi" w:hAnsiTheme="majorBidi" w:cstheme="majorBidi"/>
          <w:noProof/>
          <w:sz w:val="22"/>
          <w:szCs w:val="22"/>
        </w:rPr>
        <w:t>. https://doi.org/10.31274/itaa.8830</w:t>
      </w:r>
    </w:p>
    <w:p w14:paraId="251080FF"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Çavusoglu, S., Demirag, B., Jusuf, E., &amp; Gunardi, A. (2021). The effect of attitudes toward green behaviors on green image, green customer satisfaction and green customer loyalty. </w:t>
      </w:r>
      <w:r w:rsidRPr="00BD504D">
        <w:rPr>
          <w:rFonts w:asciiTheme="majorBidi" w:hAnsiTheme="majorBidi" w:cstheme="majorBidi"/>
          <w:i/>
          <w:iCs/>
          <w:noProof/>
          <w:sz w:val="22"/>
          <w:szCs w:val="22"/>
        </w:rPr>
        <w:t xml:space="preserve">Geojournal of Tourism and Geosites </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33</w:t>
      </w:r>
      <w:r w:rsidRPr="00BD504D">
        <w:rPr>
          <w:rFonts w:asciiTheme="majorBidi" w:hAnsiTheme="majorBidi" w:cstheme="majorBidi"/>
          <w:noProof/>
          <w:sz w:val="22"/>
          <w:szCs w:val="22"/>
        </w:rPr>
        <w:t>(4), 1513–1519. https://doi.org/10.30892/gtg.334spl10-601</w:t>
      </w:r>
    </w:p>
    <w:p w14:paraId="053179B4"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Chan, S. (2018). Factors Affecting Revisit Intention With Customer Satisfaction As a Mediating Variable in Eco Friendly Resorts. </w:t>
      </w:r>
      <w:r w:rsidRPr="00BD504D">
        <w:rPr>
          <w:rFonts w:asciiTheme="majorBidi" w:hAnsiTheme="majorBidi" w:cstheme="majorBidi"/>
          <w:i/>
          <w:iCs/>
          <w:noProof/>
          <w:sz w:val="22"/>
          <w:szCs w:val="22"/>
        </w:rPr>
        <w:t>Jurnal Manajemen Inovasi</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9</w:t>
      </w:r>
      <w:r w:rsidRPr="00BD504D">
        <w:rPr>
          <w:rFonts w:asciiTheme="majorBidi" w:hAnsiTheme="majorBidi" w:cstheme="majorBidi"/>
          <w:noProof/>
          <w:sz w:val="22"/>
          <w:szCs w:val="22"/>
        </w:rPr>
        <w:t>(1), 1–13.</w:t>
      </w:r>
    </w:p>
    <w:p w14:paraId="5616914E"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Chen, Y. S., Lin, C. Y., &amp; Weng, C. S. (2015). The influence of environmental friendliness on green trust: The mediation effects of green satisfaction and green perceived quality. </w:t>
      </w:r>
      <w:r w:rsidRPr="00BD504D">
        <w:rPr>
          <w:rFonts w:asciiTheme="majorBidi" w:hAnsiTheme="majorBidi" w:cstheme="majorBidi"/>
          <w:i/>
          <w:iCs/>
          <w:noProof/>
          <w:sz w:val="22"/>
          <w:szCs w:val="22"/>
        </w:rPr>
        <w:t>Sustainability (Switzerland)</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7</w:t>
      </w:r>
      <w:r w:rsidRPr="00BD504D">
        <w:rPr>
          <w:rFonts w:asciiTheme="majorBidi" w:hAnsiTheme="majorBidi" w:cstheme="majorBidi"/>
          <w:noProof/>
          <w:sz w:val="22"/>
          <w:szCs w:val="22"/>
        </w:rPr>
        <w:t>(8), 10135–10152. https://doi.org/10.3390/su70810135</w:t>
      </w:r>
    </w:p>
    <w:p w14:paraId="3AD14FE7"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Chrisjatmiko, K. (2018). Towards green loyalty: The influences of green perceived risk, green image, green trust and green satisfaction. </w:t>
      </w:r>
      <w:r w:rsidRPr="00BD504D">
        <w:rPr>
          <w:rFonts w:asciiTheme="majorBidi" w:hAnsiTheme="majorBidi" w:cstheme="majorBidi"/>
          <w:i/>
          <w:iCs/>
          <w:noProof/>
          <w:sz w:val="22"/>
          <w:szCs w:val="22"/>
        </w:rPr>
        <w:t>IOP Conference Series: Earth and Environmental Science</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106</w:t>
      </w:r>
      <w:r w:rsidRPr="00BD504D">
        <w:rPr>
          <w:rFonts w:asciiTheme="majorBidi" w:hAnsiTheme="majorBidi" w:cstheme="majorBidi"/>
          <w:noProof/>
          <w:sz w:val="22"/>
          <w:szCs w:val="22"/>
        </w:rPr>
        <w:t>(1). https://doi.org/10.1088/1755-1315/106/1/012085</w:t>
      </w:r>
    </w:p>
    <w:p w14:paraId="0AF32058"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lastRenderedPageBreak/>
        <w:t xml:space="preserve">Cruz, S. M., &amp; Manata, B. (2020). Measurement of Environmental Concern: A Review and Analysis. </w:t>
      </w:r>
      <w:r w:rsidRPr="00BD504D">
        <w:rPr>
          <w:rFonts w:asciiTheme="majorBidi" w:hAnsiTheme="majorBidi" w:cstheme="majorBidi"/>
          <w:i/>
          <w:iCs/>
          <w:noProof/>
          <w:sz w:val="22"/>
          <w:szCs w:val="22"/>
        </w:rPr>
        <w:t>Frontiers in Psychology</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11</w:t>
      </w:r>
      <w:r w:rsidRPr="00BD504D">
        <w:rPr>
          <w:rFonts w:asciiTheme="majorBidi" w:hAnsiTheme="majorBidi" w:cstheme="majorBidi"/>
          <w:noProof/>
          <w:sz w:val="22"/>
          <w:szCs w:val="22"/>
        </w:rPr>
        <w:t>(March), 1–14. https://doi.org/10.3389/fpsyg.2020.00363</w:t>
      </w:r>
    </w:p>
    <w:p w14:paraId="2C2C9820"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Dabija, D. C. (2018). Enhancing green loyalty towards apparel retail stores: A cross-generational analysis on an emerging market. </w:t>
      </w:r>
      <w:r w:rsidRPr="00BD504D">
        <w:rPr>
          <w:rFonts w:asciiTheme="majorBidi" w:hAnsiTheme="majorBidi" w:cstheme="majorBidi"/>
          <w:i/>
          <w:iCs/>
          <w:noProof/>
          <w:sz w:val="22"/>
          <w:szCs w:val="22"/>
        </w:rPr>
        <w:t>Journal of Open Innovation: Technology, Market, and Complexity</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4</w:t>
      </w:r>
      <w:r w:rsidRPr="00BD504D">
        <w:rPr>
          <w:rFonts w:asciiTheme="majorBidi" w:hAnsiTheme="majorBidi" w:cstheme="majorBidi"/>
          <w:noProof/>
          <w:sz w:val="22"/>
          <w:szCs w:val="22"/>
        </w:rPr>
        <w:t>(1), 1–16. https://doi.org/10.1186/s40852-018-0090-7</w:t>
      </w:r>
    </w:p>
    <w:p w14:paraId="45D4DA64"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Fast Retailing. (2022). </w:t>
      </w:r>
      <w:r w:rsidRPr="00BD504D">
        <w:rPr>
          <w:rFonts w:asciiTheme="majorBidi" w:hAnsiTheme="majorBidi" w:cstheme="majorBidi"/>
          <w:i/>
          <w:iCs/>
          <w:noProof/>
          <w:sz w:val="22"/>
          <w:szCs w:val="22"/>
        </w:rPr>
        <w:t>Results Summary for Fiscal 2022 (Year to August 31, 2022)</w:t>
      </w:r>
      <w:r w:rsidRPr="00BD504D">
        <w:rPr>
          <w:rFonts w:asciiTheme="majorBidi" w:hAnsiTheme="majorBidi" w:cstheme="majorBidi"/>
          <w:noProof/>
          <w:sz w:val="22"/>
          <w:szCs w:val="22"/>
        </w:rPr>
        <w:t>. Fast Retailing. https://www.fastretailing.com/eng/ir/news/2210131800.html</w:t>
      </w:r>
    </w:p>
    <w:p w14:paraId="11CB1535"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Fatihah, M. (2023). The Influence Of Service Quality, Customer Trust, And Customer Satisfaction On Uniqlo’s Customer Loyalty. </w:t>
      </w:r>
      <w:r w:rsidRPr="00BD504D">
        <w:rPr>
          <w:rFonts w:asciiTheme="majorBidi" w:hAnsiTheme="majorBidi" w:cstheme="majorBidi"/>
          <w:i/>
          <w:iCs/>
          <w:noProof/>
          <w:sz w:val="22"/>
          <w:szCs w:val="22"/>
        </w:rPr>
        <w:t>Journal Of Social Science Research</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3</w:t>
      </w:r>
      <w:r w:rsidRPr="00BD504D">
        <w:rPr>
          <w:rFonts w:asciiTheme="majorBidi" w:hAnsiTheme="majorBidi" w:cstheme="majorBidi"/>
          <w:noProof/>
          <w:sz w:val="22"/>
          <w:szCs w:val="22"/>
        </w:rPr>
        <w:t>(2), 14180–14191. https://j-innovative.org/index.php/Innovative</w:t>
      </w:r>
    </w:p>
    <w:p w14:paraId="36F954CB"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Fauziyah, N., Mugiono, &amp; Sudjatno. (2023). The Effects of Green Perceived Value on Green Customer Loyalty Through Green Satisfaction and Green Trust (A Study of the Users of Avoskin Skincare Product in Malang City). </w:t>
      </w:r>
      <w:r w:rsidRPr="00BD504D">
        <w:rPr>
          <w:rFonts w:asciiTheme="majorBidi" w:hAnsiTheme="majorBidi" w:cstheme="majorBidi"/>
          <w:i/>
          <w:iCs/>
          <w:noProof/>
          <w:sz w:val="22"/>
          <w:szCs w:val="22"/>
        </w:rPr>
        <w:t>International Journal of Economic, Business, Accounting, Agriculture Management and Sharia Administration (IJEBAS)</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3</w:t>
      </w:r>
      <w:r w:rsidRPr="00BD504D">
        <w:rPr>
          <w:rFonts w:asciiTheme="majorBidi" w:hAnsiTheme="majorBidi" w:cstheme="majorBidi"/>
          <w:noProof/>
          <w:sz w:val="22"/>
          <w:szCs w:val="22"/>
        </w:rPr>
        <w:t>(6), 2051–2058.</w:t>
      </w:r>
    </w:p>
    <w:p w14:paraId="1636AE9D"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García-Salirrosas, E. E., &amp; Rondon-Eusebio, R. F. (2022). Green Marketing Practices Related to Key Variables of Consumer Purchasing Behavior. </w:t>
      </w:r>
      <w:r w:rsidRPr="00BD504D">
        <w:rPr>
          <w:rFonts w:asciiTheme="majorBidi" w:hAnsiTheme="majorBidi" w:cstheme="majorBidi"/>
          <w:i/>
          <w:iCs/>
          <w:noProof/>
          <w:sz w:val="22"/>
          <w:szCs w:val="22"/>
        </w:rPr>
        <w:t>Sustainability (Switzerland)</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14</w:t>
      </w:r>
      <w:r w:rsidRPr="00BD504D">
        <w:rPr>
          <w:rFonts w:asciiTheme="majorBidi" w:hAnsiTheme="majorBidi" w:cstheme="majorBidi"/>
          <w:noProof/>
          <w:sz w:val="22"/>
          <w:szCs w:val="22"/>
        </w:rPr>
        <w:t>(14). https://doi.org/10.3390/su14148499</w:t>
      </w:r>
    </w:p>
    <w:p w14:paraId="4AD57FB9"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Gazzola, P., Pavione, E., Pezzetti, R., &amp; Grechi, D. (2020). Trends in the fashion industry. The perception of sustainability and circular economy: A gender/generation quantitative approach. </w:t>
      </w:r>
      <w:r w:rsidRPr="00BD504D">
        <w:rPr>
          <w:rFonts w:asciiTheme="majorBidi" w:hAnsiTheme="majorBidi" w:cstheme="majorBidi"/>
          <w:i/>
          <w:iCs/>
          <w:noProof/>
          <w:sz w:val="22"/>
          <w:szCs w:val="22"/>
        </w:rPr>
        <w:t>Sustainability (Switzerland)</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12</w:t>
      </w:r>
      <w:r w:rsidRPr="00BD504D">
        <w:rPr>
          <w:rFonts w:asciiTheme="majorBidi" w:hAnsiTheme="majorBidi" w:cstheme="majorBidi"/>
          <w:noProof/>
          <w:sz w:val="22"/>
          <w:szCs w:val="22"/>
        </w:rPr>
        <w:t>(7), 1–19. https://doi.org/10.3390/su12072809</w:t>
      </w:r>
    </w:p>
    <w:p w14:paraId="7B91A901"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Gelderman, C. J., Schijns, J., Lambrechts, W., &amp; Vijgen, S. (2021). Green marketing as an environmental practice: The impact on green satisfaction and green loyalty in a business-to-business context. </w:t>
      </w:r>
      <w:r w:rsidRPr="00BD504D">
        <w:rPr>
          <w:rFonts w:asciiTheme="majorBidi" w:hAnsiTheme="majorBidi" w:cstheme="majorBidi"/>
          <w:i/>
          <w:iCs/>
          <w:noProof/>
          <w:sz w:val="22"/>
          <w:szCs w:val="22"/>
        </w:rPr>
        <w:t>Business Strategy and the Environment</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30</w:t>
      </w:r>
      <w:r w:rsidRPr="00BD504D">
        <w:rPr>
          <w:rFonts w:asciiTheme="majorBidi" w:hAnsiTheme="majorBidi" w:cstheme="majorBidi"/>
          <w:noProof/>
          <w:sz w:val="22"/>
          <w:szCs w:val="22"/>
        </w:rPr>
        <w:t>(4), 2061–2076. https://doi.org/10.1002/bse.2732</w:t>
      </w:r>
    </w:p>
    <w:p w14:paraId="1E0D9289"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Giwa-Amu, O. (2023). The Effect of Green Marketing on Customer Satisfaction. </w:t>
      </w:r>
      <w:r w:rsidRPr="00BD504D">
        <w:rPr>
          <w:rFonts w:asciiTheme="majorBidi" w:hAnsiTheme="majorBidi" w:cstheme="majorBidi"/>
          <w:i/>
          <w:iCs/>
          <w:noProof/>
          <w:sz w:val="22"/>
          <w:szCs w:val="22"/>
        </w:rPr>
        <w:t>Jurnal Syntax Transformation</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4</w:t>
      </w:r>
      <w:r w:rsidRPr="00BD504D">
        <w:rPr>
          <w:rFonts w:asciiTheme="majorBidi" w:hAnsiTheme="majorBidi" w:cstheme="majorBidi"/>
          <w:noProof/>
          <w:sz w:val="22"/>
          <w:szCs w:val="22"/>
        </w:rPr>
        <w:t>(12), 149–161. https://doi.org/10.46799/jst.v4i12.881</w:t>
      </w:r>
    </w:p>
    <w:p w14:paraId="09BB5F53"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Gleim, M. R., Smith, J. S., Andrews, D., &amp; Cronin, J. J. (2013). Against the Green: A Multi-method Examination of the Barriers to Green Consumption. </w:t>
      </w:r>
      <w:r w:rsidRPr="00BD504D">
        <w:rPr>
          <w:rFonts w:asciiTheme="majorBidi" w:hAnsiTheme="majorBidi" w:cstheme="majorBidi"/>
          <w:i/>
          <w:iCs/>
          <w:noProof/>
          <w:sz w:val="22"/>
          <w:szCs w:val="22"/>
        </w:rPr>
        <w:t>Journal of Retailing</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89</w:t>
      </w:r>
      <w:r w:rsidRPr="00BD504D">
        <w:rPr>
          <w:rFonts w:asciiTheme="majorBidi" w:hAnsiTheme="majorBidi" w:cstheme="majorBidi"/>
          <w:noProof/>
          <w:sz w:val="22"/>
          <w:szCs w:val="22"/>
        </w:rPr>
        <w:t>(1), 44–61. https://doi.org/10.1016/j.jretai.2012.10.001</w:t>
      </w:r>
    </w:p>
    <w:p w14:paraId="7444A68D"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Green Growth Bappenas. (2024). </w:t>
      </w:r>
      <w:r w:rsidRPr="00BD504D">
        <w:rPr>
          <w:rFonts w:asciiTheme="majorBidi" w:hAnsiTheme="majorBidi" w:cstheme="majorBidi"/>
          <w:i/>
          <w:iCs/>
          <w:noProof/>
          <w:sz w:val="22"/>
          <w:szCs w:val="22"/>
        </w:rPr>
        <w:t>Indonesia Luncurkan Indeks Ekonomi Hijau untuk Mengukur Transformasi Pembangunan Berkelanjutan</w:t>
      </w:r>
      <w:r w:rsidRPr="00BD504D">
        <w:rPr>
          <w:rFonts w:asciiTheme="majorBidi" w:hAnsiTheme="majorBidi" w:cstheme="majorBidi"/>
          <w:noProof/>
          <w:sz w:val="22"/>
          <w:szCs w:val="22"/>
        </w:rPr>
        <w:t>. Green Growth Bappenas. https://greengrowth.bappenas.go.id/indonesia-luncurkan-indeks-ekonomi-hijau-untuk-mengukur-transformasi-pembangunan-berkelanjutan/#:~:text=Ekonomi hijau merupakan salah satu,19 dan menuju pembangunan berkelanjutan</w:t>
      </w:r>
    </w:p>
    <w:p w14:paraId="08B6604B"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Hair, J. F., Risher, J. J., Sarstedt, M., &amp; Ringle, C. M. (2019). When to use and how to report the results of PLS-SEM. </w:t>
      </w:r>
      <w:r w:rsidRPr="00BD504D">
        <w:rPr>
          <w:rFonts w:asciiTheme="majorBidi" w:hAnsiTheme="majorBidi" w:cstheme="majorBidi"/>
          <w:i/>
          <w:iCs/>
          <w:noProof/>
          <w:sz w:val="22"/>
          <w:szCs w:val="22"/>
        </w:rPr>
        <w:t>European Business Review</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31</w:t>
      </w:r>
      <w:r w:rsidRPr="00BD504D">
        <w:rPr>
          <w:rFonts w:asciiTheme="majorBidi" w:hAnsiTheme="majorBidi" w:cstheme="majorBidi"/>
          <w:noProof/>
          <w:sz w:val="22"/>
          <w:szCs w:val="22"/>
        </w:rPr>
        <w:t>(1), 2–24. https://doi.org/10.1108/EBR-11-2018-0203</w:t>
      </w:r>
    </w:p>
    <w:p w14:paraId="5798D478"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Halkos, Gkargkavouzi, G. and, Matsiori, A. and, &amp; Steriani. (2018). </w:t>
      </w:r>
      <w:r w:rsidRPr="00BD504D">
        <w:rPr>
          <w:rFonts w:asciiTheme="majorBidi" w:hAnsiTheme="majorBidi" w:cstheme="majorBidi"/>
          <w:i/>
          <w:iCs/>
          <w:noProof/>
          <w:sz w:val="22"/>
          <w:szCs w:val="22"/>
        </w:rPr>
        <w:t>A multi-dimensional measure of environmental behavior: Exploring the predictive power of connectedness to nature, ecological worldview and environmental concern</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84631</w:t>
      </w:r>
      <w:r w:rsidRPr="00BD504D">
        <w:rPr>
          <w:rFonts w:asciiTheme="majorBidi" w:hAnsiTheme="majorBidi" w:cstheme="majorBidi"/>
          <w:noProof/>
          <w:sz w:val="22"/>
          <w:szCs w:val="22"/>
        </w:rPr>
        <w:t>.</w:t>
      </w:r>
    </w:p>
    <w:p w14:paraId="1D1BD46A"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Hox, J. J., &amp; Bechger, T. M. (2015). An introduction to structural equation modeling. </w:t>
      </w:r>
      <w:r w:rsidRPr="00BD504D">
        <w:rPr>
          <w:rFonts w:asciiTheme="majorBidi" w:hAnsiTheme="majorBidi" w:cstheme="majorBidi"/>
          <w:i/>
          <w:iCs/>
          <w:noProof/>
          <w:sz w:val="22"/>
          <w:szCs w:val="22"/>
        </w:rPr>
        <w:t>Studies in Health Technology and Informatics</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213</w:t>
      </w:r>
      <w:r w:rsidRPr="00BD504D">
        <w:rPr>
          <w:rFonts w:asciiTheme="majorBidi" w:hAnsiTheme="majorBidi" w:cstheme="majorBidi"/>
          <w:noProof/>
          <w:sz w:val="22"/>
          <w:szCs w:val="22"/>
        </w:rPr>
        <w:t>, 3–6. https://doi.org/10.3233/978-1-61499-538-8-3</w:t>
      </w:r>
    </w:p>
    <w:p w14:paraId="4FB0B1A9"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Imaningsih, E. S., Tjiptoherijanto, P., Heruwasto, I., &amp; Aruan, D. T. H. (2019). Linking of egoistic, altruistic, and biospheric values to green loyalty: The role of green functional benefit, green monetary cost and green satisfaction. </w:t>
      </w:r>
      <w:r w:rsidRPr="00BD504D">
        <w:rPr>
          <w:rFonts w:asciiTheme="majorBidi" w:hAnsiTheme="majorBidi" w:cstheme="majorBidi"/>
          <w:i/>
          <w:iCs/>
          <w:noProof/>
          <w:sz w:val="22"/>
          <w:szCs w:val="22"/>
        </w:rPr>
        <w:t>Journal of Asian Finance, Economics and Business</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6</w:t>
      </w:r>
      <w:r w:rsidRPr="00BD504D">
        <w:rPr>
          <w:rFonts w:asciiTheme="majorBidi" w:hAnsiTheme="majorBidi" w:cstheme="majorBidi"/>
          <w:noProof/>
          <w:sz w:val="22"/>
          <w:szCs w:val="22"/>
        </w:rPr>
        <w:t>(2), 277–286. https://doi.org/10.13106/jafeb.2019.vol6.no2.277</w:t>
      </w:r>
    </w:p>
    <w:p w14:paraId="489C815A"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Indonesia Environment and Energy. (2023). </w:t>
      </w:r>
      <w:r w:rsidRPr="00BD504D">
        <w:rPr>
          <w:rFonts w:asciiTheme="majorBidi" w:hAnsiTheme="majorBidi" w:cstheme="majorBidi"/>
          <w:i/>
          <w:iCs/>
          <w:noProof/>
          <w:sz w:val="22"/>
          <w:szCs w:val="22"/>
        </w:rPr>
        <w:t>10 Masalah Besar Lingkungan di Indonesia</w:t>
      </w:r>
      <w:r w:rsidRPr="00BD504D">
        <w:rPr>
          <w:rFonts w:asciiTheme="majorBidi" w:hAnsiTheme="majorBidi" w:cstheme="majorBidi"/>
          <w:noProof/>
          <w:sz w:val="22"/>
          <w:szCs w:val="22"/>
        </w:rPr>
        <w:t>. IEC2. https://environment-indonesia.com/infographic3/10-masalah-besar-lingkungan-di-indonesia/</w:t>
      </w:r>
    </w:p>
    <w:p w14:paraId="371B352F"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Jiang, W., Wang, L., &amp; Zhou, K. Z. (2023). Green Practices and Customer Evaluations of the Service Experience: The Moderating Roles of External Environmental Factors and Firm Characteristics. </w:t>
      </w:r>
      <w:r w:rsidRPr="00BD504D">
        <w:rPr>
          <w:rFonts w:asciiTheme="majorBidi" w:hAnsiTheme="majorBidi" w:cstheme="majorBidi"/>
          <w:i/>
          <w:iCs/>
          <w:noProof/>
          <w:sz w:val="22"/>
          <w:szCs w:val="22"/>
        </w:rPr>
        <w:t>Journal of Business Ethics</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183</w:t>
      </w:r>
      <w:r w:rsidRPr="00BD504D">
        <w:rPr>
          <w:rFonts w:asciiTheme="majorBidi" w:hAnsiTheme="majorBidi" w:cstheme="majorBidi"/>
          <w:noProof/>
          <w:sz w:val="22"/>
          <w:szCs w:val="22"/>
        </w:rPr>
        <w:t>(1), 237–253. https://doi.org/10.1007/s10551-022-05044-x</w:t>
      </w:r>
    </w:p>
    <w:p w14:paraId="29D41D99"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lastRenderedPageBreak/>
        <w:t xml:space="preserve">Joshi, Y., &amp; Rahman, Z. (2019). Consumers’ Sustainable Purchase Behaviour: Modeling the Impact of Psychological Factors. </w:t>
      </w:r>
      <w:r w:rsidRPr="00BD504D">
        <w:rPr>
          <w:rFonts w:asciiTheme="majorBidi" w:hAnsiTheme="majorBidi" w:cstheme="majorBidi"/>
          <w:i/>
          <w:iCs/>
          <w:noProof/>
          <w:sz w:val="22"/>
          <w:szCs w:val="22"/>
        </w:rPr>
        <w:t>Ecological Economics</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159</w:t>
      </w:r>
      <w:r w:rsidRPr="00BD504D">
        <w:rPr>
          <w:rFonts w:asciiTheme="majorBidi" w:hAnsiTheme="majorBidi" w:cstheme="majorBidi"/>
          <w:noProof/>
          <w:sz w:val="22"/>
          <w:szCs w:val="22"/>
        </w:rPr>
        <w:t>(1270), 235–243. https://doi.org/10.1016/j.ecolecon.2019.01.025</w:t>
      </w:r>
    </w:p>
    <w:p w14:paraId="49804209"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Kang, J. W., &amp; Namkung, Y. (2018). The role of perceived corporate social responsibility in the airline industry. </w:t>
      </w:r>
      <w:r w:rsidRPr="00BD504D">
        <w:rPr>
          <w:rFonts w:asciiTheme="majorBidi" w:hAnsiTheme="majorBidi" w:cstheme="majorBidi"/>
          <w:i/>
          <w:iCs/>
          <w:noProof/>
          <w:sz w:val="22"/>
          <w:szCs w:val="22"/>
        </w:rPr>
        <w:t>Sustainability</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10</w:t>
      </w:r>
      <w:r w:rsidRPr="00BD504D">
        <w:rPr>
          <w:rFonts w:asciiTheme="majorBidi" w:hAnsiTheme="majorBidi" w:cstheme="majorBidi"/>
          <w:noProof/>
          <w:sz w:val="22"/>
          <w:szCs w:val="22"/>
        </w:rPr>
        <w:t>(10), 3568.</w:t>
      </w:r>
    </w:p>
    <w:p w14:paraId="587229BC"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Katadata Insight Center. (2021). </w:t>
      </w:r>
      <w:r w:rsidRPr="00BD504D">
        <w:rPr>
          <w:rFonts w:asciiTheme="majorBidi" w:hAnsiTheme="majorBidi" w:cstheme="majorBidi"/>
          <w:i/>
          <w:iCs/>
          <w:noProof/>
          <w:sz w:val="22"/>
          <w:szCs w:val="22"/>
        </w:rPr>
        <w:t>Survei KIC: Baru 28 Persen Konsumen Memahami Produk Hijau</w:t>
      </w:r>
      <w:r w:rsidRPr="00BD504D">
        <w:rPr>
          <w:rFonts w:asciiTheme="majorBidi" w:hAnsiTheme="majorBidi" w:cstheme="majorBidi"/>
          <w:noProof/>
          <w:sz w:val="22"/>
          <w:szCs w:val="22"/>
        </w:rPr>
        <w:t>. Databoks. https://databoks.katadata.co.id/press-release/2021/11/30/survei-kic-baru-28-persen-konsumen-memahami-produk-hijau</w:t>
      </w:r>
    </w:p>
    <w:p w14:paraId="2EB802AA"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Khan, S. N., &amp; Mohsin, M. (2017). The power of emotional value: Exploring the effects of values on green product consumer choice behavior. </w:t>
      </w:r>
      <w:r w:rsidRPr="00BD504D">
        <w:rPr>
          <w:rFonts w:asciiTheme="majorBidi" w:hAnsiTheme="majorBidi" w:cstheme="majorBidi"/>
          <w:i/>
          <w:iCs/>
          <w:noProof/>
          <w:sz w:val="22"/>
          <w:szCs w:val="22"/>
        </w:rPr>
        <w:t>Journal of Cleaner Production</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150</w:t>
      </w:r>
      <w:r w:rsidRPr="00BD504D">
        <w:rPr>
          <w:rFonts w:asciiTheme="majorBidi" w:hAnsiTheme="majorBidi" w:cstheme="majorBidi"/>
          <w:noProof/>
          <w:sz w:val="22"/>
          <w:szCs w:val="22"/>
        </w:rPr>
        <w:t>, 65–74. https://doi.org/10.1016/j.jclepro.2017.02.187</w:t>
      </w:r>
    </w:p>
    <w:p w14:paraId="644B06C7"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Khaw, T. B., Huam, H. T., &amp; Sade, A. B. (2023). The Role of Environmental Concern in Post-Purchase Satisfaction among Green Car Owners in Malaysia. </w:t>
      </w:r>
      <w:r w:rsidRPr="00BD504D">
        <w:rPr>
          <w:rFonts w:asciiTheme="majorBidi" w:hAnsiTheme="majorBidi" w:cstheme="majorBidi"/>
          <w:i/>
          <w:iCs/>
          <w:noProof/>
          <w:sz w:val="22"/>
          <w:szCs w:val="22"/>
        </w:rPr>
        <w:t>International Journal of Academic Research in Business and Social Sciences</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13</w:t>
      </w:r>
      <w:r w:rsidRPr="00BD504D">
        <w:rPr>
          <w:rFonts w:asciiTheme="majorBidi" w:hAnsiTheme="majorBidi" w:cstheme="majorBidi"/>
          <w:noProof/>
          <w:sz w:val="22"/>
          <w:szCs w:val="22"/>
        </w:rPr>
        <w:t>(4). https://doi.org/10.6007/ijarbss/v13-i4/15677</w:t>
      </w:r>
    </w:p>
    <w:p w14:paraId="2D4FE406"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Kisieliauskas, J., &amp; Jančaitis, A. (2022). Green Marketing Impact on Perceived Brand Value in Different Generations. </w:t>
      </w:r>
      <w:r w:rsidRPr="00BD504D">
        <w:rPr>
          <w:rFonts w:asciiTheme="majorBidi" w:hAnsiTheme="majorBidi" w:cstheme="majorBidi"/>
          <w:i/>
          <w:iCs/>
          <w:noProof/>
          <w:sz w:val="22"/>
          <w:szCs w:val="22"/>
        </w:rPr>
        <w:t>Management Theory and Studies for Rural Business and Infrastructure Development</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44</w:t>
      </w:r>
      <w:r w:rsidRPr="00BD504D">
        <w:rPr>
          <w:rFonts w:asciiTheme="majorBidi" w:hAnsiTheme="majorBidi" w:cstheme="majorBidi"/>
          <w:noProof/>
          <w:sz w:val="22"/>
          <w:szCs w:val="22"/>
        </w:rPr>
        <w:t>(2), 125–133. https://doi.org/10.15544/mts.2022.13</w:t>
      </w:r>
    </w:p>
    <w:p w14:paraId="6CEB8AF3"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Kushwah, S., Dhir, A., &amp; Sagar, M. (2019). Ethical consumption intentions and choice behavior towards organic food. Moderation role of buying and environmental concerns. </w:t>
      </w:r>
      <w:r w:rsidRPr="00BD504D">
        <w:rPr>
          <w:rFonts w:asciiTheme="majorBidi" w:hAnsiTheme="majorBidi" w:cstheme="majorBidi"/>
          <w:i/>
          <w:iCs/>
          <w:noProof/>
          <w:sz w:val="22"/>
          <w:szCs w:val="22"/>
        </w:rPr>
        <w:t>Journal of Cleaner Production</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236</w:t>
      </w:r>
      <w:r w:rsidRPr="00BD504D">
        <w:rPr>
          <w:rFonts w:asciiTheme="majorBidi" w:hAnsiTheme="majorBidi" w:cstheme="majorBidi"/>
          <w:noProof/>
          <w:sz w:val="22"/>
          <w:szCs w:val="22"/>
        </w:rPr>
        <w:t>, 117519. https://doi.org/10.1016/j.jclepro.2019.06.350</w:t>
      </w:r>
    </w:p>
    <w:p w14:paraId="233E8524"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Li, G., Yang, L., Zhang, B., Li, X., &amp; Chen, F. (2021). How do environmental values impact green product purchase intention? The moderating role of green trust. </w:t>
      </w:r>
      <w:r w:rsidRPr="00BD504D">
        <w:rPr>
          <w:rFonts w:asciiTheme="majorBidi" w:hAnsiTheme="majorBidi" w:cstheme="majorBidi"/>
          <w:i/>
          <w:iCs/>
          <w:noProof/>
          <w:sz w:val="22"/>
          <w:szCs w:val="22"/>
        </w:rPr>
        <w:t>Environmental Science and Pollution Research</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28</w:t>
      </w:r>
      <w:r w:rsidRPr="00BD504D">
        <w:rPr>
          <w:rFonts w:asciiTheme="majorBidi" w:hAnsiTheme="majorBidi" w:cstheme="majorBidi"/>
          <w:noProof/>
          <w:sz w:val="22"/>
          <w:szCs w:val="22"/>
        </w:rPr>
        <w:t>(33), 46020–46034. https://doi.org/10.1007/s11356-021-13946-y</w:t>
      </w:r>
    </w:p>
    <w:p w14:paraId="3086691B"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Liobikienė, G., &amp; Bernatonienė, J. (2017). Why determinants of green purchase cannot be treated equally? The case of green cosmetics: Literature review. </w:t>
      </w:r>
      <w:r w:rsidRPr="00BD504D">
        <w:rPr>
          <w:rFonts w:asciiTheme="majorBidi" w:hAnsiTheme="majorBidi" w:cstheme="majorBidi"/>
          <w:i/>
          <w:iCs/>
          <w:noProof/>
          <w:sz w:val="22"/>
          <w:szCs w:val="22"/>
        </w:rPr>
        <w:t>Journal of Cleaner Production</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162</w:t>
      </w:r>
      <w:r w:rsidRPr="00BD504D">
        <w:rPr>
          <w:rFonts w:asciiTheme="majorBidi" w:hAnsiTheme="majorBidi" w:cstheme="majorBidi"/>
          <w:noProof/>
          <w:sz w:val="22"/>
          <w:szCs w:val="22"/>
        </w:rPr>
        <w:t>, 109–120. https://doi.org/10.1016/j.jclepro.2017.05.204</w:t>
      </w:r>
    </w:p>
    <w:p w14:paraId="2F7AFF09"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Lopes, J. M. M., Gomes, S., &amp; Trancoso, T. (2024). Navigating the green maze: insights for businesses on consumer decision-making and the mediating role of their environmental concerns. </w:t>
      </w:r>
      <w:r w:rsidRPr="00BD504D">
        <w:rPr>
          <w:rFonts w:asciiTheme="majorBidi" w:hAnsiTheme="majorBidi" w:cstheme="majorBidi"/>
          <w:i/>
          <w:iCs/>
          <w:noProof/>
          <w:sz w:val="22"/>
          <w:szCs w:val="22"/>
        </w:rPr>
        <w:t>Sustainability Accounting, Management and Policy Journal</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15</w:t>
      </w:r>
      <w:r w:rsidRPr="00BD504D">
        <w:rPr>
          <w:rFonts w:asciiTheme="majorBidi" w:hAnsiTheme="majorBidi" w:cstheme="majorBidi"/>
          <w:noProof/>
          <w:sz w:val="22"/>
          <w:szCs w:val="22"/>
        </w:rPr>
        <w:t>(4), 861–883. https://doi.org/10.1108/SAMPJ-07-2023-0492</w:t>
      </w:r>
    </w:p>
    <w:p w14:paraId="1C96C806"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Majeed, A., Ahmed, I., &amp; Rasheed, A. (2022). Investigating influencing factors on consumers’ choice behavior and their environmental concerns while purchasing green products in Pakistan. </w:t>
      </w:r>
      <w:r w:rsidRPr="00BD504D">
        <w:rPr>
          <w:rFonts w:asciiTheme="majorBidi" w:hAnsiTheme="majorBidi" w:cstheme="majorBidi"/>
          <w:i/>
          <w:iCs/>
          <w:noProof/>
          <w:sz w:val="22"/>
          <w:szCs w:val="22"/>
        </w:rPr>
        <w:t>Journal of Environmental Planning and Management</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65</w:t>
      </w:r>
      <w:r w:rsidRPr="00BD504D">
        <w:rPr>
          <w:rFonts w:asciiTheme="majorBidi" w:hAnsiTheme="majorBidi" w:cstheme="majorBidi"/>
          <w:noProof/>
          <w:sz w:val="22"/>
          <w:szCs w:val="22"/>
        </w:rPr>
        <w:t>(6), 1110–1134. https://doi.org/10.1080/09640568.2021.1922995</w:t>
      </w:r>
    </w:p>
    <w:p w14:paraId="5F845A28"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Martinez, P. (2022). Environmental concern and customer satisfaction: The role of green marketing strategies. </w:t>
      </w:r>
      <w:r w:rsidRPr="00BD504D">
        <w:rPr>
          <w:rFonts w:asciiTheme="majorBidi" w:hAnsiTheme="majorBidi" w:cstheme="majorBidi"/>
          <w:i/>
          <w:iCs/>
          <w:noProof/>
          <w:sz w:val="22"/>
          <w:szCs w:val="22"/>
        </w:rPr>
        <w:t>Journal of Sustainable Marketing</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8</w:t>
      </w:r>
      <w:r w:rsidRPr="00BD504D">
        <w:rPr>
          <w:rFonts w:asciiTheme="majorBidi" w:hAnsiTheme="majorBidi" w:cstheme="majorBidi"/>
          <w:noProof/>
          <w:sz w:val="22"/>
          <w:szCs w:val="22"/>
        </w:rPr>
        <w:t>(3), 45–60.</w:t>
      </w:r>
    </w:p>
    <w:p w14:paraId="73839169"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Mudrika, S., Suharjo, D., Deni, &amp; Wiadi, I. (2024). Sustainability in Marketing: Exploring the Impact of Green Marketing on Environmental Concern and Customer Satisfaction. </w:t>
      </w:r>
      <w:r w:rsidRPr="00BD504D">
        <w:rPr>
          <w:rFonts w:asciiTheme="majorBidi" w:hAnsiTheme="majorBidi" w:cstheme="majorBidi"/>
          <w:i/>
          <w:iCs/>
          <w:noProof/>
          <w:sz w:val="22"/>
          <w:szCs w:val="22"/>
        </w:rPr>
        <w:t>International Journal of Multicultural and Multireligious Understanding</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11</w:t>
      </w:r>
      <w:r w:rsidRPr="00BD504D">
        <w:rPr>
          <w:rFonts w:asciiTheme="majorBidi" w:hAnsiTheme="majorBidi" w:cstheme="majorBidi"/>
          <w:noProof/>
          <w:sz w:val="22"/>
          <w:szCs w:val="22"/>
        </w:rPr>
        <w:t>(2), 97–112.</w:t>
      </w:r>
    </w:p>
    <w:p w14:paraId="196E6408"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National Waste Management Information System. (2022). </w:t>
      </w:r>
      <w:r w:rsidRPr="00BD504D">
        <w:rPr>
          <w:rFonts w:asciiTheme="majorBidi" w:hAnsiTheme="majorBidi" w:cstheme="majorBidi"/>
          <w:i/>
          <w:iCs/>
          <w:noProof/>
          <w:sz w:val="22"/>
          <w:szCs w:val="22"/>
        </w:rPr>
        <w:t>Sampah Pakaian Makin Banyak, Saatnya Sudahi Konsumsi Fast Fashion</w:t>
      </w:r>
      <w:r w:rsidRPr="00BD504D">
        <w:rPr>
          <w:rFonts w:asciiTheme="majorBidi" w:hAnsiTheme="majorBidi" w:cstheme="majorBidi"/>
          <w:noProof/>
          <w:sz w:val="22"/>
          <w:szCs w:val="22"/>
        </w:rPr>
        <w:t>. GoodStats. https://goodstats.id/article/sampah-pakaian-makin-banyak-saatnya-sudahi-konsumsi-fast-fashion-BX10s</w:t>
      </w:r>
    </w:p>
    <w:p w14:paraId="3B003630"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Newman, A., Bavik, Y. L., Mount, M., &amp; Shao, B. (2021). Data Collection via Online Platforms: Challenges and Recommendations for Future Research. </w:t>
      </w:r>
      <w:r w:rsidRPr="00BD504D">
        <w:rPr>
          <w:rFonts w:asciiTheme="majorBidi" w:hAnsiTheme="majorBidi" w:cstheme="majorBidi"/>
          <w:i/>
          <w:iCs/>
          <w:noProof/>
          <w:sz w:val="22"/>
          <w:szCs w:val="22"/>
        </w:rPr>
        <w:t>Applied Psychology</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70</w:t>
      </w:r>
      <w:r w:rsidRPr="00BD504D">
        <w:rPr>
          <w:rFonts w:asciiTheme="majorBidi" w:hAnsiTheme="majorBidi" w:cstheme="majorBidi"/>
          <w:noProof/>
          <w:sz w:val="22"/>
          <w:szCs w:val="22"/>
        </w:rPr>
        <w:t>(3), 1380–1402. https://doi.org/10.1111/apps.12302</w:t>
      </w:r>
    </w:p>
    <w:p w14:paraId="122B9A85"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Nguyen, H. T., Le, D. M. D., Ho, T. T. M., &amp; Nguyen, P. M. (2020). Enhancing sustainability in the contemporary model of CSR: a case of fast fashion industry in developing countries. </w:t>
      </w:r>
      <w:r w:rsidRPr="00BD504D">
        <w:rPr>
          <w:rFonts w:asciiTheme="majorBidi" w:hAnsiTheme="majorBidi" w:cstheme="majorBidi"/>
          <w:i/>
          <w:iCs/>
          <w:noProof/>
          <w:sz w:val="22"/>
          <w:szCs w:val="22"/>
        </w:rPr>
        <w:t>Social Responsibility Journal</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17</w:t>
      </w:r>
      <w:r w:rsidRPr="00BD504D">
        <w:rPr>
          <w:rFonts w:asciiTheme="majorBidi" w:hAnsiTheme="majorBidi" w:cstheme="majorBidi"/>
          <w:noProof/>
          <w:sz w:val="22"/>
          <w:szCs w:val="22"/>
        </w:rPr>
        <w:t>(4), 578–591. https://doi.org/10.1108/SRJ-03-2019-0108</w:t>
      </w:r>
    </w:p>
    <w:p w14:paraId="2DD393F2"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Nguyen, T. N., Lobo, A., &amp; Greenland, S. (2017). Marketing Intelligence &amp;amp; Planning The influence </w:t>
      </w:r>
      <w:r w:rsidRPr="00BD504D">
        <w:rPr>
          <w:rFonts w:asciiTheme="majorBidi" w:hAnsiTheme="majorBidi" w:cstheme="majorBidi"/>
          <w:noProof/>
          <w:sz w:val="22"/>
          <w:szCs w:val="22"/>
        </w:rPr>
        <w:lastRenderedPageBreak/>
        <w:t xml:space="preserve">of cultural values on green purchase behaviour The influence of cultural values on green purchase behaviour. </w:t>
      </w:r>
      <w:r w:rsidRPr="00BD504D">
        <w:rPr>
          <w:rFonts w:asciiTheme="majorBidi" w:hAnsiTheme="majorBidi" w:cstheme="majorBidi"/>
          <w:i/>
          <w:iCs/>
          <w:noProof/>
          <w:sz w:val="22"/>
          <w:szCs w:val="22"/>
        </w:rPr>
        <w:t>Marketing Intelligence &amp; Planning Food Journal Iss Environmental Quality: An International Journal</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35</w:t>
      </w:r>
      <w:r w:rsidRPr="00BD504D">
        <w:rPr>
          <w:rFonts w:asciiTheme="majorBidi" w:hAnsiTheme="majorBidi" w:cstheme="majorBidi"/>
          <w:noProof/>
          <w:sz w:val="22"/>
          <w:szCs w:val="22"/>
        </w:rPr>
        <w:t>(4), 377–396. http://dx.doi.org/10.1108/MIP-08-2016-0131%5Cnhttp://dx.doi.org/10.1108/BFJ-06-2016-0295%5Cnhttp://dx.doi.org/10.1108/</w:t>
      </w:r>
    </w:p>
    <w:p w14:paraId="28DF6429"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Nor Azam, N. R. A., Patwary, A. K., &amp; Rashid, B. (2022). Measuring Revisit Intentions of Green Resorts in Malaysia: the Role of Perceived Value and Environmental Concern. </w:t>
      </w:r>
      <w:r w:rsidRPr="00BD504D">
        <w:rPr>
          <w:rFonts w:asciiTheme="majorBidi" w:hAnsiTheme="majorBidi" w:cstheme="majorBidi"/>
          <w:i/>
          <w:iCs/>
          <w:noProof/>
          <w:sz w:val="22"/>
          <w:szCs w:val="22"/>
        </w:rPr>
        <w:t xml:space="preserve">Geojournal of Tourism and Geosites </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40</w:t>
      </w:r>
      <w:r w:rsidRPr="00BD504D">
        <w:rPr>
          <w:rFonts w:asciiTheme="majorBidi" w:hAnsiTheme="majorBidi" w:cstheme="majorBidi"/>
          <w:noProof/>
          <w:sz w:val="22"/>
          <w:szCs w:val="22"/>
        </w:rPr>
        <w:t>(1), 157–166. https://doi.org/10.30892/GTG.40119-815</w:t>
      </w:r>
    </w:p>
    <w:p w14:paraId="1D124A0B"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Norman, H. (2022). The Future is Circular. </w:t>
      </w:r>
      <w:r w:rsidRPr="00BD504D">
        <w:rPr>
          <w:rFonts w:asciiTheme="majorBidi" w:hAnsiTheme="majorBidi" w:cstheme="majorBidi"/>
          <w:i/>
          <w:iCs/>
          <w:noProof/>
          <w:sz w:val="22"/>
          <w:szCs w:val="22"/>
        </w:rPr>
        <w:t>Consumer Electronics Test &amp; Development</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2021</w:t>
      </w:r>
      <w:r w:rsidRPr="00BD504D">
        <w:rPr>
          <w:rFonts w:asciiTheme="majorBidi" w:hAnsiTheme="majorBidi" w:cstheme="majorBidi"/>
          <w:noProof/>
          <w:sz w:val="22"/>
          <w:szCs w:val="22"/>
        </w:rPr>
        <w:t>(2), 6–7. https://doi.org/10.12968/s2754-7744(23)70067-5</w:t>
      </w:r>
    </w:p>
    <w:p w14:paraId="61AF56F8"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Novela, S., Novita, &amp; Hansopaheluwakan, S. (2018). Analysis of green marketing mix effect on customer satisfaction using 7p approach. </w:t>
      </w:r>
      <w:r w:rsidRPr="00BD504D">
        <w:rPr>
          <w:rFonts w:asciiTheme="majorBidi" w:hAnsiTheme="majorBidi" w:cstheme="majorBidi"/>
          <w:i/>
          <w:iCs/>
          <w:noProof/>
          <w:sz w:val="22"/>
          <w:szCs w:val="22"/>
        </w:rPr>
        <w:t>Pertanika Journal of Social Sciences and Humanities</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26</w:t>
      </w:r>
      <w:r w:rsidRPr="00BD504D">
        <w:rPr>
          <w:rFonts w:asciiTheme="majorBidi" w:hAnsiTheme="majorBidi" w:cstheme="majorBidi"/>
          <w:noProof/>
          <w:sz w:val="22"/>
          <w:szCs w:val="22"/>
        </w:rPr>
        <w:t>(T), 131–144.</w:t>
      </w:r>
    </w:p>
    <w:p w14:paraId="1EA8532B"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Pahlevi, M. R., &amp; Suhartanto, D. (2020). The integrated model of green loyalty: Evidence from eco-friendly plastic products. </w:t>
      </w:r>
      <w:r w:rsidRPr="00BD504D">
        <w:rPr>
          <w:rFonts w:asciiTheme="majorBidi" w:hAnsiTheme="majorBidi" w:cstheme="majorBidi"/>
          <w:i/>
          <w:iCs/>
          <w:noProof/>
          <w:sz w:val="22"/>
          <w:szCs w:val="22"/>
        </w:rPr>
        <w:t>Journal of Cleaner Production</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257</w:t>
      </w:r>
      <w:r w:rsidRPr="00BD504D">
        <w:rPr>
          <w:rFonts w:asciiTheme="majorBidi" w:hAnsiTheme="majorBidi" w:cstheme="majorBidi"/>
          <w:noProof/>
          <w:sz w:val="22"/>
          <w:szCs w:val="22"/>
        </w:rPr>
        <w:t>, 120844. https://doi.org/10.1016/j.jclepro.2020.120844</w:t>
      </w:r>
    </w:p>
    <w:p w14:paraId="3A8B61C0"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Prakash, G., Choudhary, S., Kumar, A., Garza-Reyes, J. A., Khan, S. A. R., &amp; Panda, T. K. (2019). Do altruistic and egoistic values influence consumers’ attitudes and purchase intentions towards eco-friendly packaged products? An empirical investigation. </w:t>
      </w:r>
      <w:r w:rsidRPr="00BD504D">
        <w:rPr>
          <w:rFonts w:asciiTheme="majorBidi" w:hAnsiTheme="majorBidi" w:cstheme="majorBidi"/>
          <w:i/>
          <w:iCs/>
          <w:noProof/>
          <w:sz w:val="22"/>
          <w:szCs w:val="22"/>
        </w:rPr>
        <w:t>Journal of Retailing and Consumer Services</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50</w:t>
      </w:r>
      <w:r w:rsidRPr="00BD504D">
        <w:rPr>
          <w:rFonts w:asciiTheme="majorBidi" w:hAnsiTheme="majorBidi" w:cstheme="majorBidi"/>
          <w:noProof/>
          <w:sz w:val="22"/>
          <w:szCs w:val="22"/>
        </w:rPr>
        <w:t>(February), 163–169. https://doi.org/10.1016/j.jretconser.2019.05.011</w:t>
      </w:r>
    </w:p>
    <w:p w14:paraId="1031E762"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Román-Augusto, J. A., Garrido-Lecca-Vera, C., Lodeiros-Zubiria, M. L., &amp; Mauricio-Andia, M. (2022). Green Marketing: Drivers in the Process of Buying Green Products—The Role of Green Satisfaction, Green Trust, Green WOM and Green Perceived Value. </w:t>
      </w:r>
      <w:r w:rsidRPr="00BD504D">
        <w:rPr>
          <w:rFonts w:asciiTheme="majorBidi" w:hAnsiTheme="majorBidi" w:cstheme="majorBidi"/>
          <w:i/>
          <w:iCs/>
          <w:noProof/>
          <w:sz w:val="22"/>
          <w:szCs w:val="22"/>
        </w:rPr>
        <w:t>Sustainability (Switzerland)</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14</w:t>
      </w:r>
      <w:r w:rsidRPr="00BD504D">
        <w:rPr>
          <w:rFonts w:asciiTheme="majorBidi" w:hAnsiTheme="majorBidi" w:cstheme="majorBidi"/>
          <w:noProof/>
          <w:sz w:val="22"/>
          <w:szCs w:val="22"/>
        </w:rPr>
        <w:t>(17). https://doi.org/10.3390/su141710580</w:t>
      </w:r>
    </w:p>
    <w:p w14:paraId="65864BE7"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Ruiz, A. (2024). </w:t>
      </w:r>
      <w:r w:rsidRPr="00BD504D">
        <w:rPr>
          <w:rFonts w:asciiTheme="majorBidi" w:hAnsiTheme="majorBidi" w:cstheme="majorBidi"/>
          <w:i/>
          <w:iCs/>
          <w:noProof/>
          <w:sz w:val="22"/>
          <w:szCs w:val="22"/>
        </w:rPr>
        <w:t>17 Most Worrying Textile Waste Statistics &amp; Facts</w:t>
      </w:r>
      <w:r w:rsidRPr="00BD504D">
        <w:rPr>
          <w:rFonts w:asciiTheme="majorBidi" w:hAnsiTheme="majorBidi" w:cstheme="majorBidi"/>
          <w:noProof/>
          <w:sz w:val="22"/>
          <w:szCs w:val="22"/>
        </w:rPr>
        <w:t>. TheRoundup.Org. https://theroundup.org/textile-waste-statistics/</w:t>
      </w:r>
    </w:p>
    <w:p w14:paraId="6C1ACAB0"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Sangrawati, M., Purnama, P. A., &amp; Candrastuti, R. (2022). Fashion Campaign Limbah Tekstil Dalam Fotografi Ilustrasi. </w:t>
      </w:r>
      <w:r w:rsidRPr="00BD504D">
        <w:rPr>
          <w:rFonts w:asciiTheme="majorBidi" w:hAnsiTheme="majorBidi" w:cstheme="majorBidi"/>
          <w:i/>
          <w:iCs/>
          <w:noProof/>
          <w:sz w:val="22"/>
          <w:szCs w:val="22"/>
        </w:rPr>
        <w:t>Jurnal Dimensi Seni Rupa Dan Desain</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19</w:t>
      </w:r>
      <w:r w:rsidRPr="00BD504D">
        <w:rPr>
          <w:rFonts w:asciiTheme="majorBidi" w:hAnsiTheme="majorBidi" w:cstheme="majorBidi"/>
          <w:noProof/>
          <w:sz w:val="22"/>
          <w:szCs w:val="22"/>
        </w:rPr>
        <w:t>(1), 49–68. https://doi.org/10.25105/dim.v19i1.15154</w:t>
      </w:r>
    </w:p>
    <w:p w14:paraId="5ADE9FBF"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Sofyan, M. A., &amp; Lumban Batu, K. (2023). Investigating The Antecedents of Brand Loyalty Mediated by Green Trust and Green Satisfaction Empirical Study in Central Java. </w:t>
      </w:r>
      <w:r w:rsidRPr="00BD504D">
        <w:rPr>
          <w:rFonts w:asciiTheme="majorBidi" w:hAnsiTheme="majorBidi" w:cstheme="majorBidi"/>
          <w:i/>
          <w:iCs/>
          <w:noProof/>
          <w:sz w:val="22"/>
          <w:szCs w:val="22"/>
        </w:rPr>
        <w:t>Diponegoro Journal of Management</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12</w:t>
      </w:r>
      <w:r w:rsidRPr="00BD504D">
        <w:rPr>
          <w:rFonts w:asciiTheme="majorBidi" w:hAnsiTheme="majorBidi" w:cstheme="majorBidi"/>
          <w:noProof/>
          <w:sz w:val="22"/>
          <w:szCs w:val="22"/>
        </w:rPr>
        <w:t>(1), 1–15. https://ejournal3.undip.ac.id/index.php/djom/index</w:t>
      </w:r>
    </w:p>
    <w:p w14:paraId="29A34C1D"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Štefko, R., &amp; Steffek, V. (2018). Key issues in Slow Fashion: Current challenges and future perspectives. </w:t>
      </w:r>
      <w:r w:rsidRPr="00BD504D">
        <w:rPr>
          <w:rFonts w:asciiTheme="majorBidi" w:hAnsiTheme="majorBidi" w:cstheme="majorBidi"/>
          <w:i/>
          <w:iCs/>
          <w:noProof/>
          <w:sz w:val="22"/>
          <w:szCs w:val="22"/>
        </w:rPr>
        <w:t>Sustainability (Switzerland)</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10</w:t>
      </w:r>
      <w:r w:rsidRPr="00BD504D">
        <w:rPr>
          <w:rFonts w:asciiTheme="majorBidi" w:hAnsiTheme="majorBidi" w:cstheme="majorBidi"/>
          <w:noProof/>
          <w:sz w:val="22"/>
          <w:szCs w:val="22"/>
        </w:rPr>
        <w:t>(7), 1–11. https://doi.org/10.3390/su10072270</w:t>
      </w:r>
    </w:p>
    <w:p w14:paraId="78ABB352"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Suhaily, L., &amp; Darmoyo, S. (2019). Effect of green product and green advertising to satisfaction and loyalty which mediated by purchase decision. </w:t>
      </w:r>
      <w:r w:rsidRPr="00BD504D">
        <w:rPr>
          <w:rFonts w:asciiTheme="majorBidi" w:hAnsiTheme="majorBidi" w:cstheme="majorBidi"/>
          <w:i/>
          <w:iCs/>
          <w:noProof/>
          <w:sz w:val="22"/>
          <w:szCs w:val="22"/>
        </w:rPr>
        <w:t>International Journal of Contemporary Applied Researches</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6</w:t>
      </w:r>
      <w:r w:rsidRPr="00BD504D">
        <w:rPr>
          <w:rFonts w:asciiTheme="majorBidi" w:hAnsiTheme="majorBidi" w:cstheme="majorBidi"/>
          <w:noProof/>
          <w:sz w:val="22"/>
          <w:szCs w:val="22"/>
        </w:rPr>
        <w:t>(1), 44–57. www.ijcar.net</w:t>
      </w:r>
    </w:p>
    <w:p w14:paraId="6E0B593B"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Suki, N. M. (2019). Green product purchase intention: Impact of green perceived value, environmental concern, and green trust. </w:t>
      </w:r>
      <w:r w:rsidRPr="00BD504D">
        <w:rPr>
          <w:rFonts w:asciiTheme="majorBidi" w:hAnsiTheme="majorBidi" w:cstheme="majorBidi"/>
          <w:i/>
          <w:iCs/>
          <w:noProof/>
          <w:sz w:val="22"/>
          <w:szCs w:val="22"/>
        </w:rPr>
        <w:t>Journal of Consumer Behavior</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18</w:t>
      </w:r>
      <w:r w:rsidRPr="00BD504D">
        <w:rPr>
          <w:rFonts w:asciiTheme="majorBidi" w:hAnsiTheme="majorBidi" w:cstheme="majorBidi"/>
          <w:noProof/>
          <w:sz w:val="22"/>
          <w:szCs w:val="22"/>
        </w:rPr>
        <w:t>(5), 392–406.</w:t>
      </w:r>
    </w:p>
    <w:p w14:paraId="446B23CB"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Suki, N. M., Majeed, A., &amp; Suki, N. M. (2022). Impact of consumption values on consumers’ purchase of organic food and green environmental concerns. </w:t>
      </w:r>
      <w:r w:rsidRPr="00BD504D">
        <w:rPr>
          <w:rFonts w:asciiTheme="majorBidi" w:hAnsiTheme="majorBidi" w:cstheme="majorBidi"/>
          <w:i/>
          <w:iCs/>
          <w:noProof/>
          <w:sz w:val="22"/>
          <w:szCs w:val="22"/>
        </w:rPr>
        <w:t>Social Responsibility Journal</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18</w:t>
      </w:r>
      <w:r w:rsidRPr="00BD504D">
        <w:rPr>
          <w:rFonts w:asciiTheme="majorBidi" w:hAnsiTheme="majorBidi" w:cstheme="majorBidi"/>
          <w:noProof/>
          <w:sz w:val="22"/>
          <w:szCs w:val="22"/>
        </w:rPr>
        <w:t>(6), 1128–1141. https://doi.org/10.1108/SRJ-01-2021-0026</w:t>
      </w:r>
    </w:p>
    <w:p w14:paraId="5D490A38"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Uniqlo Sustainabilty Report. (2022). </w:t>
      </w:r>
      <w:r w:rsidRPr="00BD504D">
        <w:rPr>
          <w:rFonts w:asciiTheme="majorBidi" w:hAnsiTheme="majorBidi" w:cstheme="majorBidi"/>
          <w:i/>
          <w:iCs/>
          <w:noProof/>
          <w:sz w:val="22"/>
          <w:szCs w:val="22"/>
        </w:rPr>
        <w:t>Uniqlo Sustainabilty Report</w:t>
      </w:r>
      <w:r w:rsidRPr="00BD504D">
        <w:rPr>
          <w:rFonts w:asciiTheme="majorBidi" w:hAnsiTheme="majorBidi" w:cstheme="majorBidi"/>
          <w:noProof/>
          <w:sz w:val="22"/>
          <w:szCs w:val="22"/>
        </w:rPr>
        <w:t>.</w:t>
      </w:r>
    </w:p>
    <w:p w14:paraId="561A00A0"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Vilkaite-Vaitone, N., &amp; Skackauskiene, I. (2019). Green marketing orientation: evolution, conceptualization and potential benefits. </w:t>
      </w:r>
      <w:r w:rsidRPr="00BD504D">
        <w:rPr>
          <w:rFonts w:asciiTheme="majorBidi" w:hAnsiTheme="majorBidi" w:cstheme="majorBidi"/>
          <w:i/>
          <w:iCs/>
          <w:noProof/>
          <w:sz w:val="22"/>
          <w:szCs w:val="22"/>
        </w:rPr>
        <w:t>Open Economics</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2</w:t>
      </w:r>
      <w:r w:rsidRPr="00BD504D">
        <w:rPr>
          <w:rFonts w:asciiTheme="majorBidi" w:hAnsiTheme="majorBidi" w:cstheme="majorBidi"/>
          <w:noProof/>
          <w:sz w:val="22"/>
          <w:szCs w:val="22"/>
        </w:rPr>
        <w:t>(1), 53–62. https://doi.org/10.1515/openec-2019-0006</w:t>
      </w:r>
    </w:p>
    <w:p w14:paraId="3E96E4C0"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Vinoth, S. (2023). Green Loyalty: The Mediating Role Of Green Trust And The Effects Of Environmental Concern, Environmental Advertising. </w:t>
      </w:r>
      <w:r w:rsidRPr="00BD504D">
        <w:rPr>
          <w:rFonts w:asciiTheme="majorBidi" w:hAnsiTheme="majorBidi" w:cstheme="majorBidi"/>
          <w:i/>
          <w:iCs/>
          <w:noProof/>
          <w:sz w:val="22"/>
          <w:szCs w:val="22"/>
        </w:rPr>
        <w:t>The Online Journal of Distance Education and E-Learning</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11</w:t>
      </w:r>
      <w:r w:rsidRPr="00BD504D">
        <w:rPr>
          <w:rFonts w:asciiTheme="majorBidi" w:hAnsiTheme="majorBidi" w:cstheme="majorBidi"/>
          <w:noProof/>
          <w:sz w:val="22"/>
          <w:szCs w:val="22"/>
        </w:rPr>
        <w:t>(2), 2193–2201. https://tojdel.net/journals/tojdel/articles/v11i02b/v11i02b-58.pdf</w:t>
      </w:r>
    </w:p>
    <w:p w14:paraId="3DD25F6F"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Wang, C., Ghadimi, P., Lim, M. K., &amp; Tseng, M. L. (2019). A literature review of sustainable consumption </w:t>
      </w:r>
      <w:r w:rsidRPr="00BD504D">
        <w:rPr>
          <w:rFonts w:asciiTheme="majorBidi" w:hAnsiTheme="majorBidi" w:cstheme="majorBidi"/>
          <w:noProof/>
          <w:sz w:val="22"/>
          <w:szCs w:val="22"/>
        </w:rPr>
        <w:lastRenderedPageBreak/>
        <w:t xml:space="preserve">and production: A comparative analysis in developed and developing economies. </w:t>
      </w:r>
      <w:r w:rsidRPr="00BD504D">
        <w:rPr>
          <w:rFonts w:asciiTheme="majorBidi" w:hAnsiTheme="majorBidi" w:cstheme="majorBidi"/>
          <w:i/>
          <w:iCs/>
          <w:noProof/>
          <w:sz w:val="22"/>
          <w:szCs w:val="22"/>
        </w:rPr>
        <w:t>Journal of Cleaner Production</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206</w:t>
      </w:r>
      <w:r w:rsidRPr="00BD504D">
        <w:rPr>
          <w:rFonts w:asciiTheme="majorBidi" w:hAnsiTheme="majorBidi" w:cstheme="majorBidi"/>
          <w:noProof/>
          <w:sz w:val="22"/>
          <w:szCs w:val="22"/>
        </w:rPr>
        <w:t>, 741–754. https://doi.org/10.1016/j.jclepro.2018.09.172</w:t>
      </w:r>
    </w:p>
    <w:p w14:paraId="4AA3FC51"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Watson, A., Perrigot, R., &amp; Dada, O. (2023). The effects of green brand image on brand loyalty: The case of mainstream fast food brands. </w:t>
      </w:r>
      <w:r w:rsidRPr="00BD504D">
        <w:rPr>
          <w:rFonts w:asciiTheme="majorBidi" w:hAnsiTheme="majorBidi" w:cstheme="majorBidi"/>
          <w:i/>
          <w:iCs/>
          <w:noProof/>
          <w:sz w:val="22"/>
          <w:szCs w:val="22"/>
        </w:rPr>
        <w:t>Business Strategy and the Environment</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May</w:t>
      </w:r>
      <w:r w:rsidRPr="00BD504D">
        <w:rPr>
          <w:rFonts w:asciiTheme="majorBidi" w:hAnsiTheme="majorBidi" w:cstheme="majorBidi"/>
          <w:noProof/>
          <w:sz w:val="22"/>
          <w:szCs w:val="22"/>
        </w:rPr>
        <w:t>, 1–14. https://doi.org/10.1002/bse.3523</w:t>
      </w:r>
    </w:p>
    <w:p w14:paraId="101384D9"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White, K., Hardisty, D. J., &amp; Habib, R. (2019). The elusive green consumer. </w:t>
      </w:r>
      <w:r w:rsidRPr="00BD504D">
        <w:rPr>
          <w:rFonts w:asciiTheme="majorBidi" w:hAnsiTheme="majorBidi" w:cstheme="majorBidi"/>
          <w:i/>
          <w:iCs/>
          <w:noProof/>
          <w:sz w:val="22"/>
          <w:szCs w:val="22"/>
        </w:rPr>
        <w:t>Harvard Business Review</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97</w:t>
      </w:r>
      <w:r w:rsidRPr="00BD504D">
        <w:rPr>
          <w:rFonts w:asciiTheme="majorBidi" w:hAnsiTheme="majorBidi" w:cstheme="majorBidi"/>
          <w:noProof/>
          <w:sz w:val="22"/>
          <w:szCs w:val="22"/>
        </w:rPr>
        <w:t>(4), 124–133.</w:t>
      </w:r>
    </w:p>
    <w:p w14:paraId="57DC2F01"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Wong, C. B., Law, M., &amp; Wu, W. C. B. (2023). </w:t>
      </w:r>
      <w:r w:rsidRPr="00BD504D">
        <w:rPr>
          <w:rFonts w:asciiTheme="majorBidi" w:hAnsiTheme="majorBidi" w:cstheme="majorBidi"/>
          <w:i/>
          <w:iCs/>
          <w:noProof/>
          <w:sz w:val="22"/>
          <w:szCs w:val="22"/>
        </w:rPr>
        <w:t>Determinants of Customer Loyalty: A Green Marketing Perspective</w:t>
      </w:r>
      <w:r w:rsidRPr="00BD504D">
        <w:rPr>
          <w:rFonts w:asciiTheme="majorBidi" w:hAnsiTheme="majorBidi" w:cstheme="majorBidi"/>
          <w:noProof/>
          <w:sz w:val="22"/>
          <w:szCs w:val="22"/>
        </w:rPr>
        <w:t xml:space="preserve"> (Vol. 2050). Atlantis Press SARL. https://doi.org/10.2991/978-2-494069-99-2_33</w:t>
      </w:r>
    </w:p>
    <w:p w14:paraId="35041FB7"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Worldometers. (2023). </w:t>
      </w:r>
      <w:r w:rsidRPr="00BD504D">
        <w:rPr>
          <w:rFonts w:asciiTheme="majorBidi" w:hAnsiTheme="majorBidi" w:cstheme="majorBidi"/>
          <w:i/>
          <w:iCs/>
          <w:noProof/>
          <w:sz w:val="22"/>
          <w:szCs w:val="22"/>
        </w:rPr>
        <w:t>Indonesia Population</w:t>
      </w:r>
      <w:r w:rsidRPr="00BD504D">
        <w:rPr>
          <w:rFonts w:asciiTheme="majorBidi" w:hAnsiTheme="majorBidi" w:cstheme="majorBidi"/>
          <w:noProof/>
          <w:sz w:val="22"/>
          <w:szCs w:val="22"/>
        </w:rPr>
        <w:t>. Worldometer. https://www.worldometers.info/world-population/indonesia-population/</w:t>
      </w:r>
    </w:p>
    <w:p w14:paraId="7A418DF6"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Wu, J., Liao, H., Wang, J. W., &amp; Chen, T. (2019). The role of environmental concern in the public acceptance of autonomous electric vehicles: A survey from China. </w:t>
      </w:r>
      <w:r w:rsidRPr="00BD504D">
        <w:rPr>
          <w:rFonts w:asciiTheme="majorBidi" w:hAnsiTheme="majorBidi" w:cstheme="majorBidi"/>
          <w:i/>
          <w:iCs/>
          <w:noProof/>
          <w:sz w:val="22"/>
          <w:szCs w:val="22"/>
        </w:rPr>
        <w:t>Transportation Research Part F: Traffic Psychology and Behaviour</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60</w:t>
      </w:r>
      <w:r w:rsidRPr="00BD504D">
        <w:rPr>
          <w:rFonts w:asciiTheme="majorBidi" w:hAnsiTheme="majorBidi" w:cstheme="majorBidi"/>
          <w:noProof/>
          <w:sz w:val="22"/>
          <w:szCs w:val="22"/>
        </w:rPr>
        <w:t>, 37–46. https://doi.org/10.1016/j.trf.2018.09.029</w:t>
      </w:r>
    </w:p>
    <w:p w14:paraId="3FF01871"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Yazdanifard, R., &amp; Mercy, I. E. (2011). The impact of Green Marketing on Customer satisfaction and Envi- ronmental safety. </w:t>
      </w:r>
      <w:r w:rsidRPr="00BD504D">
        <w:rPr>
          <w:rFonts w:asciiTheme="majorBidi" w:hAnsiTheme="majorBidi" w:cstheme="majorBidi"/>
          <w:i/>
          <w:iCs/>
          <w:noProof/>
          <w:sz w:val="22"/>
          <w:szCs w:val="22"/>
        </w:rPr>
        <w:t>International Conference on Computer Communication and Management</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5</w:t>
      </w:r>
      <w:r w:rsidRPr="00BD504D">
        <w:rPr>
          <w:rFonts w:asciiTheme="majorBidi" w:hAnsiTheme="majorBidi" w:cstheme="majorBidi"/>
          <w:noProof/>
          <w:sz w:val="22"/>
          <w:szCs w:val="22"/>
        </w:rPr>
        <w:t>(January 2011), 637–641.</w:t>
      </w:r>
    </w:p>
    <w:p w14:paraId="78E68D79"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Yue, T., Liu, J., Long, R., Chen, H., Li, Q., Liu, H., &amp; Gu, Y. (2020). Effects of perceived value on green consumption intention based on double-entry mental accounting: taking energy-efficient appliance purchase as an example. </w:t>
      </w:r>
      <w:r w:rsidRPr="00BD504D">
        <w:rPr>
          <w:rFonts w:asciiTheme="majorBidi" w:hAnsiTheme="majorBidi" w:cstheme="majorBidi"/>
          <w:i/>
          <w:iCs/>
          <w:noProof/>
          <w:sz w:val="22"/>
          <w:szCs w:val="22"/>
        </w:rPr>
        <w:t>Environmental Science and Pollution Research</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28</w:t>
      </w:r>
      <w:r w:rsidRPr="00BD504D">
        <w:rPr>
          <w:rFonts w:asciiTheme="majorBidi" w:hAnsiTheme="majorBidi" w:cstheme="majorBidi"/>
          <w:noProof/>
          <w:sz w:val="22"/>
          <w:szCs w:val="22"/>
        </w:rPr>
        <w:t>(6), 7236–7248. https://doi.org/10.1007/s11356-020-11027-0</w:t>
      </w:r>
    </w:p>
    <w:p w14:paraId="3FCE66C6"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Yusiana, R., &amp; Widodo, A. (2020). Green perceived value and green satisfaction to green trust rumah Karung Goni consumers. </w:t>
      </w:r>
      <w:r w:rsidRPr="00BD504D">
        <w:rPr>
          <w:rFonts w:asciiTheme="majorBidi" w:hAnsiTheme="majorBidi" w:cstheme="majorBidi"/>
          <w:i/>
          <w:iCs/>
          <w:noProof/>
          <w:sz w:val="22"/>
          <w:szCs w:val="22"/>
        </w:rPr>
        <w:t>Advances in Natural and Applied Sciences</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14</w:t>
      </w:r>
      <w:r w:rsidRPr="00BD504D">
        <w:rPr>
          <w:rFonts w:asciiTheme="majorBidi" w:hAnsiTheme="majorBidi" w:cstheme="majorBidi"/>
          <w:noProof/>
          <w:sz w:val="22"/>
          <w:szCs w:val="22"/>
        </w:rPr>
        <w:t>(2), 55–62. https://doi.org/10.22587/anas.2020.14.2.8</w:t>
      </w:r>
    </w:p>
    <w:p w14:paraId="6C4991AB" w14:textId="77777777" w:rsidR="00680941" w:rsidRPr="00BD504D" w:rsidRDefault="00680941" w:rsidP="00680941">
      <w:pPr>
        <w:autoSpaceDE w:val="0"/>
        <w:autoSpaceDN w:val="0"/>
        <w:adjustRightInd w:val="0"/>
        <w:ind w:left="480" w:hanging="480"/>
        <w:jc w:val="both"/>
        <w:rPr>
          <w:rFonts w:asciiTheme="majorBidi" w:hAnsiTheme="majorBidi" w:cstheme="majorBidi"/>
          <w:noProof/>
          <w:sz w:val="22"/>
          <w:szCs w:val="22"/>
        </w:rPr>
      </w:pPr>
      <w:r w:rsidRPr="00BD504D">
        <w:rPr>
          <w:rFonts w:asciiTheme="majorBidi" w:hAnsiTheme="majorBidi" w:cstheme="majorBidi"/>
          <w:noProof/>
          <w:sz w:val="22"/>
          <w:szCs w:val="22"/>
        </w:rPr>
        <w:t xml:space="preserve">Zainurrafiqi, Z., Amar, S. S., Rohmaniyah, R., Aristin, R., Muchtar, R. P. M., Rusnani, R., Arifin, M., Hadi, A., Bangsa, K. K., &amp; Hidayati, N. (2021). The Effect of Utilitarian Value and Hedonic Value on Customer Loyalty with Customer Satisfaction As an Intervening Variable: Empirical Evidence from Indonesia. </w:t>
      </w:r>
      <w:r w:rsidRPr="00BD504D">
        <w:rPr>
          <w:rFonts w:asciiTheme="majorBidi" w:hAnsiTheme="majorBidi" w:cstheme="majorBidi"/>
          <w:i/>
          <w:iCs/>
          <w:noProof/>
          <w:sz w:val="22"/>
          <w:szCs w:val="22"/>
        </w:rPr>
        <w:t>International Journal of Multicultural and Multireligious Understanding</w:t>
      </w:r>
      <w:r w:rsidRPr="00BD504D">
        <w:rPr>
          <w:rFonts w:asciiTheme="majorBidi" w:hAnsiTheme="majorBidi" w:cstheme="majorBidi"/>
          <w:noProof/>
          <w:sz w:val="22"/>
          <w:szCs w:val="22"/>
        </w:rPr>
        <w:t xml:space="preserve">, </w:t>
      </w:r>
      <w:r w:rsidRPr="00BD504D">
        <w:rPr>
          <w:rFonts w:asciiTheme="majorBidi" w:hAnsiTheme="majorBidi" w:cstheme="majorBidi"/>
          <w:i/>
          <w:iCs/>
          <w:noProof/>
          <w:sz w:val="22"/>
          <w:szCs w:val="22"/>
        </w:rPr>
        <w:t>8</w:t>
      </w:r>
      <w:r w:rsidRPr="00BD504D">
        <w:rPr>
          <w:rFonts w:asciiTheme="majorBidi" w:hAnsiTheme="majorBidi" w:cstheme="majorBidi"/>
          <w:noProof/>
          <w:sz w:val="22"/>
          <w:szCs w:val="22"/>
        </w:rPr>
        <w:t>(5), 291. https://doi.org/10.18415/ijmmu.v8i5.2670</w:t>
      </w:r>
    </w:p>
    <w:p w14:paraId="7A6BE576" w14:textId="65C91AD5" w:rsidR="00EB51FC" w:rsidRPr="00BD504D" w:rsidRDefault="0091359B" w:rsidP="00680941">
      <w:pPr>
        <w:jc w:val="both"/>
        <w:rPr>
          <w:rFonts w:asciiTheme="majorBidi" w:hAnsiTheme="majorBidi" w:cstheme="majorBidi"/>
          <w:sz w:val="22"/>
          <w:szCs w:val="22"/>
        </w:rPr>
      </w:pPr>
      <w:r w:rsidRPr="00BD504D">
        <w:rPr>
          <w:rFonts w:asciiTheme="majorBidi" w:hAnsiTheme="majorBidi" w:cstheme="majorBidi"/>
          <w:sz w:val="22"/>
          <w:szCs w:val="22"/>
        </w:rPr>
        <w:fldChar w:fldCharType="end"/>
      </w:r>
    </w:p>
    <w:sectPr w:rsidR="00EB51FC" w:rsidRPr="00BD504D">
      <w:headerReference w:type="even" r:id="rId12"/>
      <w:headerReference w:type="default" r:id="rId13"/>
      <w:headerReference w:type="first" r:id="rId14"/>
      <w:footnotePr>
        <w:numFmt w:val="chicago"/>
      </w:footnotePr>
      <w:pgSz w:w="10773" w:h="14742" w:code="93"/>
      <w:pgMar w:top="754" w:right="737" w:bottom="754" w:left="737" w:header="907" w:footer="12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1404C" w14:textId="77777777" w:rsidR="00DD7D85" w:rsidRDefault="00DD7D85">
      <w:r>
        <w:separator/>
      </w:r>
    </w:p>
  </w:endnote>
  <w:endnote w:type="continuationSeparator" w:id="0">
    <w:p w14:paraId="62D148B3" w14:textId="77777777" w:rsidR="00DD7D85" w:rsidRDefault="00DD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23B45" w14:textId="77777777" w:rsidR="00DD7D85" w:rsidRDefault="00DD7D85">
      <w:r>
        <w:separator/>
      </w:r>
    </w:p>
  </w:footnote>
  <w:footnote w:type="continuationSeparator" w:id="0">
    <w:p w14:paraId="133392E5" w14:textId="77777777" w:rsidR="00DD7D85" w:rsidRDefault="00DD7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448F" w14:textId="77777777" w:rsidR="00980C94" w:rsidRDefault="00980C94">
    <w:pPr>
      <w:pStyle w:val="Header"/>
      <w:tabs>
        <w:tab w:val="center" w:pos="4920"/>
      </w:tabs>
      <w:rPr>
        <w:i w:val="0"/>
        <w:iCs/>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tab/>
    </w:r>
    <w:r>
      <w:fldChar w:fldCharType="begin"/>
    </w:r>
    <w:r>
      <w:instrText xml:space="preserve"> MACROBUTTON NoMacro Author name </w:instrText>
    </w:r>
    <w:r>
      <w:fldChar w:fldCharType="end"/>
    </w:r>
    <w:r>
      <w:t>/ International Journal of Quantitative Research  and Modeling, Vol, No, pp. xx-xx,2020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96E98" w14:textId="77777777" w:rsidR="00980C94" w:rsidRDefault="00980C94">
    <w:pPr>
      <w:pStyle w:val="Header"/>
      <w:tabs>
        <w:tab w:val="center" w:pos="4920"/>
      </w:tabs>
    </w:pPr>
    <w:r>
      <w:rPr>
        <w:i w:val="0"/>
        <w:iCs/>
      </w:rPr>
      <w:tab/>
    </w:r>
    <w:r>
      <w:fldChar w:fldCharType="begin"/>
    </w:r>
    <w:r>
      <w:instrText xml:space="preserve"> MACROBUTTON NoMacro Author name </w:instrText>
    </w:r>
    <w:r>
      <w:fldChar w:fldCharType="end"/>
    </w:r>
    <w:r>
      <w:t>/ International Journal of Quantitative Research  and Modeling, Vol, No, pp. xx-xx,2020</w:t>
    </w: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98" w:type="dxa"/>
      <w:tblInd w:w="108" w:type="dxa"/>
      <w:tblLayout w:type="fixed"/>
      <w:tblLook w:val="0000" w:firstRow="0" w:lastRow="0" w:firstColumn="0" w:lastColumn="0" w:noHBand="0" w:noVBand="0"/>
    </w:tblPr>
    <w:tblGrid>
      <w:gridCol w:w="1418"/>
      <w:gridCol w:w="5760"/>
      <w:gridCol w:w="1920"/>
    </w:tblGrid>
    <w:tr w:rsidR="00980C94" w14:paraId="13FE9A98" w14:textId="77777777" w:rsidTr="003D214F">
      <w:trPr>
        <w:trHeight w:val="1438"/>
      </w:trPr>
      <w:tc>
        <w:tcPr>
          <w:tcW w:w="1418" w:type="dxa"/>
        </w:tcPr>
        <w:p w14:paraId="63F36556" w14:textId="73A32A83" w:rsidR="00980C94" w:rsidRDefault="00980C94">
          <w:pPr>
            <w:pStyle w:val="Header"/>
            <w:rPr>
              <w:sz w:val="10"/>
            </w:rPr>
          </w:pPr>
          <w:r w:rsidRPr="00806981">
            <w:drawing>
              <wp:inline distT="0" distB="0" distL="0" distR="0" wp14:anchorId="76B3B0CA" wp14:editId="6496435D">
                <wp:extent cx="828040" cy="871220"/>
                <wp:effectExtent l="0" t="0" r="0" b="0"/>
                <wp:docPr id="1" name="Picture 1" descr="Description: C:\Users\user\AppData\Local\Microsoft\Windows\Temporary Internet Files\Content.Word\New Picture (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AppData\Local\Microsoft\Windows\Temporary Internet Files\Content.Word\New Picture (13).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871220"/>
                        </a:xfrm>
                        <a:prstGeom prst="rect">
                          <a:avLst/>
                        </a:prstGeom>
                        <a:noFill/>
                        <a:ln>
                          <a:noFill/>
                        </a:ln>
                      </pic:spPr>
                    </pic:pic>
                  </a:graphicData>
                </a:graphic>
              </wp:inline>
            </w:drawing>
          </w:r>
        </w:p>
      </w:tc>
      <w:tc>
        <w:tcPr>
          <w:tcW w:w="5760" w:type="dxa"/>
        </w:tcPr>
        <w:p w14:paraId="0B8391FA" w14:textId="77777777" w:rsidR="00980C94" w:rsidRDefault="00980C94">
          <w:pPr>
            <w:pStyle w:val="Header"/>
            <w:jc w:val="center"/>
            <w:rPr>
              <w:i w:val="0"/>
              <w:iCs/>
              <w:sz w:val="18"/>
            </w:rPr>
          </w:pPr>
          <w:r>
            <w:rPr>
              <w:i w:val="0"/>
              <w:iCs/>
              <w:sz w:val="18"/>
            </w:rPr>
            <w:t xml:space="preserve">Available online at </w:t>
          </w:r>
          <w:hyperlink r:id="rId2" w:history="1">
            <w:r>
              <w:rPr>
                <w:i w:val="0"/>
                <w:iCs/>
                <w:sz w:val="18"/>
              </w:rPr>
              <w:t>http</w:t>
            </w:r>
            <w:r w:rsidRPr="00295F79">
              <w:rPr>
                <w:i w:val="0"/>
                <w:iCs/>
                <w:sz w:val="18"/>
              </w:rPr>
              <w:t>://ijqrm.rescollacomm.com/</w:t>
            </w:r>
          </w:hyperlink>
          <w:r>
            <w:rPr>
              <w:i w:val="0"/>
              <w:iCs/>
              <w:sz w:val="18"/>
              <w:lang w:val="id-ID" w:eastAsia="en-ID"/>
            </w:rPr>
            <w:t>index.php/ijqrm/index</w:t>
          </w:r>
          <w:r>
            <w:t xml:space="preserve"> </w:t>
          </w:r>
        </w:p>
        <w:p w14:paraId="5183CF5A" w14:textId="77777777" w:rsidR="00980C94" w:rsidRPr="00295F79" w:rsidRDefault="00980C94" w:rsidP="003D214F">
          <w:pPr>
            <w:pStyle w:val="Header"/>
            <w:jc w:val="center"/>
            <w:rPr>
              <w:b/>
              <w:i w:val="0"/>
              <w:iCs/>
              <w:sz w:val="20"/>
            </w:rPr>
          </w:pPr>
          <w:r w:rsidRPr="00295F79">
            <w:rPr>
              <w:b/>
              <w:i w:val="0"/>
              <w:iCs/>
              <w:sz w:val="20"/>
            </w:rPr>
            <w:t>International Journal of Quantitative Research and Modeling</w:t>
          </w:r>
        </w:p>
        <w:p w14:paraId="48B69DFD" w14:textId="77777777" w:rsidR="00980C94" w:rsidRDefault="00980C94">
          <w:pPr>
            <w:pStyle w:val="Header"/>
            <w:spacing w:before="0" w:beforeAutospacing="0"/>
            <w:jc w:val="center"/>
            <w:rPr>
              <w:i w:val="0"/>
              <w:iCs/>
              <w:sz w:val="18"/>
            </w:rPr>
          </w:pPr>
          <w:r>
            <w:rPr>
              <w:i w:val="0"/>
              <w:iCs/>
              <w:sz w:val="18"/>
            </w:rPr>
            <w:t>Vol. xx, No. xx, pp. xx-xx, 2020</w:t>
          </w:r>
        </w:p>
      </w:tc>
      <w:tc>
        <w:tcPr>
          <w:tcW w:w="1920" w:type="dxa"/>
        </w:tcPr>
        <w:p w14:paraId="20D7DB23" w14:textId="405DF22C" w:rsidR="00980C94" w:rsidRDefault="00980C94">
          <w:pPr>
            <w:pStyle w:val="Header"/>
            <w:jc w:val="right"/>
            <w:rPr>
              <w:sz w:val="10"/>
            </w:rPr>
          </w:pPr>
          <w:r>
            <mc:AlternateContent>
              <mc:Choice Requires="wps">
                <w:drawing>
                  <wp:anchor distT="0" distB="0" distL="114300" distR="114300" simplePos="0" relativeHeight="251658752" behindDoc="0" locked="0" layoutInCell="1" allowOverlap="1" wp14:anchorId="669224A6" wp14:editId="1BF27ACE">
                    <wp:simplePos x="0" y="0"/>
                    <wp:positionH relativeFrom="column">
                      <wp:posOffset>58420</wp:posOffset>
                    </wp:positionH>
                    <wp:positionV relativeFrom="paragraph">
                      <wp:posOffset>-52070</wp:posOffset>
                    </wp:positionV>
                    <wp:extent cx="1314450" cy="866775"/>
                    <wp:effectExtent l="9525" t="9525"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66775"/>
                            </a:xfrm>
                            <a:prstGeom prst="rect">
                              <a:avLst/>
                            </a:prstGeom>
                            <a:solidFill>
                              <a:srgbClr val="FFFFFF"/>
                            </a:solidFill>
                            <a:ln w="12700">
                              <a:solidFill>
                                <a:srgbClr val="000000"/>
                              </a:solidFill>
                              <a:prstDash val="dash"/>
                              <a:miter lim="800000"/>
                              <a:headEnd/>
                              <a:tailEnd/>
                            </a:ln>
                          </wps:spPr>
                          <wps:txbx>
                            <w:txbxContent>
                              <w:p w14:paraId="505F7F62" w14:textId="77777777" w:rsidR="00980C94" w:rsidRDefault="00980C94"/>
                              <w:p w14:paraId="7AA6C3E4" w14:textId="77777777" w:rsidR="00980C94" w:rsidRDefault="00980C94">
                                <w:pPr>
                                  <w:rPr>
                                    <w:lang w:val="id-ID"/>
                                  </w:rPr>
                                </w:pPr>
                              </w:p>
                              <w:p w14:paraId="6AB5F43E" w14:textId="77777777" w:rsidR="00980C94" w:rsidRPr="004B4C5A" w:rsidRDefault="00980C94">
                                <w:pPr>
                                  <w:rPr>
                                    <w:lang w:val="id-ID"/>
                                  </w:rPr>
                                </w:pPr>
                                <w:r>
                                  <w:t>e-ISSN</w:t>
                                </w:r>
                                <w:r>
                                  <w:rPr>
                                    <w:lang w:val="id-ID"/>
                                  </w:rPr>
                                  <w:t>: 2721-477X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224A6" id="_x0000_t202" coordsize="21600,21600" o:spt="202" path="m,l,21600r21600,l21600,xe">
                    <v:stroke joinstyle="miter"/>
                    <v:path gradientshapeok="t" o:connecttype="rect"/>
                  </v:shapetype>
                  <v:shape id="Text Box 2" o:spid="_x0000_s1039" type="#_x0000_t202" style="position:absolute;left:0;text-align:left;margin-left:4.6pt;margin-top:-4.1pt;width:103.5pt;height:6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" strokeweight="1pt">
                    <v:stroke dashstyle="dash"/>
                    <v:textbox>
                      <w:txbxContent>
                        <w:p w14:paraId="505F7F62" w14:textId="77777777" w:rsidR="00980C94" w:rsidRDefault="00980C94"/>
                        <w:p w14:paraId="7AA6C3E4" w14:textId="77777777" w:rsidR="00980C94" w:rsidRDefault="00980C94">
                          <w:pPr>
                            <w:rPr>
                              <w:lang w:val="id-ID"/>
                            </w:rPr>
                          </w:pPr>
                        </w:p>
                        <w:p w14:paraId="6AB5F43E" w14:textId="77777777" w:rsidR="00980C94" w:rsidRPr="004B4C5A" w:rsidRDefault="00980C94">
                          <w:pPr>
                            <w:rPr>
                              <w:lang w:val="id-ID"/>
                            </w:rPr>
                          </w:pPr>
                          <w:r>
                            <w:t>e-ISSN</w:t>
                          </w:r>
                          <w:r>
                            <w:rPr>
                              <w:lang w:val="id-ID"/>
                            </w:rPr>
                            <w:t>: 2721-477X</w:t>
                          </w:r>
                        </w:p>
                      </w:txbxContent>
                    </v:textbox>
                  </v:shape>
                </w:pict>
              </mc:Fallback>
            </mc:AlternateContent>
          </w:r>
          <w:r>
            <mc:AlternateContent>
              <mc:Choice Requires="wps">
                <w:drawing>
                  <wp:anchor distT="0" distB="0" distL="114300" distR="114300" simplePos="0" relativeHeight="251657728" behindDoc="0" locked="0" layoutInCell="1" allowOverlap="1" wp14:anchorId="0F94EA78" wp14:editId="127ECB25">
                    <wp:simplePos x="0" y="0"/>
                    <wp:positionH relativeFrom="column">
                      <wp:posOffset>5412740</wp:posOffset>
                    </wp:positionH>
                    <wp:positionV relativeFrom="paragraph">
                      <wp:posOffset>1023620</wp:posOffset>
                    </wp:positionV>
                    <wp:extent cx="1367790" cy="1094740"/>
                    <wp:effectExtent l="1270" t="0" r="254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094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tblGrid>
                                <w:tr w:rsidR="00980C94" w:rsidRPr="00AC70E7" w14:paraId="194F465E" w14:textId="77777777">
                                  <w:trPr>
                                    <w:jc w:val="right"/>
                                  </w:trPr>
                                  <w:tc>
                                    <w:tcPr>
                                      <w:tcW w:w="0" w:type="auto"/>
                                      <w:tcBorders>
                                        <w:top w:val="thinThickSmallGap" w:sz="18" w:space="0" w:color="auto"/>
                                        <w:left w:val="nil"/>
                                        <w:bottom w:val="thinThickSmallGap" w:sz="18" w:space="0" w:color="auto"/>
                                        <w:right w:val="nil"/>
                                      </w:tcBorders>
                                    </w:tcPr>
                                    <w:p w14:paraId="679AD124" w14:textId="77777777" w:rsidR="00980C94" w:rsidRPr="007C18AC" w:rsidRDefault="00980C94" w:rsidP="003D214F">
                                      <w:pPr>
                                        <w:rPr>
                                          <w:sz w:val="16"/>
                                          <w:szCs w:val="16"/>
                                          <w:lang w:val="id-ID"/>
                                        </w:rPr>
                                      </w:pPr>
                                    </w:p>
                                    <w:p w14:paraId="39564A57" w14:textId="77777777" w:rsidR="00980C94" w:rsidRPr="007C18AC" w:rsidRDefault="00980C94" w:rsidP="003D214F">
                                      <w:pPr>
                                        <w:rPr>
                                          <w:b/>
                                          <w:sz w:val="18"/>
                                          <w:szCs w:val="18"/>
                                          <w:lang w:val="id-ID"/>
                                        </w:rPr>
                                      </w:pPr>
                                      <w:r>
                                        <w:rPr>
                                          <w:b/>
                                          <w:sz w:val="18"/>
                                          <w:szCs w:val="18"/>
                                          <w:lang w:val="id-ID"/>
                                        </w:rPr>
                                        <w:t xml:space="preserve">Al Jazari Journal of Mechanical </w:t>
                                      </w:r>
                                      <w:r w:rsidRPr="007C18AC">
                                        <w:rPr>
                                          <w:b/>
                                          <w:sz w:val="18"/>
                                          <w:szCs w:val="18"/>
                                          <w:lang w:val="id-ID"/>
                                        </w:rPr>
                                        <w:t>Engineering</w:t>
                                      </w:r>
                                    </w:p>
                                    <w:p w14:paraId="3E6EB389" w14:textId="77777777" w:rsidR="00980C94" w:rsidRPr="007C18AC" w:rsidRDefault="00980C94" w:rsidP="003D214F">
                                      <w:pPr>
                                        <w:rPr>
                                          <w:b/>
                                          <w:sz w:val="18"/>
                                          <w:szCs w:val="18"/>
                                          <w:lang w:val="id-ID"/>
                                        </w:rPr>
                                      </w:pPr>
                                    </w:p>
                                    <w:p w14:paraId="37EA76FF" w14:textId="77777777" w:rsidR="00980C94" w:rsidRPr="007C18AC" w:rsidRDefault="00980C94" w:rsidP="003D214F">
                                      <w:pPr>
                                        <w:rPr>
                                          <w:b/>
                                          <w:sz w:val="18"/>
                                          <w:szCs w:val="18"/>
                                          <w:lang w:val="id-ID"/>
                                        </w:rPr>
                                      </w:pPr>
                                      <w:r w:rsidRPr="007C18AC">
                                        <w:rPr>
                                          <w:b/>
                                          <w:sz w:val="18"/>
                                          <w:szCs w:val="18"/>
                                          <w:lang w:val="id-ID"/>
                                        </w:rPr>
                                        <w:t>ISSN: 2527-3426</w:t>
                                      </w:r>
                                    </w:p>
                                    <w:p w14:paraId="38E3E184" w14:textId="77777777" w:rsidR="00980C94" w:rsidRPr="007C18AC" w:rsidRDefault="00980C94" w:rsidP="003D214F">
                                      <w:pPr>
                                        <w:rPr>
                                          <w:sz w:val="16"/>
                                          <w:szCs w:val="16"/>
                                        </w:rPr>
                                      </w:pPr>
                                    </w:p>
                                  </w:tc>
                                </w:tr>
                                <w:tr w:rsidR="00980C94" w:rsidRPr="00AC70E7" w14:paraId="10EC00E8" w14:textId="77777777">
                                  <w:trPr>
                                    <w:jc w:val="right"/>
                                  </w:trPr>
                                  <w:tc>
                                    <w:tcPr>
                                      <w:tcW w:w="0" w:type="auto"/>
                                      <w:tcBorders>
                                        <w:top w:val="thinThickSmallGap" w:sz="18" w:space="0" w:color="auto"/>
                                        <w:left w:val="nil"/>
                                        <w:bottom w:val="nil"/>
                                        <w:right w:val="nil"/>
                                      </w:tcBorders>
                                    </w:tcPr>
                                    <w:p w14:paraId="114B4D95" w14:textId="77777777" w:rsidR="00980C94" w:rsidRPr="00112730" w:rsidRDefault="00980C94" w:rsidP="003D214F">
                                      <w:pPr>
                                        <w:jc w:val="center"/>
                                        <w:rPr>
                                          <w:rFonts w:cs="Mangal"/>
                                          <w:sz w:val="16"/>
                                          <w:szCs w:val="16"/>
                                          <w:lang w:val="id-ID"/>
                                        </w:rPr>
                                      </w:pPr>
                                    </w:p>
                                  </w:tc>
                                </w:tr>
                              </w:tbl>
                              <w:p w14:paraId="48EB8B77" w14:textId="77777777" w:rsidR="00980C94" w:rsidRPr="00E82868" w:rsidRDefault="00980C94" w:rsidP="003D21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4EA78" id="_x0000_t202" coordsize="21600,21600" o:spt="202" path="m,l,21600r21600,l21600,xe">
                    <v:stroke joinstyle="miter"/>
                    <v:path gradientshapeok="t" o:connecttype="rect"/>
                  </v:shapetype>
                  <v:shape id="Text Box 3" o:spid="_x0000_s1040" type="#_x0000_t202" style="position:absolute;left:0;text-align:left;margin-left:426.2pt;margin-top:80.6pt;width:107.7pt;height:8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" stroked="f">
                    <v:textbox>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tblGrid>
                          <w:tr w:rsidR="00980C94" w:rsidRPr="00AC70E7" w14:paraId="194F465E" w14:textId="77777777">
                            <w:trPr>
                              <w:jc w:val="right"/>
                            </w:trPr>
                            <w:tc>
                              <w:tcPr>
                                <w:tcW w:w="0" w:type="auto"/>
                                <w:tcBorders>
                                  <w:top w:val="thinThickSmallGap" w:sz="18" w:space="0" w:color="auto"/>
                                  <w:left w:val="nil"/>
                                  <w:bottom w:val="thinThickSmallGap" w:sz="18" w:space="0" w:color="auto"/>
                                  <w:right w:val="nil"/>
                                </w:tcBorders>
                              </w:tcPr>
                              <w:p w14:paraId="679AD124" w14:textId="77777777" w:rsidR="00980C94" w:rsidRPr="007C18AC" w:rsidRDefault="00980C94" w:rsidP="003D214F">
                                <w:pPr>
                                  <w:rPr>
                                    <w:sz w:val="16"/>
                                    <w:szCs w:val="16"/>
                                    <w:lang w:val="id-ID"/>
                                  </w:rPr>
                                </w:pPr>
                              </w:p>
                              <w:p w14:paraId="39564A57" w14:textId="77777777" w:rsidR="00980C94" w:rsidRPr="007C18AC" w:rsidRDefault="00980C94" w:rsidP="003D214F">
                                <w:pPr>
                                  <w:rPr>
                                    <w:b/>
                                    <w:sz w:val="18"/>
                                    <w:szCs w:val="18"/>
                                    <w:lang w:val="id-ID"/>
                                  </w:rPr>
                                </w:pPr>
                                <w:r>
                                  <w:rPr>
                                    <w:b/>
                                    <w:sz w:val="18"/>
                                    <w:szCs w:val="18"/>
                                    <w:lang w:val="id-ID"/>
                                  </w:rPr>
                                  <w:t xml:space="preserve">Al Jazari Journal of Mechanical </w:t>
                                </w:r>
                                <w:r w:rsidRPr="007C18AC">
                                  <w:rPr>
                                    <w:b/>
                                    <w:sz w:val="18"/>
                                    <w:szCs w:val="18"/>
                                    <w:lang w:val="id-ID"/>
                                  </w:rPr>
                                  <w:t>Engineering</w:t>
                                </w:r>
                              </w:p>
                              <w:p w14:paraId="3E6EB389" w14:textId="77777777" w:rsidR="00980C94" w:rsidRPr="007C18AC" w:rsidRDefault="00980C94" w:rsidP="003D214F">
                                <w:pPr>
                                  <w:rPr>
                                    <w:b/>
                                    <w:sz w:val="18"/>
                                    <w:szCs w:val="18"/>
                                    <w:lang w:val="id-ID"/>
                                  </w:rPr>
                                </w:pPr>
                              </w:p>
                              <w:p w14:paraId="37EA76FF" w14:textId="77777777" w:rsidR="00980C94" w:rsidRPr="007C18AC" w:rsidRDefault="00980C94" w:rsidP="003D214F">
                                <w:pPr>
                                  <w:rPr>
                                    <w:b/>
                                    <w:sz w:val="18"/>
                                    <w:szCs w:val="18"/>
                                    <w:lang w:val="id-ID"/>
                                  </w:rPr>
                                </w:pPr>
                                <w:r w:rsidRPr="007C18AC">
                                  <w:rPr>
                                    <w:b/>
                                    <w:sz w:val="18"/>
                                    <w:szCs w:val="18"/>
                                    <w:lang w:val="id-ID"/>
                                  </w:rPr>
                                  <w:t>ISSN: 2527-3426</w:t>
                                </w:r>
                              </w:p>
                              <w:p w14:paraId="38E3E184" w14:textId="77777777" w:rsidR="00980C94" w:rsidRPr="007C18AC" w:rsidRDefault="00980C94" w:rsidP="003D214F">
                                <w:pPr>
                                  <w:rPr>
                                    <w:sz w:val="16"/>
                                    <w:szCs w:val="16"/>
                                  </w:rPr>
                                </w:pPr>
                              </w:p>
                            </w:tc>
                          </w:tr>
                          <w:tr w:rsidR="00980C94" w:rsidRPr="00AC70E7" w14:paraId="10EC00E8" w14:textId="77777777">
                            <w:trPr>
                              <w:jc w:val="right"/>
                            </w:trPr>
                            <w:tc>
                              <w:tcPr>
                                <w:tcW w:w="0" w:type="auto"/>
                                <w:tcBorders>
                                  <w:top w:val="thinThickSmallGap" w:sz="18" w:space="0" w:color="auto"/>
                                  <w:left w:val="nil"/>
                                  <w:bottom w:val="nil"/>
                                  <w:right w:val="nil"/>
                                </w:tcBorders>
                              </w:tcPr>
                              <w:p w14:paraId="114B4D95" w14:textId="77777777" w:rsidR="00980C94" w:rsidRPr="00112730" w:rsidRDefault="00980C94" w:rsidP="003D214F">
                                <w:pPr>
                                  <w:jc w:val="center"/>
                                  <w:rPr>
                                    <w:rFonts w:cs="Mangal"/>
                                    <w:sz w:val="16"/>
                                    <w:szCs w:val="16"/>
                                    <w:lang w:val="id-ID"/>
                                  </w:rPr>
                                </w:pPr>
                              </w:p>
                            </w:tc>
                          </w:tr>
                        </w:tbl>
                        <w:p w14:paraId="48EB8B77" w14:textId="77777777" w:rsidR="00980C94" w:rsidRPr="00E82868" w:rsidRDefault="00980C94" w:rsidP="003D214F"/>
                      </w:txbxContent>
                    </v:textbox>
                  </v:shape>
                </w:pict>
              </mc:Fallback>
            </mc:AlternateContent>
          </w:r>
          <w:r>
            <mc:AlternateContent>
              <mc:Choice Requires="wps">
                <w:drawing>
                  <wp:anchor distT="0" distB="0" distL="114300" distR="114300" simplePos="0" relativeHeight="251656704" behindDoc="0" locked="0" layoutInCell="1" allowOverlap="1" wp14:anchorId="5EF3C23A" wp14:editId="561E31D0">
                    <wp:simplePos x="0" y="0"/>
                    <wp:positionH relativeFrom="column">
                      <wp:posOffset>5412740</wp:posOffset>
                    </wp:positionH>
                    <wp:positionV relativeFrom="paragraph">
                      <wp:posOffset>1023620</wp:posOffset>
                    </wp:positionV>
                    <wp:extent cx="1367790" cy="1094740"/>
                    <wp:effectExtent l="1270" t="0" r="254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094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tblGrid>
                                <w:tr w:rsidR="00980C94" w:rsidRPr="00AC70E7" w14:paraId="0F508519" w14:textId="77777777">
                                  <w:trPr>
                                    <w:jc w:val="right"/>
                                  </w:trPr>
                                  <w:tc>
                                    <w:tcPr>
                                      <w:tcW w:w="0" w:type="auto"/>
                                      <w:tcBorders>
                                        <w:top w:val="thinThickSmallGap" w:sz="18" w:space="0" w:color="auto"/>
                                        <w:left w:val="nil"/>
                                        <w:bottom w:val="thinThickSmallGap" w:sz="18" w:space="0" w:color="auto"/>
                                        <w:right w:val="nil"/>
                                      </w:tcBorders>
                                    </w:tcPr>
                                    <w:p w14:paraId="5C349770" w14:textId="77777777" w:rsidR="00980C94" w:rsidRPr="007C18AC" w:rsidRDefault="00980C94" w:rsidP="003D214F">
                                      <w:pPr>
                                        <w:rPr>
                                          <w:sz w:val="16"/>
                                          <w:szCs w:val="16"/>
                                          <w:lang w:val="id-ID"/>
                                        </w:rPr>
                                      </w:pPr>
                                    </w:p>
                                    <w:p w14:paraId="68A287B7" w14:textId="77777777" w:rsidR="00980C94" w:rsidRPr="007C18AC" w:rsidRDefault="00980C94" w:rsidP="003D214F">
                                      <w:pPr>
                                        <w:rPr>
                                          <w:b/>
                                          <w:sz w:val="18"/>
                                          <w:szCs w:val="18"/>
                                          <w:lang w:val="id-ID"/>
                                        </w:rPr>
                                      </w:pPr>
                                      <w:r>
                                        <w:rPr>
                                          <w:b/>
                                          <w:sz w:val="18"/>
                                          <w:szCs w:val="18"/>
                                          <w:lang w:val="id-ID"/>
                                        </w:rPr>
                                        <w:t xml:space="preserve">Al Jazari Journal of Mechanical </w:t>
                                      </w:r>
                                      <w:r w:rsidRPr="007C18AC">
                                        <w:rPr>
                                          <w:b/>
                                          <w:sz w:val="18"/>
                                          <w:szCs w:val="18"/>
                                          <w:lang w:val="id-ID"/>
                                        </w:rPr>
                                        <w:t>Engineering</w:t>
                                      </w:r>
                                    </w:p>
                                    <w:p w14:paraId="3E3D6420" w14:textId="77777777" w:rsidR="00980C94" w:rsidRPr="007C18AC" w:rsidRDefault="00980C94" w:rsidP="003D214F">
                                      <w:pPr>
                                        <w:rPr>
                                          <w:b/>
                                          <w:sz w:val="18"/>
                                          <w:szCs w:val="18"/>
                                          <w:lang w:val="id-ID"/>
                                        </w:rPr>
                                      </w:pPr>
                                    </w:p>
                                    <w:p w14:paraId="54370800" w14:textId="77777777" w:rsidR="00980C94" w:rsidRPr="007C18AC" w:rsidRDefault="00980C94" w:rsidP="003D214F">
                                      <w:pPr>
                                        <w:rPr>
                                          <w:b/>
                                          <w:sz w:val="18"/>
                                          <w:szCs w:val="18"/>
                                          <w:lang w:val="id-ID"/>
                                        </w:rPr>
                                      </w:pPr>
                                      <w:r w:rsidRPr="007C18AC">
                                        <w:rPr>
                                          <w:b/>
                                          <w:sz w:val="18"/>
                                          <w:szCs w:val="18"/>
                                          <w:lang w:val="id-ID"/>
                                        </w:rPr>
                                        <w:t>ISSN: 2527-3426</w:t>
                                      </w:r>
                                    </w:p>
                                    <w:p w14:paraId="5E3AC2D0" w14:textId="77777777" w:rsidR="00980C94" w:rsidRPr="007C18AC" w:rsidRDefault="00980C94" w:rsidP="003D214F">
                                      <w:pPr>
                                        <w:rPr>
                                          <w:sz w:val="16"/>
                                          <w:szCs w:val="16"/>
                                        </w:rPr>
                                      </w:pPr>
                                    </w:p>
                                  </w:tc>
                                </w:tr>
                                <w:tr w:rsidR="00980C94" w:rsidRPr="00AC70E7" w14:paraId="17D80F70" w14:textId="77777777">
                                  <w:trPr>
                                    <w:jc w:val="right"/>
                                  </w:trPr>
                                  <w:tc>
                                    <w:tcPr>
                                      <w:tcW w:w="0" w:type="auto"/>
                                      <w:tcBorders>
                                        <w:top w:val="thinThickSmallGap" w:sz="18" w:space="0" w:color="auto"/>
                                        <w:left w:val="nil"/>
                                        <w:bottom w:val="nil"/>
                                        <w:right w:val="nil"/>
                                      </w:tcBorders>
                                    </w:tcPr>
                                    <w:p w14:paraId="1F0EDA43" w14:textId="77777777" w:rsidR="00980C94" w:rsidRPr="00112730" w:rsidRDefault="00980C94" w:rsidP="003D214F">
                                      <w:pPr>
                                        <w:jc w:val="center"/>
                                        <w:rPr>
                                          <w:rFonts w:cs="Mangal"/>
                                          <w:sz w:val="16"/>
                                          <w:szCs w:val="16"/>
                                          <w:lang w:val="id-ID"/>
                                        </w:rPr>
                                      </w:pPr>
                                    </w:p>
                                  </w:tc>
                                </w:tr>
                              </w:tbl>
                              <w:p w14:paraId="56D50005" w14:textId="77777777" w:rsidR="00980C94" w:rsidRPr="00E82868" w:rsidRDefault="00980C94" w:rsidP="003D21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3C23A" id="Text Box 4" o:spid="_x0000_s1041" type="#_x0000_t202" style="position:absolute;left:0;text-align:left;margin-left:426.2pt;margin-top:80.6pt;width:107.7pt;height:8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" stroked="f">
                    <v:textbox>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tblGrid>
                          <w:tr w:rsidR="00980C94" w:rsidRPr="00AC70E7" w14:paraId="0F508519" w14:textId="77777777">
                            <w:trPr>
                              <w:jc w:val="right"/>
                            </w:trPr>
                            <w:tc>
                              <w:tcPr>
                                <w:tcW w:w="0" w:type="auto"/>
                                <w:tcBorders>
                                  <w:top w:val="thinThickSmallGap" w:sz="18" w:space="0" w:color="auto"/>
                                  <w:left w:val="nil"/>
                                  <w:bottom w:val="thinThickSmallGap" w:sz="18" w:space="0" w:color="auto"/>
                                  <w:right w:val="nil"/>
                                </w:tcBorders>
                              </w:tcPr>
                              <w:p w14:paraId="5C349770" w14:textId="77777777" w:rsidR="00980C94" w:rsidRPr="007C18AC" w:rsidRDefault="00980C94" w:rsidP="003D214F">
                                <w:pPr>
                                  <w:rPr>
                                    <w:sz w:val="16"/>
                                    <w:szCs w:val="16"/>
                                    <w:lang w:val="id-ID"/>
                                  </w:rPr>
                                </w:pPr>
                              </w:p>
                              <w:p w14:paraId="68A287B7" w14:textId="77777777" w:rsidR="00980C94" w:rsidRPr="007C18AC" w:rsidRDefault="00980C94" w:rsidP="003D214F">
                                <w:pPr>
                                  <w:rPr>
                                    <w:b/>
                                    <w:sz w:val="18"/>
                                    <w:szCs w:val="18"/>
                                    <w:lang w:val="id-ID"/>
                                  </w:rPr>
                                </w:pPr>
                                <w:r>
                                  <w:rPr>
                                    <w:b/>
                                    <w:sz w:val="18"/>
                                    <w:szCs w:val="18"/>
                                    <w:lang w:val="id-ID"/>
                                  </w:rPr>
                                  <w:t xml:space="preserve">Al Jazari Journal of Mechanical </w:t>
                                </w:r>
                                <w:r w:rsidRPr="007C18AC">
                                  <w:rPr>
                                    <w:b/>
                                    <w:sz w:val="18"/>
                                    <w:szCs w:val="18"/>
                                    <w:lang w:val="id-ID"/>
                                  </w:rPr>
                                  <w:t>Engineering</w:t>
                                </w:r>
                              </w:p>
                              <w:p w14:paraId="3E3D6420" w14:textId="77777777" w:rsidR="00980C94" w:rsidRPr="007C18AC" w:rsidRDefault="00980C94" w:rsidP="003D214F">
                                <w:pPr>
                                  <w:rPr>
                                    <w:b/>
                                    <w:sz w:val="18"/>
                                    <w:szCs w:val="18"/>
                                    <w:lang w:val="id-ID"/>
                                  </w:rPr>
                                </w:pPr>
                              </w:p>
                              <w:p w14:paraId="54370800" w14:textId="77777777" w:rsidR="00980C94" w:rsidRPr="007C18AC" w:rsidRDefault="00980C94" w:rsidP="003D214F">
                                <w:pPr>
                                  <w:rPr>
                                    <w:b/>
                                    <w:sz w:val="18"/>
                                    <w:szCs w:val="18"/>
                                    <w:lang w:val="id-ID"/>
                                  </w:rPr>
                                </w:pPr>
                                <w:r w:rsidRPr="007C18AC">
                                  <w:rPr>
                                    <w:b/>
                                    <w:sz w:val="18"/>
                                    <w:szCs w:val="18"/>
                                    <w:lang w:val="id-ID"/>
                                  </w:rPr>
                                  <w:t>ISSN: 2527-3426</w:t>
                                </w:r>
                              </w:p>
                              <w:p w14:paraId="5E3AC2D0" w14:textId="77777777" w:rsidR="00980C94" w:rsidRPr="007C18AC" w:rsidRDefault="00980C94" w:rsidP="003D214F">
                                <w:pPr>
                                  <w:rPr>
                                    <w:sz w:val="16"/>
                                    <w:szCs w:val="16"/>
                                  </w:rPr>
                                </w:pPr>
                              </w:p>
                            </w:tc>
                          </w:tr>
                          <w:tr w:rsidR="00980C94" w:rsidRPr="00AC70E7" w14:paraId="17D80F70" w14:textId="77777777">
                            <w:trPr>
                              <w:jc w:val="right"/>
                            </w:trPr>
                            <w:tc>
                              <w:tcPr>
                                <w:tcW w:w="0" w:type="auto"/>
                                <w:tcBorders>
                                  <w:top w:val="thinThickSmallGap" w:sz="18" w:space="0" w:color="auto"/>
                                  <w:left w:val="nil"/>
                                  <w:bottom w:val="nil"/>
                                  <w:right w:val="nil"/>
                                </w:tcBorders>
                              </w:tcPr>
                              <w:p w14:paraId="1F0EDA43" w14:textId="77777777" w:rsidR="00980C94" w:rsidRPr="00112730" w:rsidRDefault="00980C94" w:rsidP="003D214F">
                                <w:pPr>
                                  <w:jc w:val="center"/>
                                  <w:rPr>
                                    <w:rFonts w:cs="Mangal"/>
                                    <w:sz w:val="16"/>
                                    <w:szCs w:val="16"/>
                                    <w:lang w:val="id-ID"/>
                                  </w:rPr>
                                </w:pPr>
                              </w:p>
                            </w:tc>
                          </w:tr>
                        </w:tbl>
                        <w:p w14:paraId="56D50005" w14:textId="77777777" w:rsidR="00980C94" w:rsidRPr="00E82868" w:rsidRDefault="00980C94" w:rsidP="003D214F"/>
                      </w:txbxContent>
                    </v:textbox>
                  </v:shape>
                </w:pict>
              </mc:Fallback>
            </mc:AlternateContent>
          </w:r>
        </w:p>
      </w:tc>
    </w:tr>
  </w:tbl>
  <w:p w14:paraId="297D7AA2" w14:textId="77777777" w:rsidR="00980C94" w:rsidRDefault="00980C94" w:rsidP="003D2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27C85E1B"/>
    <w:multiLevelType w:val="multilevel"/>
    <w:tmpl w:val="143EE5B4"/>
    <w:lvl w:ilvl="0">
      <w:start w:val="4"/>
      <w:numFmt w:val="decimal"/>
      <w:lvlText w:val="%1"/>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92B427C"/>
    <w:multiLevelType w:val="multilevel"/>
    <w:tmpl w:val="8506CB66"/>
    <w:lvl w:ilvl="0">
      <w:start w:val="4"/>
      <w:numFmt w:val="decimal"/>
      <w:lvlText w:val="%1"/>
      <w:lvlJc w:val="left"/>
      <w:pPr>
        <w:ind w:left="400" w:hanging="400"/>
      </w:pPr>
      <w:rPr>
        <w:rFonts w:hint="default"/>
      </w:rPr>
    </w:lvl>
    <w:lvl w:ilvl="1">
      <w:start w:val="3"/>
      <w:numFmt w:val="decimal"/>
      <w:lvlText w:val="%1.%2"/>
      <w:lvlJc w:val="left"/>
      <w:pPr>
        <w:ind w:left="400" w:hanging="4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0191DBB"/>
    <w:multiLevelType w:val="hybridMultilevel"/>
    <w:tmpl w:val="25C8F2D8"/>
    <w:lvl w:ilvl="0" w:tplc="3809000F">
      <w:start w:val="1"/>
      <w:numFmt w:val="decimal"/>
      <w:lvlText w:val="%1."/>
      <w:lvlJc w:val="left"/>
      <w:pPr>
        <w:ind w:left="720" w:hanging="360"/>
      </w:pPr>
      <w:rPr>
        <w:rFonts w:ascii="Times New Roman" w:hAnsi="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35E02B1"/>
    <w:multiLevelType w:val="hybridMultilevel"/>
    <w:tmpl w:val="349E113A"/>
    <w:lvl w:ilvl="0" w:tplc="5BBEE72A">
      <w:start w:val="1"/>
      <w:numFmt w:val="lowerLetter"/>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4A432DA"/>
    <w:multiLevelType w:val="multilevel"/>
    <w:tmpl w:val="1A487D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5"/>
  </w:num>
  <w:num w:numId="3">
    <w:abstractNumId w:val="0"/>
    <w:lvlOverride w:ilvl="0">
      <w:startOverride w:val="5"/>
    </w:lvlOverride>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doNotShadeFormData/>
  <w:characterSpacingControl w:val="doNotCompress"/>
  <w:doNotValidateAgainstSchema/>
  <w:doNotDemarcateInvalidXml/>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3D6"/>
    <w:rsid w:val="00052AD6"/>
    <w:rsid w:val="000662A0"/>
    <w:rsid w:val="000B1B3F"/>
    <w:rsid w:val="000F6B69"/>
    <w:rsid w:val="00116DC6"/>
    <w:rsid w:val="00135909"/>
    <w:rsid w:val="00144034"/>
    <w:rsid w:val="00144E57"/>
    <w:rsid w:val="00172A27"/>
    <w:rsid w:val="001C6D61"/>
    <w:rsid w:val="001E75BD"/>
    <w:rsid w:val="002511CF"/>
    <w:rsid w:val="002A1B07"/>
    <w:rsid w:val="002D31AF"/>
    <w:rsid w:val="002E2CAB"/>
    <w:rsid w:val="002E5757"/>
    <w:rsid w:val="002E6C6B"/>
    <w:rsid w:val="002F11DF"/>
    <w:rsid w:val="002F6EE3"/>
    <w:rsid w:val="003707EE"/>
    <w:rsid w:val="003D214F"/>
    <w:rsid w:val="003E034D"/>
    <w:rsid w:val="003E2C3B"/>
    <w:rsid w:val="004144B0"/>
    <w:rsid w:val="00475F6D"/>
    <w:rsid w:val="004B53AB"/>
    <w:rsid w:val="004C3800"/>
    <w:rsid w:val="004C6298"/>
    <w:rsid w:val="004E7B2B"/>
    <w:rsid w:val="005251DC"/>
    <w:rsid w:val="00544D38"/>
    <w:rsid w:val="005519EA"/>
    <w:rsid w:val="0055320B"/>
    <w:rsid w:val="00553D02"/>
    <w:rsid w:val="00555114"/>
    <w:rsid w:val="005668B1"/>
    <w:rsid w:val="005775C7"/>
    <w:rsid w:val="005902BE"/>
    <w:rsid w:val="005A382B"/>
    <w:rsid w:val="005A4099"/>
    <w:rsid w:val="005B59AA"/>
    <w:rsid w:val="005F11BE"/>
    <w:rsid w:val="00621181"/>
    <w:rsid w:val="00661CF2"/>
    <w:rsid w:val="00661D4F"/>
    <w:rsid w:val="00680941"/>
    <w:rsid w:val="0068721E"/>
    <w:rsid w:val="006922A1"/>
    <w:rsid w:val="006B1A36"/>
    <w:rsid w:val="006B4E6F"/>
    <w:rsid w:val="006F483C"/>
    <w:rsid w:val="00723A97"/>
    <w:rsid w:val="00732620"/>
    <w:rsid w:val="0075480F"/>
    <w:rsid w:val="00792FE8"/>
    <w:rsid w:val="007B5913"/>
    <w:rsid w:val="007F1A30"/>
    <w:rsid w:val="007F5B19"/>
    <w:rsid w:val="00833982"/>
    <w:rsid w:val="00835F5C"/>
    <w:rsid w:val="00837E24"/>
    <w:rsid w:val="008B7024"/>
    <w:rsid w:val="008E4889"/>
    <w:rsid w:val="008F4305"/>
    <w:rsid w:val="008F6259"/>
    <w:rsid w:val="0091359B"/>
    <w:rsid w:val="00922DFC"/>
    <w:rsid w:val="009345F6"/>
    <w:rsid w:val="00980C94"/>
    <w:rsid w:val="00983E82"/>
    <w:rsid w:val="00991C20"/>
    <w:rsid w:val="009A7F8F"/>
    <w:rsid w:val="009B7351"/>
    <w:rsid w:val="009B7D1B"/>
    <w:rsid w:val="009D28C3"/>
    <w:rsid w:val="00A23D7A"/>
    <w:rsid w:val="00A403AA"/>
    <w:rsid w:val="00A543DE"/>
    <w:rsid w:val="00A877A0"/>
    <w:rsid w:val="00A952C6"/>
    <w:rsid w:val="00A97709"/>
    <w:rsid w:val="00A978B2"/>
    <w:rsid w:val="00AE0395"/>
    <w:rsid w:val="00AE2295"/>
    <w:rsid w:val="00AF48AA"/>
    <w:rsid w:val="00B0565E"/>
    <w:rsid w:val="00B06633"/>
    <w:rsid w:val="00B06D23"/>
    <w:rsid w:val="00B304C1"/>
    <w:rsid w:val="00BB22B4"/>
    <w:rsid w:val="00BD504D"/>
    <w:rsid w:val="00C05ABE"/>
    <w:rsid w:val="00C13550"/>
    <w:rsid w:val="00C16625"/>
    <w:rsid w:val="00C31417"/>
    <w:rsid w:val="00C33EBA"/>
    <w:rsid w:val="00C52E06"/>
    <w:rsid w:val="00C54ED1"/>
    <w:rsid w:val="00C809EC"/>
    <w:rsid w:val="00C96E82"/>
    <w:rsid w:val="00CC6267"/>
    <w:rsid w:val="00D156B7"/>
    <w:rsid w:val="00D16639"/>
    <w:rsid w:val="00D2209F"/>
    <w:rsid w:val="00D26AF7"/>
    <w:rsid w:val="00D41B5A"/>
    <w:rsid w:val="00D507CD"/>
    <w:rsid w:val="00D67429"/>
    <w:rsid w:val="00D73940"/>
    <w:rsid w:val="00DA3EF6"/>
    <w:rsid w:val="00DD7D85"/>
    <w:rsid w:val="00DF7713"/>
    <w:rsid w:val="00E31B72"/>
    <w:rsid w:val="00E374D5"/>
    <w:rsid w:val="00E5387B"/>
    <w:rsid w:val="00E846F2"/>
    <w:rsid w:val="00E86F49"/>
    <w:rsid w:val="00E9004A"/>
    <w:rsid w:val="00EA00F1"/>
    <w:rsid w:val="00EB51FC"/>
    <w:rsid w:val="00EC648A"/>
    <w:rsid w:val="00ED1C37"/>
    <w:rsid w:val="00ED62D8"/>
    <w:rsid w:val="00F015DD"/>
    <w:rsid w:val="00F34CBF"/>
    <w:rsid w:val="00F4517D"/>
    <w:rsid w:val="00F46CFE"/>
    <w:rsid w:val="00F637E4"/>
    <w:rsid w:val="00FA4508"/>
    <w:rsid w:val="00FA4C7E"/>
    <w:rsid w:val="00FA680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02C002"/>
  <w14:defaultImageDpi w14:val="0"/>
  <w15:chartTrackingRefBased/>
  <w15:docId w15:val="{95719B46-0941-45F7-83F5-86C7C6F1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7CD"/>
    <w:pPr>
      <w:widowControl w:val="0"/>
    </w:pPr>
    <w:rPr>
      <w:rFonts w:ascii="Times New Roman" w:eastAsia="SimSun" w:hAnsi="Times New Roman"/>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body-text">
    <w:name w:val="Els-body-text"/>
    <w:pPr>
      <w:spacing w:line="240" w:lineRule="exact"/>
      <w:ind w:firstLine="238"/>
      <w:jc w:val="both"/>
    </w:pPr>
    <w:rPr>
      <w:rFonts w:ascii="Times New Roman" w:eastAsia="SimSun" w:hAnsi="Times New Roman"/>
      <w:lang w:val="en-US" w:eastAsia="en-US"/>
    </w:rPr>
  </w:style>
  <w:style w:type="paragraph" w:customStyle="1" w:styleId="Els-1storder-head">
    <w:name w:val="Els-1storder-head"/>
    <w:next w:val="Els-body-text"/>
    <w:pPr>
      <w:keepNext/>
      <w:numPr>
        <w:numId w:val="1"/>
      </w:numPr>
      <w:suppressAutoHyphens/>
      <w:spacing w:before="240" w:after="240" w:line="240" w:lineRule="exact"/>
    </w:pPr>
    <w:rPr>
      <w:rFonts w:ascii="Times New Roman" w:eastAsia="SimSun" w:hAnsi="Times New Roman"/>
      <w:b/>
      <w:lang w:val="en-US" w:eastAsia="en-US"/>
    </w:rPr>
  </w:style>
  <w:style w:type="paragraph" w:customStyle="1" w:styleId="Els-2ndorder-head">
    <w:name w:val="Els-2ndorder-head"/>
    <w:next w:val="Els-body-text"/>
    <w:pPr>
      <w:keepNext/>
      <w:numPr>
        <w:ilvl w:val="1"/>
        <w:numId w:val="1"/>
      </w:numPr>
      <w:suppressAutoHyphens/>
      <w:spacing w:before="240" w:after="240" w:line="240" w:lineRule="exact"/>
    </w:pPr>
    <w:rPr>
      <w:rFonts w:ascii="Times New Roman" w:eastAsia="SimSun" w:hAnsi="Times New Roman"/>
      <w:i/>
      <w:lang w:val="en-US" w:eastAsia="en-US"/>
    </w:rPr>
  </w:style>
  <w:style w:type="paragraph" w:customStyle="1" w:styleId="Els-3rdorder-head">
    <w:name w:val="Els-3rdorder-head"/>
    <w:next w:val="Els-body-text"/>
    <w:pPr>
      <w:keepNext/>
      <w:numPr>
        <w:ilvl w:val="2"/>
        <w:numId w:val="1"/>
      </w:numPr>
      <w:suppressAutoHyphens/>
      <w:spacing w:before="240" w:line="240" w:lineRule="exact"/>
    </w:pPr>
    <w:rPr>
      <w:rFonts w:ascii="Times New Roman" w:eastAsia="SimSun" w:hAnsi="Times New Roman"/>
      <w:i/>
      <w:lang w:val="en-US" w:eastAsia="en-US"/>
    </w:rPr>
  </w:style>
  <w:style w:type="paragraph" w:customStyle="1" w:styleId="Els-4thorder-head">
    <w:name w:val="Els-4thorder-head"/>
    <w:next w:val="Els-body-text"/>
    <w:pPr>
      <w:keepNext/>
      <w:numPr>
        <w:ilvl w:val="3"/>
        <w:numId w:val="1"/>
      </w:numPr>
      <w:suppressAutoHyphens/>
      <w:spacing w:before="240" w:line="240" w:lineRule="exact"/>
    </w:pPr>
    <w:rPr>
      <w:rFonts w:ascii="Times New Roman" w:eastAsia="SimSun" w:hAnsi="Times New Roman"/>
      <w:i/>
      <w:lang w:val="en-US" w:eastAsia="en-US"/>
    </w:rPr>
  </w:style>
  <w:style w:type="character" w:customStyle="1" w:styleId="HeaderChar">
    <w:name w:val="Header Char"/>
    <w:link w:val="Header"/>
    <w:rPr>
      <w:rFonts w:ascii="Times New Roman" w:eastAsia="SimSun" w:hAnsi="Times New Roman" w:cs="Times New Roman"/>
      <w:i/>
      <w:noProof/>
      <w:sz w:val="16"/>
      <w:szCs w:val="20"/>
      <w:lang w:val="en-ID" w:eastAsia="en-ID"/>
    </w:rPr>
  </w:style>
  <w:style w:type="paragraph" w:styleId="Header">
    <w:name w:val="header"/>
    <w:link w:val="HeaderChar"/>
    <w:pPr>
      <w:tabs>
        <w:tab w:val="center" w:pos="4706"/>
        <w:tab w:val="right" w:pos="9356"/>
      </w:tabs>
      <w:spacing w:before="100" w:beforeAutospacing="1" w:after="240" w:line="200" w:lineRule="atLeast"/>
    </w:pPr>
    <w:rPr>
      <w:rFonts w:ascii="Times New Roman" w:eastAsia="SimSun" w:hAnsi="Times New Roman"/>
      <w:i/>
      <w:noProof/>
      <w:sz w:val="16"/>
      <w:lang w:val="en-US" w:eastAsia="en-US"/>
    </w:rPr>
  </w:style>
  <w:style w:type="character" w:styleId="PageNumber">
    <w:name w:val="page number"/>
    <w:rPr>
      <w:rFonts w:ascii="Calibri" w:eastAsia="Calibri" w:hAnsi="Calibri" w:cs="Times New Roman"/>
      <w:sz w:val="16"/>
    </w:rPr>
  </w:style>
  <w:style w:type="paragraph" w:customStyle="1" w:styleId="Els-footnote">
    <w:name w:val="Els-footnote"/>
    <w:pPr>
      <w:keepLines/>
      <w:widowControl w:val="0"/>
      <w:spacing w:line="200" w:lineRule="exact"/>
      <w:ind w:firstLine="240"/>
      <w:jc w:val="both"/>
    </w:pPr>
    <w:rPr>
      <w:rFonts w:ascii="Times New Roman" w:eastAsia="SimSun" w:hAnsi="Times New Roman"/>
      <w:sz w:val="16"/>
      <w:lang w:val="en-US" w:eastAsia="en-US"/>
    </w:rPr>
  </w:style>
  <w:style w:type="paragraph" w:customStyle="1" w:styleId="Els-Author">
    <w:name w:val="Els-Author"/>
    <w:next w:val="Normal"/>
    <w:pPr>
      <w:keepNext/>
      <w:suppressAutoHyphens/>
      <w:spacing w:after="160" w:line="300" w:lineRule="exact"/>
      <w:jc w:val="center"/>
    </w:pPr>
    <w:rPr>
      <w:rFonts w:ascii="Times New Roman" w:eastAsia="SimSun" w:hAnsi="Times New Roman"/>
      <w:noProof/>
      <w:sz w:val="26"/>
      <w:lang w:val="en-US" w:eastAsia="en-US"/>
    </w:rPr>
  </w:style>
  <w:style w:type="paragraph" w:customStyle="1" w:styleId="Els-Title">
    <w:name w:val="Els-Title"/>
    <w:next w:val="Els-Author"/>
    <w:pPr>
      <w:suppressAutoHyphens/>
      <w:spacing w:after="240" w:line="400" w:lineRule="exact"/>
      <w:jc w:val="center"/>
    </w:pPr>
    <w:rPr>
      <w:rFonts w:ascii="Times New Roman" w:eastAsia="SimSun" w:hAnsi="Times New Roman"/>
      <w:sz w:val="34"/>
      <w:lang w:val="en-US" w:eastAsia="en-US"/>
    </w:rPr>
  </w:style>
  <w:style w:type="paragraph" w:customStyle="1" w:styleId="Els-Abstract-head">
    <w:name w:val="Els-Abstract-head"/>
    <w:next w:val="Normal"/>
    <w:pPr>
      <w:keepNext/>
      <w:pBdr>
        <w:top w:val="single" w:sz="4" w:space="10" w:color="auto"/>
      </w:pBdr>
      <w:suppressAutoHyphens/>
      <w:spacing w:after="220" w:line="220" w:lineRule="exact"/>
    </w:pPr>
    <w:rPr>
      <w:rFonts w:ascii="Times New Roman" w:eastAsia="SimSun" w:hAnsi="Times New Roman"/>
      <w:b/>
      <w:sz w:val="18"/>
      <w:lang w:val="en-US" w:eastAsia="en-US"/>
    </w:rPr>
  </w:style>
  <w:style w:type="paragraph" w:customStyle="1" w:styleId="Els-Affiliation">
    <w:name w:val="Els-Affiliation"/>
    <w:next w:val="Els-Abstract-head"/>
    <w:pPr>
      <w:suppressAutoHyphens/>
      <w:spacing w:line="200" w:lineRule="exact"/>
      <w:jc w:val="center"/>
    </w:pPr>
    <w:rPr>
      <w:rFonts w:ascii="Times New Roman" w:eastAsia="SimSun" w:hAnsi="Times New Roman"/>
      <w:i/>
      <w:noProof/>
      <w:sz w:val="16"/>
      <w:lang w:val="en-US" w:eastAsia="en-US"/>
    </w:rPr>
  </w:style>
  <w:style w:type="paragraph" w:customStyle="1" w:styleId="Els-history">
    <w:name w:val="Els-history"/>
    <w:next w:val="Normal"/>
    <w:pPr>
      <w:spacing w:before="120" w:after="400" w:line="200" w:lineRule="exact"/>
      <w:jc w:val="center"/>
    </w:pPr>
    <w:rPr>
      <w:rFonts w:ascii="Times New Roman" w:eastAsia="SimSun" w:hAnsi="Times New Roman"/>
      <w:noProof/>
      <w:sz w:val="16"/>
      <w:lang w:val="en-US" w:eastAsia="en-US"/>
    </w:rPr>
  </w:style>
  <w:style w:type="paragraph" w:customStyle="1" w:styleId="Els-keywords">
    <w:name w:val="Els-keywords"/>
    <w:next w:val="Normal"/>
    <w:pPr>
      <w:pBdr>
        <w:bottom w:val="single" w:sz="4" w:space="10" w:color="auto"/>
      </w:pBdr>
      <w:spacing w:after="200" w:line="200" w:lineRule="exact"/>
    </w:pPr>
    <w:rPr>
      <w:rFonts w:ascii="Times New Roman" w:eastAsia="SimSun" w:hAnsi="Times New Roman"/>
      <w:noProof/>
      <w:sz w:val="16"/>
      <w:lang w:val="en-US" w:eastAsia="en-US"/>
    </w:rPr>
  </w:style>
  <w:style w:type="character" w:customStyle="1" w:styleId="tlid-translation">
    <w:name w:val="tlid-translation"/>
    <w:rPr>
      <w:rFonts w:ascii="Calibri" w:eastAsia="Calibri" w:hAnsi="Calibri" w:cs="Times New Roman"/>
    </w:rPr>
  </w:style>
  <w:style w:type="paragraph" w:customStyle="1" w:styleId="Els-equation">
    <w:name w:val="Els-equation"/>
    <w:next w:val="Normal"/>
    <w:pPr>
      <w:widowControl w:val="0"/>
      <w:tabs>
        <w:tab w:val="right" w:pos="4320"/>
        <w:tab w:val="right" w:pos="9120"/>
      </w:tabs>
      <w:spacing w:before="240" w:after="240"/>
      <w:ind w:left="482"/>
    </w:pPr>
    <w:rPr>
      <w:rFonts w:ascii="Times New Roman" w:eastAsia="SimSun" w:hAnsi="Times New Roman"/>
      <w:i/>
      <w:noProof/>
      <w:lang w:val="en-US" w:eastAsia="en-US"/>
    </w:rPr>
  </w:style>
  <w:style w:type="paragraph" w:customStyle="1" w:styleId="Els-caption">
    <w:name w:val="Els-caption"/>
    <w:pPr>
      <w:keepLines/>
      <w:spacing w:before="200" w:after="240" w:line="200" w:lineRule="exact"/>
    </w:pPr>
    <w:rPr>
      <w:rFonts w:ascii="Times New Roman" w:eastAsia="SimSun" w:hAnsi="Times New Roman"/>
      <w:sz w:val="16"/>
      <w:lang w:val="en-US" w:eastAsia="en-US"/>
    </w:rPr>
  </w:style>
  <w:style w:type="paragraph" w:customStyle="1" w:styleId="Els-table-text">
    <w:name w:val="Els-table-text"/>
    <w:pPr>
      <w:spacing w:after="80" w:line="200" w:lineRule="exact"/>
    </w:pPr>
    <w:rPr>
      <w:rFonts w:ascii="Times New Roman" w:eastAsia="SimSun" w:hAnsi="Times New Roman"/>
      <w:sz w:val="16"/>
      <w:lang w:val="en-US" w:eastAsia="en-US"/>
    </w:rPr>
  </w:style>
  <w:style w:type="paragraph" w:customStyle="1" w:styleId="Els-reference-head">
    <w:name w:val="Els-reference-head"/>
    <w:next w:val="Normal"/>
    <w:pPr>
      <w:keepNext/>
      <w:spacing w:before="480" w:after="200" w:line="220" w:lineRule="exact"/>
    </w:pPr>
    <w:rPr>
      <w:rFonts w:ascii="Times New Roman" w:eastAsia="SimSun" w:hAnsi="Times New Roman"/>
      <w:b/>
      <w:lang w:val="en-US" w:eastAsia="en-US"/>
    </w:rPr>
  </w:style>
  <w:style w:type="character" w:customStyle="1" w:styleId="alt-edited">
    <w:name w:val="alt-edited"/>
    <w:rPr>
      <w:rFonts w:ascii="Calibri" w:eastAsia="Calibri" w:hAnsi="Calibri" w:cs="Times New Roman"/>
    </w:rPr>
  </w:style>
  <w:style w:type="paragraph" w:customStyle="1" w:styleId="LISTOFREFERENCESANDPUBLICATIONS">
    <w:name w:val="LIST OF REFERENCES AND PUBLICATIONS"/>
    <w:basedOn w:val="Normal"/>
    <w:pPr>
      <w:autoSpaceDE w:val="0"/>
      <w:autoSpaceDN w:val="0"/>
      <w:adjustRightInd w:val="0"/>
      <w:spacing w:afterLines="100" w:after="240"/>
      <w:ind w:left="475" w:hanging="475"/>
      <w:jc w:val="both"/>
    </w:pPr>
    <w:rPr>
      <w:rFonts w:ascii="Calibri" w:eastAsia="Times New Roman" w:hAnsi="Calibri"/>
      <w:iCs/>
      <w:noProof/>
      <w:color w:val="222222"/>
      <w:shd w:val="clear" w:color="auto" w:fill="FFFFFF"/>
      <w:lang w:val="en-US" w:eastAsia="id-ID"/>
    </w:rPr>
  </w:style>
  <w:style w:type="character" w:customStyle="1" w:styleId="BalloonTextChar">
    <w:name w:val="Balloon Text Char"/>
    <w:link w:val="BalloonText"/>
    <w:rPr>
      <w:rFonts w:ascii="Tahoma" w:eastAsia="SimSun" w:hAnsi="Tahoma" w:cs="Tahoma"/>
      <w:sz w:val="16"/>
      <w:szCs w:val="16"/>
      <w:lang w:val="en-GB"/>
    </w:rPr>
  </w:style>
  <w:style w:type="paragraph" w:styleId="BalloonText">
    <w:name w:val="Balloon Text"/>
    <w:basedOn w:val="Normal"/>
    <w:link w:val="BalloonTextChar"/>
    <w:rPr>
      <w:rFonts w:ascii="Tahoma" w:eastAsia="Calibri" w:hAnsi="Tahoma" w:cs="Tahoma"/>
      <w:sz w:val="16"/>
      <w:szCs w:val="16"/>
    </w:rPr>
  </w:style>
  <w:style w:type="character" w:styleId="Hyperlink">
    <w:name w:val="Hyperlink"/>
    <w:basedOn w:val="DefaultParagraphFont"/>
    <w:uiPriority w:val="99"/>
    <w:unhideWhenUsed/>
    <w:rsid w:val="00D16639"/>
    <w:rPr>
      <w:rFonts w:ascii="Calibri" w:eastAsia="Calibri" w:hAnsi="Calibri" w:cs="Times New Roman"/>
      <w:color w:val="0563C1" w:themeColor="hyperlink"/>
      <w:u w:val="single"/>
    </w:rPr>
  </w:style>
  <w:style w:type="character" w:styleId="UnresolvedMention">
    <w:name w:val="Unresolved Mention"/>
    <w:basedOn w:val="DefaultParagraphFont"/>
    <w:uiPriority w:val="99"/>
    <w:semiHidden/>
    <w:unhideWhenUsed/>
    <w:rsid w:val="00D16639"/>
    <w:rPr>
      <w:rFonts w:ascii="Calibri" w:eastAsia="Calibri" w:hAnsi="Calibri" w:cs="Times New Roman"/>
      <w:color w:val="605E5C"/>
      <w:shd w:val="clear" w:color="auto" w:fill="E1DFDD"/>
    </w:rPr>
  </w:style>
  <w:style w:type="table" w:styleId="TableGrid">
    <w:name w:val="Table Grid"/>
    <w:basedOn w:val="TableNormal"/>
    <w:uiPriority w:val="39"/>
    <w:rsid w:val="009345F6"/>
    <w:rPr>
      <w:rFonts w:cs="Arial"/>
      <w:sz w:val="22"/>
      <w:szCs w:val="22"/>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16625"/>
    <w:pPr>
      <w:autoSpaceDE w:val="0"/>
      <w:autoSpaceDN w:val="0"/>
      <w:adjustRightInd w:val="0"/>
      <w:spacing w:line="480" w:lineRule="auto"/>
      <w:ind w:firstLine="720"/>
      <w:jc w:val="both"/>
    </w:pPr>
    <w:rPr>
      <w:rFonts w:eastAsia="Times New Roman"/>
      <w:sz w:val="24"/>
      <w:szCs w:val="24"/>
      <w:lang w:val="en-US" w:eastAsia="id-ID"/>
    </w:rPr>
  </w:style>
  <w:style w:type="character" w:customStyle="1" w:styleId="BodyTextIndentChar">
    <w:name w:val="Body Text Indent Char"/>
    <w:basedOn w:val="DefaultParagraphFont"/>
    <w:link w:val="BodyTextIndent"/>
    <w:rsid w:val="00C16625"/>
    <w:rPr>
      <w:rFonts w:ascii="Times New Roman" w:eastAsia="Times New Roman" w:hAnsi="Times New Roman" w:cs="Times New Roman"/>
      <w:sz w:val="24"/>
      <w:szCs w:val="24"/>
      <w:lang w:val="en-US" w:eastAsia="id-ID"/>
    </w:rPr>
  </w:style>
  <w:style w:type="paragraph" w:styleId="PlainText">
    <w:name w:val="Plain Text"/>
    <w:basedOn w:val="Normal"/>
    <w:link w:val="PlainTextChar"/>
    <w:uiPriority w:val="99"/>
    <w:unhideWhenUsed/>
    <w:rsid w:val="002F6EE3"/>
    <w:pPr>
      <w:widowControl/>
    </w:pPr>
    <w:rPr>
      <w:rFonts w:ascii="Consolas" w:eastAsia="Calibri" w:hAnsi="Consolas" w:cs="Arial"/>
      <w:sz w:val="21"/>
      <w:szCs w:val="21"/>
      <w:lang w:val="en-US"/>
    </w:rPr>
  </w:style>
  <w:style w:type="character" w:customStyle="1" w:styleId="PlainTextChar">
    <w:name w:val="Plain Text Char"/>
    <w:basedOn w:val="DefaultParagraphFont"/>
    <w:link w:val="PlainText"/>
    <w:uiPriority w:val="99"/>
    <w:rsid w:val="002F6EE3"/>
    <w:rPr>
      <w:rFonts w:ascii="Consolas" w:eastAsia="Calibri" w:hAnsi="Consolas" w:cs="Arial"/>
      <w:sz w:val="21"/>
      <w:szCs w:val="21"/>
      <w:lang w:val="en-US" w:eastAsia="en-US"/>
    </w:rPr>
  </w:style>
  <w:style w:type="paragraph" w:styleId="NormalWeb">
    <w:name w:val="Normal (Web)"/>
    <w:basedOn w:val="Normal"/>
    <w:uiPriority w:val="99"/>
    <w:semiHidden/>
    <w:unhideWhenUsed/>
    <w:rsid w:val="003707EE"/>
    <w:pPr>
      <w:widowControl/>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3707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739746">
      <w:bodyDiv w:val="1"/>
      <w:marLeft w:val="0"/>
      <w:marRight w:val="0"/>
      <w:marTop w:val="0"/>
      <w:marBottom w:val="0"/>
      <w:divBdr>
        <w:top w:val="none" w:sz="0" w:space="0" w:color="auto"/>
        <w:left w:val="none" w:sz="0" w:space="0" w:color="auto"/>
        <w:bottom w:val="none" w:sz="0" w:space="0" w:color="auto"/>
        <w:right w:val="none" w:sz="0" w:space="0" w:color="auto"/>
      </w:divBdr>
    </w:div>
    <w:div w:id="124664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a.septiarini@lecture.unjani.ac.i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s://ijqrm.rescollacomm.com/"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844B2-2D14-874A-805D-B943605F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16</Pages>
  <Words>36575</Words>
  <Characters>208480</Characters>
  <Application>Microsoft Office Word</Application>
  <DocSecurity>0</DocSecurity>
  <Lines>1737</Lines>
  <Paragraphs>489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cp:lastModifiedBy>Microsoft Office User</cp:lastModifiedBy>
  <cp:revision>13</cp:revision>
  <dcterms:created xsi:type="dcterms:W3CDTF">2025-02-28T19:46:00Z</dcterms:created>
  <dcterms:modified xsi:type="dcterms:W3CDTF">2025-03-05T06:41:00Z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97119e04be9b4e4e8604f4a09d57a507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2a3cb658-52cc-36bc-b029-3a681ec2d58b</vt:lpwstr>
  </property>
  <property fmtid="{D5CDD505-2E9C-101B-9397-08002B2CF9AE}" pid="25" name="Mendeley Citation Style_1">
    <vt:lpwstr>http://www.zotero.org/styles/apa</vt:lpwstr>
  </property>
</Properties>
</file>