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F28B2" w14:textId="77777777" w:rsidR="00B26540" w:rsidRDefault="00B26540">
      <w:pPr>
        <w:spacing w:line="276" w:lineRule="auto"/>
        <w:rPr>
          <w:rFonts w:ascii="Cambria" w:eastAsia="Cambria" w:hAnsi="Cambria" w:cs="Cambria"/>
          <w:b/>
          <w:sz w:val="28"/>
          <w:szCs w:val="28"/>
        </w:rPr>
      </w:pPr>
    </w:p>
    <w:p w14:paraId="0A006192" w14:textId="77777777" w:rsidR="00D15866" w:rsidRDefault="00D15866" w:rsidP="00D15866">
      <w:pPr>
        <w:jc w:val="center"/>
        <w:rPr>
          <w:rFonts w:ascii="Cambria" w:eastAsia="Cambria" w:hAnsi="Cambria" w:cs="Cambria"/>
          <w:b/>
        </w:rPr>
      </w:pPr>
      <w:r w:rsidRPr="00236A07">
        <w:rPr>
          <w:rFonts w:ascii="Cambria" w:eastAsia="Cambria" w:hAnsi="Cambria" w:cs="Cambria"/>
          <w:b/>
          <w:bCs/>
          <w:sz w:val="28"/>
          <w:szCs w:val="28"/>
        </w:rPr>
        <w:t>MathQuest : A PowerPoint-Based Problem-Based Learning Game for Mathematical Problem-Solving</w:t>
      </w:r>
    </w:p>
    <w:p w14:paraId="1A7B60BB" w14:textId="0AAC2B28" w:rsidR="004716DA" w:rsidRPr="004716DA" w:rsidRDefault="004716DA" w:rsidP="004716DA">
      <w:pPr>
        <w:jc w:val="center"/>
        <w:rPr>
          <w:rFonts w:ascii="Cambria" w:eastAsia="Cambria" w:hAnsi="Cambria" w:cs="Cambria"/>
          <w:b/>
          <w:bCs/>
          <w:sz w:val="28"/>
          <w:szCs w:val="28"/>
        </w:rPr>
      </w:pPr>
    </w:p>
    <w:p w14:paraId="2797A36C" w14:textId="77777777" w:rsidR="00B26540" w:rsidRDefault="00B26540" w:rsidP="003B403B">
      <w:pPr>
        <w:rPr>
          <w:rFonts w:ascii="Cambria" w:eastAsia="Cambria" w:hAnsi="Cambria" w:cs="Cambria"/>
        </w:rPr>
      </w:pPr>
      <w:bookmarkStart w:id="0" w:name="_GoBack"/>
      <w:bookmarkEnd w:id="0"/>
    </w:p>
    <w:p w14:paraId="7F653102" w14:textId="77777777" w:rsidR="00B26540" w:rsidRDefault="00B26540">
      <w:pPr>
        <w:jc w:val="center"/>
        <w:rPr>
          <w:rFonts w:ascii="Cambria" w:eastAsia="Cambria" w:hAnsi="Cambria" w:cs="Cambria"/>
        </w:rPr>
      </w:pPr>
    </w:p>
    <w:tbl>
      <w:tblPr>
        <w:tblStyle w:val="a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2"/>
        <w:gridCol w:w="385"/>
        <w:gridCol w:w="6379"/>
      </w:tblGrid>
      <w:tr w:rsidR="00B26540" w14:paraId="6CA293EE" w14:textId="77777777">
        <w:tc>
          <w:tcPr>
            <w:tcW w:w="2592" w:type="dxa"/>
            <w:tcBorders>
              <w:top w:val="single" w:sz="4" w:space="0" w:color="000000"/>
              <w:left w:val="nil"/>
              <w:bottom w:val="single" w:sz="4" w:space="0" w:color="000000"/>
              <w:right w:val="nil"/>
            </w:tcBorders>
          </w:tcPr>
          <w:p w14:paraId="68162491" w14:textId="77777777" w:rsidR="00B26540" w:rsidRDefault="005107AA">
            <w:pPr>
              <w:jc w:val="both"/>
              <w:rPr>
                <w:rFonts w:ascii="Cambria" w:eastAsia="Cambria" w:hAnsi="Cambria" w:cs="Cambria"/>
                <w:b/>
                <w:sz w:val="18"/>
                <w:szCs w:val="18"/>
              </w:rPr>
            </w:pPr>
            <w:r>
              <w:rPr>
                <w:rFonts w:ascii="Cambria" w:eastAsia="Cambria" w:hAnsi="Cambria" w:cs="Cambria"/>
                <w:b/>
                <w:sz w:val="18"/>
                <w:szCs w:val="18"/>
              </w:rPr>
              <w:t>Article Info</w:t>
            </w:r>
          </w:p>
        </w:tc>
        <w:tc>
          <w:tcPr>
            <w:tcW w:w="385" w:type="dxa"/>
            <w:tcBorders>
              <w:top w:val="single" w:sz="4" w:space="0" w:color="000000"/>
              <w:left w:val="nil"/>
              <w:bottom w:val="nil"/>
              <w:right w:val="nil"/>
            </w:tcBorders>
          </w:tcPr>
          <w:p w14:paraId="3485BED8" w14:textId="77777777" w:rsidR="00B26540" w:rsidRDefault="00B26540">
            <w:pPr>
              <w:jc w:val="center"/>
              <w:rPr>
                <w:rFonts w:ascii="Cambria" w:eastAsia="Cambria" w:hAnsi="Cambria" w:cs="Cambria"/>
                <w:sz w:val="18"/>
                <w:szCs w:val="18"/>
              </w:rPr>
            </w:pPr>
          </w:p>
        </w:tc>
        <w:tc>
          <w:tcPr>
            <w:tcW w:w="6379" w:type="dxa"/>
            <w:tcBorders>
              <w:top w:val="single" w:sz="4" w:space="0" w:color="000000"/>
              <w:left w:val="nil"/>
              <w:bottom w:val="single" w:sz="4" w:space="0" w:color="000000"/>
              <w:right w:val="nil"/>
            </w:tcBorders>
          </w:tcPr>
          <w:p w14:paraId="09F73B17" w14:textId="77777777" w:rsidR="00B26540" w:rsidRDefault="005107AA">
            <w:pPr>
              <w:rPr>
                <w:rFonts w:ascii="Cambria" w:eastAsia="Cambria" w:hAnsi="Cambria" w:cs="Cambria"/>
                <w:color w:val="000000"/>
                <w:sz w:val="18"/>
                <w:szCs w:val="18"/>
              </w:rPr>
            </w:pPr>
            <w:r>
              <w:rPr>
                <w:rFonts w:ascii="Cambria" w:eastAsia="Cambria" w:hAnsi="Cambria" w:cs="Cambria"/>
                <w:b/>
                <w:sz w:val="18"/>
                <w:szCs w:val="18"/>
              </w:rPr>
              <w:t>Abstract</w:t>
            </w:r>
          </w:p>
        </w:tc>
      </w:tr>
      <w:tr w:rsidR="00B26540" w:rsidRPr="00F62FC5" w14:paraId="1E37C442" w14:textId="77777777">
        <w:trPr>
          <w:trHeight w:val="1268"/>
        </w:trPr>
        <w:tc>
          <w:tcPr>
            <w:tcW w:w="2592" w:type="dxa"/>
            <w:tcBorders>
              <w:top w:val="single" w:sz="4" w:space="0" w:color="000000"/>
              <w:left w:val="nil"/>
              <w:bottom w:val="single" w:sz="4" w:space="0" w:color="000000"/>
              <w:right w:val="nil"/>
            </w:tcBorders>
          </w:tcPr>
          <w:p w14:paraId="3412029B" w14:textId="77777777" w:rsidR="00B26540" w:rsidRDefault="00B26540">
            <w:pPr>
              <w:jc w:val="both"/>
              <w:rPr>
                <w:rFonts w:ascii="Cambria" w:eastAsia="Cambria" w:hAnsi="Cambria" w:cs="Cambria"/>
                <w:b/>
                <w:i/>
                <w:sz w:val="18"/>
                <w:szCs w:val="18"/>
              </w:rPr>
            </w:pPr>
          </w:p>
          <w:p w14:paraId="31FAB293" w14:textId="77777777" w:rsidR="00B26540" w:rsidRDefault="005107AA">
            <w:pPr>
              <w:spacing w:after="120"/>
              <w:jc w:val="both"/>
              <w:rPr>
                <w:rFonts w:ascii="Cambria" w:eastAsia="Cambria" w:hAnsi="Cambria" w:cs="Cambria"/>
                <w:b/>
                <w:i/>
                <w:sz w:val="18"/>
                <w:szCs w:val="18"/>
              </w:rPr>
            </w:pPr>
            <w:r>
              <w:rPr>
                <w:rFonts w:ascii="Cambria" w:eastAsia="Cambria" w:hAnsi="Cambria" w:cs="Cambria"/>
                <w:b/>
                <w:i/>
                <w:sz w:val="18"/>
                <w:szCs w:val="18"/>
              </w:rPr>
              <w:t>Article history:</w:t>
            </w:r>
          </w:p>
          <w:p w14:paraId="79A18911" w14:textId="77777777" w:rsidR="00B26540" w:rsidRDefault="005107AA">
            <w:pPr>
              <w:jc w:val="both"/>
              <w:rPr>
                <w:rFonts w:ascii="Cambria" w:eastAsia="Cambria" w:hAnsi="Cambria" w:cs="Cambria"/>
                <w:sz w:val="18"/>
                <w:szCs w:val="18"/>
              </w:rPr>
            </w:pPr>
            <w:r>
              <w:rPr>
                <w:rFonts w:ascii="Cambria" w:eastAsia="Cambria" w:hAnsi="Cambria" w:cs="Cambria"/>
                <w:sz w:val="18"/>
                <w:szCs w:val="18"/>
              </w:rPr>
              <w:t>Received: Month XX, 20XX</w:t>
            </w:r>
          </w:p>
          <w:p w14:paraId="45143EF2" w14:textId="77777777" w:rsidR="00B26540" w:rsidRDefault="005107AA">
            <w:pPr>
              <w:jc w:val="both"/>
              <w:rPr>
                <w:rFonts w:ascii="Cambria" w:eastAsia="Cambria" w:hAnsi="Cambria" w:cs="Cambria"/>
                <w:sz w:val="18"/>
                <w:szCs w:val="18"/>
              </w:rPr>
            </w:pPr>
            <w:r>
              <w:rPr>
                <w:rFonts w:ascii="Cambria" w:eastAsia="Cambria" w:hAnsi="Cambria" w:cs="Cambria"/>
                <w:sz w:val="18"/>
                <w:szCs w:val="18"/>
              </w:rPr>
              <w:t>Revised: Month XX, 20XX</w:t>
            </w:r>
          </w:p>
          <w:p w14:paraId="34BFA7CD" w14:textId="77777777" w:rsidR="00B26540" w:rsidRDefault="005107AA">
            <w:pPr>
              <w:jc w:val="both"/>
              <w:rPr>
                <w:rFonts w:ascii="Cambria" w:eastAsia="Cambria" w:hAnsi="Cambria" w:cs="Cambria"/>
                <w:sz w:val="18"/>
                <w:szCs w:val="18"/>
              </w:rPr>
            </w:pPr>
            <w:r>
              <w:rPr>
                <w:rFonts w:ascii="Cambria" w:eastAsia="Cambria" w:hAnsi="Cambria" w:cs="Cambria"/>
                <w:sz w:val="18"/>
                <w:szCs w:val="18"/>
              </w:rPr>
              <w:t>Accepted: Month XX, 20XX</w:t>
            </w:r>
          </w:p>
          <w:p w14:paraId="37952DCD" w14:textId="77777777" w:rsidR="00B26540" w:rsidRDefault="005107AA">
            <w:pPr>
              <w:jc w:val="both"/>
              <w:rPr>
                <w:rFonts w:ascii="Cambria" w:eastAsia="Cambria" w:hAnsi="Cambria" w:cs="Cambria"/>
                <w:sz w:val="18"/>
                <w:szCs w:val="18"/>
              </w:rPr>
            </w:pPr>
            <w:r>
              <w:rPr>
                <w:rFonts w:ascii="Cambria" w:eastAsia="Cambria" w:hAnsi="Cambria" w:cs="Cambria"/>
                <w:sz w:val="18"/>
                <w:szCs w:val="18"/>
              </w:rPr>
              <w:t>(Cambria 9)</w:t>
            </w:r>
          </w:p>
        </w:tc>
        <w:tc>
          <w:tcPr>
            <w:tcW w:w="385" w:type="dxa"/>
            <w:vMerge w:val="restart"/>
            <w:tcBorders>
              <w:top w:val="nil"/>
              <w:left w:val="nil"/>
              <w:bottom w:val="nil"/>
              <w:right w:val="nil"/>
            </w:tcBorders>
          </w:tcPr>
          <w:p w14:paraId="710AF281" w14:textId="77777777" w:rsidR="00B26540" w:rsidRDefault="00B26540">
            <w:pPr>
              <w:jc w:val="both"/>
              <w:rPr>
                <w:rFonts w:ascii="Cambria" w:eastAsia="Cambria" w:hAnsi="Cambria" w:cs="Cambria"/>
                <w:sz w:val="18"/>
                <w:szCs w:val="18"/>
              </w:rPr>
            </w:pPr>
          </w:p>
        </w:tc>
        <w:tc>
          <w:tcPr>
            <w:tcW w:w="6379" w:type="dxa"/>
            <w:vMerge w:val="restart"/>
            <w:tcBorders>
              <w:top w:val="single" w:sz="4" w:space="0" w:color="000000"/>
              <w:left w:val="nil"/>
              <w:right w:val="nil"/>
            </w:tcBorders>
          </w:tcPr>
          <w:p w14:paraId="4C062152" w14:textId="77777777" w:rsidR="00B26540" w:rsidRPr="00F62FC5" w:rsidRDefault="00B26540">
            <w:pPr>
              <w:jc w:val="both"/>
              <w:rPr>
                <w:rFonts w:ascii="Cambria" w:eastAsia="Cambria" w:hAnsi="Cambria" w:cs="Cambria"/>
                <w:color w:val="000000"/>
                <w:sz w:val="18"/>
                <w:szCs w:val="18"/>
              </w:rPr>
            </w:pPr>
          </w:p>
          <w:p w14:paraId="02CE2760" w14:textId="21B5E7EB" w:rsidR="00B26540" w:rsidRPr="00F62FC5" w:rsidRDefault="005107AA">
            <w:pPr>
              <w:jc w:val="both"/>
              <w:rPr>
                <w:rFonts w:ascii="Cambria" w:eastAsia="Cambria" w:hAnsi="Cambria" w:cs="Cambria"/>
                <w:color w:val="000000"/>
                <w:sz w:val="18"/>
                <w:szCs w:val="18"/>
              </w:rPr>
            </w:pPr>
            <w:r w:rsidRPr="00F62FC5">
              <w:rPr>
                <w:rFonts w:ascii="Cambria" w:eastAsia="Cambria" w:hAnsi="Cambria" w:cs="Cambria"/>
                <w:b/>
                <w:bCs/>
                <w:color w:val="000000"/>
                <w:sz w:val="18"/>
                <w:szCs w:val="18"/>
              </w:rPr>
              <w:t xml:space="preserve">Background of study: </w:t>
            </w:r>
            <w:r w:rsidR="00F62FC5" w:rsidRPr="00F62FC5">
              <w:rPr>
                <w:rFonts w:ascii="Cambria" w:eastAsia="Cambria" w:hAnsi="Cambria" w:cs="Cambria"/>
                <w:color w:val="000000"/>
                <w:sz w:val="18"/>
                <w:szCs w:val="18"/>
              </w:rPr>
              <w:t>Despite the importance of mathematical problem-solving skills in academic and everyday contexts, many students struggle to master these skills due to the lack of engaging and effective instructional tools. Traditional teaching methods often fail to address these challenges, highlighting the need for innovative approaches that integrate interactive and motivating elements into the learning process.</w:t>
            </w:r>
          </w:p>
          <w:p w14:paraId="39C93237" w14:textId="7A151557" w:rsidR="00B26540" w:rsidRPr="00F62FC5" w:rsidRDefault="005107AA">
            <w:pPr>
              <w:jc w:val="both"/>
              <w:rPr>
                <w:rFonts w:ascii="Cambria" w:eastAsia="Cambria" w:hAnsi="Cambria" w:cs="Cambria"/>
                <w:color w:val="000000"/>
                <w:sz w:val="18"/>
                <w:szCs w:val="18"/>
              </w:rPr>
            </w:pPr>
            <w:r w:rsidRPr="00F62FC5">
              <w:rPr>
                <w:rFonts w:ascii="Cambria" w:eastAsia="Cambria" w:hAnsi="Cambria" w:cs="Cambria"/>
                <w:b/>
                <w:bCs/>
                <w:color w:val="000000"/>
                <w:sz w:val="18"/>
                <w:szCs w:val="18"/>
              </w:rPr>
              <w:t xml:space="preserve">Aims and scope of paper: </w:t>
            </w:r>
            <w:r w:rsidR="00F62FC5" w:rsidRPr="00F62FC5">
              <w:rPr>
                <w:rFonts w:ascii="Cambria" w:eastAsia="Cambria" w:hAnsi="Cambria" w:cs="Cambria"/>
                <w:color w:val="000000"/>
                <w:sz w:val="18"/>
                <w:szCs w:val="18"/>
              </w:rPr>
              <w:t>This study aims to develop and validate a PowerPoint-based Problem-Based Learning (PBL) game, evaluate its practicality in classrooms, and assess its effectiveness in improving students' mathematical problem-solving skills and motivation.</w:t>
            </w:r>
          </w:p>
          <w:p w14:paraId="29EA0B79" w14:textId="575C69C1" w:rsidR="009B3F22" w:rsidRDefault="005107AA">
            <w:pPr>
              <w:jc w:val="both"/>
              <w:rPr>
                <w:rFonts w:ascii="Cambria" w:eastAsia="Cambria" w:hAnsi="Cambria" w:cs="Cambria"/>
                <w:color w:val="000000"/>
                <w:sz w:val="18"/>
                <w:szCs w:val="18"/>
              </w:rPr>
            </w:pPr>
            <w:r w:rsidRPr="00F62FC5">
              <w:rPr>
                <w:rFonts w:ascii="Cambria" w:eastAsia="Cambria" w:hAnsi="Cambria" w:cs="Cambria"/>
                <w:b/>
                <w:bCs/>
                <w:color w:val="000000"/>
                <w:sz w:val="18"/>
                <w:szCs w:val="18"/>
              </w:rPr>
              <w:t xml:space="preserve">Methods: </w:t>
            </w:r>
            <w:r w:rsidR="00F62FC5" w:rsidRPr="00F62FC5">
              <w:rPr>
                <w:rFonts w:ascii="Cambria" w:eastAsia="Cambria" w:hAnsi="Cambria" w:cs="Cambria"/>
                <w:color w:val="000000"/>
                <w:sz w:val="18"/>
                <w:szCs w:val="18"/>
              </w:rPr>
              <w:t>Using the ADDIE model, this research involved 33 tenth-grade students selected through purposive sampling. Validation by two media experts, two content experts, and two language experts ensured high-quality game design.</w:t>
            </w:r>
          </w:p>
          <w:p w14:paraId="180E814C" w14:textId="226B2233" w:rsidR="00F62FC5" w:rsidRPr="00F62FC5" w:rsidRDefault="005107AA">
            <w:pPr>
              <w:jc w:val="both"/>
              <w:rPr>
                <w:rFonts w:ascii="Cambria" w:eastAsia="Cambria" w:hAnsi="Cambria" w:cs="Cambria"/>
                <w:color w:val="000000"/>
                <w:sz w:val="18"/>
                <w:szCs w:val="18"/>
              </w:rPr>
            </w:pPr>
            <w:r w:rsidRPr="00F62FC5">
              <w:rPr>
                <w:rFonts w:ascii="Cambria" w:eastAsia="Cambria" w:hAnsi="Cambria" w:cs="Cambria"/>
                <w:b/>
                <w:bCs/>
                <w:color w:val="000000"/>
                <w:sz w:val="18"/>
                <w:szCs w:val="18"/>
              </w:rPr>
              <w:t>Result:</w:t>
            </w:r>
            <w:r w:rsidR="00F62FC5">
              <w:rPr>
                <w:rFonts w:ascii="Cambria" w:eastAsia="Cambria" w:hAnsi="Cambria" w:cs="Cambria"/>
                <w:color w:val="000000"/>
                <w:sz w:val="18"/>
                <w:szCs w:val="18"/>
              </w:rPr>
              <w:t xml:space="preserve"> </w:t>
            </w:r>
            <w:r w:rsidR="00C70E0E" w:rsidRPr="00C70E0E">
              <w:rPr>
                <w:rFonts w:ascii="Cambria" w:eastAsia="Cambria" w:hAnsi="Cambria" w:cs="Cambria"/>
                <w:bCs/>
                <w:color w:val="000000"/>
                <w:sz w:val="18"/>
                <w:szCs w:val="18"/>
              </w:rPr>
              <w:t>Expert validation results showed high scores for content (91%), media design (89%), and language clarity (92%), indicating strong validity. The game achieved a practicality score of 85% based on student usability feedback. Effectiveness was demonstrated through a significant improvement in students' mathematical problem-solving skills, with average test scores increasing from 65 to 85 after using the game. Additionally, 70% of students reported increased motivation and engagement in learning mathematics through this game.</w:t>
            </w:r>
          </w:p>
          <w:p w14:paraId="12BAAAD1" w14:textId="49781495" w:rsidR="00B26540" w:rsidRPr="00F62FC5" w:rsidRDefault="005107AA">
            <w:pPr>
              <w:jc w:val="both"/>
              <w:rPr>
                <w:rFonts w:ascii="Cambria" w:eastAsia="Cambria" w:hAnsi="Cambria" w:cs="Cambria"/>
                <w:color w:val="000000"/>
                <w:sz w:val="18"/>
                <w:szCs w:val="18"/>
              </w:rPr>
            </w:pPr>
            <w:r w:rsidRPr="00F62FC5">
              <w:rPr>
                <w:rFonts w:ascii="Cambria" w:eastAsia="Cambria" w:hAnsi="Cambria" w:cs="Cambria"/>
                <w:b/>
                <w:bCs/>
                <w:color w:val="000000"/>
                <w:sz w:val="18"/>
                <w:szCs w:val="18"/>
              </w:rPr>
              <w:t xml:space="preserve">Conclusion: </w:t>
            </w:r>
            <w:r w:rsidR="00F62FC5" w:rsidRPr="00F62FC5">
              <w:rPr>
                <w:rFonts w:ascii="Cambria" w:eastAsia="Cambria" w:hAnsi="Cambria" w:cs="Cambria"/>
                <w:color w:val="000000"/>
                <w:sz w:val="18"/>
                <w:szCs w:val="18"/>
              </w:rPr>
              <w:t>The PBL-based PowerPoint game demonstrated strong validity, practicality, and effectiveness in addressing the needs of students and enhancing their mathematical skills. Key educational game elements identified include immediate feedback, question variety, and the ability to play in groups, making it a viable tool for classroom implementation.</w:t>
            </w:r>
          </w:p>
        </w:tc>
      </w:tr>
      <w:tr w:rsidR="00B26540" w14:paraId="691D2DEC" w14:textId="77777777">
        <w:trPr>
          <w:trHeight w:val="2230"/>
        </w:trPr>
        <w:tc>
          <w:tcPr>
            <w:tcW w:w="2592" w:type="dxa"/>
            <w:tcBorders>
              <w:top w:val="single" w:sz="4" w:space="0" w:color="000000"/>
              <w:left w:val="nil"/>
              <w:bottom w:val="single" w:sz="4" w:space="0" w:color="000000"/>
              <w:right w:val="nil"/>
            </w:tcBorders>
          </w:tcPr>
          <w:p w14:paraId="5C70D185" w14:textId="77777777" w:rsidR="00B26540" w:rsidRDefault="00B26540">
            <w:pPr>
              <w:jc w:val="both"/>
              <w:rPr>
                <w:rFonts w:ascii="Cambria" w:eastAsia="Cambria" w:hAnsi="Cambria" w:cs="Cambria"/>
                <w:b/>
                <w:i/>
                <w:sz w:val="18"/>
                <w:szCs w:val="18"/>
              </w:rPr>
            </w:pPr>
          </w:p>
          <w:p w14:paraId="6F22C856" w14:textId="77777777" w:rsidR="00B26540" w:rsidRDefault="005107AA">
            <w:pPr>
              <w:spacing w:after="120"/>
              <w:jc w:val="both"/>
              <w:rPr>
                <w:rFonts w:ascii="Cambria" w:eastAsia="Cambria" w:hAnsi="Cambria" w:cs="Cambria"/>
                <w:b/>
                <w:i/>
                <w:sz w:val="18"/>
                <w:szCs w:val="18"/>
              </w:rPr>
            </w:pPr>
            <w:r>
              <w:rPr>
                <w:rFonts w:ascii="Cambria" w:eastAsia="Cambria" w:hAnsi="Cambria" w:cs="Cambria"/>
                <w:b/>
                <w:i/>
                <w:sz w:val="18"/>
                <w:szCs w:val="18"/>
              </w:rPr>
              <w:t>Keywords:</w:t>
            </w:r>
          </w:p>
          <w:p w14:paraId="1BAFF909" w14:textId="4D1E17F6" w:rsidR="00B26540" w:rsidRDefault="009D19D0">
            <w:pPr>
              <w:jc w:val="both"/>
              <w:rPr>
                <w:rFonts w:ascii="Cambria" w:eastAsia="Cambria" w:hAnsi="Cambria" w:cs="Cambria"/>
                <w:sz w:val="18"/>
                <w:szCs w:val="18"/>
              </w:rPr>
            </w:pPr>
            <w:r w:rsidRPr="009D19D0">
              <w:rPr>
                <w:rFonts w:ascii="Cambria" w:eastAsia="Cambria" w:hAnsi="Cambria" w:cs="Cambria"/>
                <w:sz w:val="18"/>
                <w:szCs w:val="18"/>
              </w:rPr>
              <w:t>Game Based Learning</w:t>
            </w:r>
          </w:p>
          <w:p w14:paraId="48F17EBF" w14:textId="0081B03C" w:rsidR="00B26540" w:rsidRDefault="009D19D0">
            <w:pPr>
              <w:jc w:val="both"/>
              <w:rPr>
                <w:rFonts w:ascii="Cambria" w:eastAsia="Cambria" w:hAnsi="Cambria" w:cs="Cambria"/>
                <w:sz w:val="18"/>
                <w:szCs w:val="18"/>
              </w:rPr>
            </w:pPr>
            <w:r w:rsidRPr="009D19D0">
              <w:rPr>
                <w:rFonts w:ascii="Cambria" w:eastAsia="Cambria" w:hAnsi="Cambria" w:cs="Cambria"/>
                <w:sz w:val="18"/>
                <w:szCs w:val="18"/>
              </w:rPr>
              <w:t>Instructional Design</w:t>
            </w:r>
          </w:p>
          <w:p w14:paraId="7398533B" w14:textId="76D291A6" w:rsidR="00B26540" w:rsidRDefault="009D19D0" w:rsidP="009D19D0">
            <w:pPr>
              <w:rPr>
                <w:rFonts w:ascii="Cambria" w:eastAsia="Cambria" w:hAnsi="Cambria" w:cs="Cambria"/>
                <w:sz w:val="18"/>
                <w:szCs w:val="18"/>
              </w:rPr>
            </w:pPr>
            <w:r w:rsidRPr="009D19D0">
              <w:rPr>
                <w:rFonts w:ascii="Cambria" w:eastAsia="Cambria" w:hAnsi="Cambria" w:cs="Cambria"/>
                <w:sz w:val="18"/>
                <w:szCs w:val="18"/>
              </w:rPr>
              <w:t>Interactive Learning</w:t>
            </w:r>
          </w:p>
          <w:p w14:paraId="6A6BEA64" w14:textId="77777777" w:rsidR="009D19D0" w:rsidRDefault="009D19D0" w:rsidP="009D19D0">
            <w:pPr>
              <w:rPr>
                <w:rFonts w:ascii="Cambria" w:eastAsia="Cambria" w:hAnsi="Cambria" w:cs="Cambria"/>
                <w:sz w:val="18"/>
                <w:szCs w:val="18"/>
              </w:rPr>
            </w:pPr>
            <w:r w:rsidRPr="009D19D0">
              <w:rPr>
                <w:rFonts w:ascii="Cambria" w:eastAsia="Cambria" w:hAnsi="Cambria" w:cs="Cambria"/>
                <w:sz w:val="18"/>
                <w:szCs w:val="18"/>
              </w:rPr>
              <w:t>PowerPoint Games</w:t>
            </w:r>
          </w:p>
          <w:p w14:paraId="33649B30" w14:textId="77777777" w:rsidR="009D19D0" w:rsidRDefault="009D19D0" w:rsidP="009D19D0">
            <w:pPr>
              <w:jc w:val="both"/>
              <w:rPr>
                <w:rFonts w:ascii="Cambria" w:eastAsia="Cambria" w:hAnsi="Cambria" w:cs="Cambria"/>
                <w:sz w:val="18"/>
                <w:szCs w:val="18"/>
              </w:rPr>
            </w:pPr>
            <w:r w:rsidRPr="009D19D0">
              <w:rPr>
                <w:rFonts w:ascii="Cambria" w:eastAsia="Cambria" w:hAnsi="Cambria" w:cs="Cambria"/>
                <w:sz w:val="18"/>
                <w:szCs w:val="18"/>
              </w:rPr>
              <w:t>Problem Based Learning (PBL)</w:t>
            </w:r>
          </w:p>
          <w:p w14:paraId="30868337" w14:textId="77777777" w:rsidR="009D19D0" w:rsidRDefault="009D19D0" w:rsidP="009D19D0">
            <w:pPr>
              <w:rPr>
                <w:rFonts w:ascii="Cambria" w:eastAsia="Cambria" w:hAnsi="Cambria" w:cs="Cambria"/>
                <w:sz w:val="18"/>
                <w:szCs w:val="18"/>
              </w:rPr>
            </w:pPr>
          </w:p>
          <w:p w14:paraId="6B745EF6" w14:textId="77777777" w:rsidR="009D19D0" w:rsidRDefault="009D19D0" w:rsidP="009D19D0">
            <w:pPr>
              <w:rPr>
                <w:rFonts w:ascii="Cambria" w:eastAsia="Cambria" w:hAnsi="Cambria" w:cs="Cambria"/>
                <w:sz w:val="18"/>
                <w:szCs w:val="18"/>
              </w:rPr>
            </w:pPr>
          </w:p>
          <w:p w14:paraId="50C2744B" w14:textId="77777777" w:rsidR="00B26540" w:rsidRDefault="00B26540" w:rsidP="009D19D0">
            <w:pPr>
              <w:jc w:val="both"/>
              <w:rPr>
                <w:rFonts w:ascii="Cambria" w:eastAsia="Cambria" w:hAnsi="Cambria" w:cs="Cambria"/>
                <w:sz w:val="18"/>
                <w:szCs w:val="18"/>
              </w:rPr>
            </w:pPr>
          </w:p>
        </w:tc>
        <w:tc>
          <w:tcPr>
            <w:tcW w:w="385" w:type="dxa"/>
            <w:vMerge/>
            <w:tcBorders>
              <w:top w:val="nil"/>
              <w:left w:val="nil"/>
              <w:bottom w:val="nil"/>
              <w:right w:val="nil"/>
            </w:tcBorders>
          </w:tcPr>
          <w:p w14:paraId="4EF44DBE" w14:textId="77777777" w:rsidR="00B26540" w:rsidRDefault="00B26540">
            <w:pPr>
              <w:widowControl w:val="0"/>
              <w:pBdr>
                <w:top w:val="nil"/>
                <w:left w:val="nil"/>
                <w:bottom w:val="nil"/>
                <w:right w:val="nil"/>
                <w:between w:val="nil"/>
              </w:pBdr>
              <w:spacing w:line="276" w:lineRule="auto"/>
              <w:rPr>
                <w:rFonts w:ascii="Cambria" w:eastAsia="Cambria" w:hAnsi="Cambria" w:cs="Cambria"/>
                <w:sz w:val="18"/>
                <w:szCs w:val="18"/>
              </w:rPr>
            </w:pPr>
          </w:p>
        </w:tc>
        <w:tc>
          <w:tcPr>
            <w:tcW w:w="6379" w:type="dxa"/>
            <w:vMerge/>
            <w:tcBorders>
              <w:top w:val="single" w:sz="4" w:space="0" w:color="000000"/>
              <w:left w:val="nil"/>
              <w:right w:val="nil"/>
            </w:tcBorders>
          </w:tcPr>
          <w:p w14:paraId="0D574C77" w14:textId="77777777" w:rsidR="00B26540" w:rsidRDefault="00B26540">
            <w:pPr>
              <w:widowControl w:val="0"/>
              <w:pBdr>
                <w:top w:val="nil"/>
                <w:left w:val="nil"/>
                <w:bottom w:val="nil"/>
                <w:right w:val="nil"/>
                <w:between w:val="nil"/>
              </w:pBdr>
              <w:spacing w:line="276" w:lineRule="auto"/>
              <w:rPr>
                <w:rFonts w:ascii="Cambria" w:eastAsia="Cambria" w:hAnsi="Cambria" w:cs="Cambria"/>
                <w:sz w:val="18"/>
                <w:szCs w:val="18"/>
              </w:rPr>
            </w:pPr>
          </w:p>
        </w:tc>
      </w:tr>
      <w:tr w:rsidR="00B26540" w14:paraId="49AFE08A" w14:textId="77777777">
        <w:trPr>
          <w:trHeight w:val="73"/>
        </w:trPr>
        <w:tc>
          <w:tcPr>
            <w:tcW w:w="9356" w:type="dxa"/>
            <w:gridSpan w:val="3"/>
            <w:tcBorders>
              <w:top w:val="single" w:sz="4" w:space="0" w:color="000000"/>
              <w:left w:val="nil"/>
              <w:bottom w:val="single" w:sz="4" w:space="0" w:color="000000"/>
              <w:right w:val="nil"/>
            </w:tcBorders>
          </w:tcPr>
          <w:p w14:paraId="1F779585" w14:textId="76EDC07A" w:rsidR="00B26540" w:rsidRDefault="005107AA" w:rsidP="009B3F22">
            <w:pPr>
              <w:jc w:val="both"/>
              <w:rPr>
                <w:rFonts w:ascii="Cambria" w:eastAsia="Cambria" w:hAnsi="Cambria" w:cs="Cambria"/>
                <w:sz w:val="18"/>
                <w:szCs w:val="18"/>
              </w:rPr>
            </w:pPr>
            <w:r>
              <w:rPr>
                <w:rFonts w:ascii="Cambria" w:eastAsia="Cambria" w:hAnsi="Cambria" w:cs="Cambria"/>
                <w:b/>
                <w:sz w:val="18"/>
                <w:szCs w:val="18"/>
              </w:rPr>
              <w:t xml:space="preserve">To cite this article: </w:t>
            </w:r>
            <w:r>
              <w:rPr>
                <w:rFonts w:ascii="Cambria" w:eastAsia="Cambria" w:hAnsi="Cambria" w:cs="Cambria"/>
                <w:sz w:val="18"/>
                <w:szCs w:val="18"/>
              </w:rPr>
              <w:t xml:space="preserve">Author. (20XX). </w:t>
            </w:r>
            <w:bookmarkStart w:id="1" w:name="_Hlk178157897"/>
            <w:r w:rsidR="009B3F22" w:rsidRPr="009B3F22">
              <w:rPr>
                <w:rFonts w:ascii="Cambria" w:eastAsia="Cambria" w:hAnsi="Cambria" w:cs="Cambria"/>
                <w:sz w:val="18"/>
                <w:szCs w:val="18"/>
              </w:rPr>
              <w:t xml:space="preserve">Design and Development of PowerPoint Game Based on Problem Based Learning </w:t>
            </w:r>
            <w:bookmarkEnd w:id="1"/>
            <w:r>
              <w:rPr>
                <w:rFonts w:ascii="Cambria" w:eastAsia="Cambria" w:hAnsi="Cambria" w:cs="Cambria"/>
                <w:sz w:val="18"/>
                <w:szCs w:val="18"/>
              </w:rPr>
              <w:t xml:space="preserve">. </w:t>
            </w:r>
            <w:r>
              <w:rPr>
                <w:rFonts w:ascii="Cambria" w:eastAsia="Cambria" w:hAnsi="Cambria" w:cs="Cambria"/>
                <w:i/>
                <w:sz w:val="18"/>
                <w:szCs w:val="18"/>
              </w:rPr>
              <w:t xml:space="preserve">Journal of Advanced Sciences and Mathematics Education, X </w:t>
            </w:r>
            <w:r>
              <w:rPr>
                <w:rFonts w:ascii="Cambria" w:eastAsia="Cambria" w:hAnsi="Cambria" w:cs="Cambria"/>
                <w:sz w:val="18"/>
                <w:szCs w:val="18"/>
              </w:rPr>
              <w:t>(X), XX-XX</w:t>
            </w:r>
          </w:p>
        </w:tc>
      </w:tr>
    </w:tbl>
    <w:p w14:paraId="097F9BCC" w14:textId="77777777" w:rsidR="00B26540" w:rsidRDefault="00B26540" w:rsidP="00F62FC5">
      <w:pPr>
        <w:spacing w:after="120"/>
        <w:rPr>
          <w:rFonts w:ascii="Cambria" w:eastAsia="Cambria" w:hAnsi="Cambria" w:cs="Cambria"/>
          <w:b/>
          <w:color w:val="000000"/>
          <w:sz w:val="22"/>
          <w:szCs w:val="22"/>
        </w:rPr>
      </w:pPr>
    </w:p>
    <w:p w14:paraId="40C35BF5" w14:textId="28C6B1A3" w:rsidR="00F62FC5" w:rsidRDefault="005107AA" w:rsidP="00F62FC5">
      <w:pPr>
        <w:spacing w:after="120"/>
        <w:jc w:val="center"/>
        <w:rPr>
          <w:rFonts w:ascii="Cambria" w:eastAsia="Cambria" w:hAnsi="Cambria" w:cs="Cambria"/>
          <w:b/>
          <w:color w:val="000000"/>
          <w:sz w:val="22"/>
          <w:szCs w:val="22"/>
        </w:rPr>
      </w:pPr>
      <w:r>
        <w:rPr>
          <w:rFonts w:ascii="Cambria" w:eastAsia="Cambria" w:hAnsi="Cambria" w:cs="Cambria"/>
          <w:b/>
          <w:color w:val="000000"/>
          <w:sz w:val="22"/>
          <w:szCs w:val="22"/>
        </w:rPr>
        <w:t>INTRODUCTION</w:t>
      </w:r>
    </w:p>
    <w:p w14:paraId="1A1BBB04" w14:textId="13802708" w:rsidR="000605E2" w:rsidRPr="000605E2" w:rsidRDefault="000605E2" w:rsidP="000605E2">
      <w:pPr>
        <w:ind w:firstLine="720"/>
        <w:jc w:val="both"/>
        <w:rPr>
          <w:rFonts w:ascii="Cambria" w:eastAsia="Cambria" w:hAnsi="Cambria" w:cs="Cambria"/>
          <w:bCs/>
          <w:color w:val="000000"/>
          <w:sz w:val="22"/>
          <w:szCs w:val="22"/>
        </w:rPr>
      </w:pPr>
      <w:r w:rsidRPr="000605E2">
        <w:rPr>
          <w:rFonts w:ascii="Cambria" w:eastAsia="Cambria" w:hAnsi="Cambria" w:cs="Cambria"/>
          <w:bCs/>
          <w:color w:val="000000"/>
          <w:sz w:val="22"/>
          <w:szCs w:val="22"/>
        </w:rPr>
        <w:t>Mathematical problem-solving skills are essential competencies that students need to navigate academic challenges and everyday life effectively (Burke &amp; Stewart, 2024). However, many students continue to struggle with developing these skills. Research indicates that a significant proportion of students face difficulties in solving mathematical problems (Nicolay et al., 2021), particularly in algebra, which is widely considered one of the most challenging topics ( Anugerah et al., 2024; Asri et al., 2024; Widyatma &amp; Ramadhani , 2024 ; These challenges affect not only students' conceptual understanding but also their learning outcomes, critical thinking, and creativity (Sinaga et al., 2023; Subawo , 2022). Students with weak problem-solving skills often encounter obstacles in achieving optimal academic performance and struggle to apply concepts in real-world contexts (Tan et al., 2023).</w:t>
      </w:r>
    </w:p>
    <w:p w14:paraId="34E25A33" w14:textId="77777777" w:rsidR="000605E2" w:rsidRPr="000605E2" w:rsidRDefault="000605E2" w:rsidP="000605E2">
      <w:pPr>
        <w:ind w:firstLine="720"/>
        <w:jc w:val="both"/>
        <w:rPr>
          <w:rFonts w:ascii="Cambria" w:eastAsia="Cambria" w:hAnsi="Cambria" w:cs="Cambria"/>
          <w:bCs/>
          <w:color w:val="000000"/>
          <w:sz w:val="22"/>
          <w:szCs w:val="22"/>
        </w:rPr>
      </w:pPr>
      <w:r w:rsidRPr="000605E2">
        <w:rPr>
          <w:rFonts w:ascii="Cambria" w:eastAsia="Cambria" w:hAnsi="Cambria" w:cs="Cambria"/>
          <w:bCs/>
          <w:color w:val="000000"/>
          <w:sz w:val="22"/>
          <w:szCs w:val="22"/>
        </w:rPr>
        <w:t xml:space="preserve">In schools, traditional teaching methods such as lectures often fail to encourage students to think critically or engage actively in the learning process. Teachers also face challenges in explaining complex mathematical concepts and motivating students to learn (Ahmed &amp; Mikail, 2022). Addressing these challenges requires innovative and relevant teaching approaches. One such approach is Problem-Based Learning (PBL), which has been proven to help students develop critical thinking and problem-solving skills (Erdem, 2022; Shongwe, 2024; Anggraeni et al., 2023a; Wei et al., 2023) . PBL emphasizes learning through real-world problem-solving, enabling students to better understand and apply their knowledge ( Marcinauskas et al., 2024; Serin, 2023). The integration of </w:t>
      </w:r>
      <w:r w:rsidRPr="000605E2">
        <w:rPr>
          <w:rFonts w:ascii="Cambria" w:eastAsia="Cambria" w:hAnsi="Cambria" w:cs="Cambria"/>
          <w:bCs/>
          <w:color w:val="000000"/>
          <w:sz w:val="22"/>
          <w:szCs w:val="22"/>
        </w:rPr>
        <w:lastRenderedPageBreak/>
        <w:t>technology in PBL, including educational games, has been shown to enhance student motivation and engagement while making learning more effective (Hwang et al., 2019; Mao et al., 2021).</w:t>
      </w:r>
    </w:p>
    <w:p w14:paraId="45656C92" w14:textId="60A93FEF" w:rsidR="000605E2" w:rsidRPr="000605E2" w:rsidRDefault="000605E2" w:rsidP="000605E2">
      <w:pPr>
        <w:ind w:firstLine="720"/>
        <w:jc w:val="both"/>
        <w:rPr>
          <w:rFonts w:ascii="Cambria" w:eastAsia="Cambria" w:hAnsi="Cambria" w:cs="Cambria"/>
          <w:bCs/>
          <w:color w:val="000000"/>
          <w:sz w:val="22"/>
          <w:szCs w:val="22"/>
        </w:rPr>
      </w:pPr>
      <w:r w:rsidRPr="000605E2">
        <w:rPr>
          <w:rFonts w:ascii="Cambria" w:eastAsia="Cambria" w:hAnsi="Cambria" w:cs="Cambria"/>
          <w:bCs/>
          <w:color w:val="000000"/>
          <w:sz w:val="22"/>
          <w:szCs w:val="22"/>
        </w:rPr>
        <w:t>However, research on the use of technology in PBL often focuses on complex software or online platforms ( Anggraeni et al., 2023a; Hendarwati et al., 2021; Amin et al., 2021). Very few studies have explored the potential of PowerPoint as a simple yet effective platform for supporting PBL in mathematics education (Moradi &amp; Noor, 2022; Rahman et al., 2020; Chang et al., 2020). Therefore, there is a need for comprehensive research that examines how PBL-based PowerPoint game designs can enhance students' mathematical problem-solving skills ( Anggraeni et al., 2023b). This study aims to develop and evaluate a PowerPoint-based PBL game as a solution to improve students' mathematical problem-solving skills. The game is designed by integrating PBL principles, instructional design theories, and gamification elements to create a learning experience that is effective, engaging, and accessible across various educational contexts.</w:t>
      </w:r>
    </w:p>
    <w:p w14:paraId="3D25ED17" w14:textId="77777777" w:rsidR="00F62FC5" w:rsidRDefault="00F62FC5" w:rsidP="000605E2">
      <w:pPr>
        <w:spacing w:after="120"/>
        <w:rPr>
          <w:rFonts w:ascii="Cambria" w:eastAsia="Cambria" w:hAnsi="Cambria" w:cs="Cambria"/>
          <w:b/>
          <w:color w:val="000000"/>
        </w:rPr>
      </w:pPr>
    </w:p>
    <w:p w14:paraId="0A3E9761" w14:textId="29EB2638" w:rsidR="00B26540" w:rsidRDefault="005107AA">
      <w:pPr>
        <w:spacing w:after="120"/>
        <w:jc w:val="center"/>
        <w:rPr>
          <w:rFonts w:ascii="Cambria" w:eastAsia="Cambria" w:hAnsi="Cambria" w:cs="Cambria"/>
          <w:b/>
          <w:color w:val="000000"/>
        </w:rPr>
      </w:pPr>
      <w:r>
        <w:rPr>
          <w:rFonts w:ascii="Cambria" w:eastAsia="Cambria" w:hAnsi="Cambria" w:cs="Cambria"/>
          <w:b/>
          <w:color w:val="000000"/>
        </w:rPr>
        <w:t>METHOD</w:t>
      </w:r>
    </w:p>
    <w:p w14:paraId="5062ABE3" w14:textId="77777777" w:rsidR="001C2164" w:rsidRPr="001C2164" w:rsidRDefault="001C2164" w:rsidP="001C2164">
      <w:pPr>
        <w:ind w:firstLine="720"/>
        <w:jc w:val="both"/>
        <w:rPr>
          <w:rFonts w:ascii="Cambria" w:eastAsia="Cambria" w:hAnsi="Cambria" w:cs="Cambria"/>
          <w:bCs/>
          <w:sz w:val="22"/>
          <w:szCs w:val="22"/>
        </w:rPr>
      </w:pPr>
      <w:bookmarkStart w:id="2" w:name="_Hlk184137896"/>
      <w:r w:rsidRPr="001C2164">
        <w:rPr>
          <w:rFonts w:ascii="Cambria" w:eastAsia="Cambria" w:hAnsi="Cambria" w:cs="Cambria"/>
          <w:bCs/>
          <w:sz w:val="22"/>
          <w:szCs w:val="22"/>
        </w:rPr>
        <w:t>This study employs a research and development (R&amp;D) method using the ADDIE model approach (Analysis, Design, Development, Implementation, Evaluation). This model was chosen for its systematic nature and suitability for developing technology-based learning media. The media developed in this study is a PowerPoint-based game called " MathQuest ", designed to enhance students' mathematical problem-solving skills. The stages of the research methodology are illustrated in the following flowchart:</w:t>
      </w:r>
    </w:p>
    <w:p w14:paraId="74690C49" w14:textId="77777777" w:rsidR="001C2164" w:rsidRPr="001C2164" w:rsidRDefault="001C2164" w:rsidP="001C2164">
      <w:pPr>
        <w:ind w:firstLine="720"/>
        <w:jc w:val="center"/>
        <w:rPr>
          <w:rFonts w:ascii="Cambria" w:eastAsia="Cambria" w:hAnsi="Cambria" w:cs="Cambria"/>
          <w:bCs/>
          <w:sz w:val="22"/>
          <w:szCs w:val="22"/>
        </w:rPr>
      </w:pPr>
      <w:r w:rsidRPr="001C2164">
        <w:rPr>
          <w:rFonts w:ascii="Cambria" w:eastAsia="Cambria" w:hAnsi="Cambria" w:cs="Cambria"/>
          <w:bCs/>
          <w:noProof/>
          <w:sz w:val="22"/>
          <w:szCs w:val="22"/>
          <w:lang w:val="en-US" w:eastAsia="en-US"/>
        </w:rPr>
        <w:drawing>
          <wp:inline distT="0" distB="0" distL="0" distR="0" wp14:anchorId="471BE731" wp14:editId="148127E2">
            <wp:extent cx="2262187" cy="2262187"/>
            <wp:effectExtent l="0" t="0" r="5080" b="5080"/>
            <wp:docPr id="157508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88321" name="Picture 8121883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0720" cy="2270720"/>
                    </a:xfrm>
                    <a:prstGeom prst="rect">
                      <a:avLst/>
                    </a:prstGeom>
                  </pic:spPr>
                </pic:pic>
              </a:graphicData>
            </a:graphic>
          </wp:inline>
        </w:drawing>
      </w:r>
    </w:p>
    <w:p w14:paraId="7D095124" w14:textId="77777777" w:rsidR="001C2164" w:rsidRPr="001C2164" w:rsidRDefault="001C2164" w:rsidP="001C2164">
      <w:pPr>
        <w:ind w:firstLine="720"/>
        <w:jc w:val="center"/>
        <w:rPr>
          <w:rFonts w:ascii="Cambria" w:eastAsia="Cambria" w:hAnsi="Cambria" w:cs="Cambria"/>
          <w:bCs/>
          <w:sz w:val="22"/>
          <w:szCs w:val="22"/>
        </w:rPr>
      </w:pPr>
      <w:r w:rsidRPr="001C2164">
        <w:rPr>
          <w:rFonts w:ascii="Cambria" w:eastAsia="Cambria" w:hAnsi="Cambria" w:cs="Cambria"/>
          <w:b/>
          <w:sz w:val="22"/>
          <w:szCs w:val="22"/>
        </w:rPr>
        <w:t xml:space="preserve">Figure 1. </w:t>
      </w:r>
      <w:r w:rsidRPr="001C2164">
        <w:rPr>
          <w:rFonts w:ascii="Cambria" w:eastAsia="Cambria" w:hAnsi="Cambria" w:cs="Cambria"/>
          <w:bCs/>
          <w:sz w:val="22"/>
          <w:szCs w:val="22"/>
        </w:rPr>
        <w:t>Research Methodology Flowchart</w:t>
      </w:r>
    </w:p>
    <w:p w14:paraId="697ABF65" w14:textId="77777777" w:rsidR="001C2164" w:rsidRPr="001C2164" w:rsidRDefault="001C2164" w:rsidP="001C2164">
      <w:pPr>
        <w:ind w:firstLine="720"/>
        <w:jc w:val="both"/>
        <w:rPr>
          <w:rFonts w:ascii="Cambria" w:eastAsia="Cambria" w:hAnsi="Cambria" w:cs="Cambria"/>
          <w:bCs/>
          <w:sz w:val="22"/>
          <w:szCs w:val="22"/>
        </w:rPr>
      </w:pPr>
      <w:r w:rsidRPr="001C2164">
        <w:rPr>
          <w:rFonts w:ascii="Cambria" w:eastAsia="Cambria" w:hAnsi="Cambria" w:cs="Cambria"/>
          <w:bCs/>
          <w:sz w:val="22"/>
          <w:szCs w:val="22"/>
        </w:rPr>
        <w:t>The initial step in designing the game is conducting a needs analysis, which is a crucial phase in creating and developing an effective PBL-based PowerPoint game. This step provides an in-depth understanding of the specific challenges and needs faced by students and teachers in mathematics education. During this stage, data collection is carried out through surveys, which help identify the issues that need to be addressed and the features expected in the educational game. The results of the analysis will provide a solid foundation for creating a game that is not only relevant but also effective in enhancing students' mathematical problem-solving skills.</w:t>
      </w:r>
    </w:p>
    <w:p w14:paraId="250D867F" w14:textId="77777777" w:rsidR="001C2164" w:rsidRPr="001C2164" w:rsidRDefault="001C2164" w:rsidP="001C2164">
      <w:pPr>
        <w:ind w:firstLine="720"/>
        <w:jc w:val="both"/>
        <w:rPr>
          <w:rFonts w:ascii="Cambria" w:eastAsia="Cambria" w:hAnsi="Cambria" w:cs="Cambria"/>
          <w:bCs/>
          <w:sz w:val="22"/>
          <w:szCs w:val="22"/>
        </w:rPr>
      </w:pPr>
      <w:r w:rsidRPr="001C2164">
        <w:rPr>
          <w:rFonts w:ascii="Cambria" w:eastAsia="Cambria" w:hAnsi="Cambria" w:cs="Cambria"/>
          <w:bCs/>
          <w:sz w:val="22"/>
          <w:szCs w:val="22"/>
        </w:rPr>
        <w:t>After identifying the needs and challenges through the needs analysis, the next step is the design and prototype development phase. This phase is a critical stage in creating a PBL-based PowerPoint game designed to address the identified needs. During the design stage, PBL principles and instructional design theories are integrated to ensure that the developed game is not only engaging but also educational and aligned with the learning objectives. Interactive elements and gamification are incorporated to enhance student engagement and facilitate deeper learning. The prototype development involves creating an initial version of the game that can be tested and evaluated. This prototype is designed to represent the agreed-upon features and content, including case-based mathematical challenges, interactive feedback, and relevant gamification elements.</w:t>
      </w:r>
    </w:p>
    <w:p w14:paraId="12ED72D5" w14:textId="77777777" w:rsidR="001C2164" w:rsidRDefault="001C2164" w:rsidP="001C2164">
      <w:pPr>
        <w:ind w:firstLine="720"/>
        <w:jc w:val="both"/>
        <w:rPr>
          <w:rFonts w:ascii="Cambria" w:eastAsia="Cambria" w:hAnsi="Cambria" w:cs="Cambria"/>
          <w:bCs/>
          <w:sz w:val="22"/>
          <w:szCs w:val="22"/>
        </w:rPr>
      </w:pPr>
      <w:r w:rsidRPr="001C2164">
        <w:rPr>
          <w:rFonts w:ascii="Cambria" w:eastAsia="Cambria" w:hAnsi="Cambria" w:cs="Cambria"/>
          <w:bCs/>
          <w:sz w:val="22"/>
          <w:szCs w:val="22"/>
        </w:rPr>
        <w:t xml:space="preserve">After the prototype development is completed, the next stage is prototype validation to ensure the quality and effectiveness of the PBL-based PowerPoint game. Prototype validation is a crucial step in assessing the appropriateness of the content, media, and language used in the game. </w:t>
      </w:r>
      <w:r w:rsidRPr="001C2164">
        <w:rPr>
          <w:rFonts w:ascii="Cambria" w:eastAsia="Cambria" w:hAnsi="Cambria" w:cs="Cambria"/>
          <w:bCs/>
          <w:sz w:val="22"/>
          <w:szCs w:val="22"/>
        </w:rPr>
        <w:lastRenderedPageBreak/>
        <w:t>This process involves six experts: two content experts, two language experts, and two media experts. The content experts will evaluate the accuracy and relevance of the mathematical content, the language experts will ensure the clarity and appropriateness of the language used, and the media experts will assess the design and functionality of the media in the game. The goal of this validation process is to identify and address potential weaknesses before the game is tested with students, ensuring that the final product is not only engaging but also meets high educational standards. Interpretation of validation results is carried out using the following validity categories:</w:t>
      </w:r>
    </w:p>
    <w:p w14:paraId="582C5D4F" w14:textId="77777777" w:rsidR="001C2164" w:rsidRPr="001C2164" w:rsidRDefault="001C2164" w:rsidP="001C2164">
      <w:pPr>
        <w:ind w:firstLine="720"/>
        <w:jc w:val="both"/>
        <w:rPr>
          <w:rFonts w:ascii="Cambria" w:eastAsia="Cambria" w:hAnsi="Cambria" w:cs="Cambria"/>
          <w:bCs/>
          <w:sz w:val="22"/>
          <w:szCs w:val="22"/>
        </w:rPr>
      </w:pPr>
    </w:p>
    <w:p w14:paraId="3A5B0DCD" w14:textId="77777777" w:rsidR="001C2164" w:rsidRPr="001C2164" w:rsidRDefault="001C2164" w:rsidP="001C2164">
      <w:pPr>
        <w:ind w:firstLine="720"/>
        <w:jc w:val="center"/>
        <w:rPr>
          <w:rFonts w:ascii="Cambria" w:eastAsia="Cambria" w:hAnsi="Cambria" w:cs="Cambria"/>
          <w:b/>
          <w:bCs/>
          <w:sz w:val="22"/>
          <w:szCs w:val="22"/>
        </w:rPr>
      </w:pPr>
      <w:r w:rsidRPr="001C2164">
        <w:rPr>
          <w:rFonts w:ascii="Cambria" w:eastAsia="Cambria" w:hAnsi="Cambria" w:cs="Cambria"/>
          <w:b/>
          <w:bCs/>
          <w:sz w:val="22"/>
          <w:szCs w:val="22"/>
        </w:rPr>
        <w:t xml:space="preserve">Table 1. </w:t>
      </w:r>
      <w:r w:rsidRPr="001C2164">
        <w:rPr>
          <w:rFonts w:ascii="Cambria" w:eastAsia="Cambria" w:hAnsi="Cambria" w:cs="Cambria"/>
          <w:bCs/>
          <w:sz w:val="22"/>
          <w:szCs w:val="22"/>
        </w:rPr>
        <w:t>Validity Category Interpretation</w:t>
      </w:r>
    </w:p>
    <w:tbl>
      <w:tblPr>
        <w:tblStyle w:val="PlainTable2"/>
        <w:tblW w:w="0" w:type="auto"/>
        <w:jc w:val="center"/>
        <w:tblLook w:val="04A0" w:firstRow="1" w:lastRow="0" w:firstColumn="1" w:lastColumn="0" w:noHBand="0" w:noVBand="1"/>
      </w:tblPr>
      <w:tblGrid>
        <w:gridCol w:w="1795"/>
        <w:gridCol w:w="2430"/>
        <w:gridCol w:w="3425"/>
      </w:tblGrid>
      <w:tr w:rsidR="001C2164" w:rsidRPr="001C2164" w14:paraId="2B8E2CD9" w14:textId="77777777" w:rsidTr="000605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522D42B2" w14:textId="77777777" w:rsidR="001C2164" w:rsidRPr="001C2164" w:rsidRDefault="001C2164" w:rsidP="001C2164">
            <w:pPr>
              <w:jc w:val="center"/>
              <w:rPr>
                <w:rFonts w:ascii="Cambria" w:eastAsia="Cambria" w:hAnsi="Cambria" w:cs="Cambria"/>
                <w:bCs w:val="0"/>
                <w:sz w:val="22"/>
                <w:szCs w:val="22"/>
              </w:rPr>
            </w:pPr>
            <w:r w:rsidRPr="001C2164">
              <w:rPr>
                <w:rFonts w:ascii="Cambria" w:eastAsia="Cambria" w:hAnsi="Cambria" w:cs="Cambria"/>
                <w:bCs w:val="0"/>
                <w:sz w:val="22"/>
                <w:szCs w:val="22"/>
              </w:rPr>
              <w:t>Score Range</w:t>
            </w:r>
          </w:p>
        </w:tc>
        <w:tc>
          <w:tcPr>
            <w:tcW w:w="2430" w:type="dxa"/>
          </w:tcPr>
          <w:p w14:paraId="2D647C9C" w14:textId="77777777" w:rsidR="001C2164" w:rsidRPr="001C2164" w:rsidRDefault="001C2164" w:rsidP="001C2164">
            <w:pPr>
              <w:jc w:val="center"/>
              <w:cnfStyle w:val="100000000000" w:firstRow="1" w:lastRow="0" w:firstColumn="0" w:lastColumn="0" w:oddVBand="0" w:evenVBand="0" w:oddHBand="0" w:evenHBand="0" w:firstRowFirstColumn="0" w:firstRowLastColumn="0" w:lastRowFirstColumn="0" w:lastRowLastColumn="0"/>
              <w:rPr>
                <w:rFonts w:ascii="Cambria" w:eastAsia="Cambria" w:hAnsi="Cambria" w:cs="Cambria"/>
                <w:bCs w:val="0"/>
                <w:sz w:val="22"/>
                <w:szCs w:val="22"/>
              </w:rPr>
            </w:pPr>
            <w:r w:rsidRPr="001C2164">
              <w:rPr>
                <w:rFonts w:ascii="Cambria" w:eastAsia="Cambria" w:hAnsi="Cambria" w:cs="Cambria"/>
                <w:bCs w:val="0"/>
                <w:sz w:val="22"/>
                <w:szCs w:val="22"/>
              </w:rPr>
              <w:t>Validity Category</w:t>
            </w:r>
          </w:p>
        </w:tc>
        <w:tc>
          <w:tcPr>
            <w:tcW w:w="3425" w:type="dxa"/>
          </w:tcPr>
          <w:p w14:paraId="030D2D44" w14:textId="77777777" w:rsidR="001C2164" w:rsidRPr="001C2164" w:rsidRDefault="001C2164" w:rsidP="000605E2">
            <w:pPr>
              <w:ind w:firstLine="720"/>
              <w:cnfStyle w:val="100000000000" w:firstRow="1" w:lastRow="0" w:firstColumn="0" w:lastColumn="0" w:oddVBand="0" w:evenVBand="0" w:oddHBand="0" w:evenHBand="0" w:firstRowFirstColumn="0" w:firstRowLastColumn="0" w:lastRowFirstColumn="0" w:lastRowLastColumn="0"/>
              <w:rPr>
                <w:rFonts w:ascii="Cambria" w:eastAsia="Cambria" w:hAnsi="Cambria" w:cs="Cambria"/>
                <w:bCs w:val="0"/>
                <w:sz w:val="22"/>
                <w:szCs w:val="22"/>
              </w:rPr>
            </w:pPr>
            <w:r w:rsidRPr="001C2164">
              <w:rPr>
                <w:rFonts w:ascii="Cambria" w:eastAsia="Cambria" w:hAnsi="Cambria" w:cs="Cambria"/>
                <w:bCs w:val="0"/>
                <w:sz w:val="22"/>
                <w:szCs w:val="22"/>
              </w:rPr>
              <w:t>Interpretation</w:t>
            </w:r>
          </w:p>
        </w:tc>
      </w:tr>
      <w:tr w:rsidR="001C2164" w:rsidRPr="001C2164" w14:paraId="104B5940" w14:textId="77777777" w:rsidTr="00060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085B3B95" w14:textId="77777777" w:rsidR="001C2164" w:rsidRPr="001C2164" w:rsidRDefault="001C2164" w:rsidP="001C2164">
            <w:pPr>
              <w:jc w:val="center"/>
              <w:rPr>
                <w:rFonts w:ascii="Cambria" w:eastAsia="Cambria" w:hAnsi="Cambria" w:cs="Cambria"/>
                <w:b w:val="0"/>
                <w:sz w:val="22"/>
                <w:szCs w:val="22"/>
              </w:rPr>
            </w:pPr>
            <w:r w:rsidRPr="001C2164">
              <w:rPr>
                <w:rFonts w:ascii="Cambria" w:eastAsia="Cambria" w:hAnsi="Cambria" w:cs="Cambria"/>
                <w:b w:val="0"/>
                <w:sz w:val="22"/>
                <w:szCs w:val="22"/>
              </w:rPr>
              <w:t>85% – 100%</w:t>
            </w:r>
          </w:p>
        </w:tc>
        <w:tc>
          <w:tcPr>
            <w:tcW w:w="2430" w:type="dxa"/>
          </w:tcPr>
          <w:p w14:paraId="2F0976D5" w14:textId="77777777" w:rsidR="001C2164" w:rsidRPr="001C2164" w:rsidRDefault="001C2164" w:rsidP="001C2164">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bCs/>
                <w:sz w:val="22"/>
                <w:szCs w:val="22"/>
              </w:rPr>
            </w:pPr>
            <w:r w:rsidRPr="001C2164">
              <w:rPr>
                <w:rFonts w:ascii="Cambria" w:eastAsia="Cambria" w:hAnsi="Cambria" w:cs="Cambria"/>
                <w:bCs/>
                <w:sz w:val="22"/>
                <w:szCs w:val="22"/>
              </w:rPr>
              <w:t>Very Valid</w:t>
            </w:r>
          </w:p>
        </w:tc>
        <w:tc>
          <w:tcPr>
            <w:tcW w:w="3425" w:type="dxa"/>
          </w:tcPr>
          <w:p w14:paraId="19208998" w14:textId="77777777" w:rsidR="001C2164" w:rsidRPr="001C2164" w:rsidRDefault="001C2164" w:rsidP="001C2164">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Cs/>
                <w:sz w:val="22"/>
                <w:szCs w:val="22"/>
              </w:rPr>
            </w:pPr>
            <w:r w:rsidRPr="001C2164">
              <w:rPr>
                <w:rFonts w:ascii="Cambria" w:eastAsia="Cambria" w:hAnsi="Cambria" w:cs="Cambria"/>
                <w:bCs/>
                <w:sz w:val="22"/>
                <w:szCs w:val="22"/>
              </w:rPr>
              <w:t>Can be used without revision</w:t>
            </w:r>
          </w:p>
        </w:tc>
      </w:tr>
      <w:tr w:rsidR="001C2164" w:rsidRPr="001C2164" w14:paraId="07E2CDD9" w14:textId="77777777" w:rsidTr="000605E2">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35AB953D" w14:textId="77777777" w:rsidR="001C2164" w:rsidRPr="001C2164" w:rsidRDefault="001C2164" w:rsidP="001C2164">
            <w:pPr>
              <w:jc w:val="center"/>
              <w:rPr>
                <w:rFonts w:ascii="Cambria" w:eastAsia="Cambria" w:hAnsi="Cambria" w:cs="Cambria"/>
                <w:b w:val="0"/>
                <w:sz w:val="22"/>
                <w:szCs w:val="22"/>
              </w:rPr>
            </w:pPr>
            <w:r w:rsidRPr="001C2164">
              <w:rPr>
                <w:rFonts w:ascii="Cambria" w:eastAsia="Cambria" w:hAnsi="Cambria" w:cs="Cambria"/>
                <w:b w:val="0"/>
                <w:sz w:val="22"/>
                <w:szCs w:val="22"/>
              </w:rPr>
              <w:t>70% – 84%</w:t>
            </w:r>
          </w:p>
        </w:tc>
        <w:tc>
          <w:tcPr>
            <w:tcW w:w="2430" w:type="dxa"/>
          </w:tcPr>
          <w:p w14:paraId="1289065A" w14:textId="77777777" w:rsidR="001C2164" w:rsidRPr="001C2164" w:rsidRDefault="001C2164" w:rsidP="001C2164">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bCs/>
                <w:sz w:val="22"/>
                <w:szCs w:val="22"/>
              </w:rPr>
            </w:pPr>
            <w:r w:rsidRPr="001C2164">
              <w:rPr>
                <w:rFonts w:ascii="Cambria" w:eastAsia="Cambria" w:hAnsi="Cambria" w:cs="Cambria"/>
                <w:bCs/>
                <w:sz w:val="22"/>
                <w:szCs w:val="22"/>
              </w:rPr>
              <w:t>Valid</w:t>
            </w:r>
          </w:p>
        </w:tc>
        <w:tc>
          <w:tcPr>
            <w:tcW w:w="3425" w:type="dxa"/>
          </w:tcPr>
          <w:p w14:paraId="2DC55F39" w14:textId="77777777" w:rsidR="001C2164" w:rsidRPr="001C2164" w:rsidRDefault="001C2164" w:rsidP="001C2164">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bCs/>
                <w:sz w:val="22"/>
                <w:szCs w:val="22"/>
              </w:rPr>
            </w:pPr>
            <w:r w:rsidRPr="001C2164">
              <w:rPr>
                <w:rFonts w:ascii="Cambria" w:eastAsia="Cambria" w:hAnsi="Cambria" w:cs="Cambria"/>
                <w:bCs/>
                <w:sz w:val="22"/>
                <w:szCs w:val="22"/>
              </w:rPr>
              <w:t>Can be used with minor revisions</w:t>
            </w:r>
          </w:p>
        </w:tc>
      </w:tr>
      <w:tr w:rsidR="001C2164" w:rsidRPr="001C2164" w14:paraId="51BC1C6E" w14:textId="77777777" w:rsidTr="000605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5" w:type="dxa"/>
          </w:tcPr>
          <w:p w14:paraId="22FFC3E4" w14:textId="77777777" w:rsidR="001C2164" w:rsidRPr="001C2164" w:rsidRDefault="001C2164" w:rsidP="001C2164">
            <w:pPr>
              <w:jc w:val="center"/>
              <w:rPr>
                <w:rFonts w:ascii="Cambria" w:eastAsia="Cambria" w:hAnsi="Cambria" w:cs="Cambria"/>
                <w:b w:val="0"/>
                <w:sz w:val="22"/>
                <w:szCs w:val="22"/>
              </w:rPr>
            </w:pPr>
            <w:r w:rsidRPr="001C2164">
              <w:rPr>
                <w:rFonts w:ascii="Cambria" w:eastAsia="Cambria" w:hAnsi="Cambria" w:cs="Cambria"/>
                <w:b w:val="0"/>
                <w:sz w:val="22"/>
                <w:szCs w:val="22"/>
              </w:rPr>
              <w:t>50% – 69%</w:t>
            </w:r>
          </w:p>
        </w:tc>
        <w:tc>
          <w:tcPr>
            <w:tcW w:w="2430" w:type="dxa"/>
          </w:tcPr>
          <w:p w14:paraId="490AD54C" w14:textId="77777777" w:rsidR="001C2164" w:rsidRPr="001C2164" w:rsidRDefault="001C2164" w:rsidP="001C2164">
            <w:pPr>
              <w:jc w:val="center"/>
              <w:cnfStyle w:val="000000100000" w:firstRow="0" w:lastRow="0" w:firstColumn="0" w:lastColumn="0" w:oddVBand="0" w:evenVBand="0" w:oddHBand="1" w:evenHBand="0" w:firstRowFirstColumn="0" w:firstRowLastColumn="0" w:lastRowFirstColumn="0" w:lastRowLastColumn="0"/>
              <w:rPr>
                <w:rFonts w:ascii="Cambria" w:eastAsia="Cambria" w:hAnsi="Cambria" w:cs="Cambria"/>
                <w:bCs/>
                <w:sz w:val="22"/>
                <w:szCs w:val="22"/>
              </w:rPr>
            </w:pPr>
            <w:r w:rsidRPr="001C2164">
              <w:rPr>
                <w:rFonts w:ascii="Cambria" w:eastAsia="Cambria" w:hAnsi="Cambria" w:cs="Cambria"/>
                <w:bCs/>
                <w:sz w:val="22"/>
                <w:szCs w:val="22"/>
              </w:rPr>
              <w:t>Less Valid</w:t>
            </w:r>
          </w:p>
        </w:tc>
        <w:tc>
          <w:tcPr>
            <w:tcW w:w="3425" w:type="dxa"/>
          </w:tcPr>
          <w:p w14:paraId="3FA5ABC9" w14:textId="77777777" w:rsidR="001C2164" w:rsidRPr="001C2164" w:rsidRDefault="001C2164" w:rsidP="001C2164">
            <w:pPr>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bCs/>
                <w:sz w:val="22"/>
                <w:szCs w:val="22"/>
              </w:rPr>
            </w:pPr>
            <w:r w:rsidRPr="001C2164">
              <w:rPr>
                <w:rFonts w:ascii="Cambria" w:eastAsia="Cambria" w:hAnsi="Cambria" w:cs="Cambria"/>
                <w:bCs/>
                <w:sz w:val="22"/>
                <w:szCs w:val="22"/>
              </w:rPr>
              <w:t>Requires major revisions</w:t>
            </w:r>
          </w:p>
        </w:tc>
      </w:tr>
      <w:tr w:rsidR="001C2164" w:rsidRPr="001C2164" w14:paraId="26509ED1" w14:textId="77777777" w:rsidTr="000605E2">
        <w:trPr>
          <w:jc w:val="center"/>
        </w:trPr>
        <w:tc>
          <w:tcPr>
            <w:cnfStyle w:val="001000000000" w:firstRow="0" w:lastRow="0" w:firstColumn="1" w:lastColumn="0" w:oddVBand="0" w:evenVBand="0" w:oddHBand="0" w:evenHBand="0" w:firstRowFirstColumn="0" w:firstRowLastColumn="0" w:lastRowFirstColumn="0" w:lastRowLastColumn="0"/>
            <w:tcW w:w="1795" w:type="dxa"/>
          </w:tcPr>
          <w:p w14:paraId="389B7CB5" w14:textId="6C0A1B19" w:rsidR="001C2164" w:rsidRPr="001C2164" w:rsidRDefault="001C2164" w:rsidP="001C2164">
            <w:pPr>
              <w:jc w:val="center"/>
              <w:rPr>
                <w:rFonts w:ascii="Cambria" w:eastAsia="Cambria" w:hAnsi="Cambria" w:cs="Cambria"/>
                <w:b w:val="0"/>
                <w:sz w:val="22"/>
                <w:szCs w:val="22"/>
              </w:rPr>
            </w:pPr>
            <w:r w:rsidRPr="001C2164">
              <w:rPr>
                <w:rFonts w:ascii="Cambria" w:eastAsia="Cambria" w:hAnsi="Cambria" w:cs="Cambria"/>
                <w:b w:val="0"/>
                <w:sz w:val="22"/>
                <w:szCs w:val="22"/>
              </w:rPr>
              <w:t>0% – 49%</w:t>
            </w:r>
          </w:p>
        </w:tc>
        <w:tc>
          <w:tcPr>
            <w:tcW w:w="2430" w:type="dxa"/>
          </w:tcPr>
          <w:p w14:paraId="400BEFF0" w14:textId="77777777" w:rsidR="001C2164" w:rsidRPr="001C2164" w:rsidRDefault="001C2164" w:rsidP="001C2164">
            <w:pPr>
              <w:jc w:val="center"/>
              <w:cnfStyle w:val="000000000000" w:firstRow="0" w:lastRow="0" w:firstColumn="0" w:lastColumn="0" w:oddVBand="0" w:evenVBand="0" w:oddHBand="0" w:evenHBand="0" w:firstRowFirstColumn="0" w:firstRowLastColumn="0" w:lastRowFirstColumn="0" w:lastRowLastColumn="0"/>
              <w:rPr>
                <w:rFonts w:ascii="Cambria" w:eastAsia="Cambria" w:hAnsi="Cambria" w:cs="Cambria"/>
                <w:bCs/>
                <w:sz w:val="22"/>
                <w:szCs w:val="22"/>
              </w:rPr>
            </w:pPr>
            <w:r w:rsidRPr="001C2164">
              <w:rPr>
                <w:rFonts w:ascii="Cambria" w:eastAsia="Cambria" w:hAnsi="Cambria" w:cs="Cambria"/>
                <w:bCs/>
                <w:sz w:val="22"/>
                <w:szCs w:val="22"/>
              </w:rPr>
              <w:t>Not Valid</w:t>
            </w:r>
          </w:p>
        </w:tc>
        <w:tc>
          <w:tcPr>
            <w:tcW w:w="3425" w:type="dxa"/>
          </w:tcPr>
          <w:p w14:paraId="2500AF45" w14:textId="77777777" w:rsidR="001C2164" w:rsidRPr="001C2164" w:rsidRDefault="001C2164" w:rsidP="001C2164">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bCs/>
                <w:sz w:val="22"/>
                <w:szCs w:val="22"/>
              </w:rPr>
            </w:pPr>
            <w:r w:rsidRPr="001C2164">
              <w:rPr>
                <w:rFonts w:ascii="Cambria" w:eastAsia="Cambria" w:hAnsi="Cambria" w:cs="Cambria"/>
                <w:bCs/>
                <w:sz w:val="22"/>
                <w:szCs w:val="22"/>
              </w:rPr>
              <w:t>Not suitable for use</w:t>
            </w:r>
          </w:p>
        </w:tc>
      </w:tr>
    </w:tbl>
    <w:p w14:paraId="7DE98CF7" w14:textId="77777777" w:rsidR="001C2164" w:rsidRPr="001C2164" w:rsidRDefault="001C2164" w:rsidP="001C2164">
      <w:pPr>
        <w:ind w:firstLine="720"/>
        <w:jc w:val="both"/>
        <w:rPr>
          <w:rFonts w:ascii="Cambria" w:eastAsia="Cambria" w:hAnsi="Cambria" w:cs="Cambria"/>
          <w:bCs/>
          <w:sz w:val="22"/>
          <w:szCs w:val="22"/>
        </w:rPr>
      </w:pPr>
    </w:p>
    <w:p w14:paraId="03D1E628" w14:textId="77777777" w:rsidR="001C2164" w:rsidRPr="001C2164" w:rsidRDefault="001C2164" w:rsidP="001C2164">
      <w:pPr>
        <w:ind w:firstLine="720"/>
        <w:jc w:val="both"/>
        <w:rPr>
          <w:rFonts w:ascii="Cambria" w:eastAsia="Cambria" w:hAnsi="Cambria" w:cs="Cambria"/>
          <w:bCs/>
          <w:sz w:val="22"/>
          <w:szCs w:val="22"/>
        </w:rPr>
      </w:pPr>
      <w:r w:rsidRPr="001C2164">
        <w:rPr>
          <w:rFonts w:ascii="Cambria" w:eastAsia="Cambria" w:hAnsi="Cambria" w:cs="Cambria"/>
          <w:bCs/>
          <w:sz w:val="22"/>
          <w:szCs w:val="22"/>
        </w:rPr>
        <w:t>In the evaluation stage, students' responses to the use of the PBL-based PowerPoint game in the mathematics learning process are measured. The focus of this evaluation is to gather direct feedback from students regarding their experience with the PowerPoint game and to assess the extent to which the game influences their perceptions and responses to the material being taught. This evaluation will involve 33 tenth-grade high school students. The instrument used at this stage is a student response questionnaire, designed to collect information about their experience with the PowerPoint game. Students will be asked to provide feedback on aspects such as engagement, ease of use, and the game's effect on their understanding of the material. The goal of this questionnaire is to assess the extent to which the PowerPoint game is accepted and perceived as beneficial by students in the context of their learning.</w:t>
      </w:r>
    </w:p>
    <w:p w14:paraId="26773AEA" w14:textId="77777777" w:rsidR="001C2164" w:rsidRPr="001C2164" w:rsidRDefault="001C2164" w:rsidP="001C2164">
      <w:pPr>
        <w:ind w:firstLine="720"/>
        <w:jc w:val="both"/>
        <w:rPr>
          <w:rFonts w:ascii="Cambria" w:eastAsia="Cambria" w:hAnsi="Cambria" w:cs="Cambria"/>
          <w:bCs/>
          <w:sz w:val="22"/>
          <w:szCs w:val="22"/>
        </w:rPr>
      </w:pPr>
      <w:r w:rsidRPr="001C2164">
        <w:rPr>
          <w:rFonts w:ascii="Cambria" w:eastAsia="Cambria" w:hAnsi="Cambria" w:cs="Cambria"/>
          <w:bCs/>
          <w:sz w:val="22"/>
          <w:szCs w:val="22"/>
        </w:rPr>
        <w:t>In this study, data analysis was conducted using descriptive statistical and qualitative analysis techniques in two main stages: expert validation and student response evaluation. For expert validation, the average scores for each aspect (language, content, and media) were calculated and interpreted using the validity category interpretation table (Table 1). Aspects with low scores were analyzed qualitatively to identify areas needing improvement, and revisions were made based on expert feedback to improve overall quality. For student responses, the average scores from the questionnaires were calculated to evaluate engagement, ease of use, and the game's impact on understanding mathematical concepts. These scores were also interpreted using the validity categories to assess the practicality and effectiveness of the game. Additionally, qualitative feedback from students was analyzed to gain deeper insights into their experiences and suggestions for improvement, providing a comprehensive evaluation of the media's validity, practicality, and effectiveness.</w:t>
      </w:r>
    </w:p>
    <w:p w14:paraId="03E3A741" w14:textId="13A231F1" w:rsidR="00B26540" w:rsidRDefault="00B26540" w:rsidP="00284CD2">
      <w:pPr>
        <w:ind w:firstLine="720"/>
        <w:jc w:val="both"/>
        <w:rPr>
          <w:rFonts w:ascii="Cambria" w:eastAsia="Cambria" w:hAnsi="Cambria" w:cs="Cambria"/>
          <w:bCs/>
          <w:sz w:val="22"/>
          <w:szCs w:val="22"/>
        </w:rPr>
      </w:pPr>
    </w:p>
    <w:bookmarkEnd w:id="2"/>
    <w:p w14:paraId="3C43976C" w14:textId="77777777" w:rsidR="009B3F22" w:rsidRDefault="009B3F22">
      <w:pPr>
        <w:jc w:val="both"/>
        <w:rPr>
          <w:rFonts w:ascii="Cambria" w:eastAsia="Cambria" w:hAnsi="Cambria" w:cs="Cambria"/>
          <w:sz w:val="22"/>
          <w:szCs w:val="22"/>
        </w:rPr>
      </w:pPr>
    </w:p>
    <w:p w14:paraId="4F9409BB" w14:textId="77777777" w:rsidR="00B26540" w:rsidRDefault="005107AA">
      <w:pPr>
        <w:spacing w:after="120"/>
        <w:jc w:val="center"/>
        <w:rPr>
          <w:rFonts w:ascii="Cambria" w:eastAsia="Cambria" w:hAnsi="Cambria" w:cs="Cambria"/>
          <w:b/>
          <w:color w:val="000000"/>
          <w:sz w:val="22"/>
          <w:szCs w:val="22"/>
        </w:rPr>
      </w:pPr>
      <w:r>
        <w:rPr>
          <w:rFonts w:ascii="Cambria" w:eastAsia="Cambria" w:hAnsi="Cambria" w:cs="Cambria"/>
          <w:b/>
          <w:color w:val="000000"/>
          <w:sz w:val="22"/>
          <w:szCs w:val="22"/>
        </w:rPr>
        <w:t>RESULTS AND DISCUSSION</w:t>
      </w:r>
    </w:p>
    <w:p w14:paraId="5B406B84" w14:textId="77777777" w:rsidR="009B3F22" w:rsidRDefault="009B3F22">
      <w:pPr>
        <w:spacing w:after="120"/>
        <w:jc w:val="center"/>
        <w:rPr>
          <w:rFonts w:ascii="Cambria" w:eastAsia="Cambria" w:hAnsi="Cambria" w:cs="Cambria"/>
          <w:b/>
          <w:color w:val="000000"/>
          <w:sz w:val="22"/>
          <w:szCs w:val="22"/>
        </w:rPr>
      </w:pPr>
    </w:p>
    <w:p w14:paraId="108B330D" w14:textId="7691B459" w:rsidR="00F62FC5" w:rsidRDefault="009B3F22" w:rsidP="00F62FC5">
      <w:pPr>
        <w:ind w:firstLine="720"/>
        <w:jc w:val="both"/>
        <w:rPr>
          <w:rFonts w:ascii="Cambria" w:eastAsia="Cambria" w:hAnsi="Cambria" w:cs="Cambria"/>
          <w:bCs/>
          <w:sz w:val="22"/>
          <w:szCs w:val="22"/>
        </w:rPr>
      </w:pPr>
      <w:r w:rsidRPr="009B3F22">
        <w:rPr>
          <w:rFonts w:ascii="Cambria" w:eastAsia="Cambria" w:hAnsi="Cambria" w:cs="Cambria"/>
          <w:bCs/>
          <w:sz w:val="22"/>
          <w:szCs w:val="22"/>
        </w:rPr>
        <w:t>The survey results conducted with 33 students revealed several key findings regarding their needs and expectations in mathematics learning. Refer to the following table:</w:t>
      </w:r>
    </w:p>
    <w:p w14:paraId="2248380E" w14:textId="77777777" w:rsidR="009B3F22" w:rsidRPr="00F62FC5" w:rsidRDefault="009B3F22" w:rsidP="00F62FC5">
      <w:pPr>
        <w:ind w:firstLine="720"/>
        <w:jc w:val="both"/>
        <w:rPr>
          <w:rFonts w:ascii="Cambria" w:eastAsia="Cambria" w:hAnsi="Cambria" w:cs="Cambria"/>
          <w:bCs/>
          <w:sz w:val="22"/>
          <w:szCs w:val="22"/>
        </w:rPr>
      </w:pPr>
    </w:p>
    <w:p w14:paraId="47322661" w14:textId="6CEFB39F" w:rsidR="00F62FC5" w:rsidRPr="00F62FC5" w:rsidRDefault="00284CD2" w:rsidP="00F62FC5">
      <w:pPr>
        <w:jc w:val="center"/>
        <w:rPr>
          <w:rFonts w:ascii="Cambria" w:eastAsia="Cambria" w:hAnsi="Cambria" w:cs="Cambria"/>
          <w:bCs/>
          <w:sz w:val="22"/>
          <w:szCs w:val="22"/>
        </w:rPr>
      </w:pPr>
      <w:r w:rsidRPr="00284CD2">
        <w:rPr>
          <w:rFonts w:ascii="Cambria" w:eastAsia="Cambria" w:hAnsi="Cambria" w:cs="Cambria"/>
          <w:b/>
          <w:sz w:val="22"/>
          <w:szCs w:val="22"/>
        </w:rPr>
        <w:t xml:space="preserve">Table 2. </w:t>
      </w:r>
      <w:r w:rsidRPr="00284CD2">
        <w:rPr>
          <w:rFonts w:ascii="Cambria" w:eastAsia="Cambria" w:hAnsi="Cambria" w:cs="Cambria"/>
          <w:bCs/>
          <w:sz w:val="22"/>
          <w:szCs w:val="22"/>
        </w:rPr>
        <w:t xml:space="preserve">Results of student needs analysis for PBL-based </w:t>
      </w:r>
      <w:r>
        <w:rPr>
          <w:rFonts w:ascii="Cambria" w:eastAsia="Cambria" w:hAnsi="Cambria" w:cs="Cambria"/>
          <w:bCs/>
          <w:sz w:val="22"/>
          <w:szCs w:val="22"/>
        </w:rPr>
        <w:t xml:space="preserve">Powerpoint </w:t>
      </w:r>
      <w:r w:rsidRPr="00284CD2">
        <w:rPr>
          <w:rFonts w:ascii="Cambria" w:eastAsia="Cambria" w:hAnsi="Cambria" w:cs="Cambria"/>
          <w:bCs/>
          <w:sz w:val="22"/>
          <w:szCs w:val="22"/>
        </w:rPr>
        <w:t>Games</w:t>
      </w:r>
    </w:p>
    <w:tbl>
      <w:tblPr>
        <w:tblStyle w:val="TableGrid"/>
        <w:tblW w:w="0" w:type="auto"/>
        <w:tblLook w:val="04A0" w:firstRow="1" w:lastRow="0" w:firstColumn="1" w:lastColumn="0" w:noHBand="0" w:noVBand="1"/>
      </w:tblPr>
      <w:tblGrid>
        <w:gridCol w:w="2492"/>
        <w:gridCol w:w="1352"/>
        <w:gridCol w:w="5509"/>
      </w:tblGrid>
      <w:tr w:rsidR="00F62FC5" w:rsidRPr="00F62FC5" w14:paraId="1D2E2BC2" w14:textId="77777777" w:rsidTr="00EE7E7C">
        <w:tc>
          <w:tcPr>
            <w:tcW w:w="2520" w:type="dxa"/>
            <w:tcBorders>
              <w:left w:val="nil"/>
              <w:right w:val="nil"/>
            </w:tcBorders>
          </w:tcPr>
          <w:p w14:paraId="69F73AF7" w14:textId="70147A03" w:rsidR="00F62FC5" w:rsidRPr="00284CD2" w:rsidRDefault="00284CD2" w:rsidP="00284CD2">
            <w:pPr>
              <w:jc w:val="center"/>
              <w:rPr>
                <w:rFonts w:ascii="Cambria" w:eastAsia="Cambria" w:hAnsi="Cambria" w:cs="Cambria"/>
                <w:b/>
                <w:sz w:val="22"/>
                <w:szCs w:val="22"/>
              </w:rPr>
            </w:pPr>
            <w:r w:rsidRPr="00284CD2">
              <w:rPr>
                <w:rFonts w:ascii="Cambria" w:eastAsia="Cambria" w:hAnsi="Cambria" w:cs="Cambria"/>
                <w:b/>
                <w:sz w:val="22"/>
                <w:szCs w:val="22"/>
              </w:rPr>
              <w:t>Aspect</w:t>
            </w:r>
          </w:p>
        </w:tc>
        <w:tc>
          <w:tcPr>
            <w:tcW w:w="1212" w:type="dxa"/>
            <w:tcBorders>
              <w:left w:val="nil"/>
              <w:right w:val="nil"/>
            </w:tcBorders>
          </w:tcPr>
          <w:p w14:paraId="4C9E0CDE" w14:textId="189D7CC2" w:rsidR="00F62FC5" w:rsidRPr="00284CD2" w:rsidRDefault="00284CD2" w:rsidP="00284CD2">
            <w:pPr>
              <w:jc w:val="center"/>
              <w:rPr>
                <w:rFonts w:ascii="Cambria" w:eastAsia="Cambria" w:hAnsi="Cambria" w:cs="Cambria"/>
                <w:b/>
                <w:sz w:val="22"/>
                <w:szCs w:val="22"/>
              </w:rPr>
            </w:pPr>
            <w:r w:rsidRPr="00284CD2">
              <w:rPr>
                <w:rFonts w:ascii="Cambria" w:eastAsia="Cambria" w:hAnsi="Cambria" w:cs="Cambria"/>
                <w:b/>
                <w:sz w:val="22"/>
                <w:szCs w:val="22"/>
              </w:rPr>
              <w:t>Percentage</w:t>
            </w:r>
          </w:p>
        </w:tc>
        <w:tc>
          <w:tcPr>
            <w:tcW w:w="5628" w:type="dxa"/>
            <w:tcBorders>
              <w:left w:val="nil"/>
              <w:right w:val="nil"/>
            </w:tcBorders>
          </w:tcPr>
          <w:p w14:paraId="66607324" w14:textId="57C039B5" w:rsidR="00F62FC5" w:rsidRPr="00284CD2" w:rsidRDefault="00284CD2" w:rsidP="00284CD2">
            <w:pPr>
              <w:jc w:val="center"/>
              <w:rPr>
                <w:rFonts w:ascii="Cambria" w:eastAsia="Cambria" w:hAnsi="Cambria" w:cs="Cambria"/>
                <w:b/>
                <w:sz w:val="22"/>
                <w:szCs w:val="22"/>
              </w:rPr>
            </w:pPr>
            <w:r w:rsidRPr="00284CD2">
              <w:rPr>
                <w:rFonts w:ascii="Cambria" w:eastAsia="Cambria" w:hAnsi="Cambria" w:cs="Cambria"/>
                <w:b/>
                <w:sz w:val="22"/>
                <w:szCs w:val="22"/>
              </w:rPr>
              <w:t>Analysis results</w:t>
            </w:r>
          </w:p>
        </w:tc>
      </w:tr>
      <w:tr w:rsidR="00F62FC5" w:rsidRPr="00F62FC5" w14:paraId="457189E5" w14:textId="77777777" w:rsidTr="00EE7E7C">
        <w:tc>
          <w:tcPr>
            <w:tcW w:w="2520" w:type="dxa"/>
            <w:tcBorders>
              <w:left w:val="nil"/>
              <w:right w:val="nil"/>
            </w:tcBorders>
          </w:tcPr>
          <w:p w14:paraId="0F5178BD" w14:textId="2BE22721"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Difficulty in understanding mathematical materials</w:t>
            </w:r>
          </w:p>
        </w:tc>
        <w:tc>
          <w:tcPr>
            <w:tcW w:w="1212" w:type="dxa"/>
            <w:tcBorders>
              <w:left w:val="nil"/>
              <w:right w:val="nil"/>
            </w:tcBorders>
          </w:tcPr>
          <w:p w14:paraId="4391942C"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75.8%</w:t>
            </w:r>
          </w:p>
        </w:tc>
        <w:tc>
          <w:tcPr>
            <w:tcW w:w="5628" w:type="dxa"/>
            <w:tcBorders>
              <w:left w:val="nil"/>
              <w:right w:val="nil"/>
            </w:tcBorders>
          </w:tcPr>
          <w:p w14:paraId="42EE2796" w14:textId="13C3982A"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Most students had difficulty, indicating a need for more understandable and interactive materials.</w:t>
            </w:r>
          </w:p>
        </w:tc>
      </w:tr>
      <w:tr w:rsidR="00F62FC5" w:rsidRPr="00F62FC5" w14:paraId="2FEF151F" w14:textId="77777777" w:rsidTr="00EE7E7C">
        <w:tc>
          <w:tcPr>
            <w:tcW w:w="2520" w:type="dxa"/>
            <w:tcBorders>
              <w:left w:val="nil"/>
              <w:right w:val="nil"/>
            </w:tcBorders>
          </w:tcPr>
          <w:p w14:paraId="2FC3FF51" w14:textId="37FFAA3C"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The most difficult topic to understand is algebra</w:t>
            </w:r>
          </w:p>
        </w:tc>
        <w:tc>
          <w:tcPr>
            <w:tcW w:w="1212" w:type="dxa"/>
            <w:tcBorders>
              <w:left w:val="nil"/>
              <w:right w:val="nil"/>
            </w:tcBorders>
          </w:tcPr>
          <w:p w14:paraId="0D269A33"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57%</w:t>
            </w:r>
          </w:p>
        </w:tc>
        <w:tc>
          <w:tcPr>
            <w:tcW w:w="5628" w:type="dxa"/>
            <w:tcBorders>
              <w:left w:val="nil"/>
              <w:right w:val="nil"/>
            </w:tcBorders>
          </w:tcPr>
          <w:p w14:paraId="1CF64CDA" w14:textId="5AD9248D"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Algebra is the most difficult topic for students to understand, making it a priority for educational game development. Therefore, arithmetic sequences and series were chosen as a form of algebra application.</w:t>
            </w:r>
          </w:p>
        </w:tc>
      </w:tr>
      <w:tr w:rsidR="00F62FC5" w:rsidRPr="00F62FC5" w14:paraId="58933961" w14:textId="77777777" w:rsidTr="00EE7E7C">
        <w:tc>
          <w:tcPr>
            <w:tcW w:w="2520" w:type="dxa"/>
            <w:tcBorders>
              <w:left w:val="nil"/>
              <w:right w:val="nil"/>
            </w:tcBorders>
          </w:tcPr>
          <w:p w14:paraId="020A1C82" w14:textId="5B2D1054"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lastRenderedPageBreak/>
              <w:t>Interest in the use of games in learning</w:t>
            </w:r>
          </w:p>
        </w:tc>
        <w:tc>
          <w:tcPr>
            <w:tcW w:w="1212" w:type="dxa"/>
            <w:tcBorders>
              <w:left w:val="nil"/>
              <w:right w:val="nil"/>
            </w:tcBorders>
          </w:tcPr>
          <w:p w14:paraId="58F45D53"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87.9%</w:t>
            </w:r>
          </w:p>
        </w:tc>
        <w:tc>
          <w:tcPr>
            <w:tcW w:w="5628" w:type="dxa"/>
            <w:tcBorders>
              <w:left w:val="nil"/>
              <w:right w:val="nil"/>
            </w:tcBorders>
          </w:tcPr>
          <w:p w14:paraId="31AD188A" w14:textId="09BE85A6"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The majority of students are very interested in using games as a learning tool.</w:t>
            </w:r>
          </w:p>
        </w:tc>
      </w:tr>
      <w:tr w:rsidR="00F62FC5" w:rsidRPr="00F62FC5" w14:paraId="5F07719E" w14:textId="77777777" w:rsidTr="00EE7E7C">
        <w:tc>
          <w:tcPr>
            <w:tcW w:w="3732" w:type="dxa"/>
            <w:gridSpan w:val="2"/>
            <w:tcBorders>
              <w:left w:val="nil"/>
              <w:right w:val="nil"/>
            </w:tcBorders>
          </w:tcPr>
          <w:p w14:paraId="230D1083" w14:textId="07553BD1" w:rsidR="00F62FC5" w:rsidRPr="00284CD2" w:rsidRDefault="00284CD2" w:rsidP="00F62FC5">
            <w:pPr>
              <w:jc w:val="both"/>
              <w:rPr>
                <w:rFonts w:ascii="Cambria" w:eastAsia="Cambria" w:hAnsi="Cambria" w:cs="Cambria"/>
                <w:b/>
                <w:sz w:val="22"/>
                <w:szCs w:val="22"/>
              </w:rPr>
            </w:pPr>
            <w:r w:rsidRPr="00284CD2">
              <w:rPr>
                <w:rFonts w:ascii="Cambria" w:eastAsia="Cambria" w:hAnsi="Cambria" w:cs="Cambria"/>
                <w:b/>
                <w:sz w:val="22"/>
                <w:szCs w:val="22"/>
              </w:rPr>
              <w:t>Desired features in the game:</w:t>
            </w:r>
          </w:p>
        </w:tc>
        <w:tc>
          <w:tcPr>
            <w:tcW w:w="5628" w:type="dxa"/>
            <w:tcBorders>
              <w:left w:val="nil"/>
              <w:right w:val="nil"/>
            </w:tcBorders>
          </w:tcPr>
          <w:p w14:paraId="473F3600" w14:textId="77777777" w:rsidR="00F62FC5" w:rsidRPr="00F62FC5" w:rsidRDefault="00F62FC5" w:rsidP="00F62FC5">
            <w:pPr>
              <w:jc w:val="both"/>
              <w:rPr>
                <w:rFonts w:ascii="Cambria" w:eastAsia="Cambria" w:hAnsi="Cambria" w:cs="Cambria"/>
                <w:bCs/>
                <w:sz w:val="22"/>
                <w:szCs w:val="22"/>
              </w:rPr>
            </w:pPr>
          </w:p>
        </w:tc>
      </w:tr>
      <w:tr w:rsidR="00F62FC5" w:rsidRPr="00F62FC5" w14:paraId="1EDED29A" w14:textId="77777777" w:rsidTr="00EE7E7C">
        <w:tc>
          <w:tcPr>
            <w:tcW w:w="2520" w:type="dxa"/>
            <w:tcBorders>
              <w:left w:val="nil"/>
              <w:right w:val="nil"/>
            </w:tcBorders>
          </w:tcPr>
          <w:p w14:paraId="3B9EAF83" w14:textId="60124B81"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A variety of questions to choose from</w:t>
            </w:r>
          </w:p>
        </w:tc>
        <w:tc>
          <w:tcPr>
            <w:tcW w:w="1212" w:type="dxa"/>
            <w:tcBorders>
              <w:left w:val="nil"/>
              <w:right w:val="nil"/>
            </w:tcBorders>
          </w:tcPr>
          <w:p w14:paraId="51C00AC2"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36.4%</w:t>
            </w:r>
          </w:p>
        </w:tc>
        <w:tc>
          <w:tcPr>
            <w:tcW w:w="5628" w:type="dxa"/>
            <w:tcBorders>
              <w:left w:val="nil"/>
              <w:right w:val="nil"/>
            </w:tcBorders>
          </w:tcPr>
          <w:p w14:paraId="4F6989F8" w14:textId="09BE7115"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Students want a variety of questions to broaden and deepen their understanding of the material.</w:t>
            </w:r>
          </w:p>
        </w:tc>
      </w:tr>
      <w:tr w:rsidR="00F62FC5" w:rsidRPr="00F62FC5" w14:paraId="4B7B096B" w14:textId="77777777" w:rsidTr="00EE7E7C">
        <w:tc>
          <w:tcPr>
            <w:tcW w:w="2520" w:type="dxa"/>
            <w:tcBorders>
              <w:left w:val="nil"/>
              <w:right w:val="nil"/>
            </w:tcBorders>
          </w:tcPr>
          <w:p w14:paraId="654219D0" w14:textId="42E09189"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Attractive graphics and visuals</w:t>
            </w:r>
          </w:p>
        </w:tc>
        <w:tc>
          <w:tcPr>
            <w:tcW w:w="1212" w:type="dxa"/>
            <w:tcBorders>
              <w:left w:val="nil"/>
              <w:right w:val="nil"/>
            </w:tcBorders>
          </w:tcPr>
          <w:p w14:paraId="33E51F6C"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45.5%</w:t>
            </w:r>
          </w:p>
        </w:tc>
        <w:tc>
          <w:tcPr>
            <w:tcW w:w="5628" w:type="dxa"/>
            <w:tcBorders>
              <w:left w:val="nil"/>
              <w:right w:val="nil"/>
            </w:tcBorders>
          </w:tcPr>
          <w:p w14:paraId="77F34A6C" w14:textId="0AB81D71"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Attractive graphics and visuals are important elements in creating an interesting learning experience.</w:t>
            </w:r>
          </w:p>
        </w:tc>
      </w:tr>
      <w:tr w:rsidR="00F62FC5" w:rsidRPr="00F62FC5" w14:paraId="649796A7" w14:textId="77777777" w:rsidTr="00EE7E7C">
        <w:tc>
          <w:tcPr>
            <w:tcW w:w="2520" w:type="dxa"/>
            <w:tcBorders>
              <w:left w:val="nil"/>
              <w:right w:val="nil"/>
            </w:tcBorders>
          </w:tcPr>
          <w:p w14:paraId="4A253532" w14:textId="0025EE7C"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Immediate feedback after each answer</w:t>
            </w:r>
          </w:p>
        </w:tc>
        <w:tc>
          <w:tcPr>
            <w:tcW w:w="1212" w:type="dxa"/>
            <w:tcBorders>
              <w:left w:val="nil"/>
              <w:right w:val="nil"/>
            </w:tcBorders>
          </w:tcPr>
          <w:p w14:paraId="1076AB83"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39.4%</w:t>
            </w:r>
          </w:p>
        </w:tc>
        <w:tc>
          <w:tcPr>
            <w:tcW w:w="5628" w:type="dxa"/>
            <w:tcBorders>
              <w:left w:val="nil"/>
              <w:right w:val="nil"/>
            </w:tcBorders>
          </w:tcPr>
          <w:p w14:paraId="339E8D18" w14:textId="4AEA28ED"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Immediate feedback helps students correct mistakes and learn effectively.</w:t>
            </w:r>
          </w:p>
        </w:tc>
      </w:tr>
      <w:tr w:rsidR="00F62FC5" w:rsidRPr="00F62FC5" w14:paraId="2E432F7F" w14:textId="77777777" w:rsidTr="00EE7E7C">
        <w:tc>
          <w:tcPr>
            <w:tcW w:w="2520" w:type="dxa"/>
            <w:tcBorders>
              <w:left w:val="nil"/>
              <w:right w:val="nil"/>
            </w:tcBorders>
          </w:tcPr>
          <w:p w14:paraId="267B62B4" w14:textId="1B4C43B3"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Ability to play in groups</w:t>
            </w:r>
          </w:p>
        </w:tc>
        <w:tc>
          <w:tcPr>
            <w:tcW w:w="1212" w:type="dxa"/>
            <w:tcBorders>
              <w:left w:val="nil"/>
              <w:right w:val="nil"/>
            </w:tcBorders>
          </w:tcPr>
          <w:p w14:paraId="66866BA7"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51.5%</w:t>
            </w:r>
          </w:p>
        </w:tc>
        <w:tc>
          <w:tcPr>
            <w:tcW w:w="5628" w:type="dxa"/>
            <w:tcBorders>
              <w:left w:val="nil"/>
              <w:right w:val="nil"/>
            </w:tcBorders>
          </w:tcPr>
          <w:p w14:paraId="4DDCE4D2" w14:textId="6132E9A4"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Group play features are a priority, demonstrating students' desire to learn collaboratively.</w:t>
            </w:r>
          </w:p>
        </w:tc>
      </w:tr>
      <w:tr w:rsidR="00F62FC5" w:rsidRPr="00F62FC5" w14:paraId="12A6DFC4" w14:textId="77777777" w:rsidTr="00EE7E7C">
        <w:tc>
          <w:tcPr>
            <w:tcW w:w="2520" w:type="dxa"/>
            <w:tcBorders>
              <w:left w:val="nil"/>
              <w:right w:val="nil"/>
            </w:tcBorders>
          </w:tcPr>
          <w:p w14:paraId="6281E17E" w14:textId="036D9865"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Satisfaction with current learning methods</w:t>
            </w:r>
          </w:p>
        </w:tc>
        <w:tc>
          <w:tcPr>
            <w:tcW w:w="1212" w:type="dxa"/>
            <w:tcBorders>
              <w:left w:val="nil"/>
              <w:right w:val="nil"/>
            </w:tcBorders>
          </w:tcPr>
          <w:p w14:paraId="2BB48E1E"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2.73</w:t>
            </w:r>
          </w:p>
        </w:tc>
        <w:tc>
          <w:tcPr>
            <w:tcW w:w="5628" w:type="dxa"/>
            <w:tcBorders>
              <w:left w:val="nil"/>
              <w:right w:val="nil"/>
            </w:tcBorders>
          </w:tcPr>
          <w:p w14:paraId="48BCEB97" w14:textId="69C45966"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Student satisfaction with current learning methods is low, indicating a need for improvement, especially in terms of interactivity.</w:t>
            </w:r>
          </w:p>
        </w:tc>
      </w:tr>
    </w:tbl>
    <w:p w14:paraId="26E328DD" w14:textId="77777777" w:rsidR="00F62FC5" w:rsidRPr="00F62FC5" w:rsidRDefault="00F62FC5" w:rsidP="00F62FC5">
      <w:pPr>
        <w:jc w:val="both"/>
        <w:rPr>
          <w:rFonts w:ascii="Cambria" w:eastAsia="Cambria" w:hAnsi="Cambria" w:cs="Cambria"/>
          <w:bCs/>
          <w:sz w:val="22"/>
          <w:szCs w:val="22"/>
        </w:rPr>
      </w:pPr>
    </w:p>
    <w:p w14:paraId="73A364C6" w14:textId="78EC022B" w:rsidR="00F62FC5" w:rsidRDefault="009B3F22" w:rsidP="00F62FC5">
      <w:pPr>
        <w:jc w:val="both"/>
        <w:rPr>
          <w:rFonts w:ascii="Cambria" w:eastAsia="Cambria" w:hAnsi="Cambria" w:cs="Cambria"/>
          <w:bCs/>
          <w:sz w:val="22"/>
          <w:szCs w:val="22"/>
        </w:rPr>
      </w:pPr>
      <w:r w:rsidRPr="009B3F22">
        <w:rPr>
          <w:rFonts w:ascii="Cambria" w:eastAsia="Cambria" w:hAnsi="Cambria" w:cs="Cambria"/>
          <w:bCs/>
          <w:sz w:val="22"/>
          <w:szCs w:val="22"/>
        </w:rPr>
        <w:t>In addition, the survey conducted with six mathematics teachers provided insights into the challenges and needs in mathematics teaching. A summary of the survey results can be seen in Table 3.</w:t>
      </w:r>
    </w:p>
    <w:p w14:paraId="3D92EAB0" w14:textId="77777777" w:rsidR="009B3F22" w:rsidRPr="00F62FC5" w:rsidRDefault="009B3F22" w:rsidP="00F62FC5">
      <w:pPr>
        <w:jc w:val="both"/>
        <w:rPr>
          <w:rFonts w:ascii="Cambria" w:eastAsia="Cambria" w:hAnsi="Cambria" w:cs="Cambria"/>
          <w:bCs/>
          <w:sz w:val="22"/>
          <w:szCs w:val="22"/>
        </w:rPr>
      </w:pPr>
    </w:p>
    <w:p w14:paraId="5E5DEC80" w14:textId="0214A09B" w:rsidR="00F62FC5" w:rsidRPr="004B5EC2" w:rsidRDefault="004B5EC2" w:rsidP="00F62FC5">
      <w:pPr>
        <w:jc w:val="center"/>
        <w:rPr>
          <w:rFonts w:ascii="Cambria" w:eastAsia="Cambria" w:hAnsi="Cambria" w:cs="Cambria"/>
          <w:bCs/>
          <w:sz w:val="22"/>
          <w:szCs w:val="22"/>
        </w:rPr>
      </w:pPr>
      <w:r w:rsidRPr="004B5EC2">
        <w:rPr>
          <w:rFonts w:ascii="Cambria" w:eastAsia="Cambria" w:hAnsi="Cambria" w:cs="Cambria"/>
          <w:b/>
          <w:sz w:val="22"/>
          <w:szCs w:val="22"/>
        </w:rPr>
        <w:t xml:space="preserve">Table 3. </w:t>
      </w:r>
      <w:r w:rsidRPr="004B5EC2">
        <w:rPr>
          <w:rFonts w:ascii="Cambria" w:eastAsia="Cambria" w:hAnsi="Cambria" w:cs="Cambria"/>
          <w:bCs/>
          <w:sz w:val="22"/>
          <w:szCs w:val="22"/>
        </w:rPr>
        <w:t>Results of Teacher Needs Analysis for PBL-Based PowerPoint Games</w:t>
      </w:r>
    </w:p>
    <w:tbl>
      <w:tblPr>
        <w:tblStyle w:val="TableGrid"/>
        <w:tblW w:w="0" w:type="auto"/>
        <w:tblLook w:val="04A0" w:firstRow="1" w:lastRow="0" w:firstColumn="1" w:lastColumn="0" w:noHBand="0" w:noVBand="1"/>
      </w:tblPr>
      <w:tblGrid>
        <w:gridCol w:w="2515"/>
        <w:gridCol w:w="1352"/>
        <w:gridCol w:w="5485"/>
      </w:tblGrid>
      <w:tr w:rsidR="00F62FC5" w:rsidRPr="00F62FC5" w14:paraId="7D0FFDFA" w14:textId="77777777" w:rsidTr="00284CD2">
        <w:tc>
          <w:tcPr>
            <w:tcW w:w="2515" w:type="dxa"/>
            <w:tcBorders>
              <w:left w:val="nil"/>
              <w:right w:val="nil"/>
            </w:tcBorders>
          </w:tcPr>
          <w:p w14:paraId="5446CBFB" w14:textId="7AE933FC" w:rsidR="00F62FC5" w:rsidRPr="00284CD2" w:rsidRDefault="00284CD2" w:rsidP="00284CD2">
            <w:pPr>
              <w:jc w:val="center"/>
              <w:rPr>
                <w:rFonts w:ascii="Cambria" w:eastAsia="Cambria" w:hAnsi="Cambria" w:cs="Cambria"/>
                <w:b/>
                <w:sz w:val="22"/>
                <w:szCs w:val="22"/>
              </w:rPr>
            </w:pPr>
            <w:r w:rsidRPr="00284CD2">
              <w:rPr>
                <w:rFonts w:ascii="Cambria" w:eastAsia="Cambria" w:hAnsi="Cambria" w:cs="Cambria"/>
                <w:b/>
                <w:sz w:val="22"/>
                <w:szCs w:val="22"/>
              </w:rPr>
              <w:t>Aspect</w:t>
            </w:r>
          </w:p>
        </w:tc>
        <w:tc>
          <w:tcPr>
            <w:tcW w:w="1352" w:type="dxa"/>
            <w:tcBorders>
              <w:left w:val="nil"/>
              <w:right w:val="nil"/>
            </w:tcBorders>
          </w:tcPr>
          <w:p w14:paraId="3B0C4216" w14:textId="65225F8E" w:rsidR="00F62FC5" w:rsidRPr="00284CD2" w:rsidRDefault="00284CD2" w:rsidP="00284CD2">
            <w:pPr>
              <w:jc w:val="center"/>
              <w:rPr>
                <w:rFonts w:ascii="Cambria" w:eastAsia="Cambria" w:hAnsi="Cambria" w:cs="Cambria"/>
                <w:b/>
                <w:sz w:val="22"/>
                <w:szCs w:val="22"/>
              </w:rPr>
            </w:pPr>
            <w:r w:rsidRPr="00284CD2">
              <w:rPr>
                <w:rFonts w:ascii="Cambria" w:eastAsia="Cambria" w:hAnsi="Cambria" w:cs="Cambria"/>
                <w:b/>
                <w:sz w:val="22"/>
                <w:szCs w:val="22"/>
              </w:rPr>
              <w:t>Percentage</w:t>
            </w:r>
          </w:p>
        </w:tc>
        <w:tc>
          <w:tcPr>
            <w:tcW w:w="5485" w:type="dxa"/>
            <w:tcBorders>
              <w:left w:val="nil"/>
              <w:right w:val="nil"/>
            </w:tcBorders>
          </w:tcPr>
          <w:p w14:paraId="60502107" w14:textId="5D3DAE09" w:rsidR="00F62FC5" w:rsidRPr="00284CD2" w:rsidRDefault="00284CD2" w:rsidP="00F62FC5">
            <w:pPr>
              <w:jc w:val="center"/>
              <w:rPr>
                <w:rFonts w:ascii="Cambria" w:eastAsia="Cambria" w:hAnsi="Cambria" w:cs="Cambria"/>
                <w:b/>
                <w:sz w:val="22"/>
                <w:szCs w:val="22"/>
              </w:rPr>
            </w:pPr>
            <w:r w:rsidRPr="00284CD2">
              <w:rPr>
                <w:rFonts w:ascii="Cambria" w:eastAsia="Cambria" w:hAnsi="Cambria" w:cs="Cambria"/>
                <w:b/>
                <w:sz w:val="22"/>
                <w:szCs w:val="22"/>
              </w:rPr>
              <w:t>Analysis Results</w:t>
            </w:r>
          </w:p>
        </w:tc>
      </w:tr>
      <w:tr w:rsidR="00F62FC5" w:rsidRPr="00F62FC5" w14:paraId="0B5A7198" w14:textId="77777777" w:rsidTr="00284CD2">
        <w:tc>
          <w:tcPr>
            <w:tcW w:w="2515" w:type="dxa"/>
            <w:tcBorders>
              <w:left w:val="nil"/>
              <w:right w:val="nil"/>
            </w:tcBorders>
          </w:tcPr>
          <w:p w14:paraId="698F6A5C" w14:textId="7DA82F34"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Challenges in teaching mathematics</w:t>
            </w:r>
          </w:p>
        </w:tc>
        <w:tc>
          <w:tcPr>
            <w:tcW w:w="1352" w:type="dxa"/>
            <w:tcBorders>
              <w:left w:val="nil"/>
              <w:right w:val="nil"/>
            </w:tcBorders>
          </w:tcPr>
          <w:p w14:paraId="3DF04614"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83.4%</w:t>
            </w:r>
          </w:p>
        </w:tc>
        <w:tc>
          <w:tcPr>
            <w:tcW w:w="5485" w:type="dxa"/>
            <w:tcBorders>
              <w:left w:val="nil"/>
              <w:right w:val="nil"/>
            </w:tcBorders>
          </w:tcPr>
          <w:p w14:paraId="45BD545E" w14:textId="798FD31F"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Most teachers face challenges, especially in explaining complex mathematical concepts and motivating students.</w:t>
            </w:r>
          </w:p>
        </w:tc>
      </w:tr>
      <w:tr w:rsidR="00F62FC5" w:rsidRPr="00F62FC5" w14:paraId="2BDCDF71" w14:textId="77777777" w:rsidTr="00284CD2">
        <w:tc>
          <w:tcPr>
            <w:tcW w:w="2515" w:type="dxa"/>
            <w:tcBorders>
              <w:left w:val="nil"/>
              <w:right w:val="nil"/>
            </w:tcBorders>
          </w:tcPr>
          <w:p w14:paraId="27C486B9" w14:textId="7335F676"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Belief in the use of educational games</w:t>
            </w:r>
          </w:p>
        </w:tc>
        <w:tc>
          <w:tcPr>
            <w:tcW w:w="1352" w:type="dxa"/>
            <w:tcBorders>
              <w:left w:val="nil"/>
              <w:right w:val="nil"/>
            </w:tcBorders>
          </w:tcPr>
          <w:p w14:paraId="39712B05"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100%</w:t>
            </w:r>
          </w:p>
        </w:tc>
        <w:tc>
          <w:tcPr>
            <w:tcW w:w="5485" w:type="dxa"/>
            <w:tcBorders>
              <w:left w:val="nil"/>
              <w:right w:val="nil"/>
            </w:tcBorders>
          </w:tcPr>
          <w:p w14:paraId="458C210E" w14:textId="3F57E1B2"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All teachers agree that educational games can be a useful tool in teaching mathematics.</w:t>
            </w:r>
          </w:p>
        </w:tc>
      </w:tr>
      <w:tr w:rsidR="00284CD2" w:rsidRPr="00F62FC5" w14:paraId="53B1269F" w14:textId="77777777" w:rsidTr="00FE7063">
        <w:tc>
          <w:tcPr>
            <w:tcW w:w="9352" w:type="dxa"/>
            <w:gridSpan w:val="3"/>
            <w:tcBorders>
              <w:left w:val="nil"/>
              <w:right w:val="nil"/>
            </w:tcBorders>
          </w:tcPr>
          <w:p w14:paraId="41BEE703" w14:textId="5B9F175B" w:rsidR="00284CD2" w:rsidRPr="00F62FC5" w:rsidRDefault="00284CD2" w:rsidP="00F62FC5">
            <w:pPr>
              <w:jc w:val="both"/>
              <w:rPr>
                <w:rFonts w:ascii="Cambria" w:eastAsia="Cambria" w:hAnsi="Cambria" w:cs="Cambria"/>
                <w:bCs/>
                <w:sz w:val="22"/>
                <w:szCs w:val="22"/>
              </w:rPr>
            </w:pPr>
            <w:r w:rsidRPr="00284CD2">
              <w:rPr>
                <w:rFonts w:ascii="Cambria" w:eastAsia="Cambria" w:hAnsi="Cambria" w:cs="Cambria"/>
                <w:b/>
                <w:sz w:val="22"/>
                <w:szCs w:val="22"/>
              </w:rPr>
              <w:t>Important features in educational games</w:t>
            </w:r>
          </w:p>
        </w:tc>
      </w:tr>
      <w:tr w:rsidR="00F62FC5" w:rsidRPr="00F62FC5" w14:paraId="0B2163C5" w14:textId="77777777" w:rsidTr="00284CD2">
        <w:tc>
          <w:tcPr>
            <w:tcW w:w="2515" w:type="dxa"/>
            <w:tcBorders>
              <w:left w:val="nil"/>
              <w:right w:val="nil"/>
            </w:tcBorders>
          </w:tcPr>
          <w:p w14:paraId="4E237502" w14:textId="32EDFD32"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Ability to adjust difficulty level</w:t>
            </w:r>
          </w:p>
        </w:tc>
        <w:tc>
          <w:tcPr>
            <w:tcW w:w="1352" w:type="dxa"/>
            <w:tcBorders>
              <w:left w:val="nil"/>
              <w:right w:val="nil"/>
            </w:tcBorders>
          </w:tcPr>
          <w:p w14:paraId="414CA000"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100%</w:t>
            </w:r>
          </w:p>
        </w:tc>
        <w:tc>
          <w:tcPr>
            <w:tcW w:w="5485" w:type="dxa"/>
            <w:tcBorders>
              <w:left w:val="nil"/>
              <w:right w:val="nil"/>
            </w:tcBorders>
          </w:tcPr>
          <w:p w14:paraId="33A2E469" w14:textId="2EA2FAA7"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Teachers want games that can adjust the difficulty level to suit students' needs.</w:t>
            </w:r>
          </w:p>
        </w:tc>
      </w:tr>
      <w:tr w:rsidR="00F62FC5" w:rsidRPr="00F62FC5" w14:paraId="5F9A65E1" w14:textId="77777777" w:rsidTr="00284CD2">
        <w:tc>
          <w:tcPr>
            <w:tcW w:w="2515" w:type="dxa"/>
            <w:tcBorders>
              <w:left w:val="nil"/>
              <w:right w:val="nil"/>
            </w:tcBorders>
          </w:tcPr>
          <w:p w14:paraId="1AFD24F5" w14:textId="6F7CE714"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Integration with curriculum</w:t>
            </w:r>
          </w:p>
        </w:tc>
        <w:tc>
          <w:tcPr>
            <w:tcW w:w="1352" w:type="dxa"/>
            <w:tcBorders>
              <w:left w:val="nil"/>
              <w:right w:val="nil"/>
            </w:tcBorders>
          </w:tcPr>
          <w:p w14:paraId="7C7F7ACE"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100%</w:t>
            </w:r>
          </w:p>
        </w:tc>
        <w:tc>
          <w:tcPr>
            <w:tcW w:w="5485" w:type="dxa"/>
            <w:tcBorders>
              <w:left w:val="nil"/>
              <w:right w:val="nil"/>
            </w:tcBorders>
          </w:tcPr>
          <w:p w14:paraId="41972CB1" w14:textId="6BDDC006"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Integration with existing curriculum is essential to ensure game material is relevant to the lesson.</w:t>
            </w:r>
          </w:p>
        </w:tc>
      </w:tr>
      <w:tr w:rsidR="00F62FC5" w:rsidRPr="00F62FC5" w14:paraId="1C99620F" w14:textId="77777777" w:rsidTr="00284CD2">
        <w:tc>
          <w:tcPr>
            <w:tcW w:w="2515" w:type="dxa"/>
            <w:tcBorders>
              <w:left w:val="nil"/>
              <w:right w:val="nil"/>
            </w:tcBorders>
          </w:tcPr>
          <w:p w14:paraId="414351F0" w14:textId="6DA5F317"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Features to monitor student progress</w:t>
            </w:r>
          </w:p>
        </w:tc>
        <w:tc>
          <w:tcPr>
            <w:tcW w:w="1352" w:type="dxa"/>
            <w:tcBorders>
              <w:left w:val="nil"/>
              <w:right w:val="nil"/>
            </w:tcBorders>
          </w:tcPr>
          <w:p w14:paraId="4EAB3EED"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100%</w:t>
            </w:r>
          </w:p>
        </w:tc>
        <w:tc>
          <w:tcPr>
            <w:tcW w:w="5485" w:type="dxa"/>
            <w:tcBorders>
              <w:left w:val="nil"/>
              <w:right w:val="nil"/>
            </w:tcBorders>
          </w:tcPr>
          <w:p w14:paraId="1A99E2AA" w14:textId="16A41BEE"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The reporting and monitoring features of student progress are considered very important by teachers.</w:t>
            </w:r>
          </w:p>
        </w:tc>
      </w:tr>
      <w:tr w:rsidR="00F62FC5" w:rsidRPr="00F62FC5" w14:paraId="0F8DC8F0" w14:textId="77777777" w:rsidTr="00284CD2">
        <w:tc>
          <w:tcPr>
            <w:tcW w:w="2515" w:type="dxa"/>
            <w:tcBorders>
              <w:left w:val="nil"/>
              <w:right w:val="nil"/>
            </w:tcBorders>
          </w:tcPr>
          <w:p w14:paraId="4353AC2C" w14:textId="7694E42A"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Ability to provide feedback</w:t>
            </w:r>
          </w:p>
        </w:tc>
        <w:tc>
          <w:tcPr>
            <w:tcW w:w="1352" w:type="dxa"/>
            <w:tcBorders>
              <w:left w:val="nil"/>
              <w:right w:val="nil"/>
            </w:tcBorders>
          </w:tcPr>
          <w:p w14:paraId="7C00DBD6"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100%</w:t>
            </w:r>
          </w:p>
        </w:tc>
        <w:tc>
          <w:tcPr>
            <w:tcW w:w="5485" w:type="dxa"/>
            <w:tcBorders>
              <w:left w:val="nil"/>
              <w:right w:val="nil"/>
            </w:tcBorders>
          </w:tcPr>
          <w:p w14:paraId="47FEA85D" w14:textId="38F15F4E"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Immediate feedback is considered a very important feature for student evaluation.</w:t>
            </w:r>
          </w:p>
        </w:tc>
      </w:tr>
      <w:tr w:rsidR="00F62FC5" w:rsidRPr="00F62FC5" w14:paraId="65923B84" w14:textId="77777777" w:rsidTr="00284CD2">
        <w:tc>
          <w:tcPr>
            <w:tcW w:w="2515" w:type="dxa"/>
            <w:tcBorders>
              <w:left w:val="nil"/>
              <w:right w:val="nil"/>
            </w:tcBorders>
          </w:tcPr>
          <w:p w14:paraId="4D6247CC" w14:textId="588C8059" w:rsidR="00F62FC5" w:rsidRPr="00F62FC5" w:rsidRDefault="00284CD2" w:rsidP="00284CD2">
            <w:pPr>
              <w:rPr>
                <w:rFonts w:ascii="Cambria" w:eastAsia="Cambria" w:hAnsi="Cambria" w:cs="Cambria"/>
                <w:bCs/>
                <w:sz w:val="22"/>
                <w:szCs w:val="22"/>
              </w:rPr>
            </w:pPr>
            <w:r w:rsidRPr="00284CD2">
              <w:rPr>
                <w:rFonts w:ascii="Cambria" w:eastAsia="Cambria" w:hAnsi="Cambria" w:cs="Cambria"/>
                <w:bCs/>
                <w:sz w:val="22"/>
                <w:szCs w:val="22"/>
              </w:rPr>
              <w:t>Perceptions of the effectiveness of current teaching methods</w:t>
            </w:r>
          </w:p>
        </w:tc>
        <w:tc>
          <w:tcPr>
            <w:tcW w:w="1352" w:type="dxa"/>
            <w:tcBorders>
              <w:left w:val="nil"/>
              <w:right w:val="nil"/>
            </w:tcBorders>
          </w:tcPr>
          <w:p w14:paraId="4E69482E"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sz w:val="22"/>
                <w:szCs w:val="22"/>
              </w:rPr>
              <w:t>50%</w:t>
            </w:r>
          </w:p>
        </w:tc>
        <w:tc>
          <w:tcPr>
            <w:tcW w:w="5485" w:type="dxa"/>
            <w:tcBorders>
              <w:left w:val="nil"/>
              <w:right w:val="nil"/>
            </w:tcBorders>
          </w:tcPr>
          <w:p w14:paraId="3802FC34" w14:textId="375835E2" w:rsidR="00F62FC5" w:rsidRPr="00F62FC5" w:rsidRDefault="00284CD2" w:rsidP="00F62FC5">
            <w:pPr>
              <w:jc w:val="both"/>
              <w:rPr>
                <w:rFonts w:ascii="Cambria" w:eastAsia="Cambria" w:hAnsi="Cambria" w:cs="Cambria"/>
                <w:bCs/>
                <w:sz w:val="22"/>
                <w:szCs w:val="22"/>
              </w:rPr>
            </w:pPr>
            <w:r w:rsidRPr="00284CD2">
              <w:rPr>
                <w:rFonts w:ascii="Cambria" w:eastAsia="Cambria" w:hAnsi="Cambria" w:cs="Cambria"/>
                <w:bCs/>
                <w:sz w:val="22"/>
                <w:szCs w:val="22"/>
              </w:rPr>
              <w:t>The scores indicate that although current teaching methods are considered quite effective, there is room for improvement, especially with the use of educational technology.</w:t>
            </w:r>
          </w:p>
        </w:tc>
      </w:tr>
    </w:tbl>
    <w:p w14:paraId="54173E5B" w14:textId="48732ADC" w:rsidR="00F62FC5" w:rsidRDefault="009B3F22" w:rsidP="00F62FC5">
      <w:pPr>
        <w:ind w:firstLine="720"/>
        <w:jc w:val="both"/>
        <w:rPr>
          <w:rFonts w:ascii="Cambria" w:eastAsia="Cambria" w:hAnsi="Cambria" w:cs="Cambria"/>
          <w:bCs/>
          <w:sz w:val="22"/>
          <w:szCs w:val="22"/>
        </w:rPr>
      </w:pPr>
      <w:r w:rsidRPr="009B3F22">
        <w:rPr>
          <w:rFonts w:ascii="Cambria" w:eastAsia="Cambria" w:hAnsi="Cambria" w:cs="Cambria"/>
          <w:bCs/>
          <w:sz w:val="22"/>
          <w:szCs w:val="22"/>
        </w:rPr>
        <w:t xml:space="preserve">The needs analysis of students and teachers indicates a significant demand for PBL-based PowerPoint games in mathematics education. Students expressed a desire for games that offer a variety of problems, interactive explanations, and immediate feedback to support their understanding. Recent studies by Sung et al. (2016) and Yu et al. (2022) emphasize the importance of integrating interactive elements and immediate feedback in educational games to enhance student engagement and comprehension. Meanwhile, teachers require games that can be aligned with the curriculum, provide student progress reports, and simplify the teaching of complex material. According to research by de-Marcos et al. (2014) and </w:t>
      </w:r>
      <w:r w:rsidR="004B5EC2" w:rsidRPr="004B5EC2">
        <w:rPr>
          <w:rFonts w:ascii="Cambria" w:eastAsia="Cambria" w:hAnsi="Cambria" w:cs="Cambria"/>
          <w:sz w:val="22"/>
          <w:szCs w:val="22"/>
        </w:rPr>
        <w:t xml:space="preserve">Bang et al. (2023) </w:t>
      </w:r>
      <w:r w:rsidRPr="009B3F22">
        <w:rPr>
          <w:rFonts w:ascii="Cambria" w:eastAsia="Cambria" w:hAnsi="Cambria" w:cs="Cambria"/>
          <w:bCs/>
          <w:sz w:val="22"/>
          <w:szCs w:val="22"/>
        </w:rPr>
        <w:t>, the use of game technology in education allows teachers to monitor student progress in real-time and tailor instructional materials to individual needs. Developing games that meet these needs has the potential to improve students' problem-solving skills, increase student engagement, and enhance the overall effectiveness of mathematics instruction (Nadeem et al., 2023). Research by Hwang et al. (2019) also demonstrates that well-designed educational games, particularly those using a PBL approach, can significantly enhance students' problem-solving abilities.</w:t>
      </w:r>
    </w:p>
    <w:p w14:paraId="0DB76EF5" w14:textId="7AAC20D4" w:rsidR="00F62FC5" w:rsidRPr="00F62FC5" w:rsidRDefault="009B3F22" w:rsidP="00F62FC5">
      <w:pPr>
        <w:ind w:firstLine="720"/>
        <w:jc w:val="both"/>
        <w:rPr>
          <w:rFonts w:ascii="Cambria" w:eastAsia="Cambria" w:hAnsi="Cambria" w:cs="Cambria"/>
          <w:bCs/>
          <w:sz w:val="22"/>
          <w:szCs w:val="22"/>
        </w:rPr>
      </w:pPr>
      <w:r w:rsidRPr="009B3F22">
        <w:rPr>
          <w:rFonts w:ascii="Cambria" w:eastAsia="Cambria" w:hAnsi="Cambria" w:cs="Cambria"/>
          <w:bCs/>
          <w:sz w:val="22"/>
          <w:szCs w:val="22"/>
        </w:rPr>
        <w:lastRenderedPageBreak/>
        <w:t xml:space="preserve">After the needs analysis phase, the design and development of the PBL-based PowerPoint game prototype commenced. This prototype was designed to integrate the principles of Problem-Based Learning (PBL) and instructional design theory to create an engaging and effective learning tool. The game prototype features an attractive interface design, as shown in Figure </w:t>
      </w:r>
      <w:r w:rsidR="001C2164">
        <w:rPr>
          <w:rFonts w:ascii="Cambria" w:eastAsia="Cambria" w:hAnsi="Cambria" w:cs="Cambria"/>
          <w:bCs/>
          <w:sz w:val="22"/>
          <w:szCs w:val="22"/>
        </w:rPr>
        <w:t>2, which displays the main screen of the game.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64"/>
      </w:tblGrid>
      <w:tr w:rsidR="00F62FC5" w:rsidRPr="00F62FC5" w14:paraId="151C08A8" w14:textId="77777777" w:rsidTr="00284CD2">
        <w:tc>
          <w:tcPr>
            <w:tcW w:w="4689" w:type="dxa"/>
          </w:tcPr>
          <w:p w14:paraId="51286473" w14:textId="77777777" w:rsidR="00F62FC5" w:rsidRPr="00F62FC5" w:rsidRDefault="00F62FC5" w:rsidP="00F62FC5">
            <w:pPr>
              <w:jc w:val="both"/>
              <w:rPr>
                <w:rFonts w:ascii="Cambria" w:eastAsia="Cambria" w:hAnsi="Cambria" w:cs="Cambria"/>
                <w:bCs/>
                <w:sz w:val="22"/>
                <w:szCs w:val="22"/>
              </w:rPr>
            </w:pPr>
            <w:r w:rsidRPr="00F62FC5">
              <w:rPr>
                <w:rFonts w:ascii="Cambria" w:eastAsia="Cambria" w:hAnsi="Cambria" w:cs="Cambria"/>
                <w:bCs/>
                <w:noProof/>
                <w:sz w:val="22"/>
                <w:szCs w:val="22"/>
                <w:lang w:val="en-US" w:eastAsia="en-US"/>
              </w:rPr>
              <w:drawing>
                <wp:inline distT="0" distB="0" distL="0" distR="0" wp14:anchorId="3537E7E1" wp14:editId="3CC7632D">
                  <wp:extent cx="2895600" cy="1627847"/>
                  <wp:effectExtent l="0" t="0" r="0" b="0"/>
                  <wp:docPr id="20608800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54491" name="Picture 77095449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325" cy="1649055"/>
                          </a:xfrm>
                          <a:prstGeom prst="rect">
                            <a:avLst/>
                          </a:prstGeom>
                        </pic:spPr>
                      </pic:pic>
                    </a:graphicData>
                  </a:graphic>
                </wp:inline>
              </w:drawing>
            </w:r>
          </w:p>
        </w:tc>
        <w:tc>
          <w:tcPr>
            <w:tcW w:w="4664" w:type="dxa"/>
          </w:tcPr>
          <w:p w14:paraId="15A27981" w14:textId="77777777" w:rsidR="00F62FC5" w:rsidRPr="00F62FC5" w:rsidRDefault="00F62FC5" w:rsidP="00F62FC5">
            <w:pPr>
              <w:jc w:val="both"/>
              <w:rPr>
                <w:rFonts w:ascii="Cambria" w:eastAsia="Cambria" w:hAnsi="Cambria" w:cs="Cambria"/>
                <w:bCs/>
                <w:sz w:val="22"/>
                <w:szCs w:val="22"/>
              </w:rPr>
            </w:pPr>
            <w:r w:rsidRPr="00F62FC5">
              <w:rPr>
                <w:rFonts w:ascii="Cambria" w:eastAsia="Cambria" w:hAnsi="Cambria" w:cs="Cambria"/>
                <w:bCs/>
                <w:noProof/>
                <w:sz w:val="22"/>
                <w:szCs w:val="22"/>
                <w:lang w:val="en-US" w:eastAsia="en-US"/>
              </w:rPr>
              <w:drawing>
                <wp:inline distT="0" distB="0" distL="0" distR="0" wp14:anchorId="48349747" wp14:editId="249C6825">
                  <wp:extent cx="2880308" cy="1619250"/>
                  <wp:effectExtent l="0" t="0" r="0" b="0"/>
                  <wp:docPr id="1538264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63527" name="Picture 7227635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1389" cy="1625480"/>
                          </a:xfrm>
                          <a:prstGeom prst="rect">
                            <a:avLst/>
                          </a:prstGeom>
                        </pic:spPr>
                      </pic:pic>
                    </a:graphicData>
                  </a:graphic>
                </wp:inline>
              </w:drawing>
            </w:r>
          </w:p>
        </w:tc>
      </w:tr>
    </w:tbl>
    <w:p w14:paraId="389B3978" w14:textId="643C4870" w:rsidR="009B3F22" w:rsidRDefault="00284CD2" w:rsidP="00F62FC5">
      <w:pPr>
        <w:jc w:val="center"/>
        <w:rPr>
          <w:rFonts w:ascii="Cambria" w:eastAsia="Cambria" w:hAnsi="Cambria" w:cs="Cambria"/>
          <w:b/>
          <w:sz w:val="22"/>
          <w:szCs w:val="22"/>
        </w:rPr>
      </w:pPr>
      <w:r w:rsidRPr="00284CD2">
        <w:rPr>
          <w:rFonts w:ascii="Cambria" w:eastAsia="Cambria" w:hAnsi="Cambria" w:cs="Cambria"/>
          <w:b/>
          <w:sz w:val="22"/>
          <w:szCs w:val="22"/>
        </w:rPr>
        <w:t xml:space="preserve">Figure 2. </w:t>
      </w:r>
      <w:r w:rsidRPr="00284CD2">
        <w:rPr>
          <w:rFonts w:ascii="Cambria" w:eastAsia="Cambria" w:hAnsi="Cambria" w:cs="Cambria"/>
          <w:bCs/>
          <w:sz w:val="22"/>
          <w:szCs w:val="22"/>
        </w:rPr>
        <w:t>Main view of powerpoint game</w:t>
      </w:r>
    </w:p>
    <w:p w14:paraId="03C874A7" w14:textId="77777777" w:rsidR="00284CD2" w:rsidRPr="00F62FC5" w:rsidRDefault="00284CD2" w:rsidP="00F62FC5">
      <w:pPr>
        <w:jc w:val="center"/>
        <w:rPr>
          <w:rFonts w:ascii="Cambria" w:eastAsia="Cambria" w:hAnsi="Cambria" w:cs="Cambria"/>
          <w:bCs/>
          <w:sz w:val="22"/>
          <w:szCs w:val="22"/>
        </w:rPr>
      </w:pPr>
    </w:p>
    <w:p w14:paraId="554926AC" w14:textId="7BC80843" w:rsidR="00F62FC5" w:rsidRDefault="009B3F22" w:rsidP="00F62FC5">
      <w:pPr>
        <w:ind w:firstLine="720"/>
        <w:jc w:val="both"/>
        <w:rPr>
          <w:rFonts w:ascii="Cambria" w:eastAsia="Cambria" w:hAnsi="Cambria" w:cs="Cambria"/>
          <w:bCs/>
          <w:sz w:val="22"/>
          <w:szCs w:val="22"/>
        </w:rPr>
      </w:pPr>
      <w:r w:rsidRPr="009B3F22">
        <w:rPr>
          <w:rFonts w:ascii="Cambria" w:eastAsia="Cambria" w:hAnsi="Cambria" w:cs="Cambria"/>
          <w:bCs/>
          <w:sz w:val="22"/>
          <w:szCs w:val="22"/>
        </w:rPr>
        <w:t>The main screen includes navigation buttons for selecting content. This design follows Sweller's Cognitive Load Theory (2024), which emphasizes the importance of reducing cognitive load through a simple and clear interface. The design concept also aligns with the principles of Universal Design for Learning (Roski et al., 2024), focusing on accessibility and inclusion in learning.</w:t>
      </w:r>
    </w:p>
    <w:p w14:paraId="3514E31B" w14:textId="77777777" w:rsidR="009B3F22" w:rsidRPr="00F62FC5" w:rsidRDefault="009B3F22" w:rsidP="00F62FC5">
      <w:pPr>
        <w:ind w:firstLine="720"/>
        <w:jc w:val="both"/>
        <w:rPr>
          <w:rFonts w:ascii="Cambria" w:eastAsia="Cambria" w:hAnsi="Cambria" w:cs="Cambria"/>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62FC5" w:rsidRPr="00F62FC5" w14:paraId="72C4D991" w14:textId="77777777" w:rsidTr="00EE7E7C">
        <w:tc>
          <w:tcPr>
            <w:tcW w:w="4675" w:type="dxa"/>
          </w:tcPr>
          <w:p w14:paraId="725D74EA" w14:textId="77777777" w:rsidR="00F62FC5" w:rsidRPr="00F62FC5" w:rsidRDefault="00F62FC5" w:rsidP="00F62FC5">
            <w:pPr>
              <w:jc w:val="both"/>
              <w:rPr>
                <w:rFonts w:ascii="Cambria" w:eastAsia="Cambria" w:hAnsi="Cambria" w:cs="Cambria"/>
                <w:bCs/>
                <w:sz w:val="22"/>
                <w:szCs w:val="22"/>
              </w:rPr>
            </w:pPr>
            <w:r w:rsidRPr="00F62FC5">
              <w:rPr>
                <w:rFonts w:ascii="Cambria" w:eastAsia="Cambria" w:hAnsi="Cambria" w:cs="Cambria"/>
                <w:bCs/>
                <w:noProof/>
                <w:sz w:val="22"/>
                <w:szCs w:val="22"/>
                <w:lang w:val="en-US" w:eastAsia="en-US"/>
              </w:rPr>
              <w:drawing>
                <wp:inline distT="0" distB="0" distL="0" distR="0" wp14:anchorId="1F5415C1" wp14:editId="77D35D6F">
                  <wp:extent cx="2733675" cy="1536815"/>
                  <wp:effectExtent l="0" t="0" r="0" b="6350"/>
                  <wp:docPr id="273253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5379" name="Picture 273253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7204" cy="1561286"/>
                          </a:xfrm>
                          <a:prstGeom prst="rect">
                            <a:avLst/>
                          </a:prstGeom>
                        </pic:spPr>
                      </pic:pic>
                    </a:graphicData>
                  </a:graphic>
                </wp:inline>
              </w:drawing>
            </w:r>
          </w:p>
        </w:tc>
        <w:tc>
          <w:tcPr>
            <w:tcW w:w="4675" w:type="dxa"/>
          </w:tcPr>
          <w:p w14:paraId="065B2C73" w14:textId="77777777" w:rsidR="00F62FC5" w:rsidRPr="00F62FC5" w:rsidRDefault="00F62FC5" w:rsidP="00F62FC5">
            <w:pPr>
              <w:jc w:val="both"/>
              <w:rPr>
                <w:rFonts w:ascii="Cambria" w:eastAsia="Cambria" w:hAnsi="Cambria" w:cs="Cambria"/>
                <w:bCs/>
                <w:sz w:val="22"/>
                <w:szCs w:val="22"/>
              </w:rPr>
            </w:pPr>
            <w:r w:rsidRPr="00F62FC5">
              <w:rPr>
                <w:rFonts w:ascii="Cambria" w:eastAsia="Cambria" w:hAnsi="Cambria" w:cs="Cambria"/>
                <w:bCs/>
                <w:noProof/>
                <w:sz w:val="22"/>
                <w:szCs w:val="22"/>
                <w:lang w:val="en-US" w:eastAsia="en-US"/>
              </w:rPr>
              <w:drawing>
                <wp:inline distT="0" distB="0" distL="0" distR="0" wp14:anchorId="02B460BE" wp14:editId="5CEFFE69">
                  <wp:extent cx="2731398" cy="1535537"/>
                  <wp:effectExtent l="0" t="0" r="0" b="7620"/>
                  <wp:docPr id="9446502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650271" name="Picture 94465027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7686" cy="1584047"/>
                          </a:xfrm>
                          <a:prstGeom prst="rect">
                            <a:avLst/>
                          </a:prstGeom>
                        </pic:spPr>
                      </pic:pic>
                    </a:graphicData>
                  </a:graphic>
                </wp:inline>
              </w:drawing>
            </w:r>
          </w:p>
        </w:tc>
      </w:tr>
      <w:tr w:rsidR="00F62FC5" w:rsidRPr="00F62FC5" w14:paraId="57A52FCF" w14:textId="77777777" w:rsidTr="00EE7E7C">
        <w:tc>
          <w:tcPr>
            <w:tcW w:w="4675" w:type="dxa"/>
          </w:tcPr>
          <w:p w14:paraId="75B5A1DC" w14:textId="48678377" w:rsidR="00F62FC5" w:rsidRPr="00F62FC5" w:rsidRDefault="00284CD2" w:rsidP="00284CD2">
            <w:pPr>
              <w:jc w:val="center"/>
              <w:rPr>
                <w:rFonts w:ascii="Cambria" w:eastAsia="Cambria" w:hAnsi="Cambria" w:cs="Cambria"/>
                <w:bCs/>
                <w:sz w:val="22"/>
                <w:szCs w:val="22"/>
              </w:rPr>
            </w:pPr>
            <w:r w:rsidRPr="00284CD2">
              <w:rPr>
                <w:rFonts w:ascii="Cambria" w:eastAsia="Cambria" w:hAnsi="Cambria" w:cs="Cambria"/>
                <w:b/>
                <w:sz w:val="22"/>
                <w:szCs w:val="22"/>
              </w:rPr>
              <w:t xml:space="preserve">Figure 3. </w:t>
            </w:r>
            <w:r w:rsidRPr="00284CD2">
              <w:rPr>
                <w:rFonts w:ascii="Cambria" w:eastAsia="Cambria" w:hAnsi="Cambria" w:cs="Cambria"/>
                <w:bCs/>
                <w:sz w:val="22"/>
                <w:szCs w:val="22"/>
              </w:rPr>
              <w:t>Example of a math challenge</w:t>
            </w:r>
          </w:p>
          <w:p w14:paraId="540F6BC2" w14:textId="77777777" w:rsidR="00F62FC5" w:rsidRPr="00F62FC5" w:rsidRDefault="00F62FC5" w:rsidP="00F62FC5">
            <w:pPr>
              <w:jc w:val="both"/>
              <w:rPr>
                <w:rFonts w:ascii="Cambria" w:eastAsia="Cambria" w:hAnsi="Cambria" w:cs="Cambria"/>
                <w:bCs/>
                <w:sz w:val="22"/>
                <w:szCs w:val="22"/>
              </w:rPr>
            </w:pPr>
          </w:p>
        </w:tc>
        <w:tc>
          <w:tcPr>
            <w:tcW w:w="4675" w:type="dxa"/>
          </w:tcPr>
          <w:p w14:paraId="69F42E68" w14:textId="0320C9C1" w:rsidR="00F62FC5" w:rsidRPr="00F62FC5" w:rsidRDefault="00284CD2" w:rsidP="00284CD2">
            <w:pPr>
              <w:jc w:val="center"/>
              <w:rPr>
                <w:rFonts w:ascii="Cambria" w:eastAsia="Cambria" w:hAnsi="Cambria" w:cs="Cambria"/>
                <w:bCs/>
                <w:sz w:val="22"/>
                <w:szCs w:val="22"/>
              </w:rPr>
            </w:pPr>
            <w:r w:rsidRPr="00284CD2">
              <w:rPr>
                <w:rFonts w:ascii="Cambria" w:eastAsia="Cambria" w:hAnsi="Cambria" w:cs="Cambria"/>
                <w:b/>
                <w:sz w:val="22"/>
                <w:szCs w:val="22"/>
              </w:rPr>
              <w:t xml:space="preserve">Figure 4. </w:t>
            </w:r>
            <w:r w:rsidRPr="00284CD2">
              <w:rPr>
                <w:rFonts w:ascii="Cambria" w:eastAsia="Cambria" w:hAnsi="Cambria" w:cs="Cambria"/>
                <w:bCs/>
                <w:sz w:val="22"/>
                <w:szCs w:val="22"/>
              </w:rPr>
              <w:t>Example of feedback in games</w:t>
            </w:r>
          </w:p>
        </w:tc>
      </w:tr>
    </w:tbl>
    <w:p w14:paraId="772804D8" w14:textId="57DBF2FE" w:rsidR="00F62FC5" w:rsidRPr="00F62FC5" w:rsidRDefault="009B3F22" w:rsidP="00F62FC5">
      <w:pPr>
        <w:ind w:firstLine="720"/>
        <w:jc w:val="both"/>
        <w:rPr>
          <w:rFonts w:ascii="Cambria" w:eastAsia="Cambria" w:hAnsi="Cambria" w:cs="Cambria"/>
          <w:bCs/>
          <w:sz w:val="22"/>
          <w:szCs w:val="22"/>
        </w:rPr>
      </w:pPr>
      <w:r w:rsidRPr="009B3F22">
        <w:rPr>
          <w:rFonts w:ascii="Cambria" w:eastAsia="Cambria" w:hAnsi="Cambria" w:cs="Cambria"/>
          <w:bCs/>
          <w:sz w:val="22"/>
          <w:szCs w:val="22"/>
        </w:rPr>
        <w:t xml:space="preserve">Figure 3 illustrates an example of a case-based mathematics challenge within the game. This challenge is designed to stimulate problem-solving and the application of mathematical concepts. Each challenge is accompanied by interactive feedback, in line with Piaget's Constructivist Learning Theory ( </w:t>
      </w:r>
      <w:r w:rsidR="00284CD2" w:rsidRPr="00284CD2">
        <w:rPr>
          <w:rFonts w:ascii="Cambria" w:eastAsia="Cambria" w:hAnsi="Cambria" w:cs="Cambria"/>
          <w:sz w:val="22"/>
          <w:szCs w:val="22"/>
        </w:rPr>
        <w:t xml:space="preserve">Waite- Stupiansky , 2022 </w:t>
      </w:r>
      <w:r w:rsidRPr="009B3F22">
        <w:rPr>
          <w:rFonts w:ascii="Cambria" w:eastAsia="Cambria" w:hAnsi="Cambria" w:cs="Cambria"/>
          <w:bCs/>
          <w:sz w:val="22"/>
          <w:szCs w:val="22"/>
        </w:rPr>
        <w:t xml:space="preserve">), which emphasizes learning through direct experience and reflection. Research by </w:t>
      </w:r>
      <w:r w:rsidR="00284CD2" w:rsidRPr="00284CD2">
        <w:rPr>
          <w:rFonts w:ascii="Cambria" w:eastAsia="Cambria" w:hAnsi="Cambria" w:cs="Cambria"/>
          <w:sz w:val="22"/>
          <w:szCs w:val="22"/>
        </w:rPr>
        <w:t xml:space="preserve">Hernández-Ramos et al. </w:t>
      </w:r>
      <w:r w:rsidRPr="009B3F22">
        <w:rPr>
          <w:rFonts w:ascii="Cambria" w:eastAsia="Cambria" w:hAnsi="Cambria" w:cs="Cambria"/>
          <w:bCs/>
          <w:sz w:val="22"/>
          <w:szCs w:val="22"/>
        </w:rPr>
        <w:t>(2021) also supports this approach, showing that problem-based learning environments can foster a deeper understanding of concepts.</w:t>
      </w:r>
    </w:p>
    <w:p w14:paraId="554EBAD8" w14:textId="4458A50D" w:rsidR="00F62FC5" w:rsidRPr="00F62FC5" w:rsidRDefault="009B3F22" w:rsidP="00F62FC5">
      <w:pPr>
        <w:ind w:firstLine="720"/>
        <w:jc w:val="both"/>
        <w:rPr>
          <w:rFonts w:ascii="Cambria" w:eastAsia="Cambria" w:hAnsi="Cambria" w:cs="Cambria"/>
          <w:bCs/>
          <w:sz w:val="22"/>
          <w:szCs w:val="22"/>
        </w:rPr>
      </w:pPr>
      <w:r w:rsidRPr="009B3F22">
        <w:rPr>
          <w:rFonts w:ascii="Cambria" w:eastAsia="Cambria" w:hAnsi="Cambria" w:cs="Cambria"/>
          <w:bCs/>
          <w:sz w:val="22"/>
          <w:szCs w:val="22"/>
        </w:rPr>
        <w:t>This game prototype integrates key features such as case-based mathematics challenges, interactive feedback, and gamification elements. Research by Gholami et al. (2021) confirms that case-based learning enhances problem-solving skills by providing relevant context. The game provides immediate feedback after each response, helping students understand their mistakes and improve comprehension. This aligns with the formative assessment principles outlined by Haruna et al. (2021), which demonstrated that effective feedback can significantly improve learning outcomes. An example of the in-game feedback is shown in Figure 4.</w:t>
      </w:r>
    </w:p>
    <w:p w14:paraId="30A7CD00" w14:textId="097F1939" w:rsidR="009B3F22" w:rsidRPr="00F62FC5"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The design and development of this PBL-based PowerPoint game prototype integrates various learning theories and instructional design principles to create a tool that is both engaging and educational. The intuitive interface design and gamification elements, as shown in Figures 3 and 4, are expected to enhance student engagement by making mathematics learning more appealing and relevant. Overall, the design and development phase of this prototype demonstrates that by integrating PBL principles and instructional design theory, the PBL-based PowerPoint game can offer an innovative and effective alternative for improving students' mathematical skills. Further evaluation of this prototype will determine the extent to which the game meets the identified needs.</w:t>
      </w:r>
    </w:p>
    <w:p w14:paraId="11204890" w14:textId="0859399B" w:rsidR="00F62FC5" w:rsidRPr="00F62FC5" w:rsidRDefault="009B3F22" w:rsidP="00F62FC5">
      <w:pPr>
        <w:ind w:firstLine="720"/>
        <w:jc w:val="both"/>
        <w:rPr>
          <w:rFonts w:ascii="Cambria" w:eastAsia="Cambria" w:hAnsi="Cambria" w:cs="Cambria"/>
          <w:bCs/>
          <w:sz w:val="22"/>
          <w:szCs w:val="22"/>
        </w:rPr>
      </w:pPr>
      <w:r w:rsidRPr="009B3F22">
        <w:rPr>
          <w:rFonts w:ascii="Cambria" w:eastAsia="Cambria" w:hAnsi="Cambria" w:cs="Cambria"/>
          <w:bCs/>
          <w:sz w:val="22"/>
          <w:szCs w:val="22"/>
        </w:rPr>
        <w:lastRenderedPageBreak/>
        <w:t xml:space="preserve">After completing the design and development phase of the prototype, the next step is to conduct validation by experts to ensure the quality and suitability of the developed learning media. This validation is carried out by media experts, content experts, and language experts to evaluate the technical aspects, content, and language clarity of the PBL-based PowerPoint game. The results of this validation will provide insights into the feasibility of the game from various perspectives and serve as a basis for further improvements to better meet the identified learning needs. The validation results are presented in Figure </w:t>
      </w:r>
      <w:r w:rsidR="001C2164">
        <w:rPr>
          <w:rFonts w:ascii="Cambria" w:eastAsia="Cambria" w:hAnsi="Cambria" w:cs="Cambria"/>
          <w:bCs/>
          <w:sz w:val="22"/>
          <w:szCs w:val="22"/>
        </w:rPr>
        <w:t>5.</w:t>
      </w:r>
    </w:p>
    <w:p w14:paraId="1E8C825F" w14:textId="77777777" w:rsidR="00F62FC5" w:rsidRPr="00F62FC5" w:rsidRDefault="00F62FC5" w:rsidP="00284CD2">
      <w:pPr>
        <w:jc w:val="center"/>
        <w:rPr>
          <w:rFonts w:ascii="Cambria" w:eastAsia="Cambria" w:hAnsi="Cambria" w:cs="Cambria"/>
          <w:bCs/>
          <w:sz w:val="22"/>
          <w:szCs w:val="22"/>
        </w:rPr>
      </w:pPr>
      <w:r w:rsidRPr="00F62FC5">
        <w:rPr>
          <w:rFonts w:ascii="Cambria" w:eastAsia="Cambria" w:hAnsi="Cambria" w:cs="Cambria"/>
          <w:bCs/>
          <w:noProof/>
          <w:sz w:val="22"/>
          <w:szCs w:val="22"/>
          <w:lang w:val="en-US" w:eastAsia="en-US"/>
        </w:rPr>
        <w:drawing>
          <wp:inline distT="0" distB="0" distL="0" distR="0" wp14:anchorId="7DFFF47C" wp14:editId="5C032C82">
            <wp:extent cx="4895850" cy="2676525"/>
            <wp:effectExtent l="0" t="0" r="0" b="9525"/>
            <wp:docPr id="5916018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8548CD" w14:textId="415D811F" w:rsidR="009B3F22" w:rsidRDefault="00284CD2" w:rsidP="00F62FC5">
      <w:pPr>
        <w:jc w:val="center"/>
        <w:rPr>
          <w:rFonts w:ascii="Cambria" w:eastAsia="Cambria" w:hAnsi="Cambria" w:cs="Cambria"/>
          <w:b/>
          <w:sz w:val="22"/>
          <w:szCs w:val="22"/>
        </w:rPr>
      </w:pPr>
      <w:r w:rsidRPr="00284CD2">
        <w:rPr>
          <w:rFonts w:ascii="Cambria" w:eastAsia="Cambria" w:hAnsi="Cambria" w:cs="Cambria"/>
          <w:b/>
          <w:sz w:val="22"/>
          <w:szCs w:val="22"/>
        </w:rPr>
        <w:t xml:space="preserve">Figure 5. </w:t>
      </w:r>
      <w:r w:rsidRPr="00284CD2">
        <w:rPr>
          <w:rFonts w:ascii="Cambria" w:eastAsia="Cambria" w:hAnsi="Cambria" w:cs="Cambria"/>
          <w:bCs/>
          <w:sz w:val="22"/>
          <w:szCs w:val="22"/>
        </w:rPr>
        <w:t>Results of game validation by media and material experts</w:t>
      </w:r>
    </w:p>
    <w:p w14:paraId="61A7AEC8" w14:textId="77777777" w:rsidR="00284CD2" w:rsidRPr="00F62FC5" w:rsidRDefault="00284CD2" w:rsidP="00F62FC5">
      <w:pPr>
        <w:jc w:val="center"/>
        <w:rPr>
          <w:rFonts w:ascii="Cambria" w:eastAsia="Cambria" w:hAnsi="Cambria" w:cs="Cambria"/>
          <w:bCs/>
          <w:sz w:val="22"/>
          <w:szCs w:val="22"/>
        </w:rPr>
      </w:pPr>
    </w:p>
    <w:p w14:paraId="5C9C39C3" w14:textId="01339555" w:rsidR="009B3F22" w:rsidRPr="009B3F22"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Based on the validation results conducted by content and media experts, it can be concluded that the PBL-based PowerPoint game demonstrates good validity as a learning medium. The aspects that contribute most to the validity score include the relevance and accuracy of the mathematical content, the clarity and appropriateness of the language used, and the interactive and visually engaging media design. These elements ensure that the game aligns with the learning objectives and effectively supports student engagement and understanding. The evaluation from the content expert validators indicates that the game effectively enhances students' understanding of the subject matter, aligns with the learning objectives, and successfully integrates the PBL approach. Suggestions for improvement include increasing the variety of questions and improving the responsiveness of interactive elements for further enhancement. Meanwhile, the assessment from media expert validators reveals that the visual design, technical quality, and innovation presented by the game are commendable. The game was rated as stable without technical issues, featuring an attractive and user-friendly interface for students. The recommendation to improve interactive responsiveness also reflects attention to detail that could enhance the user experience. Therefore, this game can be implemented in problem-based learning in schools, with a few suggested improvements to optimize students' learning experience.</w:t>
      </w:r>
    </w:p>
    <w:p w14:paraId="2E8D095C" w14:textId="2326A088" w:rsidR="00F62FC5" w:rsidRPr="00F62FC5"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Additionally, to ensure that the PBL-based PowerPoint game uses language that is clear, precise, and appropriate for the learning context, a validation was conducted by two language experts. This validation aims to assess the logic, readability, and accuracy of terminology used in the game, ensuring that the material is delivered effectively and is easily understood by students. The validation results from the two language experts regarding the linguistic aspects of the game can be seen in Figure 6.</w:t>
      </w:r>
    </w:p>
    <w:p w14:paraId="14DA37EE" w14:textId="2D7515DE" w:rsidR="009B3F22"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The evaluation results indicate that the linguistic aspects of the game have met most of the expected criteria, although there are still some areas that could be improved. The clarity of the language used in the game is excellent and free from ambiguity. This aligns with the findings of Anggraini et al. (2022), who stated that clear and unambiguous language in educational media enhances the effectiveness of learning and improves students' comprehension of the material presented. Despite receiving a fairly good assessment, further review of certain text sections may be necessary to ensure that all students can easily grasp the messages conveyed in the game.</w:t>
      </w:r>
    </w:p>
    <w:p w14:paraId="71C50CBC" w14:textId="77777777" w:rsidR="00284CD2" w:rsidRPr="00F62FC5" w:rsidRDefault="00284CD2" w:rsidP="00284CD2">
      <w:pPr>
        <w:jc w:val="center"/>
        <w:rPr>
          <w:rFonts w:ascii="Cambria" w:eastAsia="Cambria" w:hAnsi="Cambria" w:cs="Cambria"/>
          <w:bCs/>
          <w:sz w:val="22"/>
          <w:szCs w:val="22"/>
        </w:rPr>
      </w:pPr>
      <w:r w:rsidRPr="00F62FC5">
        <w:rPr>
          <w:rFonts w:ascii="Cambria" w:eastAsia="Cambria" w:hAnsi="Cambria" w:cs="Cambria"/>
          <w:bCs/>
          <w:noProof/>
          <w:sz w:val="22"/>
          <w:szCs w:val="22"/>
          <w:lang w:val="en-US" w:eastAsia="en-US"/>
        </w:rPr>
        <w:lastRenderedPageBreak/>
        <w:drawing>
          <wp:inline distT="0" distB="0" distL="0" distR="0" wp14:anchorId="550D40D1" wp14:editId="15A7D144">
            <wp:extent cx="4743450" cy="3443287"/>
            <wp:effectExtent l="0" t="0" r="0" b="5080"/>
            <wp:docPr id="19885229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01A0881" w14:textId="61729C29" w:rsidR="00284CD2" w:rsidRPr="00284CD2" w:rsidRDefault="00284CD2" w:rsidP="00284CD2">
      <w:pPr>
        <w:ind w:firstLine="720"/>
        <w:jc w:val="center"/>
        <w:rPr>
          <w:rFonts w:ascii="Cambria" w:eastAsia="Cambria" w:hAnsi="Cambria" w:cs="Cambria"/>
          <w:bCs/>
          <w:sz w:val="22"/>
          <w:szCs w:val="22"/>
        </w:rPr>
      </w:pPr>
      <w:r w:rsidRPr="00284CD2">
        <w:rPr>
          <w:rFonts w:ascii="Cambria" w:eastAsia="Cambria" w:hAnsi="Cambria" w:cs="Cambria"/>
          <w:b/>
          <w:sz w:val="22"/>
          <w:szCs w:val="22"/>
        </w:rPr>
        <w:t xml:space="preserve">Figure 6. </w:t>
      </w:r>
      <w:r w:rsidRPr="00284CD2">
        <w:rPr>
          <w:rFonts w:ascii="Cambria" w:eastAsia="Cambria" w:hAnsi="Cambria" w:cs="Cambria"/>
          <w:bCs/>
          <w:sz w:val="22"/>
          <w:szCs w:val="22"/>
        </w:rPr>
        <w:t>Game validation results by language experts</w:t>
      </w:r>
    </w:p>
    <w:p w14:paraId="4A8A0ACE" w14:textId="77777777" w:rsidR="00284CD2" w:rsidRPr="009B3F22" w:rsidRDefault="00284CD2" w:rsidP="00284CD2">
      <w:pPr>
        <w:ind w:firstLine="720"/>
        <w:jc w:val="center"/>
        <w:rPr>
          <w:rFonts w:ascii="Cambria" w:eastAsia="Cambria" w:hAnsi="Cambria" w:cs="Cambria"/>
          <w:bCs/>
          <w:sz w:val="22"/>
          <w:szCs w:val="22"/>
        </w:rPr>
      </w:pPr>
    </w:p>
    <w:p w14:paraId="2FD49BE3" w14:textId="12A05F4F" w:rsidR="00F62FC5" w:rsidRPr="00F62FC5"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The alignment with the educational context has been adapted to the students' comprehension level. This is crucial, as Vygotsky (1978) emphasized that using language appropriate to students' cognitive development helps them construct meaning and deepen their understanding of concepts. Overly complex language can hinder students' ability to understand the material, while language that is too simple may not challenge them sufficiently.</w:t>
      </w:r>
    </w:p>
    <w:p w14:paraId="0A6D1927" w14:textId="45DC1CBC" w:rsidR="00F62FC5" w:rsidRPr="00F62FC5"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The grammatical accuracy in the game is generally adequate, indicating that the grammar usage is largely correct, although there is room for minor improvements. This is important because correct grammar not only helps students better understand the material but also aids them in internalizing appropriate language use in academic contexts (Rahayu et al., 2024). Terminology consistency in the game shows that while the terms used are generally consistent, there are a few sections where the terminology could be further aligned. Consistency in terminology is a key element in educational media, as inconsistent use of terms can cause confusion among students ( bornka &amp; Gani, 2024). The Alignment with learning objectives indicates that, overall, the game successfully delivers the learning content through language that supports students' comprehension. According to Bruner (1966), the language used in educational media should align with the learning objectives being pursued. On the aspect of readability, both validators gave positive assessments. Readability in educational media is crucial to ensure that students can access and comprehend the information without difficulty. Factors such as font size, color contrast, and text layout play important roles in determining readability (El Chidtian &amp; Renzina , 2024).</w:t>
      </w:r>
    </w:p>
    <w:p w14:paraId="0EEFF206" w14:textId="5B919111" w:rsidR="00F62FC5"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In terms of creativity, both validators provided an adequate assessment. This suggests that the language used in the game is quite creative and engaging, although there is room for enhancing the appeal and innovation in language delivery. Creativity in language, particularly in game-based media, can boost student engagement and make learning more enjoyable (Lee, 2019). For the clarity of instructions, both validators gave high marks. Clear and easy-to-understand instructions are key factors in effective educational multimedia (Wei et al., 2018). Overall, the validation results from the two language experts indicate that the game has met most of the expected language standards for PBL-based educational media.</w:t>
      </w:r>
    </w:p>
    <w:p w14:paraId="22705DC5" w14:textId="77777777" w:rsidR="009B3F22"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After the expert validation phase, the PBL-based PowerPoint game was tested with students to gather direct user feedback. This trial aimed to assess their perceptions of various aspects of the game, including design, ease of use, and the relevance of the learning material. The results of this survey will serve as a basis for evaluating student responses and providing input for further improvements.</w:t>
      </w:r>
    </w:p>
    <w:p w14:paraId="21C61C87" w14:textId="4B808B34" w:rsidR="009B3F22" w:rsidRPr="00F62FC5"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lastRenderedPageBreak/>
        <w:t xml:space="preserve">Figure </w:t>
      </w:r>
      <w:r w:rsidR="001C2164">
        <w:rPr>
          <w:rFonts w:ascii="Cambria" w:eastAsia="Cambria" w:hAnsi="Cambria" w:cs="Cambria"/>
          <w:bCs/>
          <w:sz w:val="22"/>
          <w:szCs w:val="22"/>
        </w:rPr>
        <w:t>7 indicates that the game successfully captured students' attention and actively engaged them in the learning process. Active student engagement is key to enhancing their understanding (Munna &amp; Kalam, 2021), especially when students are given opportunities to participate in interactive and collaborative activities. This is further supported by 50% of students who felt that the game helped them collaborate with their peers, reinforcing the idea that social collaboration can improve conceptual understanding (Qureshi et al., 2023). In terms of material comprehension, 47% of students felt that the game helped them understand the material very well, while 39.4% rated it as good. The use of visual and interactive elements in the game can enhance students' understanding of complex concepts (Nurhikmah et al., 2023). Additionally, the application of concepts through gameplay received positive feedback from students, with 50% rating it as very good and 40% rating it as good. This suggests that the game not only aids in understanding theoretical concepts but also facilitates the application of these concepts in practical situations. The following is an overview of the student survey results regarding the tested game.</w:t>
      </w:r>
    </w:p>
    <w:p w14:paraId="48412BAD" w14:textId="77777777" w:rsidR="009B3F22" w:rsidRPr="00F62FC5" w:rsidRDefault="009B3F22" w:rsidP="00284CD2">
      <w:pPr>
        <w:jc w:val="center"/>
        <w:rPr>
          <w:rFonts w:ascii="Cambria" w:eastAsia="Cambria" w:hAnsi="Cambria" w:cs="Cambria"/>
          <w:bCs/>
          <w:sz w:val="22"/>
          <w:szCs w:val="22"/>
        </w:rPr>
      </w:pPr>
      <w:r w:rsidRPr="00F62FC5">
        <w:rPr>
          <w:rFonts w:ascii="Cambria" w:eastAsia="Cambria" w:hAnsi="Cambria" w:cs="Cambria"/>
          <w:bCs/>
          <w:noProof/>
          <w:sz w:val="22"/>
          <w:szCs w:val="22"/>
          <w:lang w:val="en-US" w:eastAsia="en-US"/>
        </w:rPr>
        <w:drawing>
          <wp:inline distT="0" distB="0" distL="0" distR="0" wp14:anchorId="28BE4943" wp14:editId="0AC31C25">
            <wp:extent cx="5414645" cy="3205162"/>
            <wp:effectExtent l="0" t="0" r="14605" b="14605"/>
            <wp:docPr id="5568533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0601A2" w14:textId="66784400" w:rsidR="009B3F22" w:rsidRDefault="00284CD2" w:rsidP="00284CD2">
      <w:pPr>
        <w:jc w:val="center"/>
        <w:rPr>
          <w:rFonts w:ascii="Cambria" w:eastAsia="Cambria" w:hAnsi="Cambria" w:cs="Cambria"/>
          <w:b/>
          <w:sz w:val="22"/>
          <w:szCs w:val="22"/>
        </w:rPr>
      </w:pPr>
      <w:r w:rsidRPr="00284CD2">
        <w:rPr>
          <w:rFonts w:ascii="Cambria" w:eastAsia="Cambria" w:hAnsi="Cambria" w:cs="Cambria"/>
          <w:b/>
          <w:sz w:val="22"/>
          <w:szCs w:val="22"/>
        </w:rPr>
        <w:t xml:space="preserve">Figure 7. </w:t>
      </w:r>
      <w:r w:rsidRPr="00284CD2">
        <w:rPr>
          <w:rFonts w:ascii="Cambria" w:eastAsia="Cambria" w:hAnsi="Cambria" w:cs="Cambria"/>
          <w:bCs/>
          <w:sz w:val="22"/>
          <w:szCs w:val="22"/>
        </w:rPr>
        <w:t>Student response survey results</w:t>
      </w:r>
    </w:p>
    <w:p w14:paraId="78372361" w14:textId="77777777" w:rsidR="00284CD2" w:rsidRDefault="00284CD2" w:rsidP="00284CD2">
      <w:pPr>
        <w:jc w:val="center"/>
        <w:rPr>
          <w:rFonts w:ascii="Cambria" w:eastAsia="Cambria" w:hAnsi="Cambria" w:cs="Cambria"/>
          <w:bCs/>
          <w:sz w:val="22"/>
          <w:szCs w:val="22"/>
        </w:rPr>
      </w:pPr>
    </w:p>
    <w:p w14:paraId="0E5E4CFD" w14:textId="529F0458" w:rsidR="00F62FC5"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 xml:space="preserve">In the aspect of Problem-Solving Skills Development, 65% of students rated the game as very good in training them to think critically when solving problems, while 60% indicated that the game encouraged them to think creatively in finding solutions. This supports previous research showing that problem-based games can enhance students' problem-solving skills by presenting scenarios that require critical and creative thinking ( </w:t>
      </w:r>
      <w:r w:rsidR="00284CD2" w:rsidRPr="00284CD2">
        <w:rPr>
          <w:rFonts w:ascii="Cambria" w:eastAsia="Cambria" w:hAnsi="Cambria" w:cs="Cambria"/>
          <w:sz w:val="22"/>
          <w:szCs w:val="22"/>
        </w:rPr>
        <w:t xml:space="preserve">O'Grady-Jones &amp; Grant, 2023 </w:t>
      </w:r>
      <w:r w:rsidRPr="009B3F22">
        <w:rPr>
          <w:rFonts w:ascii="Cambria" w:eastAsia="Cambria" w:hAnsi="Cambria" w:cs="Cambria"/>
          <w:bCs/>
          <w:sz w:val="22"/>
          <w:szCs w:val="22"/>
        </w:rPr>
        <w:t xml:space="preserve">). The use of a PBL approach in this game helps students develop critical and creative thinking skills, which are essential competencies for the 21st century. Student motivation significantly increased after using the game, with 70% of students rating it very good in terms of boosting their interest in learning. According to ( </w:t>
      </w:r>
      <w:r w:rsidR="00284CD2" w:rsidRPr="00284CD2">
        <w:rPr>
          <w:rFonts w:ascii="Cambria" w:eastAsia="Cambria" w:hAnsi="Cambria" w:cs="Cambria"/>
          <w:sz w:val="22"/>
          <w:szCs w:val="22"/>
        </w:rPr>
        <w:t xml:space="preserve">Cho &amp; Castañeda, 2019 </w:t>
      </w:r>
      <w:r w:rsidRPr="009B3F22">
        <w:rPr>
          <w:rFonts w:ascii="Cambria" w:eastAsia="Cambria" w:hAnsi="Cambria" w:cs="Cambria"/>
          <w:bCs/>
          <w:sz w:val="22"/>
          <w:szCs w:val="22"/>
        </w:rPr>
        <w:t>), students' intrinsic motivation increases when they engage in activities that are both engaging and enjoyable. Additionally, 65% of students reported feeling happy and not bored while learning with this game. This indicates that the PBL-based game successfully created an enjoyable learning environment, which in turn fostered higher learning motivation.</w:t>
      </w:r>
    </w:p>
    <w:p w14:paraId="0549236A" w14:textId="07B6646E" w:rsidR="00F62FC5" w:rsidRDefault="009B3F22" w:rsidP="009B3F22">
      <w:pPr>
        <w:ind w:firstLine="720"/>
        <w:jc w:val="both"/>
        <w:rPr>
          <w:rFonts w:ascii="Cambria" w:eastAsia="Cambria" w:hAnsi="Cambria" w:cs="Cambria"/>
          <w:bCs/>
          <w:sz w:val="22"/>
          <w:szCs w:val="22"/>
        </w:rPr>
      </w:pPr>
      <w:r w:rsidRPr="009B3F22">
        <w:rPr>
          <w:rFonts w:ascii="Cambria" w:eastAsia="Cambria" w:hAnsi="Cambria" w:cs="Cambria"/>
          <w:bCs/>
          <w:sz w:val="22"/>
          <w:szCs w:val="22"/>
        </w:rPr>
        <w:t xml:space="preserve">The visual aspect of the game received excellent ratings, with 75% of students stating that the visuals were engaging and supported learning. Additionally, 70% of students found the game easy to use and not confusing. Ease of use is crucial in technology-based learning, as technical difficulties can distract students from focusing on the material. Overall, the survey results indicate that this PBL-based PowerPoint game successfully enhanced student engagement, material comprehension, problem-solving skills, and learning motivation. These findings support previous research showing that interactive and engaging game-based learning can significantly improve the quality of education ( Videnovik et al., 2020). The use of games in learning not only makes students </w:t>
      </w:r>
      <w:r w:rsidRPr="009B3F22">
        <w:rPr>
          <w:rFonts w:ascii="Cambria" w:eastAsia="Cambria" w:hAnsi="Cambria" w:cs="Cambria"/>
          <w:bCs/>
          <w:sz w:val="22"/>
          <w:szCs w:val="22"/>
        </w:rPr>
        <w:lastRenderedPageBreak/>
        <w:t>more active and motivated but also helps them develop critical and creative thinking skills, which are essential for facing future challenges.</w:t>
      </w:r>
    </w:p>
    <w:p w14:paraId="49E47FB5" w14:textId="5B5212A0" w:rsidR="00062887" w:rsidRDefault="00062887" w:rsidP="009B3F22">
      <w:pPr>
        <w:ind w:firstLine="720"/>
        <w:jc w:val="both"/>
        <w:rPr>
          <w:rFonts w:ascii="Cambria" w:eastAsia="Cambria" w:hAnsi="Cambria" w:cs="Cambria"/>
          <w:bCs/>
          <w:sz w:val="22"/>
          <w:szCs w:val="22"/>
        </w:rPr>
      </w:pPr>
      <w:r w:rsidRPr="00062887">
        <w:rPr>
          <w:rFonts w:ascii="Cambria" w:eastAsia="Cambria" w:hAnsi="Cambria" w:cs="Cambria"/>
          <w:bCs/>
          <w:sz w:val="22"/>
          <w:szCs w:val="22"/>
        </w:rPr>
        <w:t>The PowerPoint-based game " MathQuest " was specifically designed to enhance students' Problem-Based Learning (PBL) skills by integrating engaging, real-world mathematical problems into an interactive learning environment. The game presents scenarios requiring students to analyze, hypothesize, and solve challenges related to arithmetic and geometric sequences and series. For example, one level tasks students with planning the seating arrangement in a theater, requiring them to determine the total number of seats in rows that follow an arithmetic progression. Another level explores geometric series through a real-life scenario, such as calculating the total amount of water conserved in a multi-stage filtration system with diminishing returns. These problem contents simulate real-life situations, encouraging critical thinking and collaborative problem-solving. By providing immediate feedback, hints, and scaffolded problem progression, MathQuest supports students' engagement and fosters their ability to independently explore and resolve mathematical challenges. Research suggests that gamified environments like this can effectively motivate students and enhance their problem-solving skills by integrating active learning and collaboration (Hwang et al., 2019; Amin et al., 2021). The game's interactive elements, such as rewards for solving problems and penalties for incorrect attempts, encourage persistence and deepen understanding of mathematical concepts. This aligns with findings from PBL studies emphasizing the importance of engaging tasks in developing students' analytical and problem-solving skills ( Marcinauskas et al., 2024; Serin, 2023). As a result, MathQuest not only improves students' mastery of arithmetic and geometric sequences and series but also develops transferable PBL skills, preparing them for complex problem-solving in real-world contexts.</w:t>
      </w:r>
    </w:p>
    <w:p w14:paraId="693390A6" w14:textId="30033D6F" w:rsidR="00B26540" w:rsidRDefault="009B3F22" w:rsidP="00F62FC5">
      <w:pPr>
        <w:ind w:firstLine="720"/>
        <w:jc w:val="both"/>
        <w:rPr>
          <w:rFonts w:ascii="Cambria" w:eastAsia="Cambria" w:hAnsi="Cambria" w:cs="Cambria"/>
          <w:bCs/>
          <w:sz w:val="22"/>
          <w:szCs w:val="22"/>
        </w:rPr>
      </w:pPr>
      <w:r w:rsidRPr="009B3F22">
        <w:rPr>
          <w:rFonts w:ascii="Cambria" w:eastAsia="Cambria" w:hAnsi="Cambria" w:cs="Cambria"/>
          <w:bCs/>
          <w:sz w:val="22"/>
          <w:szCs w:val="22"/>
        </w:rPr>
        <w:t>The limitations in the development of the PBL-based PowerPoint game include the constraints of PowerPoint in terms of interactivity and complex animations, as well as performance issues when excessive animations make the file heavy and unresponsive. Additionally, the game has limited capabilities for real-time feedback and automatic student progress tracking, as well as challenges in real-time collaboration and distribution across different devices. To address these limitations, it is recommended to use additional technologies such as VBA or macros to enhance interactivity, minimize excessive animations to keep the file lightweight, and integrate the game into online learning systems (LMS) or cloud-based platforms to facilitate collaboration and student progress tracking.</w:t>
      </w:r>
    </w:p>
    <w:p w14:paraId="1CAB0AC8" w14:textId="4D33AD07" w:rsidR="00062887" w:rsidRPr="00F62FC5" w:rsidRDefault="00062887" w:rsidP="00F62FC5">
      <w:pPr>
        <w:ind w:firstLine="720"/>
        <w:jc w:val="both"/>
        <w:rPr>
          <w:rFonts w:ascii="Cambria" w:eastAsia="Cambria" w:hAnsi="Cambria" w:cs="Cambria"/>
          <w:bCs/>
          <w:sz w:val="22"/>
          <w:szCs w:val="22"/>
        </w:rPr>
      </w:pPr>
      <w:r w:rsidRPr="00062887">
        <w:rPr>
          <w:rFonts w:ascii="Cambria" w:eastAsia="Cambria" w:hAnsi="Cambria" w:cs="Cambria"/>
          <w:bCs/>
          <w:sz w:val="22"/>
          <w:szCs w:val="22"/>
        </w:rPr>
        <w:t>Despite these limitations, the contribution of this development research lies in demonstrating the potential of using PowerPoint, a widely accessible and easy-to-use tool, as a platform for creating interactive and educational games. This research provides a practical and cost-effective solution for integrating Problem-Based Learning (PBL) into classroom activities, particularly in contexts with limited access to advanced educational technologies. Furthermore, the development and validation processes outlined in this study offer a systematic framework that can be adapted by educators and researchers to design similar instructional media. By focusing on arithmetic and geometric sequences and series, this game serves as a concrete example of how abstract mathematical concepts can be transformed into engaging, real-world problem-solving scenarios, thus contributing to the improvement of students' mathematical problem-solving skills and fostering transferable PBL abilities.</w:t>
      </w:r>
    </w:p>
    <w:p w14:paraId="76B69D0A" w14:textId="77777777" w:rsidR="00F62FC5" w:rsidRDefault="00F62FC5">
      <w:pPr>
        <w:spacing w:after="120"/>
        <w:jc w:val="center"/>
        <w:rPr>
          <w:rFonts w:ascii="Cambria" w:eastAsia="Cambria" w:hAnsi="Cambria" w:cs="Cambria"/>
          <w:b/>
          <w:color w:val="000000"/>
          <w:sz w:val="22"/>
          <w:szCs w:val="22"/>
        </w:rPr>
      </w:pPr>
    </w:p>
    <w:p w14:paraId="7A411621" w14:textId="61E058AC" w:rsidR="00B26540" w:rsidRDefault="005107AA">
      <w:pPr>
        <w:spacing w:after="120"/>
        <w:jc w:val="center"/>
        <w:rPr>
          <w:rFonts w:ascii="Cambria" w:eastAsia="Cambria" w:hAnsi="Cambria" w:cs="Cambria"/>
          <w:b/>
          <w:color w:val="000000"/>
          <w:sz w:val="22"/>
          <w:szCs w:val="22"/>
        </w:rPr>
      </w:pPr>
      <w:r>
        <w:rPr>
          <w:rFonts w:ascii="Cambria" w:eastAsia="Cambria" w:hAnsi="Cambria" w:cs="Cambria"/>
          <w:b/>
          <w:color w:val="000000"/>
          <w:sz w:val="22"/>
          <w:szCs w:val="22"/>
        </w:rPr>
        <w:t>CONCLUSION</w:t>
      </w:r>
    </w:p>
    <w:p w14:paraId="165DC436" w14:textId="2ED594BC" w:rsidR="00210D56" w:rsidRPr="00210D56" w:rsidRDefault="00210D56" w:rsidP="00210D56">
      <w:pPr>
        <w:spacing w:before="240" w:after="120"/>
        <w:jc w:val="both"/>
        <w:rPr>
          <w:rFonts w:ascii="Cambria" w:eastAsia="Cambria" w:hAnsi="Cambria" w:cs="Cambria"/>
          <w:sz w:val="22"/>
          <w:szCs w:val="22"/>
        </w:rPr>
      </w:pPr>
      <w:r w:rsidRPr="00210D56">
        <w:rPr>
          <w:rFonts w:ascii="Cambria" w:eastAsia="Cambria" w:hAnsi="Cambria" w:cs="Cambria"/>
          <w:sz w:val="22"/>
          <w:szCs w:val="22"/>
        </w:rPr>
        <w:t>The development of the PowerPoint-based Problem-Based Learning (PBL) game " MathQuest " demonstrates strong validity, practicality, and effectiveness as a learning medium for enhancing students' mathematical problem-solving skills and motivation. Validation results from experts showed high scores in content (91%), media design (89%), and language clarity (92%), indicating that the game is "very valid" and suitable for use without significant revisions. Feedback from 33 tenth-grade students provided a practicality score of 85%, reflecting the game's ease of use, engagement, and integration into classroom activities. Additionally, 70% of students reported increased motivation and engagement during the learning process.</w:t>
      </w:r>
    </w:p>
    <w:p w14:paraId="46C48DA6" w14:textId="263D0F21" w:rsidR="009D19D0" w:rsidRPr="00F62FC5" w:rsidRDefault="00210D56" w:rsidP="00210D56">
      <w:pPr>
        <w:spacing w:before="240" w:after="120"/>
        <w:jc w:val="both"/>
        <w:rPr>
          <w:rFonts w:ascii="Cambria" w:eastAsia="Cambria" w:hAnsi="Cambria" w:cs="Cambria"/>
          <w:sz w:val="22"/>
          <w:szCs w:val="22"/>
        </w:rPr>
      </w:pPr>
      <w:r w:rsidRPr="00210D56">
        <w:rPr>
          <w:rFonts w:ascii="Cambria" w:eastAsia="Cambria" w:hAnsi="Cambria" w:cs="Cambria"/>
          <w:sz w:val="22"/>
          <w:szCs w:val="22"/>
        </w:rPr>
        <w:lastRenderedPageBreak/>
        <w:t>This study highlights the potential of using a widely accessible tool like PowerPoint to create innovative and effective educational games. The integration of interactive elements, real-world problem-solving scenarios, and gamification ensures that the game is both engaging and educational. Key features, such as immediate feedback, a variety of problem types, and group play options, further enhance its practicality and applicability. MathQuest offers a viable alternative for improving students' mathematical skills while fostering Problem-Based Learning abilities, making it a valuable tool for classroom implementation. Future research is encouraged to explore the game's application to other mathematical topics and improve its interactivity by integrating it with online learning systems or cloud-based platforms.</w:t>
      </w:r>
    </w:p>
    <w:p w14:paraId="0E000395" w14:textId="0AFFA21E" w:rsidR="00B26540" w:rsidRDefault="005107AA">
      <w:pPr>
        <w:spacing w:before="240" w:after="120"/>
        <w:jc w:val="center"/>
        <w:rPr>
          <w:rFonts w:ascii="Cambria" w:eastAsia="Cambria" w:hAnsi="Cambria" w:cs="Cambria"/>
          <w:b/>
          <w:color w:val="000000"/>
          <w:sz w:val="22"/>
          <w:szCs w:val="22"/>
        </w:rPr>
      </w:pPr>
      <w:r>
        <w:rPr>
          <w:rFonts w:ascii="Cambria" w:eastAsia="Cambria" w:hAnsi="Cambria" w:cs="Cambria"/>
          <w:b/>
          <w:color w:val="000000"/>
          <w:sz w:val="22"/>
          <w:szCs w:val="22"/>
        </w:rPr>
        <w:t>Acknowledgement</w:t>
      </w:r>
    </w:p>
    <w:p w14:paraId="31963682" w14:textId="6CAB7714" w:rsidR="00B26540" w:rsidRDefault="00F62FC5">
      <w:pPr>
        <w:ind w:firstLine="567"/>
        <w:jc w:val="both"/>
        <w:rPr>
          <w:rFonts w:ascii="Cambria" w:eastAsia="Cambria" w:hAnsi="Cambria" w:cs="Cambria"/>
          <w:color w:val="000000"/>
          <w:sz w:val="22"/>
          <w:szCs w:val="22"/>
        </w:rPr>
      </w:pPr>
      <w:r w:rsidRPr="00F62FC5">
        <w:rPr>
          <w:rFonts w:ascii="Cambria" w:eastAsia="Cambria" w:hAnsi="Cambria" w:cs="Cambria"/>
          <w:color w:val="000000"/>
          <w:sz w:val="22"/>
          <w:szCs w:val="22"/>
        </w:rPr>
        <w:t>This research is part of a master's thesis conducted as a requirement for obtaining a Master of Education degree. The author would like to express gratitude to the Directorate of Research, Technology, and Community Service (DRTPM) of the Ministry of Education, Culture, Research, and Technology ( Kemendikbudristek Dikti ) for funding this research. Special thanks are also extended to the experts and students who participated in the validation process and the prototype testing of the game. Their assistance, guidance, and support greatly contributed to the smooth execution and success of this research.</w:t>
      </w:r>
    </w:p>
    <w:p w14:paraId="702ACB7B" w14:textId="77777777" w:rsidR="009D19D0" w:rsidRDefault="009D19D0">
      <w:pPr>
        <w:ind w:firstLine="567"/>
        <w:jc w:val="both"/>
        <w:rPr>
          <w:rFonts w:ascii="Cambria" w:eastAsia="Cambria" w:hAnsi="Cambria" w:cs="Cambria"/>
          <w:color w:val="000000"/>
          <w:sz w:val="22"/>
          <w:szCs w:val="22"/>
        </w:rPr>
      </w:pPr>
    </w:p>
    <w:p w14:paraId="6AB5E8B9" w14:textId="77777777" w:rsidR="00B26540" w:rsidRDefault="00B26540">
      <w:pPr>
        <w:rPr>
          <w:rFonts w:ascii="Cambria" w:eastAsia="Cambria" w:hAnsi="Cambria" w:cs="Cambria"/>
          <w:color w:val="000000"/>
          <w:sz w:val="22"/>
          <w:szCs w:val="22"/>
        </w:rPr>
      </w:pPr>
    </w:p>
    <w:p w14:paraId="5FADF6B1" w14:textId="77777777" w:rsidR="00B26540" w:rsidRDefault="005107AA">
      <w:pPr>
        <w:spacing w:after="240"/>
        <w:jc w:val="center"/>
        <w:rPr>
          <w:rFonts w:ascii="Cambria" w:eastAsia="Cambria" w:hAnsi="Cambria" w:cs="Cambria"/>
          <w:b/>
          <w:color w:val="000000"/>
        </w:rPr>
      </w:pPr>
      <w:r>
        <w:rPr>
          <w:rFonts w:ascii="Cambria" w:eastAsia="Cambria" w:hAnsi="Cambria" w:cs="Cambria"/>
          <w:b/>
          <w:color w:val="000000"/>
        </w:rPr>
        <w:t>AUTHOR CONTRIBUTIONS STATEMENT</w:t>
      </w:r>
    </w:p>
    <w:p w14:paraId="2FDDDD50" w14:textId="61C7FF1F" w:rsidR="00B26540" w:rsidRDefault="009D19D0">
      <w:pPr>
        <w:ind w:firstLine="567"/>
        <w:jc w:val="both"/>
        <w:rPr>
          <w:rFonts w:ascii="Cambria" w:eastAsia="Cambria" w:hAnsi="Cambria" w:cs="Cambria"/>
          <w:sz w:val="22"/>
          <w:szCs w:val="22"/>
        </w:rPr>
      </w:pPr>
      <w:r w:rsidRPr="009D19D0">
        <w:rPr>
          <w:rFonts w:ascii="Cambria" w:eastAsia="Cambria" w:hAnsi="Cambria" w:cs="Cambria"/>
          <w:sz w:val="22"/>
          <w:szCs w:val="22"/>
        </w:rPr>
        <w:t>RS, NM, and IS contributed to the conception and design of the study. RS performed the data collection and analysis, while NM and IS provided input on the methodology and contributed to the interpretation of the results. GD was responsible for the linguistic review and proofreading of the manuscript. All authors read and approved the final version of the manuscript.</w:t>
      </w:r>
    </w:p>
    <w:p w14:paraId="765F0CD8" w14:textId="77777777" w:rsidR="009D19D0" w:rsidRDefault="009D19D0">
      <w:pPr>
        <w:spacing w:before="240" w:after="240"/>
        <w:jc w:val="center"/>
        <w:rPr>
          <w:rFonts w:ascii="Cambria" w:eastAsia="Cambria" w:hAnsi="Cambria" w:cs="Cambria"/>
          <w:b/>
          <w:color w:val="000000"/>
        </w:rPr>
      </w:pPr>
    </w:p>
    <w:p w14:paraId="6D8006F3" w14:textId="19E4B777" w:rsidR="00B26540" w:rsidRDefault="005107AA">
      <w:pPr>
        <w:spacing w:before="240" w:after="240"/>
        <w:jc w:val="center"/>
        <w:rPr>
          <w:rFonts w:ascii="Cambria" w:eastAsia="Cambria" w:hAnsi="Cambria" w:cs="Cambria"/>
          <w:b/>
          <w:color w:val="000000"/>
        </w:rPr>
      </w:pPr>
      <w:r>
        <w:rPr>
          <w:rFonts w:ascii="Cambria" w:eastAsia="Cambria" w:hAnsi="Cambria" w:cs="Cambria"/>
          <w:b/>
          <w:color w:val="000000"/>
        </w:rPr>
        <w:t>REFERENCES</w:t>
      </w:r>
    </w:p>
    <w:p w14:paraId="658D5EF8" w14:textId="5A2B5693" w:rsidR="000605E2" w:rsidRPr="001854AE" w:rsidRDefault="000605E2" w:rsidP="00F62FC5">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Ahmed, I., &amp; Mikail, M. (2022). Interactive instructor for a synergistic student-centered and personalized teaching: A biosocial approach. </w:t>
      </w:r>
      <w:r w:rsidRPr="001854AE">
        <w:rPr>
          <w:rFonts w:ascii="Cambria" w:eastAsia="Cambria" w:hAnsi="Cambria" w:cs="Cambria"/>
          <w:i/>
          <w:iCs/>
          <w:sz w:val="22"/>
          <w:szCs w:val="22"/>
        </w:rPr>
        <w:t xml:space="preserve">Education and Urban Society </w:t>
      </w:r>
      <w:r w:rsidRPr="001854AE">
        <w:rPr>
          <w:rFonts w:ascii="Cambria" w:eastAsia="Cambria" w:hAnsi="Cambria" w:cs="Cambria"/>
          <w:sz w:val="22"/>
          <w:szCs w:val="22"/>
        </w:rPr>
        <w:t>, 55, 996 - 1018.</w:t>
      </w:r>
    </w:p>
    <w:p w14:paraId="1A4F0C4E" w14:textId="7D3E9955" w:rsidR="00F62FC5" w:rsidRPr="001854AE" w:rsidRDefault="00F62FC5" w:rsidP="00F62FC5">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Anggraini , F., Frima, A., &amp; Valen, A. (2022). Development sheet work on learning thematic based on wisdom local student school basic . </w:t>
      </w:r>
      <w:r w:rsidRPr="001854AE">
        <w:rPr>
          <w:rFonts w:ascii="Cambria" w:eastAsia="Cambria" w:hAnsi="Cambria" w:cs="Cambria"/>
          <w:i/>
          <w:iCs/>
          <w:sz w:val="22"/>
          <w:szCs w:val="22"/>
        </w:rPr>
        <w:t xml:space="preserve">Journal Basicedu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6 </w:t>
      </w:r>
      <w:r w:rsidRPr="001854AE">
        <w:rPr>
          <w:rFonts w:ascii="Cambria" w:eastAsia="Cambria" w:hAnsi="Cambria" w:cs="Cambria"/>
          <w:sz w:val="22"/>
          <w:szCs w:val="22"/>
        </w:rPr>
        <w:t>(2), 2883-2891.</w:t>
      </w:r>
      <w:r w:rsidRPr="001854AE">
        <w:rPr>
          <w:rFonts w:ascii="Cambria" w:eastAsia="Cambria" w:hAnsi="Cambria" w:cs="Cambria"/>
          <w:b/>
          <w:bCs/>
          <w:sz w:val="22"/>
          <w:szCs w:val="22"/>
        </w:rPr>
        <w:t xml:space="preserve"> </w:t>
      </w:r>
    </w:p>
    <w:p w14:paraId="10901842" w14:textId="4D9E83C1" w:rsidR="00F62FC5" w:rsidRPr="001854AE" w:rsidRDefault="00F62FC5" w:rsidP="00F62FC5">
      <w:pPr>
        <w:ind w:left="540" w:hanging="540"/>
        <w:jc w:val="both"/>
        <w:rPr>
          <w:rFonts w:ascii="Cambria" w:eastAsia="Cambria" w:hAnsi="Cambria" w:cs="Cambria"/>
          <w:b/>
          <w:bCs/>
          <w:sz w:val="22"/>
          <w:szCs w:val="22"/>
        </w:rPr>
      </w:pPr>
      <w:r w:rsidRPr="001854AE">
        <w:rPr>
          <w:rFonts w:ascii="Cambria" w:eastAsia="Cambria" w:hAnsi="Cambria" w:cs="Cambria"/>
          <w:sz w:val="22"/>
          <w:szCs w:val="22"/>
        </w:rPr>
        <w:t>Amin, A., Degeng , I., Setyosari , P., &amp; Djatmika , E. (2021). The effectiveness of mobile blended</w:t>
      </w:r>
      <w:r w:rsidR="009D19D0" w:rsidRPr="001854AE">
        <w:rPr>
          <w:rFonts w:ascii="Cambria" w:eastAsia="Cambria" w:hAnsi="Cambria" w:cs="Cambria"/>
          <w:b/>
          <w:bCs/>
          <w:sz w:val="22"/>
          <w:szCs w:val="22"/>
        </w:rPr>
        <w:t xml:space="preserve"> </w:t>
      </w:r>
      <w:r w:rsidR="009D19D0" w:rsidRPr="001854AE">
        <w:rPr>
          <w:rFonts w:ascii="Cambria" w:eastAsia="Cambria" w:hAnsi="Cambria" w:cs="Cambria"/>
          <w:sz w:val="22"/>
          <w:szCs w:val="22"/>
        </w:rPr>
        <w:t xml:space="preserve">problem-based learning on mathematical problem solving. </w:t>
      </w:r>
      <w:r w:rsidRPr="001854AE">
        <w:rPr>
          <w:rFonts w:ascii="Cambria" w:eastAsia="Cambria" w:hAnsi="Cambria" w:cs="Cambria"/>
          <w:i/>
          <w:iCs/>
          <w:sz w:val="22"/>
          <w:szCs w:val="22"/>
        </w:rPr>
        <w:t xml:space="preserve">Int. J. Interact. Mob. Technol. </w:t>
      </w:r>
      <w:r w:rsidRPr="001854AE">
        <w:rPr>
          <w:rFonts w:ascii="Cambria" w:eastAsia="Cambria" w:hAnsi="Cambria" w:cs="Cambria"/>
          <w:sz w:val="22"/>
          <w:szCs w:val="22"/>
        </w:rPr>
        <w:t>, 15, 119-141.</w:t>
      </w:r>
    </w:p>
    <w:p w14:paraId="5605086D" w14:textId="4EF80C5A"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Anggraeni , DM, Prahani , BK, Suprapto , N., Shofiyah , N., &amp; Jatmiko , B. (2023a). Systematic review of problem-based learning research in fostering critical thinking skills. </w:t>
      </w:r>
      <w:r w:rsidRPr="001854AE">
        <w:rPr>
          <w:rFonts w:ascii="Cambria" w:eastAsia="Cambria" w:hAnsi="Cambria" w:cs="Cambria"/>
          <w:i/>
          <w:iCs/>
          <w:sz w:val="22"/>
          <w:szCs w:val="22"/>
        </w:rPr>
        <w:t xml:space="preserve">Thinking Skills and Creativity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49 </w:t>
      </w:r>
      <w:r w:rsidRPr="001854AE">
        <w:rPr>
          <w:rFonts w:ascii="Cambria" w:eastAsia="Cambria" w:hAnsi="Cambria" w:cs="Cambria"/>
          <w:sz w:val="22"/>
          <w:szCs w:val="22"/>
        </w:rPr>
        <w:t>, 101334.</w:t>
      </w:r>
    </w:p>
    <w:p w14:paraId="2DA82E45" w14:textId="611C340E" w:rsidR="00284CD2" w:rsidRPr="001854AE" w:rsidRDefault="00F62FC5" w:rsidP="00284CD2">
      <w:pPr>
        <w:ind w:left="540" w:hanging="540"/>
        <w:jc w:val="both"/>
        <w:rPr>
          <w:rFonts w:ascii="Cambria" w:eastAsia="Cambria" w:hAnsi="Cambria" w:cs="Cambria"/>
          <w:i/>
          <w:iCs/>
          <w:sz w:val="22"/>
          <w:szCs w:val="22"/>
        </w:rPr>
      </w:pPr>
      <w:r w:rsidRPr="001854AE">
        <w:rPr>
          <w:rFonts w:ascii="Cambria" w:eastAsia="Cambria" w:hAnsi="Cambria" w:cs="Cambria"/>
          <w:sz w:val="22"/>
          <w:szCs w:val="22"/>
        </w:rPr>
        <w:t xml:space="preserve">Anggraeni , E., Kriswandani , K., Deswita , Y., &amp; Robithoh , S. (2023b). The influence of assisted problem-based learning models powerpoint interactive integrated Geogebra to ability breakdown problem mathematical . </w:t>
      </w:r>
      <w:r w:rsidR="009D19D0" w:rsidRPr="001854AE">
        <w:rPr>
          <w:rFonts w:ascii="Cambria" w:eastAsia="Cambria" w:hAnsi="Cambria" w:cs="Cambria"/>
          <w:i/>
          <w:iCs/>
          <w:sz w:val="22"/>
          <w:szCs w:val="22"/>
        </w:rPr>
        <w:t>Lebesgue Journal : Journal Scientific Mathematics Education , Mathematics and Statistics , 4(1), 432-445.</w:t>
      </w:r>
    </w:p>
    <w:p w14:paraId="2EC839F7" w14:textId="68062618" w:rsidR="00EF2004" w:rsidRPr="001854AE" w:rsidRDefault="00EF2004" w:rsidP="00EF2004">
      <w:pPr>
        <w:ind w:left="540" w:hanging="540"/>
        <w:jc w:val="both"/>
        <w:rPr>
          <w:rFonts w:ascii="Cambria" w:eastAsia="Cambria" w:hAnsi="Cambria" w:cs="Cambria"/>
          <w:sz w:val="22"/>
          <w:szCs w:val="22"/>
        </w:rPr>
      </w:pPr>
      <w:r w:rsidRPr="00EF2004">
        <w:rPr>
          <w:rFonts w:ascii="Cambria" w:eastAsia="Cambria" w:hAnsi="Cambria" w:cs="Cambria"/>
          <w:sz w:val="22"/>
          <w:szCs w:val="22"/>
        </w:rPr>
        <w:t xml:space="preserve">Anugerah , AS, Husnah, A., Suryanti , S., Asmal, M., &amp; Arsid , I. (2024). Profile error student in finish function limit problem algebra in students sman 6 bone. </w:t>
      </w:r>
      <w:r w:rsidRPr="00EF2004">
        <w:rPr>
          <w:rFonts w:ascii="Cambria" w:eastAsia="Cambria" w:hAnsi="Cambria" w:cs="Cambria"/>
          <w:i/>
          <w:iCs/>
          <w:sz w:val="22"/>
          <w:szCs w:val="22"/>
        </w:rPr>
        <w:t xml:space="preserve">ELIPS: Journal of Mathematics Education </w:t>
      </w:r>
      <w:r w:rsidRPr="00EF2004">
        <w:rPr>
          <w:rFonts w:ascii="Cambria" w:eastAsia="Cambria" w:hAnsi="Cambria" w:cs="Cambria"/>
          <w:sz w:val="22"/>
          <w:szCs w:val="22"/>
        </w:rPr>
        <w:t xml:space="preserve">, </w:t>
      </w:r>
      <w:r w:rsidRPr="00EF2004">
        <w:rPr>
          <w:rFonts w:ascii="Cambria" w:eastAsia="Cambria" w:hAnsi="Cambria" w:cs="Cambria"/>
          <w:i/>
          <w:iCs/>
          <w:sz w:val="22"/>
          <w:szCs w:val="22"/>
        </w:rPr>
        <w:t xml:space="preserve">5 </w:t>
      </w:r>
      <w:r w:rsidRPr="00EF2004">
        <w:rPr>
          <w:rFonts w:ascii="Cambria" w:eastAsia="Cambria" w:hAnsi="Cambria" w:cs="Cambria"/>
          <w:sz w:val="22"/>
          <w:szCs w:val="22"/>
        </w:rPr>
        <w:t>(1), 89-98.</w:t>
      </w:r>
    </w:p>
    <w:p w14:paraId="574CE305" w14:textId="316B70A1" w:rsidR="00EF2004" w:rsidRPr="001854AE" w:rsidRDefault="00EF2004"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Asri, K., Saragih , DAS, Ainun , N., Fahmi, CN, &amp; Sulastri, R. (2024). Analysis error understanding draft material form algebra in students class VII of SMP Negeri 14 Banda Aceh . </w:t>
      </w:r>
      <w:r w:rsidRPr="001854AE">
        <w:rPr>
          <w:rFonts w:ascii="Cambria" w:eastAsia="Cambria" w:hAnsi="Cambria" w:cs="Cambria"/>
          <w:i/>
          <w:iCs/>
          <w:sz w:val="22"/>
          <w:szCs w:val="22"/>
        </w:rPr>
        <w:t xml:space="preserve">PERISAI: Journal of Science Education and Research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3 </w:t>
      </w:r>
      <w:r w:rsidRPr="001854AE">
        <w:rPr>
          <w:rFonts w:ascii="Cambria" w:eastAsia="Cambria" w:hAnsi="Cambria" w:cs="Cambria"/>
          <w:sz w:val="22"/>
          <w:szCs w:val="22"/>
        </w:rPr>
        <w:t>(2), 256-267.</w:t>
      </w:r>
    </w:p>
    <w:p w14:paraId="2E8B04D7" w14:textId="7C83CC76" w:rsidR="004B5EC2" w:rsidRPr="001854AE" w:rsidRDefault="004B5EC2"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Bang, H. J., Li, L., &amp; Flynn, K. (2023). Efficacy of an adaptive game-based math learning app to support personalized learning and improve early elementary school students' learning. </w:t>
      </w:r>
      <w:r w:rsidRPr="001854AE">
        <w:rPr>
          <w:rFonts w:ascii="Cambria" w:eastAsia="Cambria" w:hAnsi="Cambria" w:cs="Cambria"/>
          <w:i/>
          <w:iCs/>
          <w:sz w:val="22"/>
          <w:szCs w:val="22"/>
        </w:rPr>
        <w:t xml:space="preserve">Early Childhood Education Journal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51 </w:t>
      </w:r>
      <w:r w:rsidRPr="001854AE">
        <w:rPr>
          <w:rFonts w:ascii="Cambria" w:eastAsia="Cambria" w:hAnsi="Cambria" w:cs="Cambria"/>
          <w:sz w:val="22"/>
          <w:szCs w:val="22"/>
        </w:rPr>
        <w:t>(4), 717-732.</w:t>
      </w:r>
    </w:p>
    <w:p w14:paraId="6E5157A3" w14:textId="77777777"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lastRenderedPageBreak/>
        <w:t xml:space="preserve">Bruner, J. S. (1966). </w:t>
      </w:r>
      <w:r w:rsidRPr="001854AE">
        <w:rPr>
          <w:rFonts w:ascii="Cambria" w:eastAsia="Cambria" w:hAnsi="Cambria" w:cs="Cambria"/>
          <w:i/>
          <w:iCs/>
          <w:sz w:val="22"/>
          <w:szCs w:val="22"/>
        </w:rPr>
        <w:t xml:space="preserve">Toward a theory of instruction </w:t>
      </w:r>
      <w:r w:rsidRPr="001854AE">
        <w:rPr>
          <w:rFonts w:ascii="Cambria" w:eastAsia="Cambria" w:hAnsi="Cambria" w:cs="Cambria"/>
          <w:sz w:val="22"/>
          <w:szCs w:val="22"/>
        </w:rPr>
        <w:t>. Harvard University Press.</w:t>
      </w:r>
    </w:p>
    <w:p w14:paraId="6F766671" w14:textId="4CD701C0" w:rsidR="00EF2004" w:rsidRPr="001854AE" w:rsidRDefault="00EF2004" w:rsidP="00EF2004">
      <w:pPr>
        <w:ind w:left="540" w:hanging="540"/>
        <w:jc w:val="both"/>
        <w:rPr>
          <w:rFonts w:ascii="Cambria" w:eastAsia="Cambria" w:hAnsi="Cambria" w:cs="Cambria"/>
          <w:sz w:val="22"/>
          <w:szCs w:val="22"/>
        </w:rPr>
      </w:pPr>
      <w:r w:rsidRPr="00EF2004">
        <w:rPr>
          <w:rFonts w:ascii="Cambria" w:eastAsia="Cambria" w:hAnsi="Cambria" w:cs="Cambria"/>
          <w:sz w:val="22"/>
          <w:szCs w:val="22"/>
        </w:rPr>
        <w:t xml:space="preserve">Burke, A., &amp; Stewart, S. (2024). Learning problem solving to manage school-life challenges: The impact on student success in college. </w:t>
      </w:r>
      <w:r w:rsidRPr="00EF2004">
        <w:rPr>
          <w:rFonts w:ascii="Cambria" w:eastAsia="Cambria" w:hAnsi="Cambria" w:cs="Cambria"/>
          <w:i/>
          <w:iCs/>
          <w:sz w:val="22"/>
          <w:szCs w:val="22"/>
        </w:rPr>
        <w:t xml:space="preserve">Active Learning in Higher Education </w:t>
      </w:r>
      <w:r w:rsidRPr="00EF2004">
        <w:rPr>
          <w:rFonts w:ascii="Cambria" w:eastAsia="Cambria" w:hAnsi="Cambria" w:cs="Cambria"/>
          <w:sz w:val="22"/>
          <w:szCs w:val="22"/>
        </w:rPr>
        <w:t xml:space="preserve">, </w:t>
      </w:r>
      <w:r w:rsidRPr="00EF2004">
        <w:rPr>
          <w:rFonts w:ascii="Cambria" w:eastAsia="Cambria" w:hAnsi="Cambria" w:cs="Cambria"/>
          <w:i/>
          <w:iCs/>
          <w:sz w:val="22"/>
          <w:szCs w:val="22"/>
        </w:rPr>
        <w:t xml:space="preserve">25 </w:t>
      </w:r>
      <w:r w:rsidRPr="00EF2004">
        <w:rPr>
          <w:rFonts w:ascii="Cambria" w:eastAsia="Cambria" w:hAnsi="Cambria" w:cs="Cambria"/>
          <w:sz w:val="22"/>
          <w:szCs w:val="22"/>
        </w:rPr>
        <w:t>(2), 169-183.</w:t>
      </w:r>
    </w:p>
    <w:p w14:paraId="1FF02168" w14:textId="4D91C7FF"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Chang, C., Chung, C., &amp; Chang, J. (2020). Influence of problem-based learning games on effective computer programming learning in higher education. </w:t>
      </w:r>
      <w:r w:rsidRPr="001854AE">
        <w:rPr>
          <w:rFonts w:ascii="Cambria" w:eastAsia="Cambria" w:hAnsi="Cambria" w:cs="Cambria"/>
          <w:i/>
          <w:iCs/>
          <w:sz w:val="22"/>
          <w:szCs w:val="22"/>
        </w:rPr>
        <w:t xml:space="preserve">Educational Technology Research and Development </w:t>
      </w:r>
      <w:r w:rsidRPr="001854AE">
        <w:rPr>
          <w:rFonts w:ascii="Cambria" w:eastAsia="Cambria" w:hAnsi="Cambria" w:cs="Cambria"/>
          <w:sz w:val="22"/>
          <w:szCs w:val="22"/>
        </w:rPr>
        <w:t xml:space="preserve">, </w:t>
      </w:r>
      <w:r w:rsidR="009D19D0" w:rsidRPr="001854AE">
        <w:rPr>
          <w:rFonts w:ascii="Cambria" w:eastAsia="Cambria" w:hAnsi="Cambria" w:cs="Cambria"/>
          <w:i/>
          <w:iCs/>
          <w:sz w:val="22"/>
          <w:szCs w:val="22"/>
        </w:rPr>
        <w:t xml:space="preserve">68 </w:t>
      </w:r>
      <w:r w:rsidR="009D19D0" w:rsidRPr="001854AE">
        <w:rPr>
          <w:rFonts w:ascii="Cambria" w:eastAsia="Cambria" w:hAnsi="Cambria" w:cs="Cambria"/>
          <w:sz w:val="22"/>
          <w:szCs w:val="22"/>
        </w:rPr>
        <w:t>, 2651-2634.</w:t>
      </w:r>
    </w:p>
    <w:p w14:paraId="464A4EA3" w14:textId="5EB4D486" w:rsidR="00284CD2" w:rsidRPr="001854AE" w:rsidRDefault="00284CD2"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Cho, M., &amp; Castañeda, D. (2019). Motivational and affective engagement in learning Spanish with a mobile application. </w:t>
      </w:r>
      <w:r w:rsidRPr="001854AE">
        <w:rPr>
          <w:rFonts w:ascii="Cambria" w:eastAsia="Cambria" w:hAnsi="Cambria" w:cs="Cambria"/>
          <w:i/>
          <w:iCs/>
          <w:sz w:val="22"/>
          <w:szCs w:val="22"/>
        </w:rPr>
        <w:t xml:space="preserve">Systems </w:t>
      </w:r>
      <w:r w:rsidR="009D19D0" w:rsidRPr="001854AE">
        <w:rPr>
          <w:rFonts w:ascii="Cambria" w:eastAsia="Cambria" w:hAnsi="Cambria" w:cs="Cambria"/>
          <w:sz w:val="22"/>
          <w:szCs w:val="22"/>
        </w:rPr>
        <w:t xml:space="preserve">, </w:t>
      </w:r>
      <w:r w:rsidR="009D19D0" w:rsidRPr="001854AE">
        <w:rPr>
          <w:rFonts w:ascii="Cambria" w:eastAsia="Cambria" w:hAnsi="Cambria" w:cs="Cambria"/>
          <w:i/>
          <w:iCs/>
          <w:sz w:val="22"/>
          <w:szCs w:val="22"/>
        </w:rPr>
        <w:t xml:space="preserve">81 </w:t>
      </w:r>
      <w:r w:rsidR="009D19D0" w:rsidRPr="001854AE">
        <w:rPr>
          <w:rFonts w:ascii="Cambria" w:eastAsia="Cambria" w:hAnsi="Cambria" w:cs="Cambria"/>
          <w:sz w:val="22"/>
          <w:szCs w:val="22"/>
        </w:rPr>
        <w:t>, 90-99.</w:t>
      </w:r>
    </w:p>
    <w:p w14:paraId="30D5FA90" w14:textId="3DE58E11"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de-Marcos, L., Domínguez, A., Saenz-de-Navarrete, J., &amp; Pagés , C. (2014). An empirical study comparing gamification and social networking on e-learning. </w:t>
      </w:r>
      <w:r w:rsidRPr="001854AE">
        <w:rPr>
          <w:rFonts w:ascii="Cambria" w:eastAsia="Cambria" w:hAnsi="Cambria" w:cs="Cambria"/>
          <w:i/>
          <w:iCs/>
          <w:sz w:val="22"/>
          <w:szCs w:val="22"/>
        </w:rPr>
        <w:t xml:space="preserve">Computers &amp; Education </w:t>
      </w:r>
      <w:r w:rsidRPr="001854AE">
        <w:rPr>
          <w:rFonts w:ascii="Cambria" w:eastAsia="Cambria" w:hAnsi="Cambria" w:cs="Cambria"/>
          <w:sz w:val="22"/>
          <w:szCs w:val="22"/>
        </w:rPr>
        <w:t>, 75, 82–91.</w:t>
      </w:r>
    </w:p>
    <w:p w14:paraId="32947EA0" w14:textId="18287FEE"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El Chidtian , ASCR, &amp; Renzina , Y. D. (2024). </w:t>
      </w:r>
      <w:r w:rsidR="009D19D0" w:rsidRPr="001854AE">
        <w:rPr>
          <w:rFonts w:ascii="Cambria" w:eastAsia="Cambria" w:hAnsi="Cambria" w:cs="Cambria"/>
          <w:sz w:val="22"/>
          <w:szCs w:val="22"/>
        </w:rPr>
        <w:t xml:space="preserve">Analysis typography on Indonesian horror film posters in 2022. Asian </w:t>
      </w:r>
      <w:r w:rsidRPr="001854AE">
        <w:rPr>
          <w:rFonts w:ascii="Cambria" w:eastAsia="Cambria" w:hAnsi="Cambria" w:cs="Cambria"/>
          <w:i/>
          <w:iCs/>
          <w:sz w:val="22"/>
          <w:szCs w:val="22"/>
        </w:rPr>
        <w:t xml:space="preserve">Journal of Visual Communication Design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8 </w:t>
      </w:r>
      <w:r w:rsidRPr="001854AE">
        <w:rPr>
          <w:rFonts w:ascii="Cambria" w:eastAsia="Cambria" w:hAnsi="Cambria" w:cs="Cambria"/>
          <w:sz w:val="22"/>
          <w:szCs w:val="22"/>
        </w:rPr>
        <w:t>(01), 1-16.</w:t>
      </w:r>
    </w:p>
    <w:p w14:paraId="57B13843" w14:textId="12564125"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Erdem, C. (2022). A comparative meta-analysis of the effects of problem-based learning models on K-12 students' cognitive outputs. </w:t>
      </w:r>
      <w:r w:rsidRPr="001854AE">
        <w:rPr>
          <w:rFonts w:ascii="Cambria" w:eastAsia="Cambria" w:hAnsi="Cambria" w:cs="Cambria"/>
          <w:i/>
          <w:iCs/>
          <w:sz w:val="22"/>
          <w:szCs w:val="22"/>
        </w:rPr>
        <w:t xml:space="preserve">Educational Studies </w:t>
      </w:r>
      <w:r w:rsidRPr="001854AE">
        <w:rPr>
          <w:rFonts w:ascii="Cambria" w:eastAsia="Cambria" w:hAnsi="Cambria" w:cs="Cambria"/>
          <w:sz w:val="22"/>
          <w:szCs w:val="22"/>
        </w:rPr>
        <w:t xml:space="preserve">, </w:t>
      </w:r>
      <w:r w:rsidR="009D19D0" w:rsidRPr="001854AE">
        <w:rPr>
          <w:rFonts w:ascii="Cambria" w:eastAsia="Cambria" w:hAnsi="Cambria" w:cs="Cambria"/>
          <w:i/>
          <w:iCs/>
          <w:sz w:val="22"/>
          <w:szCs w:val="22"/>
        </w:rPr>
        <w:t xml:space="preserve">9 </w:t>
      </w:r>
      <w:r w:rsidR="009D19D0" w:rsidRPr="001854AE">
        <w:rPr>
          <w:rFonts w:ascii="Cambria" w:eastAsia="Cambria" w:hAnsi="Cambria" w:cs="Cambria"/>
          <w:sz w:val="22"/>
          <w:szCs w:val="22"/>
        </w:rPr>
        <w:t>(2), 1-22.</w:t>
      </w:r>
    </w:p>
    <w:p w14:paraId="18ABF4B3" w14:textId="1454E045" w:rsidR="00EF2004" w:rsidRPr="001854AE" w:rsidRDefault="00EF2004" w:rsidP="00EF2004">
      <w:pPr>
        <w:ind w:left="540" w:hanging="540"/>
        <w:jc w:val="both"/>
        <w:rPr>
          <w:rFonts w:ascii="Cambria" w:eastAsia="Cambria" w:hAnsi="Cambria" w:cs="Cambria"/>
          <w:sz w:val="22"/>
          <w:szCs w:val="22"/>
        </w:rPr>
      </w:pPr>
      <w:r w:rsidRPr="00EF2004">
        <w:rPr>
          <w:rFonts w:ascii="Cambria" w:eastAsia="Cambria" w:hAnsi="Cambria" w:cs="Cambria"/>
          <w:sz w:val="22"/>
          <w:szCs w:val="22"/>
        </w:rPr>
        <w:t xml:space="preserve">Firda , N., &amp; Juandi , D. (2023). Students' Learning Obstacles School Intermediate First on Mathematics Material . </w:t>
      </w:r>
      <w:r w:rsidRPr="00EF2004">
        <w:rPr>
          <w:rFonts w:ascii="Cambria" w:eastAsia="Cambria" w:hAnsi="Cambria" w:cs="Cambria"/>
          <w:i/>
          <w:iCs/>
          <w:sz w:val="22"/>
          <w:szCs w:val="22"/>
        </w:rPr>
        <w:t xml:space="preserve">Journal Learning Mathematics Innovative </w:t>
      </w:r>
      <w:r w:rsidRPr="00EF2004">
        <w:rPr>
          <w:rFonts w:ascii="Cambria" w:eastAsia="Cambria" w:hAnsi="Cambria" w:cs="Cambria"/>
          <w:sz w:val="22"/>
          <w:szCs w:val="22"/>
        </w:rPr>
        <w:t xml:space="preserve">, </w:t>
      </w:r>
      <w:r w:rsidRPr="00EF2004">
        <w:rPr>
          <w:rFonts w:ascii="Cambria" w:eastAsia="Cambria" w:hAnsi="Cambria" w:cs="Cambria"/>
          <w:i/>
          <w:iCs/>
          <w:sz w:val="22"/>
          <w:szCs w:val="22"/>
        </w:rPr>
        <w:t xml:space="preserve">6 </w:t>
      </w:r>
      <w:r w:rsidRPr="00EF2004">
        <w:rPr>
          <w:rFonts w:ascii="Cambria" w:eastAsia="Cambria" w:hAnsi="Cambria" w:cs="Cambria"/>
          <w:sz w:val="22"/>
          <w:szCs w:val="22"/>
        </w:rPr>
        <w:t>(3), 1055-1070.</w:t>
      </w:r>
    </w:p>
    <w:p w14:paraId="553252A1" w14:textId="4F343925"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Gholami, M., Changaee , F., Karami, K., Shahsavaripour , Z., Veiskaramian , A., &amp; Birjandi , M. (2021). Effects of multiepisode case-based learning (CBL) on problem-solving ability and learning motivation of nursing students in an emergency care course. </w:t>
      </w:r>
      <w:r w:rsidRPr="001854AE">
        <w:rPr>
          <w:rFonts w:ascii="Cambria" w:eastAsia="Cambria" w:hAnsi="Cambria" w:cs="Cambria"/>
          <w:i/>
          <w:iCs/>
          <w:sz w:val="22"/>
          <w:szCs w:val="22"/>
        </w:rPr>
        <w:t xml:space="preserve">Journal of professional nursing </w:t>
      </w:r>
      <w:r w:rsidRPr="001854AE">
        <w:rPr>
          <w:rFonts w:ascii="Cambria" w:eastAsia="Cambria" w:hAnsi="Cambria" w:cs="Cambria"/>
          <w:sz w:val="22"/>
          <w:szCs w:val="22"/>
        </w:rPr>
        <w:t>, 37 3, 612-619.</w:t>
      </w:r>
    </w:p>
    <w:p w14:paraId="2C7745F8" w14:textId="21810E4B"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Haruna, H., Zainuddin, Z., Okoye, K., Mellecker, R., Hu, X., Chu, S., &amp; Hosseini, S. (2021). Improving instruction and sexual health literacy with serious games and gamification interventions: an outlook to students' learning outcomes and gender differences. </w:t>
      </w:r>
      <w:r w:rsidRPr="001854AE">
        <w:rPr>
          <w:rFonts w:ascii="Cambria" w:eastAsia="Cambria" w:hAnsi="Cambria" w:cs="Cambria"/>
          <w:i/>
          <w:iCs/>
          <w:sz w:val="22"/>
          <w:szCs w:val="22"/>
        </w:rPr>
        <w:t xml:space="preserve">Interactive Learning Environments </w:t>
      </w:r>
      <w:r w:rsidRPr="001854AE">
        <w:rPr>
          <w:rFonts w:ascii="Cambria" w:eastAsia="Cambria" w:hAnsi="Cambria" w:cs="Cambria"/>
          <w:sz w:val="22"/>
          <w:szCs w:val="22"/>
        </w:rPr>
        <w:t>, 31, 2392 - 2410.</w:t>
      </w:r>
    </w:p>
    <w:p w14:paraId="23491E2B" w14:textId="5A129084"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Hendarwati , E., Nurlaela , L., Bachri , B., &amp; Sa'ida, N. (2021). Collaborative problem-based learning integrated with online learning. </w:t>
      </w:r>
      <w:r w:rsidR="009D19D0" w:rsidRPr="001854AE">
        <w:rPr>
          <w:rFonts w:ascii="Cambria" w:eastAsia="Cambria" w:hAnsi="Cambria" w:cs="Cambria"/>
          <w:i/>
          <w:iCs/>
          <w:sz w:val="22"/>
          <w:szCs w:val="22"/>
        </w:rPr>
        <w:t xml:space="preserve">International Journal of Emerging Technologies in Learning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16 </w:t>
      </w:r>
      <w:r w:rsidR="009D19D0" w:rsidRPr="001854AE">
        <w:rPr>
          <w:rFonts w:ascii="Cambria" w:eastAsia="Cambria" w:hAnsi="Cambria" w:cs="Cambria"/>
          <w:sz w:val="22"/>
          <w:szCs w:val="22"/>
        </w:rPr>
        <w:t>(13), 29-39.</w:t>
      </w:r>
    </w:p>
    <w:p w14:paraId="01381372" w14:textId="012A5F1C" w:rsidR="00284CD2" w:rsidRPr="001854AE" w:rsidRDefault="00284CD2"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Hernández-Ramos, J., Pernaa, J., Cáceres-Jensen, L., &amp; Rodríguez-Becerra, J. (2021). The effects of using socio-scientific issues and technology in problem-based learning: a systematic review. </w:t>
      </w:r>
      <w:r w:rsidRPr="001854AE">
        <w:rPr>
          <w:rFonts w:ascii="Cambria" w:eastAsia="Cambria" w:hAnsi="Cambria" w:cs="Cambria"/>
          <w:i/>
          <w:iCs/>
          <w:sz w:val="22"/>
          <w:szCs w:val="22"/>
        </w:rPr>
        <w:t xml:space="preserve">Education Sciences, 11 </w:t>
      </w:r>
      <w:r w:rsidR="009D19D0" w:rsidRPr="001854AE">
        <w:rPr>
          <w:rFonts w:ascii="Cambria" w:eastAsia="Cambria" w:hAnsi="Cambria" w:cs="Cambria"/>
          <w:sz w:val="22"/>
          <w:szCs w:val="22"/>
        </w:rPr>
        <w:t>(10), 640.</w:t>
      </w:r>
    </w:p>
    <w:p w14:paraId="6DEAECC1" w14:textId="77777777"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Hwang, G.-J., Sung, H.-Y., &amp; Chang, Y.-L. (2019). A systematic review of the effects of digital game-based learning on student engagement, motivation, and achievement. </w:t>
      </w:r>
      <w:r w:rsidRPr="001854AE">
        <w:rPr>
          <w:rFonts w:ascii="Cambria" w:eastAsia="Cambria" w:hAnsi="Cambria" w:cs="Cambria"/>
          <w:i/>
          <w:iCs/>
          <w:sz w:val="22"/>
          <w:szCs w:val="22"/>
        </w:rPr>
        <w:t xml:space="preserve">Journal of Educational Technology &amp; Society </w:t>
      </w:r>
      <w:r w:rsidRPr="001854AE">
        <w:rPr>
          <w:rFonts w:ascii="Cambria" w:eastAsia="Cambria" w:hAnsi="Cambria" w:cs="Cambria"/>
          <w:sz w:val="22"/>
          <w:szCs w:val="22"/>
        </w:rPr>
        <w:t>, 22(1), 81–92.</w:t>
      </w:r>
    </w:p>
    <w:p w14:paraId="2B996174" w14:textId="6CD7FCC8"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Lahirka , R., &amp; Gani, E. (2024). </w:t>
      </w:r>
      <w:r w:rsidR="009D19D0" w:rsidRPr="001854AE">
        <w:rPr>
          <w:rFonts w:ascii="Cambria" w:eastAsia="Cambria" w:hAnsi="Cambria" w:cs="Cambria"/>
          <w:sz w:val="22"/>
          <w:szCs w:val="22"/>
        </w:rPr>
        <w:t xml:space="preserve">The effectiveness sentence to work student in text exposition class VIII of SMP Negeri 3 </w:t>
      </w:r>
      <w:r w:rsidRPr="001854AE">
        <w:rPr>
          <w:rFonts w:ascii="Cambria" w:eastAsia="Cambria" w:hAnsi="Cambria" w:cs="Cambria"/>
          <w:sz w:val="22"/>
          <w:szCs w:val="22"/>
        </w:rPr>
        <w:t xml:space="preserve">Gunung Talang. </w:t>
      </w:r>
      <w:r w:rsidRPr="001854AE">
        <w:rPr>
          <w:rFonts w:ascii="Cambria" w:eastAsia="Cambria" w:hAnsi="Cambria" w:cs="Cambria"/>
          <w:i/>
          <w:iCs/>
          <w:sz w:val="22"/>
          <w:szCs w:val="22"/>
        </w:rPr>
        <w:t xml:space="preserve">The Essence of Inspirational Education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6 </w:t>
      </w:r>
      <w:r w:rsidRPr="001854AE">
        <w:rPr>
          <w:rFonts w:ascii="Cambria" w:eastAsia="Cambria" w:hAnsi="Cambria" w:cs="Cambria"/>
          <w:sz w:val="22"/>
          <w:szCs w:val="22"/>
        </w:rPr>
        <w:t>(2), 781-790.</w:t>
      </w:r>
    </w:p>
    <w:p w14:paraId="27E0F050" w14:textId="350977BF"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Lee, S. (2019). Her Story or their own stories? Digital game-based learning, student creativity, and creative writing. </w:t>
      </w:r>
      <w:r w:rsidRPr="001854AE">
        <w:rPr>
          <w:rFonts w:ascii="Cambria" w:eastAsia="Cambria" w:hAnsi="Cambria" w:cs="Cambria"/>
          <w:i/>
          <w:iCs/>
          <w:sz w:val="22"/>
          <w:szCs w:val="22"/>
        </w:rPr>
        <w:t xml:space="preserve">ReCALL </w:t>
      </w:r>
      <w:r w:rsidRPr="001854AE">
        <w:rPr>
          <w:rFonts w:ascii="Cambria" w:eastAsia="Cambria" w:hAnsi="Cambria" w:cs="Cambria"/>
          <w:sz w:val="22"/>
          <w:szCs w:val="22"/>
        </w:rPr>
        <w:t>, 31, 238 - 254.</w:t>
      </w:r>
    </w:p>
    <w:p w14:paraId="5B280D4C" w14:textId="13F2059E" w:rsidR="000605E2" w:rsidRPr="001854AE" w:rsidRDefault="000605E2"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Mao, W., Cui, Y., Chiu, M., &amp; Lei, H. (2021). Effects of game-based learning on students' critical thinking: a meta-analysis. </w:t>
      </w:r>
      <w:r w:rsidRPr="001854AE">
        <w:rPr>
          <w:rFonts w:ascii="Cambria" w:eastAsia="Cambria" w:hAnsi="Cambria" w:cs="Cambria"/>
          <w:i/>
          <w:iCs/>
          <w:sz w:val="22"/>
          <w:szCs w:val="22"/>
        </w:rPr>
        <w:t xml:space="preserve">Journal of Educational Computing Research </w:t>
      </w:r>
      <w:r w:rsidRPr="001854AE">
        <w:rPr>
          <w:rFonts w:ascii="Cambria" w:eastAsia="Cambria" w:hAnsi="Cambria" w:cs="Cambria"/>
          <w:sz w:val="22"/>
          <w:szCs w:val="22"/>
        </w:rPr>
        <w:t>, 59, 1682 - 1708.</w:t>
      </w:r>
    </w:p>
    <w:p w14:paraId="0914480F" w14:textId="77777777"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Marcinauskas , L., Iljinas , A., Čyvienė , J., &amp; Stankus, V. (2024). Problem-based learning versus traditional learning in physics education for engineering program students. </w:t>
      </w:r>
      <w:r w:rsidRPr="001854AE">
        <w:rPr>
          <w:rFonts w:ascii="Cambria" w:eastAsia="Cambria" w:hAnsi="Cambria" w:cs="Cambria"/>
          <w:i/>
          <w:iCs/>
          <w:sz w:val="22"/>
          <w:szCs w:val="22"/>
        </w:rPr>
        <w:t xml:space="preserve">Education Sciences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14 </w:t>
      </w:r>
      <w:r w:rsidRPr="001854AE">
        <w:rPr>
          <w:rFonts w:ascii="Cambria" w:eastAsia="Cambria" w:hAnsi="Cambria" w:cs="Cambria"/>
          <w:sz w:val="22"/>
          <w:szCs w:val="22"/>
        </w:rPr>
        <w:t>(2), 154.</w:t>
      </w:r>
    </w:p>
    <w:p w14:paraId="55318956" w14:textId="15C33F98"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Moradi, M., &amp; Noor, N. (2022). The impact of problem-based serious games on learning motivation. </w:t>
      </w:r>
      <w:r w:rsidRPr="001854AE">
        <w:rPr>
          <w:rFonts w:ascii="Cambria" w:eastAsia="Cambria" w:hAnsi="Cambria" w:cs="Cambria"/>
          <w:i/>
          <w:iCs/>
          <w:sz w:val="22"/>
          <w:szCs w:val="22"/>
        </w:rPr>
        <w:t xml:space="preserve">IEEE Access </w:t>
      </w:r>
      <w:r w:rsidRPr="001854AE">
        <w:rPr>
          <w:rFonts w:ascii="Cambria" w:eastAsia="Cambria" w:hAnsi="Cambria" w:cs="Cambria"/>
          <w:sz w:val="22"/>
          <w:szCs w:val="22"/>
        </w:rPr>
        <w:t>, 10, 8339-8349.</w:t>
      </w:r>
    </w:p>
    <w:p w14:paraId="5F281215" w14:textId="77777777"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Munna, AS, &amp; Kalam, M.A. (2021). Impact of active learning strategies on student engagement. </w:t>
      </w:r>
      <w:r w:rsidRPr="001854AE">
        <w:rPr>
          <w:rFonts w:ascii="Cambria" w:eastAsia="Cambria" w:hAnsi="Cambria" w:cs="Cambria"/>
          <w:i/>
          <w:iCs/>
          <w:sz w:val="22"/>
          <w:szCs w:val="22"/>
        </w:rPr>
        <w:t xml:space="preserve">GNOSI: an interdisciplinary journal of human theory and praxis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4 </w:t>
      </w:r>
      <w:r w:rsidRPr="001854AE">
        <w:rPr>
          <w:rFonts w:ascii="Cambria" w:eastAsia="Cambria" w:hAnsi="Cambria" w:cs="Cambria"/>
          <w:sz w:val="22"/>
          <w:szCs w:val="22"/>
        </w:rPr>
        <w:t>(2), 96-114.</w:t>
      </w:r>
    </w:p>
    <w:p w14:paraId="764AC98A" w14:textId="534FA440"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Nadeem, M., Oroszlanyova , M., &amp; Farag, W. (2023). Effect of digital game-based learning on student engagement and motivation. </w:t>
      </w:r>
      <w:r w:rsidRPr="001854AE">
        <w:rPr>
          <w:rFonts w:ascii="Cambria" w:eastAsia="Cambria" w:hAnsi="Cambria" w:cs="Cambria"/>
          <w:i/>
          <w:iCs/>
          <w:sz w:val="22"/>
          <w:szCs w:val="22"/>
        </w:rPr>
        <w:t xml:space="preserve">Computers </w:t>
      </w:r>
      <w:r w:rsidR="009D19D0" w:rsidRPr="001854AE">
        <w:rPr>
          <w:rFonts w:ascii="Cambria" w:eastAsia="Cambria" w:hAnsi="Cambria" w:cs="Cambria"/>
          <w:sz w:val="22"/>
          <w:szCs w:val="22"/>
        </w:rPr>
        <w:t xml:space="preserve">, </w:t>
      </w:r>
      <w:r w:rsidR="009D19D0" w:rsidRPr="001854AE">
        <w:rPr>
          <w:rFonts w:ascii="Cambria" w:eastAsia="Cambria" w:hAnsi="Cambria" w:cs="Cambria"/>
          <w:i/>
          <w:iCs/>
          <w:sz w:val="22"/>
          <w:szCs w:val="22"/>
        </w:rPr>
        <w:t xml:space="preserve">12 </w:t>
      </w:r>
      <w:r w:rsidR="009D19D0" w:rsidRPr="001854AE">
        <w:rPr>
          <w:rFonts w:ascii="Cambria" w:eastAsia="Cambria" w:hAnsi="Cambria" w:cs="Cambria"/>
          <w:sz w:val="22"/>
          <w:szCs w:val="22"/>
        </w:rPr>
        <w:t>(9), 177.</w:t>
      </w:r>
    </w:p>
    <w:p w14:paraId="4342C9F6" w14:textId="5103DB8C" w:rsidR="00EF2004" w:rsidRPr="001854AE" w:rsidRDefault="00EF2004"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Nicolay, B., Krieger, F., Stadler, M., Gobert, J., &amp; Greiff, S. (2021). Lost in transition - Learning analytics on the transfer from knowledge acquisition to knowledge application in complex problem solving. </w:t>
      </w:r>
      <w:r w:rsidRPr="001854AE">
        <w:rPr>
          <w:rFonts w:ascii="Cambria" w:eastAsia="Cambria" w:hAnsi="Cambria" w:cs="Cambria"/>
          <w:i/>
          <w:iCs/>
          <w:sz w:val="22"/>
          <w:szCs w:val="22"/>
        </w:rPr>
        <w:t xml:space="preserve">Comput . Hum. Behavior . </w:t>
      </w:r>
      <w:r w:rsidRPr="001854AE">
        <w:rPr>
          <w:rFonts w:ascii="Cambria" w:eastAsia="Cambria" w:hAnsi="Cambria" w:cs="Cambria"/>
          <w:sz w:val="22"/>
          <w:szCs w:val="22"/>
        </w:rPr>
        <w:t>, 115, 106594.</w:t>
      </w:r>
    </w:p>
    <w:p w14:paraId="5EAEC03B" w14:textId="7B77C972"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Nurhikmah, H., Aswan, D., Bena, BAN, &amp; Ramli, AM (2023). </w:t>
      </w:r>
      <w:r w:rsidR="009D19D0" w:rsidRPr="001854AE">
        <w:rPr>
          <w:rFonts w:ascii="Cambria" w:eastAsia="Cambria" w:hAnsi="Cambria" w:cs="Cambria"/>
          <w:sz w:val="22"/>
          <w:szCs w:val="22"/>
        </w:rPr>
        <w:t xml:space="preserve">Training gamification in learning school intermediate above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CARADDE: Journal Devotion To Society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6 </w:t>
      </w:r>
      <w:r w:rsidRPr="001854AE">
        <w:rPr>
          <w:rFonts w:ascii="Cambria" w:eastAsia="Cambria" w:hAnsi="Cambria" w:cs="Cambria"/>
          <w:sz w:val="22"/>
          <w:szCs w:val="22"/>
        </w:rPr>
        <w:t>(1), 146-155.</w:t>
      </w:r>
    </w:p>
    <w:p w14:paraId="2069AEF8" w14:textId="1D7FBAFB" w:rsidR="00284CD2" w:rsidRPr="001854AE" w:rsidRDefault="00284CD2"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lastRenderedPageBreak/>
        <w:t xml:space="preserve">O'Grady-Jones, M., &amp; Grant, M. (2023). </w:t>
      </w:r>
      <w:r w:rsidR="009D19D0" w:rsidRPr="001854AE">
        <w:rPr>
          <w:rFonts w:ascii="Cambria" w:eastAsia="Cambria" w:hAnsi="Cambria" w:cs="Cambria"/>
          <w:sz w:val="22"/>
          <w:szCs w:val="22"/>
        </w:rPr>
        <w:t xml:space="preserve">Ready coder one: collaborative game design-based learning on gifted fourth graders' 21st century skills. </w:t>
      </w:r>
      <w:r w:rsidRPr="001854AE">
        <w:rPr>
          <w:rFonts w:ascii="Cambria" w:eastAsia="Cambria" w:hAnsi="Cambria" w:cs="Cambria"/>
          <w:i/>
          <w:iCs/>
          <w:sz w:val="22"/>
          <w:szCs w:val="22"/>
        </w:rPr>
        <w:t xml:space="preserve">Gifted Child Today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46 </w:t>
      </w:r>
      <w:r w:rsidRPr="001854AE">
        <w:rPr>
          <w:rFonts w:ascii="Cambria" w:eastAsia="Cambria" w:hAnsi="Cambria" w:cs="Cambria"/>
          <w:sz w:val="22"/>
          <w:szCs w:val="22"/>
        </w:rPr>
        <w:t>, 84-107.</w:t>
      </w:r>
    </w:p>
    <w:p w14:paraId="7F295CC2" w14:textId="77777777"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Qureshi, M.A., Khaskheli, A., Qureshi, J.A., Raza, S.A., &amp; Yousufi , S.Q. (2023). Factors affecting students' learning performance through collaborative learning and engagement. </w:t>
      </w:r>
      <w:r w:rsidRPr="001854AE">
        <w:rPr>
          <w:rFonts w:ascii="Cambria" w:eastAsia="Cambria" w:hAnsi="Cambria" w:cs="Cambria"/>
          <w:i/>
          <w:iCs/>
          <w:sz w:val="22"/>
          <w:szCs w:val="22"/>
        </w:rPr>
        <w:t xml:space="preserve">Interactive Learning Environments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31 </w:t>
      </w:r>
      <w:r w:rsidRPr="001854AE">
        <w:rPr>
          <w:rFonts w:ascii="Cambria" w:eastAsia="Cambria" w:hAnsi="Cambria" w:cs="Cambria"/>
          <w:sz w:val="22"/>
          <w:szCs w:val="22"/>
        </w:rPr>
        <w:t>(4), 2371-2391.</w:t>
      </w:r>
    </w:p>
    <w:p w14:paraId="4F2A3113" w14:textId="22EA6C25" w:rsidR="00105C12" w:rsidRPr="001854AE" w:rsidRDefault="00105C12"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Rahayu, SM, Marlina, R., Wahyuni, CI, Hasan, F., &amp; Nugraha , RG (2024). Development of animated videos learning about language etiquette children at school base . </w:t>
      </w:r>
      <w:r w:rsidRPr="001854AE">
        <w:rPr>
          <w:rFonts w:ascii="Cambria" w:eastAsia="Cambria" w:hAnsi="Cambria" w:cs="Cambria"/>
          <w:i/>
          <w:iCs/>
          <w:sz w:val="22"/>
          <w:szCs w:val="22"/>
        </w:rPr>
        <w:t xml:space="preserve">Treasures of Education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18 </w:t>
      </w:r>
      <w:r w:rsidRPr="001854AE">
        <w:rPr>
          <w:rFonts w:ascii="Cambria" w:eastAsia="Cambria" w:hAnsi="Cambria" w:cs="Cambria"/>
          <w:sz w:val="22"/>
          <w:szCs w:val="22"/>
        </w:rPr>
        <w:t>(2), 298-312.</w:t>
      </w:r>
    </w:p>
    <w:p w14:paraId="475719E0" w14:textId="6D906D16"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Rahman, F., Nugraha , N., &amp; Sudarmiani , S. (2020). Application of problem-based learning (PBL) model by </w:t>
      </w:r>
      <w:r w:rsidR="009D19D0" w:rsidRPr="001854AE">
        <w:rPr>
          <w:rFonts w:ascii="Cambria" w:eastAsia="Cambria" w:hAnsi="Cambria" w:cs="Cambria"/>
          <w:sz w:val="22"/>
          <w:szCs w:val="22"/>
        </w:rPr>
        <w:t xml:space="preserve">Microsoft Power Point media to improve activities and results of learning social science of SMP in </w:t>
      </w:r>
      <w:r w:rsidRPr="001854AE">
        <w:rPr>
          <w:rFonts w:ascii="Cambria" w:eastAsia="Cambria" w:hAnsi="Cambria" w:cs="Cambria"/>
          <w:sz w:val="22"/>
          <w:szCs w:val="22"/>
        </w:rPr>
        <w:t xml:space="preserve">Madiun . </w:t>
      </w:r>
      <w:r w:rsidRPr="001854AE">
        <w:rPr>
          <w:rFonts w:ascii="Cambria" w:eastAsia="Cambria" w:hAnsi="Cambria" w:cs="Cambria"/>
          <w:i/>
          <w:iCs/>
          <w:sz w:val="22"/>
          <w:szCs w:val="22"/>
        </w:rPr>
        <w:t xml:space="preserve">Social Sciences, Humanities and Education Journal (SHE Journal) </w:t>
      </w:r>
      <w:r w:rsidR="009D19D0" w:rsidRPr="001854AE">
        <w:rPr>
          <w:rFonts w:ascii="Cambria" w:eastAsia="Cambria" w:hAnsi="Cambria" w:cs="Cambria"/>
          <w:sz w:val="22"/>
          <w:szCs w:val="22"/>
        </w:rPr>
        <w:t xml:space="preserve">, </w:t>
      </w:r>
      <w:r w:rsidR="009D19D0" w:rsidRPr="001854AE">
        <w:rPr>
          <w:rFonts w:ascii="Cambria" w:eastAsia="Cambria" w:hAnsi="Cambria" w:cs="Cambria"/>
          <w:i/>
          <w:iCs/>
          <w:sz w:val="22"/>
          <w:szCs w:val="22"/>
        </w:rPr>
        <w:t xml:space="preserve">1 </w:t>
      </w:r>
      <w:r w:rsidR="009D19D0" w:rsidRPr="001854AE">
        <w:rPr>
          <w:rFonts w:ascii="Cambria" w:eastAsia="Cambria" w:hAnsi="Cambria" w:cs="Cambria"/>
          <w:sz w:val="22"/>
          <w:szCs w:val="22"/>
        </w:rPr>
        <w:t>(2), 1-12.</w:t>
      </w:r>
    </w:p>
    <w:p w14:paraId="5508E291" w14:textId="50555877"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Roski, M., Sebastian, R., Ewerth , R., Hoppe, A., &amp; Nehring, A. (2024). Learning analytics and the Universal Design for Learning (UDL): A clustering approach. </w:t>
      </w:r>
      <w:r w:rsidRPr="001854AE">
        <w:rPr>
          <w:rFonts w:ascii="Cambria" w:eastAsia="Cambria" w:hAnsi="Cambria" w:cs="Cambria"/>
          <w:i/>
          <w:iCs/>
          <w:sz w:val="22"/>
          <w:szCs w:val="22"/>
        </w:rPr>
        <w:t xml:space="preserve">Computers &amp; Education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214 </w:t>
      </w:r>
      <w:r w:rsidRPr="001854AE">
        <w:rPr>
          <w:rFonts w:ascii="Cambria" w:eastAsia="Cambria" w:hAnsi="Cambria" w:cs="Cambria"/>
          <w:sz w:val="22"/>
          <w:szCs w:val="22"/>
        </w:rPr>
        <w:t>, 105028.</w:t>
      </w:r>
    </w:p>
    <w:p w14:paraId="20E2A294" w14:textId="77777777"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Shongwe, B. (2024). The effect of STEM problem-based learning on students' mathematical problem-solving beliefs. </w:t>
      </w:r>
      <w:r w:rsidRPr="001854AE">
        <w:rPr>
          <w:rFonts w:ascii="Cambria" w:eastAsia="Cambria" w:hAnsi="Cambria" w:cs="Cambria"/>
          <w:i/>
          <w:iCs/>
          <w:sz w:val="22"/>
          <w:szCs w:val="22"/>
        </w:rPr>
        <w:t xml:space="preserve">Eurasian Journal of Mathematics, Science and Technology Education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20 </w:t>
      </w:r>
      <w:r w:rsidRPr="001854AE">
        <w:rPr>
          <w:rFonts w:ascii="Cambria" w:eastAsia="Cambria" w:hAnsi="Cambria" w:cs="Cambria"/>
          <w:sz w:val="22"/>
          <w:szCs w:val="22"/>
        </w:rPr>
        <w:t>(8), em2486.</w:t>
      </w:r>
    </w:p>
    <w:p w14:paraId="46542A3A" w14:textId="48781ADB"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Serin, H. (2023). Teaching mathematics: The role of project-based learning. </w:t>
      </w:r>
      <w:r w:rsidRPr="001854AE">
        <w:rPr>
          <w:rFonts w:ascii="Cambria" w:eastAsia="Cambria" w:hAnsi="Cambria" w:cs="Cambria"/>
          <w:i/>
          <w:iCs/>
          <w:sz w:val="22"/>
          <w:szCs w:val="22"/>
        </w:rPr>
        <w:t xml:space="preserve">International Journal of Social Sciences &amp; Educational Studies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10 </w:t>
      </w:r>
      <w:r w:rsidRPr="001854AE">
        <w:rPr>
          <w:rFonts w:ascii="Cambria" w:eastAsia="Cambria" w:hAnsi="Cambria" w:cs="Cambria"/>
          <w:sz w:val="22"/>
          <w:szCs w:val="22"/>
        </w:rPr>
        <w:t>(2), 378-382.</w:t>
      </w:r>
    </w:p>
    <w:p w14:paraId="4A577905" w14:textId="4B59D1CC" w:rsidR="00EF2004" w:rsidRPr="001854AE" w:rsidRDefault="00EF2004" w:rsidP="00EF2004">
      <w:pPr>
        <w:ind w:left="540" w:hanging="540"/>
        <w:jc w:val="both"/>
        <w:rPr>
          <w:rFonts w:ascii="Cambria" w:eastAsia="Cambria" w:hAnsi="Cambria" w:cs="Cambria"/>
          <w:sz w:val="22"/>
          <w:szCs w:val="22"/>
        </w:rPr>
      </w:pPr>
      <w:r w:rsidRPr="00EF2004">
        <w:rPr>
          <w:rFonts w:ascii="Cambria" w:eastAsia="Cambria" w:hAnsi="Cambria" w:cs="Cambria"/>
          <w:sz w:val="22"/>
          <w:szCs w:val="22"/>
        </w:rPr>
        <w:t xml:space="preserve">Sinaga, B., Sitorus , J., &amp; Situmeang , T. (2023, February). The influence of students' problem-solving understanding and results of students' mathematics learning. In </w:t>
      </w:r>
      <w:r w:rsidRPr="00EF2004">
        <w:rPr>
          <w:rFonts w:ascii="Cambria" w:eastAsia="Cambria" w:hAnsi="Cambria" w:cs="Cambria"/>
          <w:i/>
          <w:iCs/>
          <w:sz w:val="22"/>
          <w:szCs w:val="22"/>
        </w:rPr>
        <w:t xml:space="preserve">Frontiers in Education </w:t>
      </w:r>
      <w:r w:rsidRPr="00EF2004">
        <w:rPr>
          <w:rFonts w:ascii="Cambria" w:eastAsia="Cambria" w:hAnsi="Cambria" w:cs="Cambria"/>
          <w:sz w:val="22"/>
          <w:szCs w:val="22"/>
        </w:rPr>
        <w:t>(Vol. 8, p. 1088556). Frontiers Media SA.</w:t>
      </w:r>
    </w:p>
    <w:p w14:paraId="058E2C6C" w14:textId="04BFEA38" w:rsidR="00EF2004" w:rsidRPr="001854AE" w:rsidRDefault="00EF2004" w:rsidP="00EF2004">
      <w:pPr>
        <w:ind w:left="540" w:hanging="540"/>
        <w:jc w:val="both"/>
        <w:rPr>
          <w:rFonts w:ascii="Cambria" w:eastAsia="Cambria" w:hAnsi="Cambria" w:cs="Cambria"/>
          <w:sz w:val="22"/>
          <w:szCs w:val="22"/>
        </w:rPr>
      </w:pPr>
      <w:r w:rsidRPr="00EF2004">
        <w:rPr>
          <w:rFonts w:ascii="Cambria" w:eastAsia="Cambria" w:hAnsi="Cambria" w:cs="Cambria"/>
          <w:sz w:val="22"/>
          <w:szCs w:val="22"/>
        </w:rPr>
        <w:t xml:space="preserve">Subawo , M. (2022). The effect of creative thinking ability and basic mathematics ability toward students' problem solving ability. </w:t>
      </w:r>
      <w:r w:rsidRPr="00EF2004">
        <w:rPr>
          <w:rFonts w:ascii="Cambria" w:eastAsia="Cambria" w:hAnsi="Cambria" w:cs="Cambria"/>
          <w:i/>
          <w:iCs/>
          <w:sz w:val="22"/>
          <w:szCs w:val="22"/>
        </w:rPr>
        <w:t xml:space="preserve">Journal of Mathematics Education </w:t>
      </w:r>
      <w:r w:rsidRPr="00EF2004">
        <w:rPr>
          <w:rFonts w:ascii="Cambria" w:eastAsia="Cambria" w:hAnsi="Cambria" w:cs="Cambria"/>
          <w:sz w:val="22"/>
          <w:szCs w:val="22"/>
        </w:rPr>
        <w:t xml:space="preserve">, </w:t>
      </w:r>
      <w:r w:rsidRPr="00EF2004">
        <w:rPr>
          <w:rFonts w:ascii="Cambria" w:eastAsia="Cambria" w:hAnsi="Cambria" w:cs="Cambria"/>
          <w:i/>
          <w:iCs/>
          <w:sz w:val="22"/>
          <w:szCs w:val="22"/>
        </w:rPr>
        <w:t xml:space="preserve">7 </w:t>
      </w:r>
      <w:r w:rsidRPr="00EF2004">
        <w:rPr>
          <w:rFonts w:ascii="Cambria" w:eastAsia="Cambria" w:hAnsi="Cambria" w:cs="Cambria"/>
          <w:sz w:val="22"/>
          <w:szCs w:val="22"/>
        </w:rPr>
        <w:t>(2), 85-91.</w:t>
      </w:r>
    </w:p>
    <w:p w14:paraId="62D578ED" w14:textId="77777777"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Sung, Y.T., Chang, KE, &amp; Liu, T.C. (2016). The effects of integrating mobile devices with teaching and learning on students' learning performance: A meta-analysis and research synthesis. </w:t>
      </w:r>
      <w:r w:rsidRPr="001854AE">
        <w:rPr>
          <w:rFonts w:ascii="Cambria" w:eastAsia="Cambria" w:hAnsi="Cambria" w:cs="Cambria"/>
          <w:i/>
          <w:iCs/>
          <w:sz w:val="22"/>
          <w:szCs w:val="22"/>
        </w:rPr>
        <w:t xml:space="preserve">Computers &amp; Education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94 </w:t>
      </w:r>
      <w:r w:rsidRPr="001854AE">
        <w:rPr>
          <w:rFonts w:ascii="Cambria" w:eastAsia="Cambria" w:hAnsi="Cambria" w:cs="Cambria"/>
          <w:sz w:val="22"/>
          <w:szCs w:val="22"/>
        </w:rPr>
        <w:t>, 252-275.</w:t>
      </w:r>
    </w:p>
    <w:p w14:paraId="238DB7D6" w14:textId="0CF479D8"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Sweller , J. (2024). Cognitive load theory and individual differences. </w:t>
      </w:r>
      <w:r w:rsidRPr="001854AE">
        <w:rPr>
          <w:rFonts w:ascii="Cambria" w:eastAsia="Cambria" w:hAnsi="Cambria" w:cs="Cambria"/>
          <w:i/>
          <w:iCs/>
          <w:sz w:val="22"/>
          <w:szCs w:val="22"/>
        </w:rPr>
        <w:t xml:space="preserve">Learning and Individual Differences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110 </w:t>
      </w:r>
      <w:r w:rsidRPr="001854AE">
        <w:rPr>
          <w:rFonts w:ascii="Cambria" w:eastAsia="Cambria" w:hAnsi="Cambria" w:cs="Cambria"/>
          <w:sz w:val="22"/>
          <w:szCs w:val="22"/>
        </w:rPr>
        <w:t>, 102423.</w:t>
      </w:r>
    </w:p>
    <w:p w14:paraId="7E90BE3C" w14:textId="37DF9760" w:rsidR="00505AD3" w:rsidRPr="001854AE" w:rsidRDefault="00505AD3"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Tan, AL, Ong, YS, Ng, YS, &amp; Tan, JHJ (2023). STEM problem solving: Inquiry, concepts, and reasoning. </w:t>
      </w:r>
      <w:r w:rsidRPr="001854AE">
        <w:rPr>
          <w:rFonts w:ascii="Cambria" w:eastAsia="Cambria" w:hAnsi="Cambria" w:cs="Cambria"/>
          <w:i/>
          <w:iCs/>
          <w:sz w:val="22"/>
          <w:szCs w:val="22"/>
        </w:rPr>
        <w:t xml:space="preserve">Science &amp; Education </w:t>
      </w:r>
      <w:r w:rsidRPr="001854AE">
        <w:rPr>
          <w:rFonts w:ascii="Cambria" w:eastAsia="Cambria" w:hAnsi="Cambria" w:cs="Cambria"/>
          <w:sz w:val="22"/>
          <w:szCs w:val="22"/>
        </w:rPr>
        <w:t xml:space="preserve">, </w:t>
      </w:r>
      <w:r w:rsidRPr="001854AE">
        <w:rPr>
          <w:rFonts w:ascii="Cambria" w:eastAsia="Cambria" w:hAnsi="Cambria" w:cs="Cambria"/>
          <w:i/>
          <w:iCs/>
          <w:sz w:val="22"/>
          <w:szCs w:val="22"/>
        </w:rPr>
        <w:t xml:space="preserve">32 </w:t>
      </w:r>
      <w:r w:rsidRPr="001854AE">
        <w:rPr>
          <w:rFonts w:ascii="Cambria" w:eastAsia="Cambria" w:hAnsi="Cambria" w:cs="Cambria"/>
          <w:sz w:val="22"/>
          <w:szCs w:val="22"/>
        </w:rPr>
        <w:t>(2), 381-397.</w:t>
      </w:r>
    </w:p>
    <w:p w14:paraId="4CF302C8" w14:textId="60ED5C22" w:rsidR="00284CD2" w:rsidRPr="001854AE" w:rsidRDefault="00F62FC5"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Videnovik , M., Trajkovik , V., Kiønig , L., &amp; Vold, T. (2020). Increasing quality of learning experience using augmented reality educational games. </w:t>
      </w:r>
      <w:r w:rsidRPr="001854AE">
        <w:rPr>
          <w:rFonts w:ascii="Cambria" w:eastAsia="Cambria" w:hAnsi="Cambria" w:cs="Cambria"/>
          <w:i/>
          <w:iCs/>
          <w:sz w:val="22"/>
          <w:szCs w:val="22"/>
        </w:rPr>
        <w:t xml:space="preserve">Multimedia Tools and Applications </w:t>
      </w:r>
      <w:r w:rsidRPr="001854AE">
        <w:rPr>
          <w:rFonts w:ascii="Cambria" w:eastAsia="Cambria" w:hAnsi="Cambria" w:cs="Cambria"/>
          <w:sz w:val="22"/>
          <w:szCs w:val="22"/>
        </w:rPr>
        <w:t>, 79, 23861 - 23885.</w:t>
      </w:r>
    </w:p>
    <w:p w14:paraId="5435DC25" w14:textId="77777777"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Vygotsky, L. S. (1978). </w:t>
      </w:r>
      <w:r w:rsidRPr="001854AE">
        <w:rPr>
          <w:rFonts w:ascii="Cambria" w:eastAsia="Cambria" w:hAnsi="Cambria" w:cs="Cambria"/>
          <w:i/>
          <w:iCs/>
          <w:sz w:val="22"/>
          <w:szCs w:val="22"/>
        </w:rPr>
        <w:t xml:space="preserve">Mind in society: The development of higher psychological processes </w:t>
      </w:r>
      <w:r w:rsidRPr="001854AE">
        <w:rPr>
          <w:rFonts w:ascii="Cambria" w:eastAsia="Cambria" w:hAnsi="Cambria" w:cs="Cambria"/>
          <w:sz w:val="22"/>
          <w:szCs w:val="22"/>
        </w:rPr>
        <w:t>. Harvard University Press.</w:t>
      </w:r>
    </w:p>
    <w:p w14:paraId="433EC45D" w14:textId="49D7962E" w:rsidR="00284CD2" w:rsidRPr="001854AE" w:rsidRDefault="00284CD2"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Waite- Stupiansky , S. (2022). Jean Piaget's constructivist theory of learning. In </w:t>
      </w:r>
      <w:r w:rsidRPr="001854AE">
        <w:rPr>
          <w:rFonts w:ascii="Cambria" w:eastAsia="Cambria" w:hAnsi="Cambria" w:cs="Cambria"/>
          <w:i/>
          <w:iCs/>
          <w:sz w:val="22"/>
          <w:szCs w:val="22"/>
        </w:rPr>
        <w:t xml:space="preserve">Theories of early childhood education </w:t>
      </w:r>
      <w:r w:rsidRPr="001854AE">
        <w:rPr>
          <w:rFonts w:ascii="Cambria" w:eastAsia="Cambria" w:hAnsi="Cambria" w:cs="Cambria"/>
          <w:sz w:val="22"/>
          <w:szCs w:val="22"/>
        </w:rPr>
        <w:t>(pp. 3-18). Routledge.</w:t>
      </w:r>
    </w:p>
    <w:p w14:paraId="1C2A282C" w14:textId="227794D9" w:rsidR="00284CD2" w:rsidRPr="001854AE" w:rsidRDefault="00F62FC5"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Wei, P., He, F., &amp; Huang, S. (2018). Effects of instructional multimedia integrated situational approach on students' learning achievement. </w:t>
      </w:r>
      <w:r w:rsidRPr="001854AE">
        <w:rPr>
          <w:rFonts w:ascii="Cambria" w:eastAsia="Cambria" w:hAnsi="Cambria" w:cs="Cambria"/>
          <w:i/>
          <w:iCs/>
          <w:sz w:val="22"/>
          <w:szCs w:val="22"/>
        </w:rPr>
        <w:t xml:space="preserve">Eurasian journal of mathematics, science and technology education </w:t>
      </w:r>
      <w:r w:rsidRPr="001854AE">
        <w:rPr>
          <w:rFonts w:ascii="Cambria" w:eastAsia="Cambria" w:hAnsi="Cambria" w:cs="Cambria"/>
          <w:sz w:val="22"/>
          <w:szCs w:val="22"/>
        </w:rPr>
        <w:t>, 14, 3321-3327.</w:t>
      </w:r>
    </w:p>
    <w:p w14:paraId="5A464B0F" w14:textId="7CC89C39" w:rsidR="00EF2004" w:rsidRPr="001854AE" w:rsidRDefault="00EF2004" w:rsidP="00284CD2">
      <w:pPr>
        <w:ind w:left="540" w:hanging="540"/>
        <w:jc w:val="both"/>
        <w:rPr>
          <w:rFonts w:ascii="Cambria" w:eastAsia="Cambria" w:hAnsi="Cambria" w:cs="Cambria"/>
          <w:sz w:val="22"/>
          <w:szCs w:val="22"/>
        </w:rPr>
      </w:pPr>
      <w:r w:rsidRPr="001854AE">
        <w:rPr>
          <w:rFonts w:ascii="Cambria" w:eastAsia="Cambria" w:hAnsi="Cambria" w:cs="Cambria"/>
          <w:sz w:val="22"/>
          <w:szCs w:val="22"/>
        </w:rPr>
        <w:t xml:space="preserve">Wei, B., Wang, H., Li, F., Long, Y., Zhang, Q., Liu, H., Tang, X., &amp; Rao, M. (2023). Effectiveness of problem-based learning on development of nursing students' critical thinking skills: A systematic review and meta-analysis. </w:t>
      </w:r>
      <w:r w:rsidRPr="001854AE">
        <w:rPr>
          <w:rFonts w:ascii="Cambria" w:eastAsia="Cambria" w:hAnsi="Cambria" w:cs="Cambria"/>
          <w:i/>
          <w:iCs/>
          <w:sz w:val="22"/>
          <w:szCs w:val="22"/>
        </w:rPr>
        <w:t xml:space="preserve">Nurse educator </w:t>
      </w:r>
      <w:r w:rsidR="000B7D62" w:rsidRPr="001854AE">
        <w:rPr>
          <w:rFonts w:ascii="Cambria" w:eastAsia="Cambria" w:hAnsi="Cambria" w:cs="Cambria"/>
          <w:sz w:val="22"/>
          <w:szCs w:val="22"/>
        </w:rPr>
        <w:t xml:space="preserve">, </w:t>
      </w:r>
      <w:r w:rsidR="000B7D62" w:rsidRPr="001854AE">
        <w:rPr>
          <w:rFonts w:ascii="Cambria" w:eastAsia="Cambria" w:hAnsi="Cambria" w:cs="Cambria"/>
          <w:i/>
          <w:iCs/>
          <w:sz w:val="22"/>
          <w:szCs w:val="22"/>
        </w:rPr>
        <w:t xml:space="preserve">49 </w:t>
      </w:r>
      <w:r w:rsidR="000B7D62" w:rsidRPr="001854AE">
        <w:rPr>
          <w:rFonts w:ascii="Cambria" w:eastAsia="Cambria" w:hAnsi="Cambria" w:cs="Cambria"/>
          <w:sz w:val="22"/>
          <w:szCs w:val="22"/>
        </w:rPr>
        <w:t>(3), E115-E119</w:t>
      </w:r>
    </w:p>
    <w:p w14:paraId="6FFAA665" w14:textId="752AED1D" w:rsidR="00EF2004" w:rsidRPr="001854AE" w:rsidRDefault="00EF2004" w:rsidP="00EF2004">
      <w:pPr>
        <w:ind w:left="540" w:hanging="540"/>
        <w:jc w:val="both"/>
        <w:rPr>
          <w:rFonts w:ascii="Cambria" w:eastAsia="Cambria" w:hAnsi="Cambria" w:cs="Cambria"/>
          <w:sz w:val="22"/>
          <w:szCs w:val="22"/>
        </w:rPr>
      </w:pPr>
      <w:r w:rsidRPr="00EF2004">
        <w:rPr>
          <w:rFonts w:ascii="Cambria" w:eastAsia="Cambria" w:hAnsi="Cambria" w:cs="Cambria"/>
          <w:sz w:val="22"/>
          <w:szCs w:val="22"/>
        </w:rPr>
        <w:t xml:space="preserve">Widyatma , YV, &amp; Ramadhani, ADH (2024). </w:t>
      </w:r>
      <w:r w:rsidR="000B7D62" w:rsidRPr="001854AE">
        <w:rPr>
          <w:rFonts w:ascii="Cambria" w:eastAsia="Cambria" w:hAnsi="Cambria" w:cs="Cambria"/>
          <w:sz w:val="22"/>
          <w:szCs w:val="22"/>
        </w:rPr>
        <w:t xml:space="preserve">Analysis ability breakdown problem mathematics on the material numbers and algebra student class </w:t>
      </w:r>
      <w:r w:rsidRPr="00EF2004">
        <w:rPr>
          <w:rFonts w:ascii="Cambria" w:eastAsia="Cambria" w:hAnsi="Cambria" w:cs="Cambria"/>
          <w:sz w:val="22"/>
          <w:szCs w:val="22"/>
        </w:rPr>
        <w:t xml:space="preserve">IV SDN 4 Piji . </w:t>
      </w:r>
      <w:r w:rsidRPr="00EF2004">
        <w:rPr>
          <w:rFonts w:ascii="Cambria" w:eastAsia="Cambria" w:hAnsi="Cambria" w:cs="Cambria"/>
          <w:i/>
          <w:iCs/>
          <w:sz w:val="22"/>
          <w:szCs w:val="22"/>
        </w:rPr>
        <w:t xml:space="preserve">Journal of Education and Learning </w:t>
      </w:r>
      <w:r w:rsidRPr="00EF2004">
        <w:rPr>
          <w:rFonts w:ascii="Cambria" w:eastAsia="Cambria" w:hAnsi="Cambria" w:cs="Cambria"/>
          <w:sz w:val="22"/>
          <w:szCs w:val="22"/>
        </w:rPr>
        <w:t xml:space="preserve">, </w:t>
      </w:r>
      <w:r w:rsidRPr="00EF2004">
        <w:rPr>
          <w:rFonts w:ascii="Cambria" w:eastAsia="Cambria" w:hAnsi="Cambria" w:cs="Cambria"/>
          <w:i/>
          <w:iCs/>
          <w:sz w:val="22"/>
          <w:szCs w:val="22"/>
        </w:rPr>
        <w:t xml:space="preserve">3 </w:t>
      </w:r>
      <w:r w:rsidRPr="00EF2004">
        <w:rPr>
          <w:rFonts w:ascii="Cambria" w:eastAsia="Cambria" w:hAnsi="Cambria" w:cs="Cambria"/>
          <w:sz w:val="22"/>
          <w:szCs w:val="22"/>
        </w:rPr>
        <w:t>(01), 335-349.</w:t>
      </w:r>
    </w:p>
    <w:p w14:paraId="0F5538E5" w14:textId="3BDFF16B" w:rsidR="00284CD2" w:rsidRPr="001854AE" w:rsidRDefault="00BD5F71" w:rsidP="00284CD2">
      <w:pPr>
        <w:ind w:left="540" w:hanging="540"/>
        <w:jc w:val="both"/>
        <w:rPr>
          <w:rFonts w:ascii="Cambria" w:eastAsia="Cambria" w:hAnsi="Cambria" w:cs="Cambria"/>
          <w:b/>
          <w:bCs/>
          <w:sz w:val="22"/>
          <w:szCs w:val="22"/>
        </w:rPr>
      </w:pPr>
      <w:r w:rsidRPr="001854AE">
        <w:rPr>
          <w:rFonts w:ascii="Cambria" w:eastAsia="Cambria" w:hAnsi="Cambria" w:cs="Cambria"/>
          <w:sz w:val="22"/>
          <w:szCs w:val="22"/>
        </w:rPr>
        <w:t xml:space="preserve">Yu, J., Denham, A. R., &amp; Searight, E. (2022). A systematic review of augmented reality game-based learning in STEM education. </w:t>
      </w:r>
      <w:r w:rsidRPr="001854AE">
        <w:rPr>
          <w:rFonts w:ascii="Cambria" w:eastAsia="Cambria" w:hAnsi="Cambria" w:cs="Cambria"/>
          <w:i/>
          <w:iCs/>
          <w:sz w:val="22"/>
          <w:szCs w:val="22"/>
        </w:rPr>
        <w:t xml:space="preserve">Educational technology research and development </w:t>
      </w:r>
      <w:r w:rsidRPr="001854AE">
        <w:rPr>
          <w:rFonts w:ascii="Cambria" w:eastAsia="Cambria" w:hAnsi="Cambria" w:cs="Cambria"/>
          <w:sz w:val="22"/>
          <w:szCs w:val="22"/>
        </w:rPr>
        <w:t>, 70(4), 1169-1194.</w:t>
      </w:r>
    </w:p>
    <w:p w14:paraId="15796ED4" w14:textId="77777777" w:rsidR="00F62FC5" w:rsidRPr="001854AE" w:rsidRDefault="00F62FC5" w:rsidP="00F62FC5">
      <w:pPr>
        <w:ind w:firstLine="567"/>
        <w:jc w:val="both"/>
        <w:rPr>
          <w:rFonts w:ascii="Cambria" w:eastAsia="Cambria" w:hAnsi="Cambria" w:cs="Cambria"/>
          <w:sz w:val="22"/>
          <w:szCs w:val="22"/>
        </w:rPr>
      </w:pPr>
    </w:p>
    <w:p w14:paraId="6E9D8352" w14:textId="77777777" w:rsidR="00F62FC5" w:rsidRPr="001854AE" w:rsidRDefault="00F62FC5" w:rsidP="00F62FC5">
      <w:pPr>
        <w:ind w:firstLine="567"/>
        <w:jc w:val="both"/>
        <w:rPr>
          <w:rFonts w:ascii="Cambria" w:eastAsia="Cambria" w:hAnsi="Cambria" w:cs="Cambria"/>
          <w:sz w:val="22"/>
          <w:szCs w:val="22"/>
        </w:rPr>
      </w:pPr>
    </w:p>
    <w:p w14:paraId="2BC3C57F" w14:textId="77777777" w:rsidR="00F62FC5" w:rsidRPr="001854AE" w:rsidRDefault="00F62FC5" w:rsidP="00F62FC5">
      <w:pPr>
        <w:ind w:firstLine="567"/>
        <w:jc w:val="both"/>
        <w:rPr>
          <w:rFonts w:ascii="Cambria" w:eastAsia="Cambria" w:hAnsi="Cambria" w:cs="Cambria"/>
          <w:sz w:val="22"/>
          <w:szCs w:val="22"/>
        </w:rPr>
      </w:pPr>
    </w:p>
    <w:p w14:paraId="107C5169" w14:textId="77777777" w:rsidR="00F62FC5" w:rsidRPr="001854AE" w:rsidRDefault="00F62FC5" w:rsidP="00F62FC5">
      <w:pPr>
        <w:ind w:firstLine="567"/>
        <w:jc w:val="both"/>
        <w:rPr>
          <w:rFonts w:ascii="Cambria" w:eastAsia="Cambria" w:hAnsi="Cambria" w:cs="Cambria"/>
          <w:sz w:val="22"/>
          <w:szCs w:val="22"/>
        </w:rPr>
      </w:pPr>
    </w:p>
    <w:p w14:paraId="48635A74" w14:textId="65E97F9D" w:rsidR="00B26540" w:rsidRPr="001854AE" w:rsidRDefault="00B26540" w:rsidP="000B7D62">
      <w:pPr>
        <w:jc w:val="both"/>
        <w:rPr>
          <w:rFonts w:ascii="Cambria" w:eastAsia="Cambria" w:hAnsi="Cambria" w:cs="Cambria"/>
          <w:b/>
          <w:sz w:val="22"/>
          <w:szCs w:val="22"/>
        </w:rPr>
      </w:pPr>
    </w:p>
    <w:sectPr w:rsidR="00B26540" w:rsidRPr="001854AE">
      <w:headerReference w:type="even" r:id="rId15"/>
      <w:headerReference w:type="default" r:id="rId16"/>
      <w:footerReference w:type="even" r:id="rId17"/>
      <w:footerReference w:type="default" r:id="rId18"/>
      <w:headerReference w:type="first" r:id="rId19"/>
      <w:footerReference w:type="first" r:id="rId20"/>
      <w:pgSz w:w="11905" w:h="16837"/>
      <w:pgMar w:top="1418" w:right="1134" w:bottom="1134" w:left="1418" w:header="567"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E567B7" w14:textId="77777777" w:rsidR="005107AA" w:rsidRDefault="005107AA">
      <w:r>
        <w:separator/>
      </w:r>
    </w:p>
  </w:endnote>
  <w:endnote w:type="continuationSeparator" w:id="0">
    <w:p w14:paraId="2D3E71D5" w14:textId="77777777" w:rsidR="005107AA" w:rsidRDefault="0051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AMECN+TimesNewRoman">
    <w:panose1 w:val="00000000000000000000"/>
    <w:charset w:val="00"/>
    <w:family w:val="roman"/>
    <w:notTrueType/>
    <w:pitch w:val="default"/>
  </w:font>
  <w:font w:name="HAMEHF+TimesNew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13CC3" w14:textId="03D415D5" w:rsidR="00B26540" w:rsidRDefault="005107AA">
    <w:pPr>
      <w:pBdr>
        <w:top w:val="single" w:sz="4" w:space="1" w:color="D9D9D9"/>
        <w:left w:val="nil"/>
        <w:bottom w:val="nil"/>
        <w:right w:val="nil"/>
        <w:between w:val="nil"/>
      </w:pBdr>
      <w:tabs>
        <w:tab w:val="center" w:pos="4680"/>
        <w:tab w:val="right" w:pos="9360"/>
      </w:tabs>
      <w:rPr>
        <w:rFonts w:ascii="Cambria" w:eastAsia="Cambria" w:hAnsi="Cambria" w:cs="Cambria"/>
        <w:b/>
        <w:color w:val="000000"/>
      </w:rPr>
    </w:pP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1C1D82">
      <w:rPr>
        <w:rFonts w:ascii="Cambria" w:eastAsia="Cambria" w:hAnsi="Cambria" w:cs="Cambria"/>
        <w:noProof/>
        <w:color w:val="000000"/>
        <w:sz w:val="20"/>
        <w:szCs w:val="20"/>
      </w:rPr>
      <w:t>12</w:t>
    </w:r>
    <w:r>
      <w:rPr>
        <w:rFonts w:ascii="Cambria" w:eastAsia="Cambria" w:hAnsi="Cambria" w:cs="Cambria"/>
        <w:color w:val="000000"/>
        <w:sz w:val="20"/>
        <w:szCs w:val="20"/>
      </w:rPr>
      <w:fldChar w:fldCharType="end"/>
    </w:r>
    <w:r>
      <w:rPr>
        <w:rFonts w:ascii="Cambria" w:eastAsia="Cambria" w:hAnsi="Cambria" w:cs="Cambria"/>
        <w:b/>
        <w:color w:val="000000"/>
        <w:sz w:val="20"/>
        <w:szCs w:val="20"/>
      </w:rPr>
      <w:t xml:space="preserve">| </w:t>
    </w:r>
    <w:r>
      <w:rPr>
        <w:rFonts w:ascii="Cambria" w:eastAsia="Cambria" w:hAnsi="Cambria" w:cs="Cambria"/>
        <w:color w:val="000000"/>
        <w:sz w:val="20"/>
        <w:szCs w:val="20"/>
      </w:rPr>
      <w:t>Journal of Advanced Sciences and Mathematics Education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1EA20" w14:textId="57026714" w:rsidR="00B26540" w:rsidRDefault="005107AA">
    <w:pPr>
      <w:pBdr>
        <w:top w:val="single" w:sz="4" w:space="1" w:color="D9D9D9"/>
        <w:left w:val="nil"/>
        <w:bottom w:val="nil"/>
        <w:right w:val="nil"/>
        <w:between w:val="nil"/>
      </w:pBdr>
      <w:tabs>
        <w:tab w:val="center" w:pos="4680"/>
        <w:tab w:val="right" w:pos="9360"/>
        <w:tab w:val="center" w:pos="4230"/>
        <w:tab w:val="right" w:pos="9353"/>
      </w:tabs>
      <w:rPr>
        <w:rFonts w:ascii="Cambria" w:eastAsia="Cambria" w:hAnsi="Cambria" w:cs="Cambria"/>
        <w:b/>
        <w:color w:val="000000"/>
      </w:rPr>
    </w:pPr>
    <w:r>
      <w:rPr>
        <w:color w:val="000000"/>
        <w:sz w:val="20"/>
        <w:szCs w:val="20"/>
      </w:rPr>
      <w:tab/>
    </w:r>
    <w:r>
      <w:rPr>
        <w:color w:val="000000"/>
        <w:sz w:val="20"/>
        <w:szCs w:val="20"/>
      </w:rPr>
      <w:tab/>
    </w:r>
    <w:r>
      <w:rPr>
        <w:rFonts w:ascii="Cambria" w:eastAsia="Cambria" w:hAnsi="Cambria" w:cs="Cambria"/>
        <w:color w:val="000000"/>
        <w:sz w:val="20"/>
        <w:szCs w:val="20"/>
      </w:rPr>
      <w:t xml:space="preserve">Journal of Advanced Sciences and Mathematics Education </w:t>
    </w:r>
    <w:r>
      <w:rPr>
        <w:rFonts w:ascii="Cambria" w:eastAsia="Cambria" w:hAnsi="Cambria" w:cs="Cambria"/>
        <w:b/>
        <w:color w:val="000000"/>
        <w:sz w:val="20"/>
        <w:szCs w:val="20"/>
      </w:rPr>
      <w:t xml:space="preserve">| </w:t>
    </w:r>
    <w:r>
      <w:rPr>
        <w:rFonts w:ascii="Cambria" w:eastAsia="Cambria" w:hAnsi="Cambria" w:cs="Cambria"/>
        <w:b/>
        <w:color w:val="000000"/>
        <w:sz w:val="20"/>
        <w:szCs w:val="20"/>
      </w:rPr>
      <w:fldChar w:fldCharType="begin"/>
    </w:r>
    <w:r>
      <w:rPr>
        <w:rFonts w:ascii="Cambria" w:eastAsia="Cambria" w:hAnsi="Cambria" w:cs="Cambria"/>
        <w:b/>
        <w:color w:val="000000"/>
        <w:sz w:val="20"/>
        <w:szCs w:val="20"/>
      </w:rPr>
      <w:instrText>PAGE</w:instrText>
    </w:r>
    <w:r>
      <w:rPr>
        <w:rFonts w:ascii="Cambria" w:eastAsia="Cambria" w:hAnsi="Cambria" w:cs="Cambria"/>
        <w:b/>
        <w:color w:val="000000"/>
        <w:sz w:val="20"/>
        <w:szCs w:val="20"/>
      </w:rPr>
      <w:fldChar w:fldCharType="separate"/>
    </w:r>
    <w:r w:rsidR="001C1D82">
      <w:rPr>
        <w:rFonts w:ascii="Cambria" w:eastAsia="Cambria" w:hAnsi="Cambria" w:cs="Cambria"/>
        <w:b/>
        <w:noProof/>
        <w:color w:val="000000"/>
        <w:sz w:val="20"/>
        <w:szCs w:val="20"/>
      </w:rPr>
      <w:t>13</w:t>
    </w:r>
    <w:r>
      <w:rPr>
        <w:rFonts w:ascii="Cambria" w:eastAsia="Cambria" w:hAnsi="Cambria" w:cs="Cambria"/>
        <w:b/>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015DE" w14:textId="77777777" w:rsidR="00B26540" w:rsidRDefault="00B2654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0B482" w14:textId="77777777" w:rsidR="005107AA" w:rsidRDefault="005107AA">
      <w:r>
        <w:separator/>
      </w:r>
    </w:p>
  </w:footnote>
  <w:footnote w:type="continuationSeparator" w:id="0">
    <w:p w14:paraId="7AB60D19" w14:textId="77777777" w:rsidR="005107AA" w:rsidRDefault="00510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8E59D" w14:textId="77777777" w:rsidR="00B26540" w:rsidRDefault="005107AA">
    <w:pPr>
      <w:pBdr>
        <w:top w:val="nil"/>
        <w:left w:val="nil"/>
        <w:bottom w:val="nil"/>
        <w:right w:val="nil"/>
        <w:between w:val="nil"/>
      </w:pBdr>
      <w:jc w:val="center"/>
      <w:rPr>
        <w:rFonts w:ascii="Cambria" w:eastAsia="Cambria" w:hAnsi="Cambria" w:cs="Cambria"/>
        <w:b/>
        <w:color w:val="000000"/>
        <w:sz w:val="20"/>
        <w:szCs w:val="20"/>
      </w:rPr>
    </w:pPr>
    <w:r>
      <w:rPr>
        <w:rFonts w:ascii="Cambria" w:eastAsia="Cambria" w:hAnsi="Cambria" w:cs="Cambria"/>
        <w:b/>
        <w:color w:val="000000"/>
        <w:sz w:val="20"/>
        <w:szCs w:val="20"/>
      </w:rPr>
      <w:t>Journal of Advanced Sciences and Mathematics Education</w:t>
    </w:r>
  </w:p>
  <w:p w14:paraId="10ADC37B" w14:textId="77777777" w:rsidR="00B26540" w:rsidRDefault="005107AA">
    <w:pPr>
      <w:pBdr>
        <w:top w:val="nil"/>
        <w:left w:val="nil"/>
        <w:bottom w:val="nil"/>
        <w:right w:val="nil"/>
        <w:between w:val="nil"/>
      </w:pBdr>
      <w:tabs>
        <w:tab w:val="center" w:pos="4680"/>
        <w:tab w:val="right" w:pos="9360"/>
        <w:tab w:val="center" w:pos="4395"/>
        <w:tab w:val="right" w:pos="8505"/>
      </w:tabs>
      <w:rPr>
        <w:rFonts w:ascii="Cambria" w:eastAsia="Cambria" w:hAnsi="Cambria" w:cs="Cambria"/>
        <w:color w:val="000000"/>
        <w:sz w:val="20"/>
        <w:szCs w:val="20"/>
      </w:rPr>
    </w:pPr>
    <w:r>
      <w:rPr>
        <w:rFonts w:ascii="Cambria" w:eastAsia="Cambria" w:hAnsi="Cambria" w:cs="Cambria"/>
        <w:color w:val="000000"/>
        <w:sz w:val="20"/>
        <w:szCs w:val="20"/>
      </w:rPr>
      <w:t xml:space="preserve">Author </w:t>
    </w:r>
    <w:r>
      <w:rPr>
        <w:color w:val="000000"/>
        <w:sz w:val="20"/>
        <w:szCs w:val="20"/>
      </w:rPr>
      <w:tab/>
      <w:t xml:space="preserve">│ </w:t>
    </w:r>
    <w:r>
      <w:rPr>
        <w:color w:val="000000"/>
        <w:sz w:val="20"/>
        <w:szCs w:val="20"/>
      </w:rPr>
      <w:tab/>
    </w:r>
    <w:r>
      <w:rPr>
        <w:rFonts w:ascii="Cambria" w:eastAsia="Cambria" w:hAnsi="Cambria" w:cs="Cambria"/>
        <w:color w:val="000000"/>
        <w:sz w:val="20"/>
        <w:szCs w:val="20"/>
      </w:rPr>
      <w:t>Title</w:t>
    </w:r>
    <w:r>
      <w:rPr>
        <w:noProof/>
        <w:lang w:val="en-US" w:eastAsia="en-US"/>
      </w:rPr>
      <mc:AlternateContent>
        <mc:Choice Requires="wpg">
          <w:drawing>
            <wp:anchor distT="0" distB="0" distL="114300" distR="114300" simplePos="0" relativeHeight="251661312" behindDoc="0" locked="0" layoutInCell="1" hidden="0" allowOverlap="1" wp14:anchorId="1D2D2A64" wp14:editId="68C00BF4">
              <wp:simplePos x="0" y="0"/>
              <wp:positionH relativeFrom="column">
                <wp:posOffset>-25399</wp:posOffset>
              </wp:positionH>
              <wp:positionV relativeFrom="paragraph">
                <wp:posOffset>0</wp:posOffset>
              </wp:positionV>
              <wp:extent cx="5940000" cy="12700"/>
              <wp:effectExtent l="0" t="0" r="0" b="0"/>
              <wp:wrapNone/>
              <wp:docPr id="50" name="Straight Arrow Connector 50"/>
              <wp:cNvGraphicFramePr/>
              <a:graphic xmlns:a="http://schemas.openxmlformats.org/drawingml/2006/main">
                <a:graphicData uri="http://schemas.microsoft.com/office/word/2010/wordprocessingShape">
                  <wps:wsp>
                    <wps:cNvCnPr/>
                    <wps:spPr>
                      <a:xfrm>
                        <a:off x="2376000" y="3780000"/>
                        <a:ext cx="5940000" cy="0"/>
                      </a:xfrm>
                      <a:prstGeom prst="straightConnector1">
                        <a:avLst/>
                      </a:prstGeom>
                      <a:noFill/>
                      <a:ln w="9525" cap="flat" cmpd="sng">
                        <a:solidFill>
                          <a:srgbClr val="000000"/>
                        </a:solidFill>
                        <a:prstDash val="solid"/>
                        <a:round/>
                        <a:headEnd type="none" w="med" len="med"/>
                        <a:tailEnd type="none" w="med" len="med"/>
                      </a:ln>
                      <a:effectLst>
                        <a:outerShdw dist="35921" dir="2700000" algn="ctr" rotWithShape="0">
                          <a:srgbClr val="808080"/>
                        </a:outerShdw>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-25399</wp:posOffset>
              </wp:positionH>
              <wp:positionV relativeFrom="paragraph">
                <wp:posOffset>0</wp:posOffset>
              </wp:positionV>
              <wp:extent cx="5940000" cy="12700"/>
              <wp:effectExtent b="0" l="0" r="0" t="0"/>
              <wp:wrapNone/>
              <wp:docPr id="5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94000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7293C" w14:textId="77777777" w:rsidR="00B26540" w:rsidRDefault="005107AA">
    <w:pPr>
      <w:pBdr>
        <w:top w:val="nil"/>
        <w:left w:val="nil"/>
        <w:bottom w:val="nil"/>
        <w:right w:val="nil"/>
        <w:between w:val="nil"/>
      </w:pBdr>
      <w:jc w:val="center"/>
      <w:rPr>
        <w:b/>
        <w:color w:val="000000"/>
        <w:sz w:val="18"/>
        <w:szCs w:val="18"/>
      </w:rPr>
    </w:pPr>
    <w:r>
      <w:rPr>
        <w:b/>
        <w:color w:val="000000"/>
        <w:sz w:val="18"/>
        <w:szCs w:val="18"/>
      </w:rPr>
      <w:t>Journal of Advanced Sciences and Mathematics Education</w:t>
    </w:r>
    <w:r>
      <w:rPr>
        <w:noProof/>
        <w:lang w:val="en-US" w:eastAsia="en-US"/>
      </w:rPr>
      <mc:AlternateContent>
        <mc:Choice Requires="wpg">
          <w:drawing>
            <wp:anchor distT="0" distB="0" distL="114300" distR="114300" simplePos="0" relativeHeight="251658240" behindDoc="0" locked="0" layoutInCell="1" hidden="0" allowOverlap="1" wp14:anchorId="2A977060" wp14:editId="0EBED976">
              <wp:simplePos x="0" y="0"/>
              <wp:positionH relativeFrom="column">
                <wp:posOffset>-12699</wp:posOffset>
              </wp:positionH>
              <wp:positionV relativeFrom="paragraph">
                <wp:posOffset>114300</wp:posOffset>
              </wp:positionV>
              <wp:extent cx="5943600" cy="12700"/>
              <wp:effectExtent l="0" t="0" r="0" b="0"/>
              <wp:wrapNone/>
              <wp:docPr id="49" name="Straight Arrow Connector 49"/>
              <wp:cNvGraphicFramePr/>
              <a:graphic xmlns:a="http://schemas.openxmlformats.org/drawingml/2006/main">
                <a:graphicData uri="http://schemas.microsoft.com/office/word/2010/wordprocessingShape">
                  <wps:wsp>
                    <wps:cNvCnPr/>
                    <wps:spPr>
                      <a:xfrm>
                        <a:off x="2374200" y="3780000"/>
                        <a:ext cx="5943600" cy="0"/>
                      </a:xfrm>
                      <a:prstGeom prst="straightConnector1">
                        <a:avLst/>
                      </a:prstGeom>
                      <a:noFill/>
                      <a:ln w="9525" cap="flat" cmpd="sng">
                        <a:solidFill>
                          <a:srgbClr val="000000"/>
                        </a:solidFill>
                        <a:prstDash val="solid"/>
                        <a:round/>
                        <a:headEnd type="none" w="med" len="med"/>
                        <a:tailEnd type="none" w="med" len="med"/>
                      </a:ln>
                      <a:effectLst>
                        <a:outerShdw dist="35921" dir="2700000" algn="ctr" rotWithShape="0">
                          <a:srgbClr val="808080"/>
                        </a:outerShdw>
                      </a:effectLst>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-12699</wp:posOffset>
              </wp:positionH>
              <wp:positionV relativeFrom="paragraph">
                <wp:posOffset>114300</wp:posOffset>
              </wp:positionV>
              <wp:extent cx="5943600" cy="12700"/>
              <wp:effectExtent b="0" l="0" r="0" t="0"/>
              <wp:wrapNone/>
              <wp:docPr id="4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43600" cy="12700"/>
                      </a:xfrm>
                      <a:prstGeom prst="rect"/>
                      <a:ln/>
                    </pic:spPr>
                  </pic:pic>
                </a:graphicData>
              </a:graphic>
            </wp:anchor>
          </w:drawing>
        </mc:Fallback>
      </mc:AlternateContent>
    </w:r>
  </w:p>
  <w:p w14:paraId="74C5E518" w14:textId="77777777" w:rsidR="00B26540" w:rsidRDefault="005107AA">
    <w:pPr>
      <w:pBdr>
        <w:top w:val="nil"/>
        <w:left w:val="nil"/>
        <w:bottom w:val="nil"/>
        <w:right w:val="nil"/>
        <w:between w:val="nil"/>
      </w:pBdr>
      <w:tabs>
        <w:tab w:val="center" w:pos="4680"/>
        <w:tab w:val="right" w:pos="9360"/>
        <w:tab w:val="center" w:pos="4395"/>
        <w:tab w:val="right" w:pos="8505"/>
      </w:tabs>
      <w:rPr>
        <w:color w:val="000000"/>
        <w:sz w:val="20"/>
        <w:szCs w:val="20"/>
      </w:rPr>
    </w:pPr>
    <w:r>
      <w:rPr>
        <w:color w:val="000000"/>
        <w:sz w:val="20"/>
        <w:szCs w:val="20"/>
      </w:rPr>
      <w:t xml:space="preserve">Author </w:t>
    </w:r>
    <w:r>
      <w:rPr>
        <w:color w:val="000000"/>
        <w:sz w:val="20"/>
        <w:szCs w:val="20"/>
      </w:rPr>
      <w:tab/>
      <w:t>│Title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251D9" w14:textId="77777777" w:rsidR="00B26540" w:rsidRDefault="005107AA">
    <w:pPr>
      <w:spacing w:line="140" w:lineRule="auto"/>
    </w:pPr>
    <w:r>
      <w:rPr>
        <w:noProof/>
        <w:lang w:val="en-US" w:eastAsia="en-US"/>
      </w:rPr>
      <mc:AlternateContent>
        <mc:Choice Requires="wpg">
          <w:drawing>
            <wp:anchor distT="0" distB="0" distL="0" distR="0" simplePos="0" relativeHeight="251659264" behindDoc="1" locked="0" layoutInCell="1" hidden="0" allowOverlap="1" wp14:anchorId="4AA93B64" wp14:editId="595835A8">
              <wp:simplePos x="0" y="0"/>
              <wp:positionH relativeFrom="page">
                <wp:posOffset>771525</wp:posOffset>
              </wp:positionH>
              <wp:positionV relativeFrom="page">
                <wp:posOffset>333375</wp:posOffset>
              </wp:positionV>
              <wp:extent cx="6048375" cy="1094105"/>
              <wp:effectExtent l="0" t="0" r="0" b="0"/>
              <wp:wrapNone/>
              <wp:docPr id="48" name="Group 48"/>
              <wp:cNvGraphicFramePr/>
              <a:graphic xmlns:a="http://schemas.openxmlformats.org/drawingml/2006/main">
                <a:graphicData uri="http://schemas.microsoft.com/office/word/2010/wordprocessingGroup">
                  <wpg:wgp>
                    <wpg:cNvGrpSpPr/>
                    <wpg:grpSpPr>
                      <a:xfrm>
                        <a:off x="0" y="0"/>
                        <a:ext cx="6048375" cy="1094105"/>
                        <a:chOff x="2321813" y="3232948"/>
                        <a:chExt cx="6044873" cy="1090930"/>
                      </a:xfrm>
                    </wpg:grpSpPr>
                    <wpg:grpSp>
                      <wpg:cNvPr id="579999909" name="Group 579999909"/>
                      <wpg:cNvGrpSpPr/>
                      <wpg:grpSpPr>
                        <a:xfrm>
                          <a:off x="2321813" y="3232948"/>
                          <a:ext cx="6044873" cy="1090930"/>
                          <a:chOff x="848" y="1103"/>
                          <a:chExt cx="10356" cy="1718"/>
                        </a:xfrm>
                      </wpg:grpSpPr>
                      <wps:wsp>
                        <wps:cNvPr id="376968628" name="Rectangle 376968628"/>
                        <wps:cNvSpPr/>
                        <wps:spPr>
                          <a:xfrm>
                            <a:off x="848" y="1103"/>
                            <a:ext cx="10350" cy="1700"/>
                          </a:xfrm>
                          <a:prstGeom prst="rect">
                            <a:avLst/>
                          </a:prstGeom>
                          <a:noFill/>
                          <a:ln>
                            <a:noFill/>
                          </a:ln>
                        </wps:spPr>
                        <wps:txbx>
                          <w:txbxContent>
                            <w:p w14:paraId="66AC5377" w14:textId="77777777" w:rsidR="00B26540" w:rsidRDefault="00B26540">
                              <w:pPr>
                                <w:textDirection w:val="btLr"/>
                              </w:pPr>
                            </w:p>
                          </w:txbxContent>
                        </wps:txbx>
                        <wps:bodyPr spcFirstLastPara="1" wrap="square" lIns="91425" tIns="91425" rIns="91425" bIns="91425" anchor="ctr" anchorCtr="0">
                          <a:noAutofit/>
                        </wps:bodyPr>
                      </wps:wsp>
                      <wps:wsp>
                        <wps:cNvPr id="1412651000" name="Freeform: Shape 1412651000"/>
                        <wps:cNvSpPr/>
                        <wps:spPr>
                          <a:xfrm>
                            <a:off x="857" y="1112"/>
                            <a:ext cx="1977" cy="0"/>
                          </a:xfrm>
                          <a:custGeom>
                            <a:avLst/>
                            <a:gdLst/>
                            <a:ahLst/>
                            <a:cxnLst/>
                            <a:rect l="l" t="t" r="r" b="b"/>
                            <a:pathLst>
                              <a:path w="1977" h="120000" extrusionOk="0">
                                <a:moveTo>
                                  <a:pt x="0" y="0"/>
                                </a:moveTo>
                                <a:lnTo>
                                  <a:pt x="1976" y="0"/>
                                </a:lnTo>
                              </a:path>
                            </a:pathLst>
                          </a:custGeom>
                          <a:noFill/>
                          <a:ln w="9525" cap="flat" cmpd="sng">
                            <a:solidFill>
                              <a:srgbClr val="D9D9D9"/>
                            </a:solidFill>
                            <a:prstDash val="solid"/>
                            <a:round/>
                            <a:headEnd type="none" w="med" len="med"/>
                            <a:tailEnd type="none" w="med" len="med"/>
                          </a:ln>
                        </wps:spPr>
                        <wps:bodyPr spcFirstLastPara="1" wrap="square" lIns="91425" tIns="91425" rIns="91425" bIns="91425" anchor="ctr" anchorCtr="0">
                          <a:noAutofit/>
                        </wps:bodyPr>
                      </wps:wsp>
                      <wps:wsp>
                        <wps:cNvPr id="438044049" name="Freeform: Shape 438044049"/>
                        <wps:cNvSpPr/>
                        <wps:spPr>
                          <a:xfrm>
                            <a:off x="2841" y="1112"/>
                            <a:ext cx="8359" cy="0"/>
                          </a:xfrm>
                          <a:custGeom>
                            <a:avLst/>
                            <a:gdLst/>
                            <a:ahLst/>
                            <a:cxnLst/>
                            <a:rect l="l" t="t" r="r" b="b"/>
                            <a:pathLst>
                              <a:path w="8359" h="120000" extrusionOk="0">
                                <a:moveTo>
                                  <a:pt x="0" y="0"/>
                                </a:moveTo>
                                <a:lnTo>
                                  <a:pt x="8359" y="0"/>
                                </a:lnTo>
                              </a:path>
                            </a:pathLst>
                          </a:custGeom>
                          <a:noFill/>
                          <a:ln w="9525" cap="flat" cmpd="sng">
                            <a:solidFill>
                              <a:srgbClr val="D9D9D9"/>
                            </a:solidFill>
                            <a:prstDash val="solid"/>
                            <a:round/>
                            <a:headEnd type="none" w="med" len="med"/>
                            <a:tailEnd type="none" w="med" len="med"/>
                          </a:ln>
                        </wps:spPr>
                        <wps:bodyPr spcFirstLastPara="1" wrap="square" lIns="91425" tIns="91425" rIns="91425" bIns="91425" anchor="ctr" anchorCtr="0">
                          <a:noAutofit/>
                        </wps:bodyPr>
                      </wps:wsp>
                      <wps:wsp>
                        <wps:cNvPr id="1411363541" name="Freeform: Shape 1411363541"/>
                        <wps:cNvSpPr/>
                        <wps:spPr>
                          <a:xfrm>
                            <a:off x="853" y="1108"/>
                            <a:ext cx="0" cy="1713"/>
                          </a:xfrm>
                          <a:custGeom>
                            <a:avLst/>
                            <a:gdLst/>
                            <a:ahLst/>
                            <a:cxnLst/>
                            <a:rect l="l" t="t" r="r" b="b"/>
                            <a:pathLst>
                              <a:path w="120000" h="1713" extrusionOk="0">
                                <a:moveTo>
                                  <a:pt x="0" y="0"/>
                                </a:moveTo>
                                <a:lnTo>
                                  <a:pt x="0" y="1713"/>
                                </a:lnTo>
                              </a:path>
                            </a:pathLst>
                          </a:custGeom>
                          <a:noFill/>
                          <a:ln w="9525" cap="flat" cmpd="sng">
                            <a:solidFill>
                              <a:srgbClr val="D9D9D9"/>
                            </a:solidFill>
                            <a:prstDash val="solid"/>
                            <a:round/>
                            <a:headEnd type="none" w="med" len="med"/>
                            <a:tailEnd type="none" w="med" len="med"/>
                          </a:ln>
                        </wps:spPr>
                        <wps:bodyPr spcFirstLastPara="1" wrap="square" lIns="91425" tIns="91425" rIns="91425" bIns="91425" anchor="ctr" anchorCtr="0">
                          <a:noAutofit/>
                        </wps:bodyPr>
                      </wps:wsp>
                      <wps:wsp>
                        <wps:cNvPr id="759057844" name="Freeform: Shape 759057844"/>
                        <wps:cNvSpPr/>
                        <wps:spPr>
                          <a:xfrm>
                            <a:off x="857" y="2817"/>
                            <a:ext cx="1977" cy="0"/>
                          </a:xfrm>
                          <a:custGeom>
                            <a:avLst/>
                            <a:gdLst/>
                            <a:ahLst/>
                            <a:cxnLst/>
                            <a:rect l="l" t="t" r="r" b="b"/>
                            <a:pathLst>
                              <a:path w="1977" h="120000" extrusionOk="0">
                                <a:moveTo>
                                  <a:pt x="0" y="0"/>
                                </a:moveTo>
                                <a:lnTo>
                                  <a:pt x="1976" y="0"/>
                                </a:lnTo>
                              </a:path>
                            </a:pathLst>
                          </a:custGeom>
                          <a:noFill/>
                          <a:ln w="9525" cap="flat" cmpd="sng">
                            <a:solidFill>
                              <a:srgbClr val="D9D9D9"/>
                            </a:solidFill>
                            <a:prstDash val="solid"/>
                            <a:round/>
                            <a:headEnd type="none" w="med" len="med"/>
                            <a:tailEnd type="none" w="med" len="med"/>
                          </a:ln>
                        </wps:spPr>
                        <wps:bodyPr spcFirstLastPara="1" wrap="square" lIns="91425" tIns="91425" rIns="91425" bIns="91425" anchor="ctr" anchorCtr="0">
                          <a:noAutofit/>
                        </wps:bodyPr>
                      </wps:wsp>
                      <wps:wsp>
                        <wps:cNvPr id="1748294952" name="Freeform: Shape 1748294952"/>
                        <wps:cNvSpPr/>
                        <wps:spPr>
                          <a:xfrm>
                            <a:off x="2837" y="1108"/>
                            <a:ext cx="0" cy="1713"/>
                          </a:xfrm>
                          <a:custGeom>
                            <a:avLst/>
                            <a:gdLst/>
                            <a:ahLst/>
                            <a:cxnLst/>
                            <a:rect l="l" t="t" r="r" b="b"/>
                            <a:pathLst>
                              <a:path w="120000" h="1713" extrusionOk="0">
                                <a:moveTo>
                                  <a:pt x="0" y="0"/>
                                </a:moveTo>
                                <a:lnTo>
                                  <a:pt x="0" y="1713"/>
                                </a:lnTo>
                              </a:path>
                            </a:pathLst>
                          </a:custGeom>
                          <a:noFill/>
                          <a:ln w="9525" cap="flat" cmpd="sng">
                            <a:solidFill>
                              <a:srgbClr val="D9D9D9"/>
                            </a:solidFill>
                            <a:prstDash val="solid"/>
                            <a:round/>
                            <a:headEnd type="none" w="med" len="med"/>
                            <a:tailEnd type="none" w="med" len="med"/>
                          </a:ln>
                        </wps:spPr>
                        <wps:bodyPr spcFirstLastPara="1" wrap="square" lIns="91425" tIns="91425" rIns="91425" bIns="91425" anchor="ctr" anchorCtr="0">
                          <a:noAutofit/>
                        </wps:bodyPr>
                      </wps:wsp>
                      <wps:wsp>
                        <wps:cNvPr id="114958372" name="Freeform: Shape 114958372"/>
                        <wps:cNvSpPr/>
                        <wps:spPr>
                          <a:xfrm>
                            <a:off x="2841" y="2817"/>
                            <a:ext cx="8359" cy="0"/>
                          </a:xfrm>
                          <a:custGeom>
                            <a:avLst/>
                            <a:gdLst/>
                            <a:ahLst/>
                            <a:cxnLst/>
                            <a:rect l="l" t="t" r="r" b="b"/>
                            <a:pathLst>
                              <a:path w="8359" h="120000" extrusionOk="0">
                                <a:moveTo>
                                  <a:pt x="0" y="0"/>
                                </a:moveTo>
                                <a:lnTo>
                                  <a:pt x="8359" y="0"/>
                                </a:lnTo>
                              </a:path>
                            </a:pathLst>
                          </a:custGeom>
                          <a:noFill/>
                          <a:ln w="9525" cap="flat" cmpd="sng">
                            <a:solidFill>
                              <a:srgbClr val="D9D9D9"/>
                            </a:solidFill>
                            <a:prstDash val="solid"/>
                            <a:round/>
                            <a:headEnd type="none" w="med" len="med"/>
                            <a:tailEnd type="none" w="med" len="med"/>
                          </a:ln>
                        </wps:spPr>
                        <wps:bodyPr spcFirstLastPara="1" wrap="square" lIns="91425" tIns="91425" rIns="91425" bIns="91425" anchor="ctr" anchorCtr="0">
                          <a:noAutofit/>
                        </wps:bodyPr>
                      </wps:wsp>
                      <wps:wsp>
                        <wps:cNvPr id="466439567" name="Freeform: Shape 466439567"/>
                        <wps:cNvSpPr/>
                        <wps:spPr>
                          <a:xfrm>
                            <a:off x="11204" y="1108"/>
                            <a:ext cx="0" cy="1713"/>
                          </a:xfrm>
                          <a:custGeom>
                            <a:avLst/>
                            <a:gdLst/>
                            <a:ahLst/>
                            <a:cxnLst/>
                            <a:rect l="l" t="t" r="r" b="b"/>
                            <a:pathLst>
                              <a:path w="120000" h="1713" extrusionOk="0">
                                <a:moveTo>
                                  <a:pt x="0" y="0"/>
                                </a:moveTo>
                                <a:lnTo>
                                  <a:pt x="0" y="1713"/>
                                </a:lnTo>
                              </a:path>
                            </a:pathLst>
                          </a:custGeom>
                          <a:noFill/>
                          <a:ln w="9525" cap="flat" cmpd="sng">
                            <a:solidFill>
                              <a:srgbClr val="D9D9D9"/>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A93B64" id="Group 48" o:spid="_x0000_s1026" style="position:absolute;margin-left:60.75pt;margin-top:26.25pt;width:476.25pt;height:86.15pt;z-index:-251657216;mso-wrap-distance-left:0;mso-wrap-distance-right:0;mso-position-horizontal-relative:page;mso-position-vertical-relative:page" coordorigin="23218,32329" coordsize="60448,1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">
              <v:group id="Group 579999909" o:spid="_x0000_s1027" style="position:absolute;left:23218;top:32329;width:60448;height:10909" coordorigin="848,1103" coordsize="10356,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">
                <v:rect id="Rectangle 376968628" o:spid="_x0000_s1028" style="position:absolute;left:848;top:1103;width:10350;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" filled="f" stroked="f">
                  <v:textbox inset="2.53958mm,2.53958mm,2.53958mm,2.53958mm">
                    <w:txbxContent>
                      <w:p w14:paraId="66AC5377" w14:textId="77777777" w:rsidR="00B26540" w:rsidRDefault="00B26540">
                        <w:pPr>
                          <w:textDirection w:val="btLr"/>
                        </w:pPr>
                      </w:p>
                    </w:txbxContent>
                  </v:textbox>
                </v:rect>
                <v:shape id="Freeform: Shape 1412651000" o:spid="_x0000_s1029" style="position:absolute;left:857;top:1112;width:1977;height:0;visibility:visible;mso-wrap-style:square;v-text-anchor:middle" coordsize="197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" path="m,l1976,e" filled="f" strokecolor="#d9d9d9">
                  <v:path arrowok="t" o:extrusionok="f"/>
                </v:shape>
                <v:shape id="Freeform: Shape 438044049" o:spid="_x0000_s1030" style="position:absolute;left:2841;top:1112;width:8359;height:0;visibility:visible;mso-wrap-style:square;v-text-anchor:middle" coordsize="83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" path="m,l8359,e" filled="f" strokecolor="#d9d9d9">
                  <v:path arrowok="t" o:extrusionok="f"/>
                </v:shape>
                <v:shape id="Freeform: Shape 1411363541" o:spid="_x0000_s1031" style="position:absolute;left:853;top:1108;width:0;height:1713;visibility:visible;mso-wrap-style:square;v-text-anchor:middle" coordsize="12000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" path="m,l,1713e" filled="f" strokecolor="#d9d9d9">
                  <v:path arrowok="t" o:extrusionok="f"/>
                </v:shape>
                <v:shape id="Freeform: Shape 759057844" o:spid="_x0000_s1032" style="position:absolute;left:857;top:2817;width:1977;height:0;visibility:visible;mso-wrap-style:square;v-text-anchor:middle" coordsize="197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" path="m,l1976,e" filled="f" strokecolor="#d9d9d9">
                  <v:path arrowok="t" o:extrusionok="f"/>
                </v:shape>
                <v:shape id="Freeform: Shape 1748294952" o:spid="_x0000_s1033" style="position:absolute;left:2837;top:1108;width:0;height:1713;visibility:visible;mso-wrap-style:square;v-text-anchor:middle" coordsize="12000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" path="m,l,1713e" filled="f" strokecolor="#d9d9d9">
                  <v:path arrowok="t" o:extrusionok="f"/>
                </v:shape>
                <v:shape id="Freeform: Shape 114958372" o:spid="_x0000_s1034" style="position:absolute;left:2841;top:2817;width:8359;height:0;visibility:visible;mso-wrap-style:square;v-text-anchor:middle" coordsize="83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" path="m,l8359,e" filled="f" strokecolor="#d9d9d9">
                  <v:path arrowok="t" o:extrusionok="f"/>
                </v:shape>
                <v:shape id="Freeform: Shape 466439567" o:spid="_x0000_s1035" style="position:absolute;left:11204;top:1108;width:0;height:1713;visibility:visible;mso-wrap-style:square;v-text-anchor:middle" coordsize="12000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" path="m,l,1713e" filled="f" strokecolor="#d9d9d9">
                  <v:path arrowok="t" o:extrusionok="f"/>
                </v:shape>
              </v:group>
              <w10:wrap anchorx="page" anchory="page"/>
            </v:group>
          </w:pict>
        </mc:Fallback>
      </mc:AlternateContent>
    </w:r>
    <w:r>
      <w:rPr>
        <w:noProof/>
        <w:lang w:val="en-US" w:eastAsia="en-US"/>
      </w:rPr>
      <w:drawing>
        <wp:anchor distT="0" distB="0" distL="0" distR="0" simplePos="0" relativeHeight="251660288" behindDoc="1" locked="0" layoutInCell="1" hidden="0" allowOverlap="1" wp14:anchorId="280F4F11" wp14:editId="6E58FB44">
          <wp:simplePos x="0" y="0"/>
          <wp:positionH relativeFrom="column">
            <wp:posOffset>-100329</wp:posOffset>
          </wp:positionH>
          <wp:positionV relativeFrom="paragraph">
            <wp:posOffset>-33019</wp:posOffset>
          </wp:positionV>
          <wp:extent cx="1133475" cy="1016490"/>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3475" cy="1016490"/>
                  </a:xfrm>
                  <a:prstGeom prst="rect">
                    <a:avLst/>
                  </a:prstGeom>
                  <a:ln/>
                </pic:spPr>
              </pic:pic>
            </a:graphicData>
          </a:graphic>
        </wp:anchor>
      </w:drawing>
    </w:r>
  </w:p>
  <w:p w14:paraId="786AB94F" w14:textId="77777777" w:rsidR="00B26540" w:rsidRDefault="005107AA">
    <w:pPr>
      <w:spacing w:line="276" w:lineRule="auto"/>
      <w:ind w:left="1620" w:right="-203"/>
      <w:jc w:val="center"/>
      <w:rPr>
        <w:rFonts w:ascii="Cambria" w:eastAsia="Cambria" w:hAnsi="Cambria" w:cs="Cambria"/>
        <w:b/>
        <w:sz w:val="28"/>
        <w:szCs w:val="28"/>
      </w:rPr>
    </w:pPr>
    <w:r>
      <w:rPr>
        <w:rFonts w:ascii="Cambria" w:eastAsia="Cambria" w:hAnsi="Cambria" w:cs="Cambria"/>
        <w:b/>
        <w:sz w:val="28"/>
        <w:szCs w:val="28"/>
      </w:rPr>
      <w:t>Journal of Advanced Sciences and Mathematics Education</w:t>
    </w:r>
  </w:p>
  <w:p w14:paraId="315416D8" w14:textId="77777777" w:rsidR="00B26540" w:rsidRDefault="005107AA">
    <w:pPr>
      <w:spacing w:before="29"/>
      <w:ind w:left="4253" w:right="2407"/>
      <w:jc w:val="center"/>
      <w:rPr>
        <w:rFonts w:ascii="Cambria" w:eastAsia="Cambria" w:hAnsi="Cambria" w:cs="Cambria"/>
        <w:sz w:val="22"/>
        <w:szCs w:val="22"/>
      </w:rPr>
    </w:pPr>
    <w:r>
      <w:rPr>
        <w:rFonts w:ascii="Cambria" w:eastAsia="Cambria" w:hAnsi="Cambria" w:cs="Cambria"/>
        <w:b/>
        <w:sz w:val="22"/>
        <w:szCs w:val="22"/>
      </w:rPr>
      <w:t>Volume X, Issue X, xx -xx.</w:t>
    </w:r>
  </w:p>
  <w:p w14:paraId="01FD1BCA" w14:textId="77777777" w:rsidR="00B26540" w:rsidRDefault="005107AA">
    <w:pPr>
      <w:spacing w:line="220" w:lineRule="auto"/>
      <w:ind w:left="4678" w:right="-2"/>
      <w:rPr>
        <w:rFonts w:ascii="Cambria" w:eastAsia="Cambria" w:hAnsi="Cambria" w:cs="Cambria"/>
        <w:sz w:val="20"/>
        <w:szCs w:val="20"/>
      </w:rPr>
    </w:pPr>
    <w:r>
      <w:rPr>
        <w:rFonts w:ascii="Cambria" w:eastAsia="Cambria" w:hAnsi="Cambria" w:cs="Cambria"/>
        <w:sz w:val="20"/>
        <w:szCs w:val="20"/>
      </w:rPr>
      <w:t>e_ISSN : 2798-2351</w:t>
    </w:r>
  </w:p>
  <w:p w14:paraId="661FB427" w14:textId="77777777" w:rsidR="00B26540" w:rsidRDefault="005107AA">
    <w:pPr>
      <w:spacing w:line="220" w:lineRule="auto"/>
      <w:ind w:left="2880" w:right="-2" w:firstLine="96"/>
      <w:rPr>
        <w:rFonts w:ascii="Cambria" w:eastAsia="Cambria" w:hAnsi="Cambria" w:cs="Cambria"/>
        <w:sz w:val="20"/>
        <w:szCs w:val="20"/>
      </w:rPr>
    </w:pPr>
    <w:hyperlink r:id="rId2">
      <w:r w:rsidR="00B26540">
        <w:rPr>
          <w:rFonts w:ascii="Cambria" w:eastAsia="Cambria" w:hAnsi="Cambria" w:cs="Cambria"/>
          <w:color w:val="000000"/>
          <w:sz w:val="20"/>
          <w:szCs w:val="20"/>
        </w:rPr>
        <w:t>https://www.journal.foundae.com/index.php/oler/index</w:t>
      </w:r>
    </w:hyperlink>
  </w:p>
  <w:p w14:paraId="694F169B" w14:textId="77777777" w:rsidR="00B26540" w:rsidRDefault="00B26540">
    <w:pPr>
      <w:spacing w:line="220" w:lineRule="auto"/>
      <w:ind w:left="2880" w:right="-2" w:firstLine="521"/>
      <w:rPr>
        <w:rFonts w:ascii="Cambria" w:eastAsia="Cambria" w:hAnsi="Cambria" w:cs="Cambr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540"/>
    <w:rsid w:val="000605E2"/>
    <w:rsid w:val="00062887"/>
    <w:rsid w:val="000764B7"/>
    <w:rsid w:val="000B7D62"/>
    <w:rsid w:val="00105C12"/>
    <w:rsid w:val="0011197C"/>
    <w:rsid w:val="001577D7"/>
    <w:rsid w:val="001854AE"/>
    <w:rsid w:val="001C1D82"/>
    <w:rsid w:val="001C2164"/>
    <w:rsid w:val="00210D56"/>
    <w:rsid w:val="002625C8"/>
    <w:rsid w:val="00284CD2"/>
    <w:rsid w:val="00324975"/>
    <w:rsid w:val="003B403B"/>
    <w:rsid w:val="004716DA"/>
    <w:rsid w:val="004B5EC2"/>
    <w:rsid w:val="00505AD3"/>
    <w:rsid w:val="005107AA"/>
    <w:rsid w:val="00522523"/>
    <w:rsid w:val="00531711"/>
    <w:rsid w:val="006145B0"/>
    <w:rsid w:val="006B6A72"/>
    <w:rsid w:val="00847A98"/>
    <w:rsid w:val="0085385D"/>
    <w:rsid w:val="009B3F22"/>
    <w:rsid w:val="009D19D0"/>
    <w:rsid w:val="00A579CA"/>
    <w:rsid w:val="00AD47C9"/>
    <w:rsid w:val="00B25E29"/>
    <w:rsid w:val="00B26540"/>
    <w:rsid w:val="00BD5F71"/>
    <w:rsid w:val="00C02E2D"/>
    <w:rsid w:val="00C70E0E"/>
    <w:rsid w:val="00D02CFB"/>
    <w:rsid w:val="00D15866"/>
    <w:rsid w:val="00D50263"/>
    <w:rsid w:val="00D56989"/>
    <w:rsid w:val="00D9410F"/>
    <w:rsid w:val="00EF2004"/>
    <w:rsid w:val="00F62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A59C0E"/>
  <w15:docId w15:val="{5D8976E1-5566-4887-A39A-BE4741BD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bsatz-Standardschriftart">
    <w:name w:val="Absatz-Standardschriftart"/>
  </w:style>
  <w:style w:type="character" w:styleId="FollowedHyperlink">
    <w:name w:val="FollowedHyperlink"/>
    <w:semiHidden/>
    <w:rPr>
      <w:color w:val="800080"/>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authorname">
    <w:name w:val="author name"/>
    <w:basedOn w:val="Normal"/>
    <w:next w:val="Normal"/>
    <w:pPr>
      <w:autoSpaceDE w:val="0"/>
    </w:pPr>
    <w:rPr>
      <w:rFonts w:ascii="HAMECN+TimesNewRoman" w:hAnsi="HAMECN+TimesNewRoman"/>
    </w:rPr>
  </w:style>
  <w:style w:type="paragraph" w:customStyle="1" w:styleId="authoraffiliation">
    <w:name w:val="author affiliation"/>
    <w:basedOn w:val="Normal"/>
    <w:next w:val="Normal"/>
    <w:pPr>
      <w:autoSpaceDE w:val="0"/>
    </w:pPr>
    <w:rPr>
      <w:rFonts w:ascii="HAMECN+TimesNewRoman" w:hAnsi="HAMECN+TimesNewRoman"/>
    </w:rPr>
  </w:style>
  <w:style w:type="paragraph" w:customStyle="1" w:styleId="WW-Default">
    <w:name w:val="WW-Default"/>
    <w:pPr>
      <w:suppressAutoHyphens/>
      <w:autoSpaceDE w:val="0"/>
    </w:pPr>
    <w:rPr>
      <w:rFonts w:ascii="HAMEHF+TimesNewRoman" w:eastAsia="Arial" w:hAnsi="HAMEHF+TimesNewRoman" w:cs="HAMEHF+TimesNewRoman"/>
      <w:color w:val="000000"/>
      <w:lang w:eastAsia="ar-SA"/>
    </w:rPr>
  </w:style>
  <w:style w:type="paragraph" w:customStyle="1" w:styleId="abstract">
    <w:name w:val="abstract"/>
    <w:basedOn w:val="WW-Default"/>
    <w:next w:val="WW-Default"/>
    <w:rPr>
      <w:rFonts w:cs="Times New Roman"/>
      <w:color w:val="auto"/>
    </w:rPr>
  </w:style>
  <w:style w:type="paragraph" w:customStyle="1" w:styleId="sectionhead1">
    <w:name w:val="section head (1)"/>
    <w:basedOn w:val="WW-Default"/>
    <w:next w:val="WW-Default"/>
    <w:rPr>
      <w:rFonts w:cs="Times New Roman"/>
      <w:color w:val="auto"/>
    </w:rPr>
  </w:style>
  <w:style w:type="paragraph" w:customStyle="1" w:styleId="text">
    <w:name w:val="text"/>
    <w:basedOn w:val="WW-Default"/>
    <w:next w:val="WW-Default"/>
    <w:rPr>
      <w:rFonts w:cs="Times New Roman"/>
      <w:color w:val="auto"/>
    </w:rPr>
  </w:style>
  <w:style w:type="paragraph" w:customStyle="1" w:styleId="Head2">
    <w:name w:val="Head 2"/>
    <w:basedOn w:val="WW-Default"/>
    <w:next w:val="WW-Default"/>
    <w:rPr>
      <w:rFonts w:cs="Times New Roman"/>
      <w:color w:val="auto"/>
    </w:rPr>
  </w:style>
  <w:style w:type="paragraph" w:customStyle="1" w:styleId="sectionheadnonums">
    <w:name w:val="section head (no nums)"/>
    <w:basedOn w:val="WW-Default"/>
    <w:next w:val="WW-Default"/>
    <w:rPr>
      <w:rFonts w:ascii="HAMECN+TimesNewRoman" w:hAnsi="HAMECN+TimesNewRoman" w:cs="Times New Roman"/>
      <w:color w:val="auto"/>
    </w:rPr>
  </w:style>
  <w:style w:type="paragraph" w:customStyle="1" w:styleId="references">
    <w:name w:val="references"/>
    <w:basedOn w:val="WW-Default"/>
    <w:next w:val="WW-Default"/>
    <w:rPr>
      <w:rFonts w:ascii="HAMECN+TimesNewRoman" w:hAnsi="HAMECN+TimesNewRoman"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uiPriority w:val="34"/>
    <w:qFormat/>
    <w:rsid w:val="009306DD"/>
    <w:pPr>
      <w:suppressAutoHyphens w:val="0"/>
      <w:spacing w:after="200" w:line="276" w:lineRule="auto"/>
      <w:ind w:left="720"/>
      <w:contextualSpacing/>
    </w:pPr>
    <w:rPr>
      <w:rFonts w:ascii="Calibri" w:eastAsia="Calibri" w:hAnsi="Calibri"/>
      <w:sz w:val="22"/>
      <w:szCs w:val="22"/>
      <w:lang w:eastAsia="en-US"/>
    </w:rPr>
  </w:style>
  <w:style w:type="character" w:styleId="Hyperlink">
    <w:name w:val="Hyperlink"/>
    <w:uiPriority w:val="99"/>
    <w:unhideWhenUsed/>
    <w:rsid w:val="009306DD"/>
    <w:rPr>
      <w:color w:val="0000FF"/>
      <w:u w:val="single"/>
    </w:rPr>
  </w:style>
  <w:style w:type="table" w:styleId="TableGrid">
    <w:name w:val="Table Grid"/>
    <w:basedOn w:val="TableNormal"/>
    <w:rsid w:val="00FC7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422B"/>
    <w:pPr>
      <w:tabs>
        <w:tab w:val="center" w:pos="4680"/>
        <w:tab w:val="right" w:pos="9360"/>
      </w:tabs>
    </w:pPr>
  </w:style>
  <w:style w:type="character" w:customStyle="1" w:styleId="HeaderChar">
    <w:name w:val="Header Char"/>
    <w:link w:val="Header"/>
    <w:uiPriority w:val="99"/>
    <w:rsid w:val="004E422B"/>
    <w:rPr>
      <w:sz w:val="24"/>
      <w:szCs w:val="24"/>
      <w:lang w:val="en" w:eastAsia="ar-SA"/>
    </w:rPr>
  </w:style>
  <w:style w:type="paragraph" w:styleId="Footer">
    <w:name w:val="footer"/>
    <w:basedOn w:val="Normal"/>
    <w:link w:val="FooterChar"/>
    <w:uiPriority w:val="99"/>
    <w:unhideWhenUsed/>
    <w:rsid w:val="004E422B"/>
    <w:pPr>
      <w:tabs>
        <w:tab w:val="center" w:pos="4680"/>
        <w:tab w:val="right" w:pos="9360"/>
      </w:tabs>
    </w:pPr>
  </w:style>
  <w:style w:type="character" w:customStyle="1" w:styleId="FooterChar">
    <w:name w:val="Footer Char"/>
    <w:link w:val="Footer"/>
    <w:uiPriority w:val="99"/>
    <w:rsid w:val="004E422B"/>
    <w:rPr>
      <w:sz w:val="24"/>
      <w:szCs w:val="24"/>
      <w:lang w:val="en" w:eastAsia="ar-SA"/>
    </w:rPr>
  </w:style>
  <w:style w:type="paragraph" w:styleId="BalloonText">
    <w:name w:val="Balloon Text"/>
    <w:basedOn w:val="Normal"/>
    <w:link w:val="BalloonTextChar"/>
    <w:uiPriority w:val="99"/>
    <w:semiHidden/>
    <w:unhideWhenUsed/>
    <w:rsid w:val="004E422B"/>
    <w:rPr>
      <w:rFonts w:ascii="Tahoma" w:hAnsi="Tahoma"/>
      <w:sz w:val="16"/>
      <w:szCs w:val="16"/>
    </w:rPr>
  </w:style>
  <w:style w:type="character" w:customStyle="1" w:styleId="BalloonTextChar">
    <w:name w:val="Balloon Text Char"/>
    <w:link w:val="BalloonText"/>
    <w:uiPriority w:val="99"/>
    <w:semiHidden/>
    <w:rsid w:val="004E422B"/>
    <w:rPr>
      <w:rFonts w:ascii="Tahoma" w:hAnsi="Tahoma" w:cs="Tahoma"/>
      <w:sz w:val="16"/>
      <w:szCs w:val="16"/>
      <w:lang w:val="en" w:eastAsia="ar-SA"/>
    </w:rPr>
  </w:style>
  <w:style w:type="paragraph" w:customStyle="1" w:styleId="Author">
    <w:name w:val="Author"/>
    <w:basedOn w:val="Normal"/>
    <w:rsid w:val="00D273B6"/>
    <w:pPr>
      <w:suppressAutoHyphens w:val="0"/>
      <w:spacing w:after="240"/>
      <w:jc w:val="center"/>
    </w:pPr>
    <w:rPr>
      <w:b/>
      <w:sz w:val="20"/>
      <w:szCs w:val="20"/>
      <w:lang w:eastAsia="en-US"/>
    </w:rPr>
  </w:style>
  <w:style w:type="paragraph" w:styleId="NormalWeb">
    <w:name w:val="Normal (Web)"/>
    <w:basedOn w:val="Normal"/>
    <w:uiPriority w:val="99"/>
    <w:unhideWhenUsed/>
    <w:rsid w:val="005E0DDC"/>
    <w:pPr>
      <w:suppressAutoHyphens w:val="0"/>
      <w:spacing w:before="100" w:beforeAutospacing="1" w:after="100" w:afterAutospacing="1"/>
    </w:pPr>
    <w:rPr>
      <w:lang w:eastAsia="id-ID"/>
    </w:rPr>
  </w:style>
  <w:style w:type="paragraph" w:styleId="Bibliography">
    <w:name w:val="Bibliography"/>
    <w:basedOn w:val="Normal"/>
    <w:next w:val="Normal"/>
    <w:uiPriority w:val="37"/>
    <w:unhideWhenUsed/>
    <w:rsid w:val="00141CB1"/>
  </w:style>
  <w:style w:type="paragraph" w:styleId="NoSpacing">
    <w:name w:val="No Spacing"/>
    <w:uiPriority w:val="1"/>
    <w:qFormat/>
    <w:rsid w:val="0070706E"/>
    <w:pPr>
      <w:suppressAutoHyphens/>
    </w:pPr>
    <w:rPr>
      <w:lang w:eastAsia="ar-SA"/>
    </w:rPr>
  </w:style>
  <w:style w:type="character" w:customStyle="1" w:styleId="UnresolvedMention1">
    <w:name w:val="Unresolved Mention1"/>
    <w:basedOn w:val="DefaultParagraphFont"/>
    <w:uiPriority w:val="99"/>
    <w:semiHidden/>
    <w:unhideWhenUsed/>
    <w:rsid w:val="0070706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character" w:customStyle="1" w:styleId="UnresolvedMention">
    <w:name w:val="Unresolved Mention"/>
    <w:basedOn w:val="DefaultParagraphFont"/>
    <w:uiPriority w:val="99"/>
    <w:semiHidden/>
    <w:unhideWhenUsed/>
    <w:rsid w:val="00F62FC5"/>
    <w:rPr>
      <w:color w:val="605E5C"/>
      <w:shd w:val="clear" w:color="auto" w:fill="E1DFDD"/>
    </w:rPr>
  </w:style>
  <w:style w:type="table" w:styleId="PlainTable2">
    <w:name w:val="Plain Table 2"/>
    <w:basedOn w:val="TableNormal"/>
    <w:uiPriority w:val="42"/>
    <w:rsid w:val="000605E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624761">
      <w:bodyDiv w:val="1"/>
      <w:marLeft w:val="0"/>
      <w:marRight w:val="0"/>
      <w:marTop w:val="0"/>
      <w:marBottom w:val="0"/>
      <w:divBdr>
        <w:top w:val="none" w:sz="0" w:space="0" w:color="auto"/>
        <w:left w:val="none" w:sz="0" w:space="0" w:color="auto"/>
        <w:bottom w:val="none" w:sz="0" w:space="0" w:color="auto"/>
        <w:right w:val="none" w:sz="0" w:space="0" w:color="auto"/>
      </w:divBdr>
    </w:div>
    <w:div w:id="1418554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hyperlink" Target="https://www.journal.foundae.com/index.php/oler/index" TargetMode="External"/><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Very good</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Visual Display</c:v>
                </c:pt>
                <c:pt idx="1">
                  <c:v>Interactivity</c:v>
                </c:pt>
                <c:pt idx="2">
                  <c:v>Benefits of Learning</c:v>
                </c:pt>
                <c:pt idx="3">
                  <c:v>Ease of Use</c:v>
                </c:pt>
                <c:pt idx="4">
                  <c:v>Creativity and Innovation</c:v>
                </c:pt>
                <c:pt idx="5">
                  <c:v>Technical Quality</c:v>
                </c:pt>
              </c:strCache>
            </c:strRef>
          </c:cat>
          <c:val>
            <c:numRef>
              <c:f>Sheet1!$B$2:$B$7</c:f>
              <c:numCache>
                <c:formatCode>General</c:formatCode>
                <c:ptCount val="6"/>
                <c:pt idx="0">
                  <c:v>25</c:v>
                </c:pt>
                <c:pt idx="1">
                  <c:v>41.6</c:v>
                </c:pt>
                <c:pt idx="2">
                  <c:v>33.4</c:v>
                </c:pt>
                <c:pt idx="3">
                  <c:v>58.3</c:v>
                </c:pt>
                <c:pt idx="4">
                  <c:v>25</c:v>
                </c:pt>
                <c:pt idx="5">
                  <c:v>62.5</c:v>
                </c:pt>
              </c:numCache>
            </c:numRef>
          </c:val>
          <c:extLst>
            <c:ext xmlns:c16="http://schemas.microsoft.com/office/drawing/2014/chart" uri="{C3380CC4-5D6E-409C-BE32-E72D297353CC}">
              <c16:uniqueId val="{00000000-E593-4484-A733-D2F7F65B06DE}"/>
            </c:ext>
          </c:extLst>
        </c:ser>
        <c:ser>
          <c:idx val="1"/>
          <c:order val="1"/>
          <c:tx>
            <c:strRef>
              <c:f>Sheet1!$C$1</c:f>
              <c:strCache>
                <c:ptCount val="1"/>
                <c:pt idx="0">
                  <c:v>Good</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Visual Display</c:v>
                </c:pt>
                <c:pt idx="1">
                  <c:v>Interactivity</c:v>
                </c:pt>
                <c:pt idx="2">
                  <c:v>Benefits of Learning</c:v>
                </c:pt>
                <c:pt idx="3">
                  <c:v>Ease of Use</c:v>
                </c:pt>
                <c:pt idx="4">
                  <c:v>Creativity and Innovation</c:v>
                </c:pt>
                <c:pt idx="5">
                  <c:v>Technical Quality</c:v>
                </c:pt>
              </c:strCache>
            </c:strRef>
          </c:cat>
          <c:val>
            <c:numRef>
              <c:f>Sheet1!$C$2:$C$7</c:f>
              <c:numCache>
                <c:formatCode>General</c:formatCode>
                <c:ptCount val="6"/>
                <c:pt idx="0">
                  <c:v>75</c:v>
                </c:pt>
                <c:pt idx="1">
                  <c:v>58.3</c:v>
                </c:pt>
                <c:pt idx="2">
                  <c:v>66.599999999999994</c:v>
                </c:pt>
                <c:pt idx="3">
                  <c:v>41.6</c:v>
                </c:pt>
                <c:pt idx="4">
                  <c:v>75</c:v>
                </c:pt>
                <c:pt idx="5">
                  <c:v>37.5</c:v>
                </c:pt>
              </c:numCache>
            </c:numRef>
          </c:val>
          <c:extLst>
            <c:ext xmlns:c16="http://schemas.microsoft.com/office/drawing/2014/chart" uri="{C3380CC4-5D6E-409C-BE32-E72D297353CC}">
              <c16:uniqueId val="{00000001-E593-4484-A733-D2F7F65B06DE}"/>
            </c:ext>
          </c:extLst>
        </c:ser>
        <c:ser>
          <c:idx val="2"/>
          <c:order val="2"/>
          <c:tx>
            <c:strRef>
              <c:f>Sheet1!$D$1</c:f>
              <c:strCache>
                <c:ptCount val="1"/>
                <c:pt idx="0">
                  <c:v>Enough</c:v>
                </c:pt>
              </c:strCache>
            </c:strRef>
          </c:tx>
          <c:spPr>
            <a:solidFill>
              <a:schemeClr val="accent4"/>
            </a:solidFill>
            <a:ln>
              <a:noFill/>
            </a:ln>
            <a:effectLst/>
            <a:sp3d/>
          </c:spPr>
          <c:invertIfNegative val="0"/>
          <c:cat>
            <c:strRef>
              <c:f>Sheet1!$A$2:$A$7</c:f>
              <c:strCache>
                <c:ptCount val="6"/>
                <c:pt idx="0">
                  <c:v>Visual Display</c:v>
                </c:pt>
                <c:pt idx="1">
                  <c:v>Interactivity</c:v>
                </c:pt>
                <c:pt idx="2">
                  <c:v>Benefits of Learning</c:v>
                </c:pt>
                <c:pt idx="3">
                  <c:v>Ease of Use</c:v>
                </c:pt>
                <c:pt idx="4">
                  <c:v>Creativity and Innovation</c:v>
                </c:pt>
                <c:pt idx="5">
                  <c:v>Technical Quality</c:v>
                </c:pt>
              </c:strCache>
            </c:strRef>
          </c:cat>
          <c:val>
            <c:numRef>
              <c:f>Sheet1!$D$2:$D$7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E593-4484-A733-D2F7F65B06DE}"/>
            </c:ext>
          </c:extLst>
        </c:ser>
        <c:ser>
          <c:idx val="3"/>
          <c:order val="3"/>
          <c:tx>
            <c:strRef>
              <c:f>Sheet1!$E$1</c:f>
              <c:strCache>
                <c:ptCount val="1"/>
                <c:pt idx="0">
                  <c:v>Not enough</c:v>
                </c:pt>
              </c:strCache>
            </c:strRef>
          </c:tx>
          <c:spPr>
            <a:solidFill>
              <a:schemeClr val="accent6">
                <a:lumMod val="60000"/>
              </a:schemeClr>
            </a:solidFill>
            <a:ln>
              <a:noFill/>
            </a:ln>
            <a:effectLst/>
            <a:sp3d/>
          </c:spPr>
          <c:invertIfNegative val="0"/>
          <c:cat>
            <c:strRef>
              <c:f>Sheet1!$A$2:$A$7</c:f>
              <c:strCache>
                <c:ptCount val="6"/>
                <c:pt idx="0">
                  <c:v>Visual Display</c:v>
                </c:pt>
                <c:pt idx="1">
                  <c:v>Interactivity</c:v>
                </c:pt>
                <c:pt idx="2">
                  <c:v>Benefits of Learning</c:v>
                </c:pt>
                <c:pt idx="3">
                  <c:v>Ease of Use</c:v>
                </c:pt>
                <c:pt idx="4">
                  <c:v>Creativity and Innovation</c:v>
                </c:pt>
                <c:pt idx="5">
                  <c:v>Technical Quality</c:v>
                </c:pt>
              </c:strCache>
            </c:strRef>
          </c:cat>
          <c:val>
            <c:numRef>
              <c:f>Sheet1!$E$2:$E$7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E593-4484-A733-D2F7F65B06DE}"/>
            </c:ext>
          </c:extLst>
        </c:ser>
        <c:ser>
          <c:idx val="4"/>
          <c:order val="4"/>
          <c:tx>
            <c:strRef>
              <c:f>Sheet1!$F$1</c:f>
              <c:strCache>
                <c:ptCount val="1"/>
                <c:pt idx="0">
                  <c:v>Very less</c:v>
                </c:pt>
              </c:strCache>
            </c:strRef>
          </c:tx>
          <c:spPr>
            <a:solidFill>
              <a:schemeClr val="accent5">
                <a:lumMod val="60000"/>
              </a:schemeClr>
            </a:solidFill>
            <a:ln>
              <a:noFill/>
            </a:ln>
            <a:effectLst/>
            <a:sp3d/>
          </c:spPr>
          <c:invertIfNegative val="0"/>
          <c:cat>
            <c:strRef>
              <c:f>Sheet1!$A$2:$A$7</c:f>
              <c:strCache>
                <c:ptCount val="6"/>
                <c:pt idx="0">
                  <c:v>Visual Display</c:v>
                </c:pt>
                <c:pt idx="1">
                  <c:v>Interactivity</c:v>
                </c:pt>
                <c:pt idx="2">
                  <c:v>Benefits of Learning</c:v>
                </c:pt>
                <c:pt idx="3">
                  <c:v>Ease of Use</c:v>
                </c:pt>
                <c:pt idx="4">
                  <c:v>Creativity and Innovation</c:v>
                </c:pt>
                <c:pt idx="5">
                  <c:v>Technical Quality</c:v>
                </c:pt>
              </c:strCache>
            </c:strRef>
          </c:cat>
          <c:val>
            <c:numRef>
              <c:f>Sheet1!$F$2:$F$7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4-E593-4484-A733-D2F7F65B06DE}"/>
            </c:ext>
          </c:extLst>
        </c:ser>
        <c:dLbls>
          <c:showLegendKey val="0"/>
          <c:showVal val="0"/>
          <c:showCatName val="0"/>
          <c:showSerName val="0"/>
          <c:showPercent val="0"/>
          <c:showBubbleSize val="0"/>
        </c:dLbls>
        <c:gapWidth val="150"/>
        <c:shape val="box"/>
        <c:axId val="2134328047"/>
        <c:axId val="2134328527"/>
        <c:axId val="0"/>
      </c:bar3DChart>
      <c:catAx>
        <c:axId val="21343280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328527"/>
        <c:crosses val="autoZero"/>
        <c:auto val="1"/>
        <c:lblAlgn val="ctr"/>
        <c:lblOffset val="100"/>
        <c:noMultiLvlLbl val="0"/>
      </c:catAx>
      <c:valAx>
        <c:axId val="21343285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4328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Very Adequate</c:v>
                </c:pt>
              </c:strCache>
            </c:strRef>
          </c:tx>
          <c:spPr>
            <a:solidFill>
              <a:schemeClr val="accent6"/>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3EFE-4118-A540-54A8F203D228}"/>
                </c:ext>
              </c:extLst>
            </c:dLbl>
            <c:dLbl>
              <c:idx val="5"/>
              <c:delete val="1"/>
              <c:extLst>
                <c:ext xmlns:c15="http://schemas.microsoft.com/office/drawing/2012/chart" uri="{CE6537A1-D6FC-4f65-9D91-7224C49458BB}"/>
                <c:ext xmlns:c16="http://schemas.microsoft.com/office/drawing/2014/chart" uri="{C3380CC4-5D6E-409C-BE32-E72D297353CC}">
                  <c16:uniqueId val="{00000001-3EFE-4118-A540-54A8F203D2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Clarity of Language</c:v>
                </c:pt>
                <c:pt idx="1">
                  <c:v>Harmony</c:v>
                </c:pt>
                <c:pt idx="2">
                  <c:v>Grammatical Correctness</c:v>
                </c:pt>
                <c:pt idx="3">
                  <c:v>Consistency of Terminology</c:v>
                </c:pt>
                <c:pt idx="4">
                  <c:v>Compliance with Learning Objectives</c:v>
                </c:pt>
                <c:pt idx="5">
                  <c:v>Legibility</c:v>
                </c:pt>
                <c:pt idx="6">
                  <c:v>Creativity in Delivery</c:v>
                </c:pt>
                <c:pt idx="7">
                  <c:v>Delivery of Instructions</c:v>
                </c:pt>
              </c:strCache>
            </c:strRef>
          </c:cat>
          <c:val>
            <c:numRef>
              <c:f>Sheet1!$B$2:$B$9</c:f>
              <c:numCache>
                <c:formatCode>General</c:formatCode>
                <c:ptCount val="8"/>
                <c:pt idx="0">
                  <c:v>0</c:v>
                </c:pt>
                <c:pt idx="1">
                  <c:v>50</c:v>
                </c:pt>
                <c:pt idx="2">
                  <c:v>50</c:v>
                </c:pt>
                <c:pt idx="3">
                  <c:v>50</c:v>
                </c:pt>
                <c:pt idx="4">
                  <c:v>50</c:v>
                </c:pt>
                <c:pt idx="5">
                  <c:v>0</c:v>
                </c:pt>
                <c:pt idx="6">
                  <c:v>100</c:v>
                </c:pt>
                <c:pt idx="7">
                  <c:v>100</c:v>
                </c:pt>
              </c:numCache>
            </c:numRef>
          </c:val>
          <c:extLst>
            <c:ext xmlns:c16="http://schemas.microsoft.com/office/drawing/2014/chart" uri="{C3380CC4-5D6E-409C-BE32-E72D297353CC}">
              <c16:uniqueId val="{00000000-7355-4415-BB08-5CDD24B4F3FD}"/>
            </c:ext>
          </c:extLst>
        </c:ser>
        <c:ser>
          <c:idx val="1"/>
          <c:order val="1"/>
          <c:tx>
            <c:strRef>
              <c:f>Sheet1!$C$1</c:f>
              <c:strCache>
                <c:ptCount val="1"/>
                <c:pt idx="0">
                  <c:v>Adequate</c:v>
                </c:pt>
              </c:strCache>
            </c:strRef>
          </c:tx>
          <c:spPr>
            <a:solidFill>
              <a:schemeClr val="accent5"/>
            </a:solidFill>
            <a:ln>
              <a:noFill/>
            </a:ln>
            <a:effectLst/>
            <a:sp3d/>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3-3EFE-4118-A540-54A8F203D228}"/>
                </c:ext>
              </c:extLst>
            </c:dLbl>
            <c:dLbl>
              <c:idx val="7"/>
              <c:delete val="1"/>
              <c:extLst>
                <c:ext xmlns:c15="http://schemas.microsoft.com/office/drawing/2012/chart" uri="{CE6537A1-D6FC-4f65-9D91-7224C49458BB}"/>
                <c:ext xmlns:c16="http://schemas.microsoft.com/office/drawing/2014/chart" uri="{C3380CC4-5D6E-409C-BE32-E72D297353CC}">
                  <c16:uniqueId val="{00000002-3EFE-4118-A540-54A8F203D22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Clarity of Language</c:v>
                </c:pt>
                <c:pt idx="1">
                  <c:v>Harmony</c:v>
                </c:pt>
                <c:pt idx="2">
                  <c:v>Grammatical Correctness</c:v>
                </c:pt>
                <c:pt idx="3">
                  <c:v>Consistency of Terminology</c:v>
                </c:pt>
                <c:pt idx="4">
                  <c:v>Compliance with Learning Objectives</c:v>
                </c:pt>
                <c:pt idx="5">
                  <c:v>Legibility</c:v>
                </c:pt>
                <c:pt idx="6">
                  <c:v>Creativity in Delivery</c:v>
                </c:pt>
                <c:pt idx="7">
                  <c:v>Delivery of Instructions</c:v>
                </c:pt>
              </c:strCache>
            </c:strRef>
          </c:cat>
          <c:val>
            <c:numRef>
              <c:f>Sheet1!$C$2:$C$9</c:f>
              <c:numCache>
                <c:formatCode>General</c:formatCode>
                <c:ptCount val="8"/>
                <c:pt idx="0">
                  <c:v>100</c:v>
                </c:pt>
                <c:pt idx="1">
                  <c:v>50</c:v>
                </c:pt>
                <c:pt idx="2">
                  <c:v>50</c:v>
                </c:pt>
                <c:pt idx="3">
                  <c:v>50</c:v>
                </c:pt>
                <c:pt idx="4">
                  <c:v>50</c:v>
                </c:pt>
                <c:pt idx="5">
                  <c:v>100</c:v>
                </c:pt>
                <c:pt idx="6">
                  <c:v>0</c:v>
                </c:pt>
                <c:pt idx="7">
                  <c:v>0</c:v>
                </c:pt>
              </c:numCache>
            </c:numRef>
          </c:val>
          <c:extLst>
            <c:ext xmlns:c16="http://schemas.microsoft.com/office/drawing/2014/chart" uri="{C3380CC4-5D6E-409C-BE32-E72D297353CC}">
              <c16:uniqueId val="{00000001-7355-4415-BB08-5CDD24B4F3FD}"/>
            </c:ext>
          </c:extLst>
        </c:ser>
        <c:ser>
          <c:idx val="2"/>
          <c:order val="2"/>
          <c:tx>
            <c:strRef>
              <c:f>Sheet1!$D$1</c:f>
              <c:strCache>
                <c:ptCount val="1"/>
                <c:pt idx="0">
                  <c:v>Sufficiently Sufficient</c:v>
                </c:pt>
              </c:strCache>
            </c:strRef>
          </c:tx>
          <c:spPr>
            <a:solidFill>
              <a:schemeClr val="accent4"/>
            </a:solidFill>
            <a:ln>
              <a:noFill/>
            </a:ln>
            <a:effectLst/>
            <a:sp3d/>
          </c:spPr>
          <c:invertIfNegative val="0"/>
          <c:dLbls>
            <c:delete val="1"/>
          </c:dLbls>
          <c:cat>
            <c:strRef>
              <c:f>Sheet1!$A$2:$A$9</c:f>
              <c:strCache>
                <c:ptCount val="8"/>
                <c:pt idx="0">
                  <c:v>Clarity of Language</c:v>
                </c:pt>
                <c:pt idx="1">
                  <c:v>Harmony</c:v>
                </c:pt>
                <c:pt idx="2">
                  <c:v>Grammatical Correctness</c:v>
                </c:pt>
                <c:pt idx="3">
                  <c:v>Consistency of Terminology</c:v>
                </c:pt>
                <c:pt idx="4">
                  <c:v>Compliance with Learning Objectives</c:v>
                </c:pt>
                <c:pt idx="5">
                  <c:v>Legibility</c:v>
                </c:pt>
                <c:pt idx="6">
                  <c:v>Creativity in Delivery</c:v>
                </c:pt>
                <c:pt idx="7">
                  <c:v>Delivery of Instructions</c:v>
                </c:pt>
              </c:strCache>
            </c:strRef>
          </c:cat>
          <c:val>
            <c:numRef>
              <c:f>Sheet1!$D$2:$D$9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2-7355-4415-BB08-5CDD24B4F3FD}"/>
            </c:ext>
          </c:extLst>
        </c:ser>
        <c:dLbls>
          <c:showLegendKey val="0"/>
          <c:showVal val="1"/>
          <c:showCatName val="0"/>
          <c:showSerName val="0"/>
          <c:showPercent val="0"/>
          <c:showBubbleSize val="0"/>
        </c:dLbls>
        <c:gapWidth val="150"/>
        <c:shape val="box"/>
        <c:axId val="2052108671"/>
        <c:axId val="2052110591"/>
        <c:axId val="0"/>
      </c:bar3DChart>
      <c:catAx>
        <c:axId val="205210867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2110591"/>
        <c:crosses val="autoZero"/>
        <c:auto val="1"/>
        <c:lblAlgn val="ctr"/>
        <c:lblOffset val="100"/>
        <c:noMultiLvlLbl val="0"/>
      </c:catAx>
      <c:valAx>
        <c:axId val="20521105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2108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Very good</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Engagement</c:v>
                </c:pt>
                <c:pt idx="1">
                  <c:v>Understanding the Material</c:v>
                </c:pt>
                <c:pt idx="2">
                  <c:v>Problem Solving Skills Development</c:v>
                </c:pt>
                <c:pt idx="3">
                  <c:v>Motivation to learn</c:v>
                </c:pt>
                <c:pt idx="4">
                  <c:v>Technical Aspects</c:v>
                </c:pt>
              </c:strCache>
            </c:strRef>
          </c:cat>
          <c:val>
            <c:numRef>
              <c:f>Sheet1!$B$2:$B$6</c:f>
              <c:numCache>
                <c:formatCode>General</c:formatCode>
                <c:ptCount val="5"/>
                <c:pt idx="0">
                  <c:v>48.5</c:v>
                </c:pt>
                <c:pt idx="1">
                  <c:v>47</c:v>
                </c:pt>
                <c:pt idx="2">
                  <c:v>33.35</c:v>
                </c:pt>
                <c:pt idx="3">
                  <c:v>36.35</c:v>
                </c:pt>
                <c:pt idx="4">
                  <c:v>42.45</c:v>
                </c:pt>
              </c:numCache>
            </c:numRef>
          </c:val>
          <c:extLst>
            <c:ext xmlns:c16="http://schemas.microsoft.com/office/drawing/2014/chart" uri="{C3380CC4-5D6E-409C-BE32-E72D297353CC}">
              <c16:uniqueId val="{00000000-716D-49C6-8D1C-A540AFB4D816}"/>
            </c:ext>
          </c:extLst>
        </c:ser>
        <c:ser>
          <c:idx val="1"/>
          <c:order val="1"/>
          <c:tx>
            <c:strRef>
              <c:f>Sheet1!$C$1</c:f>
              <c:strCache>
                <c:ptCount val="1"/>
                <c:pt idx="0">
                  <c:v>Good</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Engagement</c:v>
                </c:pt>
                <c:pt idx="1">
                  <c:v>Understanding the Material</c:v>
                </c:pt>
                <c:pt idx="2">
                  <c:v>Problem Solving Skills Development</c:v>
                </c:pt>
                <c:pt idx="3">
                  <c:v>Motivation to learn</c:v>
                </c:pt>
                <c:pt idx="4">
                  <c:v>Technical Aspects</c:v>
                </c:pt>
              </c:strCache>
            </c:strRef>
          </c:cat>
          <c:val>
            <c:numRef>
              <c:f>Sheet1!$C$2:$C$6</c:f>
              <c:numCache>
                <c:formatCode>General</c:formatCode>
                <c:ptCount val="5"/>
                <c:pt idx="0">
                  <c:v>24.2</c:v>
                </c:pt>
                <c:pt idx="1">
                  <c:v>39.4</c:v>
                </c:pt>
                <c:pt idx="2">
                  <c:v>57.55</c:v>
                </c:pt>
                <c:pt idx="3">
                  <c:v>51.55</c:v>
                </c:pt>
                <c:pt idx="4">
                  <c:v>43.95</c:v>
                </c:pt>
              </c:numCache>
            </c:numRef>
          </c:val>
          <c:extLst>
            <c:ext xmlns:c16="http://schemas.microsoft.com/office/drawing/2014/chart" uri="{C3380CC4-5D6E-409C-BE32-E72D297353CC}">
              <c16:uniqueId val="{00000001-716D-49C6-8D1C-A540AFB4D816}"/>
            </c:ext>
          </c:extLst>
        </c:ser>
        <c:ser>
          <c:idx val="2"/>
          <c:order val="2"/>
          <c:tx>
            <c:strRef>
              <c:f>Sheet1!$D$1</c:f>
              <c:strCache>
                <c:ptCount val="1"/>
                <c:pt idx="0">
                  <c:v>Neutral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Engagement</c:v>
                </c:pt>
                <c:pt idx="1">
                  <c:v>Understanding the Material</c:v>
                </c:pt>
                <c:pt idx="2">
                  <c:v>Problem Solving Skills Development</c:v>
                </c:pt>
                <c:pt idx="3">
                  <c:v>Motivation to learn</c:v>
                </c:pt>
                <c:pt idx="4">
                  <c:v>Technical Aspects</c:v>
                </c:pt>
              </c:strCache>
            </c:strRef>
          </c:cat>
          <c:val>
            <c:numRef>
              <c:f>Sheet1!$D$2:$D$6</c:f>
              <c:numCache>
                <c:formatCode>General</c:formatCode>
                <c:ptCount val="5"/>
                <c:pt idx="0">
                  <c:v>15.15</c:v>
                </c:pt>
                <c:pt idx="1">
                  <c:v>13.65</c:v>
                </c:pt>
                <c:pt idx="2">
                  <c:v>9.1</c:v>
                </c:pt>
                <c:pt idx="3">
                  <c:v>10.6</c:v>
                </c:pt>
                <c:pt idx="4">
                  <c:v>9.1</c:v>
                </c:pt>
              </c:numCache>
            </c:numRef>
          </c:val>
          <c:extLst>
            <c:ext xmlns:c16="http://schemas.microsoft.com/office/drawing/2014/chart" uri="{C3380CC4-5D6E-409C-BE32-E72D297353CC}">
              <c16:uniqueId val="{00000002-716D-49C6-8D1C-A540AFB4D816}"/>
            </c:ext>
          </c:extLst>
        </c:ser>
        <c:ser>
          <c:idx val="3"/>
          <c:order val="3"/>
          <c:tx>
            <c:strRef>
              <c:f>Sheet1!$E$1</c:f>
              <c:strCache>
                <c:ptCount val="1"/>
                <c:pt idx="0">
                  <c:v>Not good</c:v>
                </c:pt>
              </c:strCache>
            </c:strRef>
          </c:tx>
          <c:spPr>
            <a:solidFill>
              <a:schemeClr val="accent6">
                <a:lumMod val="60000"/>
              </a:schemeClr>
            </a:solidFill>
            <a:ln>
              <a:noFill/>
            </a:ln>
            <a:effectLst/>
            <a:sp3d/>
          </c:spPr>
          <c:invertIfNegative val="0"/>
          <c:cat>
            <c:strRef>
              <c:f>Sheet1!$A$2:$A$6</c:f>
              <c:strCache>
                <c:ptCount val="5"/>
                <c:pt idx="0">
                  <c:v>Engagement</c:v>
                </c:pt>
                <c:pt idx="1">
                  <c:v>Understanding the Material</c:v>
                </c:pt>
                <c:pt idx="2">
                  <c:v>Problem Solving Skills Development</c:v>
                </c:pt>
                <c:pt idx="3">
                  <c:v>Motivation to learn</c:v>
                </c:pt>
                <c:pt idx="4">
                  <c:v>Technical Aspects</c:v>
                </c:pt>
              </c:strCache>
            </c:strRef>
          </c:cat>
          <c:val>
            <c:numRef>
              <c:f>Sheet1!$E$2:$E$6</c:f>
              <c:numCache>
                <c:formatCode>General</c:formatCode>
                <c:ptCount val="5"/>
                <c:pt idx="0">
                  <c:v>0</c:v>
                </c:pt>
                <c:pt idx="1">
                  <c:v>0</c:v>
                </c:pt>
                <c:pt idx="2">
                  <c:v>0</c:v>
                </c:pt>
                <c:pt idx="3">
                  <c:v>1.5</c:v>
                </c:pt>
                <c:pt idx="4">
                  <c:v>3.05</c:v>
                </c:pt>
              </c:numCache>
            </c:numRef>
          </c:val>
          <c:extLst>
            <c:ext xmlns:c16="http://schemas.microsoft.com/office/drawing/2014/chart" uri="{C3380CC4-5D6E-409C-BE32-E72D297353CC}">
              <c16:uniqueId val="{00000003-716D-49C6-8D1C-A540AFB4D816}"/>
            </c:ext>
          </c:extLst>
        </c:ser>
        <c:ser>
          <c:idx val="4"/>
          <c:order val="4"/>
          <c:tx>
            <c:strRef>
              <c:f>Sheet1!$F$1</c:f>
              <c:strCache>
                <c:ptCount val="1"/>
                <c:pt idx="0">
                  <c:v>Very Bad</c:v>
                </c:pt>
              </c:strCache>
            </c:strRef>
          </c:tx>
          <c:spPr>
            <a:solidFill>
              <a:schemeClr val="accent5">
                <a:lumMod val="60000"/>
              </a:schemeClr>
            </a:solidFill>
            <a:ln>
              <a:noFill/>
            </a:ln>
            <a:effectLst/>
            <a:sp3d/>
          </c:spPr>
          <c:invertIfNegative val="0"/>
          <c:cat>
            <c:strRef>
              <c:f>Sheet1!$A$2:$A$6</c:f>
              <c:strCache>
                <c:ptCount val="5"/>
                <c:pt idx="0">
                  <c:v>Engagement</c:v>
                </c:pt>
                <c:pt idx="1">
                  <c:v>Understanding the Material</c:v>
                </c:pt>
                <c:pt idx="2">
                  <c:v>Problem Solving Skills Development</c:v>
                </c:pt>
                <c:pt idx="3">
                  <c:v>Motivation to learn</c:v>
                </c:pt>
                <c:pt idx="4">
                  <c:v>Technical Aspects</c:v>
                </c:pt>
              </c:strCache>
            </c:strRef>
          </c:cat>
          <c:val>
            <c:numRef>
              <c:f>Sheet1!$F$2:$F$6</c:f>
              <c:numCache>
                <c:formatCode>General</c:formatCode>
                <c:ptCount val="5"/>
                <c:pt idx="0">
                  <c:v>0</c:v>
                </c:pt>
                <c:pt idx="1">
                  <c:v>0</c:v>
                </c:pt>
                <c:pt idx="2">
                  <c:v>0</c:v>
                </c:pt>
                <c:pt idx="3">
                  <c:v>0</c:v>
                </c:pt>
                <c:pt idx="4">
                  <c:v>1.5</c:v>
                </c:pt>
              </c:numCache>
            </c:numRef>
          </c:val>
          <c:extLst>
            <c:ext xmlns:c16="http://schemas.microsoft.com/office/drawing/2014/chart" uri="{C3380CC4-5D6E-409C-BE32-E72D297353CC}">
              <c16:uniqueId val="{00000004-716D-49C6-8D1C-A540AFB4D816}"/>
            </c:ext>
          </c:extLst>
        </c:ser>
        <c:dLbls>
          <c:showLegendKey val="0"/>
          <c:showVal val="0"/>
          <c:showCatName val="0"/>
          <c:showSerName val="0"/>
          <c:showPercent val="0"/>
          <c:showBubbleSize val="0"/>
        </c:dLbls>
        <c:gapWidth val="150"/>
        <c:shape val="box"/>
        <c:axId val="137846575"/>
        <c:axId val="137847055"/>
        <c:axId val="0"/>
      </c:bar3DChart>
      <c:catAx>
        <c:axId val="1378465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47055"/>
        <c:crosses val="autoZero"/>
        <c:auto val="1"/>
        <c:lblAlgn val="ctr"/>
        <c:lblOffset val="100"/>
        <c:noMultiLvlLbl val="0"/>
      </c:catAx>
      <c:valAx>
        <c:axId val="1378470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846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ke2x10+rjAeWIV6V2fx1OK9cdg==">AMUW2mV7INaU55WRHEJ9dFayDEtLT93elPjITlhy5ZiZF2+iBMAB7no0rvEqeEJf7tnO4j/rflKFrGao4TO1rEd7rj7TNBYq06tcOxUFQMaBnSOPNB0guD4=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6452</Words>
  <Characters>36783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pengetikan</dc:creator>
  <cp:lastModifiedBy>RENY SUPARTINI</cp:lastModifiedBy>
  <cp:revision>2</cp:revision>
  <dcterms:created xsi:type="dcterms:W3CDTF">2025-03-06T06:56:00Z</dcterms:created>
  <dcterms:modified xsi:type="dcterms:W3CDTF">2025-03-06T06:56:00Z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d1740f06-a17a-34a3-98b3-59e6459aff52</vt:lpwstr>
  </property>
  <property fmtid="{D5CDD505-2E9C-101B-9397-08002B2CF9AE}" pid="4" name="Mendeley Citation Style_1">
    <vt:lpwstr>http://www.zotero.org/styles/apa</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http://www.zotero.org/styles/chicago-fullnote-bibliography-with-ibid</vt:lpwstr>
  </property>
  <property fmtid="{D5CDD505-2E9C-101B-9397-08002B2CF9AE}" pid="8" name="Mendeley Recent Style Name 1_1">
    <vt:lpwstr>Chicago Manual of Style 17th edition (full note, with Ibid.)</vt:lpwstr>
  </property>
  <property fmtid="{D5CDD505-2E9C-101B-9397-08002B2CF9AE}" pid="9" name="Mendeley Recent Style Id 2_1">
    <vt:lpwstr>http://www.zotero.org/styles/de-montfort-university-harvard</vt:lpwstr>
  </property>
  <property fmtid="{D5CDD505-2E9C-101B-9397-08002B2CF9AE}" pid="10" name="Mendeley Recent Style Name 2_1">
    <vt:lpwstr>De Montfort University - Harvard</vt:lpwstr>
  </property>
  <property fmtid="{D5CDD505-2E9C-101B-9397-08002B2CF9AE}" pid="11" name="Mendeley Recent Style Id 3_1">
    <vt:lpwstr>http://www.zotero.org/styles/elsevier-harvard</vt:lpwstr>
  </property>
  <property fmtid="{D5CDD505-2E9C-101B-9397-08002B2CF9AE}" pid="12" name="Mendeley Recent Style Name 3_1">
    <vt:lpwstr>Elsevier - Harvard (with titles)</vt:lpwstr>
  </property>
  <property fmtid="{D5CDD505-2E9C-101B-9397-08002B2CF9AE}" pid="13" name="Mendeley Recent Style Id 4_1">
    <vt:lpwstr>http://www.zotero.org/styles/elsevier-harvard2</vt:lpwstr>
  </property>
  <property fmtid="{D5CDD505-2E9C-101B-9397-08002B2CF9AE}" pid="14" name="Mendeley Recent Style Name 4_1">
    <vt:lpwstr>Elsevier - Harvard 2</vt:lpwstr>
  </property>
  <property fmtid="{D5CDD505-2E9C-101B-9397-08002B2CF9AE}" pid="15" name="Mendeley Recent Style Id 5_1">
    <vt:lpwstr>http://www.zotero.org/styles/emerald-harvard</vt:lpwstr>
  </property>
  <property fmtid="{D5CDD505-2E9C-101B-9397-08002B2CF9AE}" pid="16" name="Mendeley Recent Style Name 5_1">
    <vt:lpwstr>Emerald - Harvard</vt:lpwstr>
  </property>
  <property fmtid="{D5CDD505-2E9C-101B-9397-08002B2CF9AE}" pid="17" name="Mendeley Recent Style Id 6_1">
    <vt:lpwstr>http://www.zotero.org/styles/griffith-college-harvard</vt:lpwstr>
  </property>
  <property fmtid="{D5CDD505-2E9C-101B-9397-08002B2CF9AE}" pid="18" name="Mendeley Recent Style Name 6_1">
    <vt:lpwstr>Griffith College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