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4903B" w14:textId="77777777" w:rsidR="00491144" w:rsidRPr="009A4DB2" w:rsidRDefault="00491144" w:rsidP="009A4DB2">
      <w:pPr>
        <w:pBdr>
          <w:top w:val="nil"/>
          <w:left w:val="nil"/>
          <w:bottom w:val="nil"/>
          <w:right w:val="nil"/>
          <w:between w:val="nil"/>
        </w:pBdr>
        <w:spacing w:after="0" w:line="360" w:lineRule="auto"/>
        <w:ind w:right="2"/>
        <w:jc w:val="center"/>
        <w:rPr>
          <w:rFonts w:ascii="Times New Roman" w:eastAsia="Palatino Linotype" w:hAnsi="Times New Roman" w:cs="Times New Roman"/>
          <w:b/>
          <w:color w:val="111111"/>
          <w:lang w:val="pt-BR"/>
        </w:rPr>
      </w:pPr>
      <w:r w:rsidRPr="009A4DB2">
        <w:rPr>
          <w:rFonts w:ascii="Times New Roman" w:eastAsia="Palatino Linotype" w:hAnsi="Times New Roman" w:cs="Times New Roman"/>
          <w:b/>
          <w:color w:val="111111"/>
          <w:lang w:val="pt-BR"/>
        </w:rPr>
        <w:t>Rekonstruksi Perlindungan Hukum Bagi Anggota Polri Dalam Penanganan Demonstrasi Anarkis Di Indonesia</w:t>
      </w:r>
    </w:p>
    <w:p w14:paraId="460E14FB" w14:textId="77777777" w:rsidR="00491144" w:rsidRPr="009A4DB2" w:rsidRDefault="00491144" w:rsidP="009A4DB2">
      <w:pPr>
        <w:pBdr>
          <w:top w:val="nil"/>
          <w:left w:val="nil"/>
          <w:bottom w:val="nil"/>
          <w:right w:val="nil"/>
          <w:between w:val="nil"/>
        </w:pBdr>
        <w:spacing w:after="0" w:line="360" w:lineRule="auto"/>
        <w:ind w:right="2"/>
        <w:jc w:val="center"/>
        <w:rPr>
          <w:rFonts w:ascii="Times New Roman" w:eastAsia="Palatino Linotype" w:hAnsi="Times New Roman" w:cs="Times New Roman"/>
          <w:color w:val="111111"/>
        </w:rPr>
      </w:pPr>
      <w:r w:rsidRPr="009A4DB2">
        <w:rPr>
          <w:rFonts w:ascii="Times New Roman" w:eastAsia="Palatino Linotype" w:hAnsi="Times New Roman" w:cs="Times New Roman"/>
          <w:color w:val="111111"/>
        </w:rPr>
        <w:t>(Reconstruction of Legal Protection for Police Officers in Handling Anarchic Demonstrations in Indonesia)</w:t>
      </w:r>
    </w:p>
    <w:p w14:paraId="2547AA17" w14:textId="77777777" w:rsidR="00491144" w:rsidRPr="009A4DB2" w:rsidRDefault="00491144" w:rsidP="009A4DB2">
      <w:pPr>
        <w:spacing w:after="120" w:line="360" w:lineRule="auto"/>
        <w:ind w:right="2"/>
        <w:rPr>
          <w:rFonts w:ascii="Times New Roman" w:eastAsia="Palatino Linotype" w:hAnsi="Times New Roman" w:cs="Times New Roman"/>
        </w:rPr>
      </w:pPr>
    </w:p>
    <w:p w14:paraId="49550414" w14:textId="77777777" w:rsidR="00491144" w:rsidRPr="009A4DB2" w:rsidRDefault="00491144" w:rsidP="009A4DB2">
      <w:pPr>
        <w:pBdr>
          <w:top w:val="nil"/>
          <w:left w:val="nil"/>
          <w:bottom w:val="nil"/>
          <w:right w:val="nil"/>
          <w:between w:val="nil"/>
        </w:pBdr>
        <w:spacing w:after="0" w:line="360" w:lineRule="auto"/>
        <w:ind w:right="2"/>
        <w:jc w:val="center"/>
        <w:rPr>
          <w:rFonts w:ascii="Times New Roman" w:eastAsia="Palatino Linotype" w:hAnsi="Times New Roman" w:cs="Times New Roman"/>
          <w:b/>
          <w:color w:val="000000"/>
          <w:highlight w:val="white"/>
          <w:lang w:val="id-ID"/>
        </w:rPr>
      </w:pPr>
      <w:r w:rsidRPr="009A4DB2">
        <w:rPr>
          <w:rFonts w:ascii="Times New Roman" w:eastAsia="Palatino Linotype" w:hAnsi="Times New Roman" w:cs="Times New Roman"/>
          <w:b/>
          <w:color w:val="000000"/>
          <w:highlight w:val="white"/>
        </w:rPr>
        <w:t>Asep Saepudin</w:t>
      </w:r>
    </w:p>
    <w:p w14:paraId="356FC518" w14:textId="55D26A02" w:rsidR="00A75578" w:rsidRPr="009A4DB2" w:rsidRDefault="00A75578" w:rsidP="009A4DB2">
      <w:pPr>
        <w:pBdr>
          <w:top w:val="nil"/>
          <w:left w:val="nil"/>
          <w:bottom w:val="nil"/>
          <w:right w:val="nil"/>
          <w:between w:val="nil"/>
        </w:pBdr>
        <w:spacing w:after="0" w:line="360" w:lineRule="auto"/>
        <w:ind w:right="2"/>
        <w:jc w:val="center"/>
        <w:rPr>
          <w:rFonts w:ascii="Times New Roman" w:eastAsia="Palatino Linotype" w:hAnsi="Times New Roman" w:cs="Times New Roman"/>
          <w:b/>
          <w:color w:val="000000"/>
          <w:highlight w:val="white"/>
          <w:lang w:val="id-ID"/>
        </w:rPr>
      </w:pPr>
      <w:r w:rsidRPr="009A4DB2">
        <w:rPr>
          <w:rFonts w:ascii="Times New Roman" w:eastAsia="Palatino Linotype" w:hAnsi="Times New Roman" w:cs="Times New Roman"/>
          <w:b/>
          <w:color w:val="000000"/>
          <w:highlight w:val="white"/>
          <w:lang w:val="id-ID"/>
        </w:rPr>
        <w:t xml:space="preserve">NPM. </w:t>
      </w:r>
    </w:p>
    <w:p w14:paraId="54518118" w14:textId="77777777" w:rsidR="00A75578" w:rsidRPr="009A4DB2" w:rsidRDefault="00A75578" w:rsidP="009A4DB2">
      <w:pPr>
        <w:pBdr>
          <w:top w:val="nil"/>
          <w:left w:val="nil"/>
          <w:bottom w:val="nil"/>
          <w:right w:val="nil"/>
          <w:between w:val="nil"/>
        </w:pBdr>
        <w:spacing w:after="0" w:line="360" w:lineRule="auto"/>
        <w:ind w:right="2"/>
        <w:jc w:val="center"/>
        <w:rPr>
          <w:rFonts w:ascii="Times New Roman" w:eastAsia="Palatino Linotype" w:hAnsi="Times New Roman" w:cs="Times New Roman"/>
          <w:b/>
          <w:color w:val="000000"/>
          <w:highlight w:val="white"/>
          <w:lang w:val="id-ID"/>
        </w:rPr>
      </w:pPr>
    </w:p>
    <w:p w14:paraId="73326342" w14:textId="0B83AD2F" w:rsidR="0037648F" w:rsidRPr="009A4DB2" w:rsidRDefault="0037648F" w:rsidP="009A4DB2">
      <w:pPr>
        <w:pBdr>
          <w:top w:val="nil"/>
          <w:left w:val="nil"/>
          <w:bottom w:val="nil"/>
          <w:right w:val="nil"/>
          <w:between w:val="nil"/>
        </w:pBdr>
        <w:spacing w:after="0" w:line="360" w:lineRule="auto"/>
        <w:ind w:right="2"/>
        <w:jc w:val="center"/>
        <w:rPr>
          <w:rFonts w:ascii="Times New Roman" w:eastAsia="Palatino Linotype" w:hAnsi="Times New Roman" w:cs="Times New Roman"/>
          <w:color w:val="000000"/>
          <w:lang w:val="id-ID"/>
        </w:rPr>
      </w:pPr>
      <w:r w:rsidRPr="009A4DB2">
        <w:rPr>
          <w:rFonts w:ascii="Times New Roman" w:eastAsia="Palatino Linotype" w:hAnsi="Times New Roman" w:cs="Times New Roman"/>
          <w:color w:val="000000"/>
        </w:rPr>
        <w:t>Polrestabes Bandung Jl. merdeka no 18 – 21</w:t>
      </w:r>
    </w:p>
    <w:p w14:paraId="1F43C4E5" w14:textId="55979992" w:rsidR="00491144" w:rsidRPr="009A4DB2" w:rsidRDefault="00491144" w:rsidP="009A4DB2">
      <w:pPr>
        <w:pBdr>
          <w:top w:val="nil"/>
          <w:left w:val="nil"/>
          <w:bottom w:val="nil"/>
          <w:right w:val="nil"/>
          <w:between w:val="nil"/>
        </w:pBdr>
        <w:spacing w:after="0" w:line="360" w:lineRule="auto"/>
        <w:ind w:right="2"/>
        <w:jc w:val="center"/>
        <w:rPr>
          <w:rFonts w:ascii="Times New Roman" w:eastAsia="Palatino Linotype" w:hAnsi="Times New Roman" w:cs="Times New Roman"/>
          <w:color w:val="111111"/>
        </w:rPr>
      </w:pPr>
      <w:r w:rsidRPr="009A4DB2">
        <w:rPr>
          <w:rFonts w:ascii="Times New Roman" w:eastAsia="Palatino Linotype" w:hAnsi="Times New Roman" w:cs="Times New Roman"/>
          <w:color w:val="202124"/>
          <w:highlight w:val="white"/>
        </w:rPr>
        <w:t xml:space="preserve">Email: </w:t>
      </w:r>
      <w:hyperlink r:id="rId8" w:history="1">
        <w:r w:rsidRPr="009A4DB2">
          <w:rPr>
            <w:rStyle w:val="Hyperlink"/>
            <w:rFonts w:ascii="Times New Roman" w:eastAsia="Palatino Linotype" w:hAnsi="Times New Roman" w:cs="Times New Roman"/>
          </w:rPr>
          <w:t>saepudinasep250370@gmail.com</w:t>
        </w:r>
      </w:hyperlink>
    </w:p>
    <w:p w14:paraId="05E54735" w14:textId="77777777" w:rsidR="00491144" w:rsidRPr="009A4DB2" w:rsidRDefault="00491144" w:rsidP="009A4DB2">
      <w:pPr>
        <w:spacing w:after="120" w:line="360" w:lineRule="auto"/>
        <w:ind w:right="2"/>
        <w:rPr>
          <w:rFonts w:ascii="Times New Roman" w:eastAsia="Palatino Linotype" w:hAnsi="Times New Roman" w:cs="Times New Roman"/>
        </w:rPr>
      </w:pPr>
    </w:p>
    <w:p w14:paraId="47E970B4" w14:textId="77777777" w:rsidR="00491144" w:rsidRPr="009A4DB2" w:rsidRDefault="00491144" w:rsidP="009A4DB2">
      <w:pPr>
        <w:pBdr>
          <w:top w:val="nil"/>
          <w:left w:val="nil"/>
          <w:bottom w:val="nil"/>
          <w:right w:val="nil"/>
          <w:between w:val="nil"/>
        </w:pBdr>
        <w:spacing w:line="360" w:lineRule="auto"/>
        <w:ind w:right="2" w:firstLine="567"/>
        <w:jc w:val="center"/>
        <w:rPr>
          <w:rFonts w:ascii="Times New Roman" w:eastAsia="Palatino Linotype" w:hAnsi="Times New Roman" w:cs="Times New Roman"/>
          <w:b/>
          <w:color w:val="000000"/>
        </w:rPr>
      </w:pPr>
      <w:r w:rsidRPr="009A4DB2">
        <w:rPr>
          <w:rFonts w:ascii="Times New Roman" w:eastAsia="Palatino Linotype" w:hAnsi="Times New Roman" w:cs="Times New Roman"/>
          <w:b/>
          <w:color w:val="000000"/>
        </w:rPr>
        <w:t>ABSTRAK</w:t>
      </w:r>
    </w:p>
    <w:p w14:paraId="619588EC" w14:textId="77777777" w:rsidR="00491144" w:rsidRPr="009A4DB2" w:rsidRDefault="00491144" w:rsidP="009A4DB2">
      <w:pPr>
        <w:spacing w:before="120" w:after="120" w:line="360" w:lineRule="auto"/>
        <w:ind w:right="2" w:firstLine="567"/>
        <w:jc w:val="both"/>
        <w:rPr>
          <w:rFonts w:ascii="Times New Roman" w:hAnsi="Times New Roman" w:cs="Times New Roman"/>
        </w:rPr>
      </w:pPr>
      <w:proofErr w:type="gramStart"/>
      <w:r w:rsidRPr="009A4DB2">
        <w:rPr>
          <w:rFonts w:ascii="Times New Roman" w:hAnsi="Times New Roman" w:cs="Times New Roman"/>
        </w:rPr>
        <w:t>Penanganan demonstrasi anarkis di Indonesia menempatkan Kepolisian Republik Indonesia (Polri) dalam posisi yang dilematis antara menegakkan ketertiban umum dan melindungi hak konstitusional warga negara untuk menyampaikan pendapat.</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Ketidakjelasan kerangka hukum dalam memberikan perlindungan hukum kepada anggota Polri yang terlibat dalam situasi darurat meningkatkan risiko kriminalisasi terhadap tindakan berbasis diskresi dan penggunaan kekuatan.</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Penelitian ini bertujuan untuk mengkaji perlindungan hukum bagi anggota Polri dalam penanganan demonstrasi anarkis dan menawarkan kerangka hukum yang lebih responsif terhadap kebutuhan operasional kepolisian.</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Dengan menggunakan pendekatan yuridis normatif, penelitian ini menganalisis peraturan perundang-undangan, putusan pengadilan, dan standar internasional, serta mengintegrasikan evaluasi empiris terhadap kasus-kasus relevan.</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Hasil penelitian menunjukkan bahwa perlindungan hukum bagi anggota Polri dalam penanganan demonstrasi anarkis masih bersifat parsial dan tidak spesifik.</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Kerangka hukum yang ada saat ini, belum mampu memberikan perlindungan hukum yang memadai bagi anggota Polri yang bertindak dalam situasi darurat yang berisiko tinggi.</w:t>
      </w:r>
      <w:proofErr w:type="gramEnd"/>
      <w:r w:rsidRPr="009A4DB2">
        <w:rPr>
          <w:rFonts w:ascii="Times New Roman" w:hAnsi="Times New Roman" w:cs="Times New Roman"/>
        </w:rPr>
        <w:t xml:space="preserve"> Oleh karena itu, diperlukan rekonstruksi bentuk perlindungan hukum bagi anggota Polri yang bertugas dalam situasi pengendalian massa berisiko tinggi dengan fokus pada 3 (tiga) aspek utama yaitu: 1) </w:t>
      </w:r>
      <w:r w:rsidRPr="009A4DB2">
        <w:rPr>
          <w:rFonts w:ascii="Times New Roman" w:hAnsi="Times New Roman" w:cs="Times New Roman"/>
          <w:bCs/>
        </w:rPr>
        <w:t xml:space="preserve">peraturan hukum yang lebih spesifik yang secara eksplisit mengatur perlindungan hukum bagi anggota Polri dengan mencakup: </w:t>
      </w:r>
      <w:r w:rsidRPr="009A4DB2">
        <w:rPr>
          <w:rFonts w:ascii="Times New Roman" w:hAnsi="Times New Roman" w:cs="Times New Roman"/>
        </w:rPr>
        <w:t xml:space="preserve">pembaruan dalam Standar Prosedur Operasional (SOP), klausul perlindungan diskresi, dan panduan implementasi prinsip proposionalitas yang jelas dan berbasis hukum; 2) </w:t>
      </w:r>
      <w:r w:rsidRPr="009A4DB2">
        <w:rPr>
          <w:rFonts w:ascii="Times New Roman" w:hAnsi="Times New Roman" w:cs="Times New Roman"/>
          <w:bCs/>
        </w:rPr>
        <w:t>mekanisme dukungan hukum internal</w:t>
      </w:r>
      <w:r w:rsidRPr="009A4DB2">
        <w:rPr>
          <w:rFonts w:ascii="Times New Roman" w:hAnsi="Times New Roman" w:cs="Times New Roman"/>
        </w:rPr>
        <w:t xml:space="preserve">; dan 3) </w:t>
      </w:r>
      <w:r w:rsidRPr="009A4DB2">
        <w:rPr>
          <w:rFonts w:ascii="Times New Roman" w:hAnsi="Times New Roman" w:cs="Times New Roman"/>
          <w:bCs/>
        </w:rPr>
        <w:t xml:space="preserve">penguatan akuntabilitas berbasis perlindungan. </w:t>
      </w:r>
      <w:proofErr w:type="gramStart"/>
      <w:r w:rsidRPr="009A4DB2">
        <w:rPr>
          <w:rFonts w:ascii="Times New Roman" w:hAnsi="Times New Roman" w:cs="Times New Roman"/>
        </w:rPr>
        <w:t xml:space="preserve">Implikasi penelitian ini </w:t>
      </w:r>
      <w:r w:rsidRPr="009A4DB2">
        <w:rPr>
          <w:rFonts w:ascii="Times New Roman" w:hAnsi="Times New Roman" w:cs="Times New Roman"/>
        </w:rPr>
        <w:lastRenderedPageBreak/>
        <w:t>adalah pentingnya pembangunan hukum kepolisian yang lebih adaptif dan berorientasi pada keseimbangan antara akuntabilitas dan perlindungan hukum, untuk mendukung profesionalisme Polri dan meningkatkan kepercayaan masyarakat terhadap institusi penegak hukum.</w:t>
      </w:r>
      <w:proofErr w:type="gramEnd"/>
    </w:p>
    <w:p w14:paraId="40B2B647" w14:textId="77777777" w:rsidR="00491144" w:rsidRPr="009A4DB2" w:rsidRDefault="00491144" w:rsidP="009A4DB2">
      <w:pPr>
        <w:pBdr>
          <w:top w:val="nil"/>
          <w:left w:val="nil"/>
          <w:bottom w:val="nil"/>
          <w:right w:val="nil"/>
          <w:between w:val="nil"/>
        </w:pBdr>
        <w:spacing w:after="0" w:line="360" w:lineRule="auto"/>
        <w:ind w:right="2"/>
        <w:jc w:val="both"/>
        <w:rPr>
          <w:rFonts w:ascii="Times New Roman" w:eastAsia="Palatino Linotype" w:hAnsi="Times New Roman" w:cs="Times New Roman"/>
          <w:color w:val="111111"/>
        </w:rPr>
      </w:pPr>
      <w:r w:rsidRPr="009A4DB2">
        <w:rPr>
          <w:rFonts w:ascii="Times New Roman" w:eastAsia="Palatino Linotype" w:hAnsi="Times New Roman" w:cs="Times New Roman"/>
          <w:b/>
          <w:color w:val="111111"/>
        </w:rPr>
        <w:t>Kata Kunci</w:t>
      </w:r>
      <w:r w:rsidRPr="009A4DB2">
        <w:rPr>
          <w:rFonts w:ascii="Times New Roman" w:eastAsia="Palatino Linotype" w:hAnsi="Times New Roman" w:cs="Times New Roman"/>
          <w:color w:val="111111"/>
        </w:rPr>
        <w:t>: Demonstrasi Anarkis, Perlindungan Hukum, Kepolisian.</w:t>
      </w:r>
    </w:p>
    <w:p w14:paraId="2DA42B14" w14:textId="02F1AF28" w:rsidR="00F83068" w:rsidRPr="009A4DB2" w:rsidRDefault="00F83068" w:rsidP="009A4DB2">
      <w:pPr>
        <w:pStyle w:val="NormalWeb"/>
        <w:spacing w:line="360" w:lineRule="auto"/>
        <w:ind w:right="2"/>
        <w:jc w:val="center"/>
        <w:rPr>
          <w:sz w:val="22"/>
          <w:szCs w:val="22"/>
        </w:rPr>
      </w:pPr>
      <w:r w:rsidRPr="009A4DB2">
        <w:rPr>
          <w:rStyle w:val="Strong"/>
          <w:rFonts w:eastAsiaTheme="majorEastAsia"/>
          <w:sz w:val="22"/>
          <w:szCs w:val="22"/>
        </w:rPr>
        <w:t>RINGKESAN</w:t>
      </w:r>
    </w:p>
    <w:p w14:paraId="0E156FDE" w14:textId="77777777" w:rsidR="00F83068" w:rsidRPr="009A4DB2" w:rsidRDefault="00F83068" w:rsidP="009A4DB2">
      <w:pPr>
        <w:pStyle w:val="NormalWeb"/>
        <w:spacing w:line="360" w:lineRule="auto"/>
        <w:ind w:right="2" w:firstLine="567"/>
        <w:jc w:val="both"/>
        <w:rPr>
          <w:sz w:val="22"/>
          <w:szCs w:val="22"/>
        </w:rPr>
      </w:pPr>
      <w:r w:rsidRPr="009A4DB2">
        <w:rPr>
          <w:sz w:val="22"/>
          <w:szCs w:val="22"/>
        </w:rPr>
        <w:t>Panalakaran démonstrasi anarkis di Indonesia nempatkeun Kapulisian Republik Indonesia (Polri) dina posisi nu dilematis antara negeskeun katertiban umum jeung nangtayungan hak konstitusional warga nagara pikeun nyanggemkeun pendapat. Teu écésna kerangka hukum dina méré panyalindungan hukum ka anggota Polri nu aub dina kaayaan darurat ningkatkeun résiko kriminalisasi kana tindakan nu dumasar kana diskresi jeung pamakean kakuatan. Panalungtikan ieu boga tujuan pikeun nalungtik panyalindungan hukum pikeun anggota Polri dina panalakaran démonstrasi anarkis sarta nawarkeun kerangka hukum nu leuwih responsif kana kabutuhan operasional kapulisian. Ku ngagunakeun pendekatan yuridis normatif, panalungtikan ieu nganalisis katangtuan perundang-undangan, putusan pangadilan, jeung standar internasional, sarta ngahijikeun évaluasi empiris kana kasus-kasus nu relevan. Hasil panalungtikan nunjukkeun yén panyalindungan hukum pikeun anggota Polri dina panalakaran démonstrasi anarkis masih parsial jeung teu spésifik. Kerangka hukum nu aya kiwari, can mampuh méré panyalindungan hukum nu cukup pikeun anggota Polri nu bertindak dina kaayaan darurat nu boga résiko luhur. Ku kituna, diperlukeun rekonstruksi wangun panyalindungan hukum pikeun anggota Polri nu tugas dina kaayaan pangendalian massa nu boga résiko luhur ku difokuskeun kana tilu (3) aspék utama, nyaéta: 1) aturan hukum nu leuwih spésifik nu sacara écés ngatur panyalindungan hukum pikeun anggota Polri, kalebet: pembaruan dina Standar Prosedur Operasional (SOP), klausul panyalindungan diskresi, jeung pituduh palaksanaan prinsip proporsionalitas nu écés jeung dumasar kana hukum; 2) mékanisme dukungan hukum internal; jeung 3) penguatan akuntabilitas nu dumasar kana panyalindungan. Implikasi panalungtikan ieu nya éta pentingna pangwangunan hukum kapulisian nu leuwih adaptif jeung berorientasi kana kasaimbangan antara akuntabilitas jeung panyalindungan hukum, pikeun ngarojong profesionalisme Polri sarta ningkatkeun kapercayaan masarakat ka institusi panegak hukum.</w:t>
      </w:r>
    </w:p>
    <w:p w14:paraId="677143B4" w14:textId="77777777" w:rsidR="00F83068" w:rsidRPr="009A4DB2" w:rsidRDefault="00F83068" w:rsidP="009A4DB2">
      <w:pPr>
        <w:pStyle w:val="NormalWeb"/>
        <w:spacing w:line="360" w:lineRule="auto"/>
        <w:ind w:right="2"/>
        <w:jc w:val="both"/>
        <w:rPr>
          <w:sz w:val="22"/>
          <w:szCs w:val="22"/>
        </w:rPr>
      </w:pPr>
      <w:r w:rsidRPr="009A4DB2">
        <w:rPr>
          <w:rStyle w:val="Strong"/>
          <w:rFonts w:eastAsiaTheme="majorEastAsia"/>
          <w:sz w:val="22"/>
          <w:szCs w:val="22"/>
        </w:rPr>
        <w:t>Kecap Konci</w:t>
      </w:r>
      <w:r w:rsidRPr="009A4DB2">
        <w:rPr>
          <w:sz w:val="22"/>
          <w:szCs w:val="22"/>
        </w:rPr>
        <w:t>: Démonstrasi Anarkis, Panyalindungan Hukum, Kapulisian.</w:t>
      </w:r>
    </w:p>
    <w:p w14:paraId="74E7B329" w14:textId="77777777" w:rsidR="00491144" w:rsidRPr="009A4DB2" w:rsidRDefault="00491144" w:rsidP="009A4DB2">
      <w:pPr>
        <w:pBdr>
          <w:top w:val="nil"/>
          <w:left w:val="nil"/>
          <w:bottom w:val="nil"/>
          <w:right w:val="nil"/>
          <w:between w:val="nil"/>
        </w:pBdr>
        <w:spacing w:after="0" w:line="360" w:lineRule="auto"/>
        <w:ind w:right="2" w:firstLine="567"/>
        <w:jc w:val="center"/>
        <w:rPr>
          <w:rFonts w:ascii="Times New Roman" w:eastAsia="Palatino Linotype" w:hAnsi="Times New Roman" w:cs="Times New Roman"/>
          <w:b/>
          <w:i/>
          <w:color w:val="000000"/>
        </w:rPr>
      </w:pPr>
      <w:r w:rsidRPr="009A4DB2">
        <w:rPr>
          <w:rFonts w:ascii="Times New Roman" w:eastAsia="Palatino Linotype" w:hAnsi="Times New Roman" w:cs="Times New Roman"/>
          <w:b/>
          <w:i/>
          <w:color w:val="000000"/>
        </w:rPr>
        <w:lastRenderedPageBreak/>
        <w:t>ABSTRACT</w:t>
      </w:r>
    </w:p>
    <w:p w14:paraId="77D11EE8" w14:textId="77777777" w:rsidR="00491144" w:rsidRPr="009A4DB2" w:rsidRDefault="00491144" w:rsidP="009A4DB2">
      <w:pPr>
        <w:pBdr>
          <w:top w:val="nil"/>
          <w:left w:val="nil"/>
          <w:bottom w:val="nil"/>
          <w:right w:val="nil"/>
          <w:between w:val="nil"/>
        </w:pBdr>
        <w:spacing w:before="120" w:after="120" w:line="360" w:lineRule="auto"/>
        <w:ind w:right="2" w:firstLine="567"/>
        <w:jc w:val="both"/>
        <w:rPr>
          <w:rFonts w:ascii="Times New Roman" w:eastAsia="Palatino Linotype" w:hAnsi="Times New Roman" w:cs="Times New Roman"/>
          <w:i/>
          <w:color w:val="111111"/>
        </w:rPr>
      </w:pPr>
      <w:bookmarkStart w:id="0" w:name="_heading=h.gjdgxs" w:colFirst="0" w:colLast="0"/>
      <w:bookmarkEnd w:id="0"/>
      <w:r w:rsidRPr="009A4DB2">
        <w:rPr>
          <w:rFonts w:ascii="Times New Roman" w:eastAsia="Palatino Linotype" w:hAnsi="Times New Roman" w:cs="Times New Roman"/>
          <w:i/>
          <w:color w:val="111111"/>
        </w:rPr>
        <w:t>The handling of anarchic demonstrations in Indonesia places the Indonesian National Police (Polri) in a dilemmatic position, balancing the enforcement of public order with the constitutional rights of citizens to express their opinions. The absence of a clear legal framework for police protection in emergency situations increases the risk of criminalizing discretion-based actions and the use of force. This study examines legal protection for police officers in such contexts and proposes a more responsive legal framework aligned with law enforcement’s operational needs. Using a normative juridical approach, this research analyzes legislation, court rulings, international standards, and empirical evaluations of relevant cases. The findings reveal that legal protection for police officers remains fragmented and insufficient, with the current legal framework failing to safeguard officers operating in high-risk emergencies. Therefore, legal reconstruction is necessary, focusing on three key aspects: (1) specific legal regulations addressing police protection, including updates to Standard Operating Procedures (SOPs), discretionary protection clauses, and a clear implementation guide for the proportionality principle; (2) internal legal support mechanisms to ensure fair legal assistance for officers in critical incidents; and (3) enhanced accountability mechanisms that maintain police professionalism while ensuring legal protection. This study underscores the need for adaptive policing laws that balance accountability and legal protection, fostering greater professionalism within Polri and strengthening public trust in law enforcement institutions.</w:t>
      </w:r>
    </w:p>
    <w:p w14:paraId="2C9BA397" w14:textId="77777777" w:rsidR="00491144" w:rsidRPr="009A4DB2" w:rsidRDefault="00491144" w:rsidP="009A4DB2">
      <w:pPr>
        <w:pBdr>
          <w:top w:val="nil"/>
          <w:left w:val="nil"/>
          <w:bottom w:val="nil"/>
          <w:right w:val="nil"/>
          <w:between w:val="nil"/>
        </w:pBdr>
        <w:spacing w:after="0" w:line="360" w:lineRule="auto"/>
        <w:ind w:right="2"/>
        <w:jc w:val="both"/>
        <w:rPr>
          <w:rFonts w:ascii="Times New Roman" w:eastAsia="Palatino Linotype" w:hAnsi="Times New Roman" w:cs="Times New Roman"/>
          <w:i/>
          <w:color w:val="111111"/>
          <w:lang w:val="id-ID"/>
        </w:rPr>
      </w:pPr>
      <w:r w:rsidRPr="009A4DB2">
        <w:rPr>
          <w:rFonts w:ascii="Times New Roman" w:eastAsia="Palatino Linotype" w:hAnsi="Times New Roman" w:cs="Times New Roman"/>
          <w:b/>
          <w:i/>
          <w:color w:val="111111"/>
        </w:rPr>
        <w:t>Keywords</w:t>
      </w:r>
      <w:r w:rsidRPr="009A4DB2">
        <w:rPr>
          <w:rFonts w:ascii="Times New Roman" w:eastAsia="Palatino Linotype" w:hAnsi="Times New Roman" w:cs="Times New Roman"/>
          <w:i/>
          <w:color w:val="111111"/>
        </w:rPr>
        <w:t>: Anarchic Demonstrations, Legal Protection, Law Enforcement</w:t>
      </w:r>
    </w:p>
    <w:p w14:paraId="56315076" w14:textId="77777777" w:rsidR="009A4DB2" w:rsidRPr="009A4DB2" w:rsidRDefault="009A4DB2" w:rsidP="009A4DB2">
      <w:pPr>
        <w:pBdr>
          <w:top w:val="nil"/>
          <w:left w:val="nil"/>
          <w:bottom w:val="nil"/>
          <w:right w:val="nil"/>
          <w:between w:val="nil"/>
        </w:pBdr>
        <w:spacing w:after="0" w:line="360" w:lineRule="auto"/>
        <w:ind w:right="2"/>
        <w:jc w:val="both"/>
        <w:rPr>
          <w:rFonts w:ascii="Times New Roman" w:eastAsia="Palatino Linotype" w:hAnsi="Times New Roman" w:cs="Times New Roman"/>
          <w:i/>
          <w:color w:val="111111"/>
          <w:lang w:val="id-ID"/>
        </w:rPr>
      </w:pPr>
    </w:p>
    <w:p w14:paraId="3CE8B34E" w14:textId="77777777" w:rsidR="009A4DB2" w:rsidRPr="009A4DB2" w:rsidRDefault="009A4DB2" w:rsidP="009A4DB2">
      <w:pPr>
        <w:pBdr>
          <w:top w:val="nil"/>
          <w:left w:val="nil"/>
          <w:bottom w:val="nil"/>
          <w:right w:val="nil"/>
          <w:between w:val="nil"/>
        </w:pBdr>
        <w:spacing w:after="0" w:line="360" w:lineRule="auto"/>
        <w:ind w:right="2"/>
        <w:jc w:val="both"/>
        <w:rPr>
          <w:rFonts w:ascii="Times New Roman" w:eastAsia="Palatino Linotype" w:hAnsi="Times New Roman" w:cs="Times New Roman"/>
          <w:i/>
          <w:color w:val="111111"/>
          <w:lang w:val="id-ID"/>
        </w:rPr>
      </w:pPr>
    </w:p>
    <w:p w14:paraId="69DFB4B0" w14:textId="77777777" w:rsidR="00491144" w:rsidRPr="009A4DB2" w:rsidRDefault="00491144" w:rsidP="009A4DB2">
      <w:pPr>
        <w:pBdr>
          <w:top w:val="nil"/>
          <w:left w:val="nil"/>
          <w:bottom w:val="nil"/>
          <w:right w:val="nil"/>
          <w:between w:val="nil"/>
        </w:pBdr>
        <w:spacing w:after="0" w:line="360" w:lineRule="auto"/>
        <w:ind w:left="992" w:right="2" w:hanging="992"/>
        <w:jc w:val="both"/>
        <w:rPr>
          <w:rFonts w:ascii="Times New Roman" w:eastAsia="Palatino Linotype" w:hAnsi="Times New Roman" w:cs="Times New Roman"/>
          <w:i/>
          <w:color w:val="111111"/>
        </w:rPr>
      </w:pPr>
    </w:p>
    <w:p w14:paraId="4623C62A" w14:textId="77777777" w:rsidR="00491144" w:rsidRPr="009A4DB2" w:rsidRDefault="00491144" w:rsidP="009A4DB2">
      <w:pPr>
        <w:pBdr>
          <w:top w:val="nil"/>
          <w:left w:val="nil"/>
          <w:bottom w:val="nil"/>
          <w:right w:val="nil"/>
          <w:between w:val="nil"/>
        </w:pBdr>
        <w:spacing w:after="0" w:line="360" w:lineRule="auto"/>
        <w:ind w:left="992" w:right="2" w:hanging="992"/>
        <w:jc w:val="both"/>
        <w:rPr>
          <w:rFonts w:ascii="Times New Roman" w:eastAsia="Palatino Linotype" w:hAnsi="Times New Roman" w:cs="Times New Roman"/>
          <w:i/>
          <w:color w:val="111111"/>
        </w:rPr>
      </w:pPr>
    </w:p>
    <w:p w14:paraId="65760742" w14:textId="77777777" w:rsidR="00491144" w:rsidRPr="009A4DB2" w:rsidRDefault="00491144" w:rsidP="009A4DB2">
      <w:pPr>
        <w:numPr>
          <w:ilvl w:val="0"/>
          <w:numId w:val="1"/>
        </w:numPr>
        <w:pBdr>
          <w:top w:val="nil"/>
          <w:left w:val="nil"/>
          <w:bottom w:val="nil"/>
          <w:right w:val="nil"/>
          <w:between w:val="nil"/>
        </w:pBdr>
        <w:spacing w:after="0" w:line="360" w:lineRule="auto"/>
        <w:ind w:left="567" w:right="2" w:hanging="567"/>
        <w:jc w:val="both"/>
        <w:rPr>
          <w:rFonts w:ascii="Times New Roman" w:hAnsi="Times New Roman" w:cs="Times New Roman"/>
        </w:rPr>
      </w:pPr>
      <w:r w:rsidRPr="009A4DB2">
        <w:rPr>
          <w:rFonts w:ascii="Times New Roman" w:eastAsia="Palatino Linotype" w:hAnsi="Times New Roman" w:cs="Times New Roman"/>
          <w:b/>
          <w:color w:val="000000"/>
        </w:rPr>
        <w:t>PENDAHULUAN</w:t>
      </w:r>
    </w:p>
    <w:p w14:paraId="7C014C2F" w14:textId="77777777" w:rsidR="00491144" w:rsidRPr="009A4DB2" w:rsidRDefault="00491144" w:rsidP="009A4DB2">
      <w:pPr>
        <w:spacing w:after="0" w:line="360" w:lineRule="auto"/>
        <w:ind w:right="2" w:firstLine="567"/>
        <w:jc w:val="both"/>
        <w:rPr>
          <w:rFonts w:ascii="Times New Roman" w:hAnsi="Times New Roman" w:cs="Times New Roman"/>
        </w:rPr>
      </w:pPr>
      <w:r w:rsidRPr="009A4DB2">
        <w:rPr>
          <w:rFonts w:ascii="Times New Roman" w:hAnsi="Times New Roman" w:cs="Times New Roman"/>
        </w:rPr>
        <w:t>Demonstrasi merupakan salah satu manifestasi hak asasi manusia yang dijamin dalam berbagai instrumen hukum nasional dan internasional</w:t>
      </w:r>
      <w:r w:rsidRPr="009A4DB2">
        <w:rPr>
          <w:rStyle w:val="FootnoteReference"/>
          <w:rFonts w:ascii="Times New Roman" w:hAnsi="Times New Roman" w:cs="Times New Roman"/>
        </w:rPr>
        <w:footnoteReference w:id="1"/>
      </w:r>
      <w:r w:rsidRPr="009A4DB2">
        <w:rPr>
          <w:rFonts w:ascii="Times New Roman" w:hAnsi="Times New Roman" w:cs="Times New Roman"/>
        </w:rPr>
        <w:t xml:space="preserve">, termasuk UUD 1945 Pasal 28E ayat (3) yang memberikan hak kepada setiap warga negara untuk menyampaikan pendapat di muka umum. </w:t>
      </w:r>
      <w:proofErr w:type="gramStart"/>
      <w:r w:rsidRPr="009A4DB2">
        <w:rPr>
          <w:rFonts w:ascii="Times New Roman" w:hAnsi="Times New Roman" w:cs="Times New Roman"/>
        </w:rPr>
        <w:t xml:space="preserve">Sebagai bagian integral dari sistem demokrasi, demonstrasi berfungsi sebagai saluran aspirasi publik, memungkinkan masyarakat untuk menyuarakan </w:t>
      </w:r>
      <w:r w:rsidRPr="009A4DB2">
        <w:rPr>
          <w:rFonts w:ascii="Times New Roman" w:hAnsi="Times New Roman" w:cs="Times New Roman"/>
        </w:rPr>
        <w:lastRenderedPageBreak/>
        <w:t>pandangan mereka terhadap kebijakan pemerintah, isu-isu sosial, dan dinamika politik.</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Kehadiran demonstrasi yang sehat menjadi indikator penting keberlangsungan demokrasi substantif, di mana dialog antara negara dan warga negara dapat berjalan secara konstruktif.</w:t>
      </w:r>
      <w:proofErr w:type="gramEnd"/>
      <w:r w:rsidRPr="009A4DB2">
        <w:rPr>
          <w:rStyle w:val="FootnoteReference"/>
          <w:rFonts w:ascii="Times New Roman" w:hAnsi="Times New Roman" w:cs="Times New Roman"/>
        </w:rPr>
        <w:footnoteReference w:id="2"/>
      </w:r>
      <w:r w:rsidRPr="009A4DB2">
        <w:rPr>
          <w:rFonts w:ascii="Times New Roman" w:hAnsi="Times New Roman" w:cs="Times New Roman"/>
        </w:rPr>
        <w:t xml:space="preserve"> </w:t>
      </w:r>
      <w:proofErr w:type="gramStart"/>
      <w:r w:rsidRPr="009A4DB2">
        <w:rPr>
          <w:rFonts w:ascii="Times New Roman" w:hAnsi="Times New Roman" w:cs="Times New Roman"/>
        </w:rPr>
        <w:t>Namun, dalam praktiknya, demonstrasi tidak jarang berkembang menjadi anarkis, mengancam stabilitas keamanan, ketertiban umum, dan bahkan keselamatan individu.</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Situasi ini menciptakan tantangan besar bagi negara, khususnya institusi kepolisian, untuk menjaga keseimbangan antara menghormati hak konstitusional warga negara dan kewajiban menjaga ketertiban umum.</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Dalam konteks Indonesia, pentingnya demonstrasi sebagai wujud kebebasan berekspresi semakin relevan dalam lanskap demokrasi yang dinamis, tetapi juga menuntut regulasi dan tata kelola yang efektif untuk memastikan bahwa hak ini dilaksanakan tanpa merugikan kepentingan umum.</w:t>
      </w:r>
      <w:proofErr w:type="gramEnd"/>
    </w:p>
    <w:p w14:paraId="58D4A5C7" w14:textId="77777777" w:rsidR="00491144" w:rsidRPr="009A4DB2" w:rsidRDefault="00491144" w:rsidP="009A4DB2">
      <w:pPr>
        <w:spacing w:after="0" w:line="360" w:lineRule="auto"/>
        <w:ind w:right="2" w:firstLine="567"/>
        <w:jc w:val="both"/>
        <w:rPr>
          <w:rFonts w:ascii="Times New Roman" w:hAnsi="Times New Roman" w:cs="Times New Roman"/>
        </w:rPr>
      </w:pPr>
      <w:r w:rsidRPr="009A4DB2">
        <w:rPr>
          <w:rFonts w:ascii="Times New Roman" w:hAnsi="Times New Roman" w:cs="Times New Roman"/>
        </w:rPr>
        <w:t>Kepolisian Republik Indonesia (Polri) memegang peran strategis sebagai penjaga keamanan, pelindung masyarakat, dan penegak hukum, sebagaimana diamanatkan dalam Pasal 30 ayat (4) UUD 1945 dan UU Nomor 2 Tahun 2002 tentang Kepolisian Negara Republik Indonesia.</w:t>
      </w:r>
      <w:r w:rsidRPr="009A4DB2">
        <w:rPr>
          <w:rStyle w:val="FootnoteReference"/>
          <w:rFonts w:ascii="Times New Roman" w:hAnsi="Times New Roman" w:cs="Times New Roman"/>
        </w:rPr>
        <w:footnoteReference w:id="3"/>
      </w:r>
      <w:r w:rsidRPr="009A4DB2">
        <w:rPr>
          <w:rFonts w:ascii="Times New Roman" w:hAnsi="Times New Roman" w:cs="Times New Roman"/>
        </w:rPr>
        <w:t xml:space="preserve"> </w:t>
      </w:r>
      <w:proofErr w:type="gramStart"/>
      <w:r w:rsidRPr="009A4DB2">
        <w:rPr>
          <w:rFonts w:ascii="Times New Roman" w:hAnsi="Times New Roman" w:cs="Times New Roman"/>
        </w:rPr>
        <w:t>Dalam menjalankan tugas ini, Polri diharapkan mampu menciptakan stabilitas keamanan yang kondusif, melindungi hak-hak individu, dan menegakkan supremasi hukum, termasuk dalam situasi demonstrasi yang berpotensi berkembang menjadi anarkis.</w:t>
      </w:r>
      <w:proofErr w:type="gramEnd"/>
      <w:r w:rsidRPr="009A4DB2">
        <w:rPr>
          <w:rFonts w:ascii="Times New Roman" w:hAnsi="Times New Roman" w:cs="Times New Roman"/>
        </w:rPr>
        <w:t xml:space="preserve"> Sebagai garda terdepan dalam pengendalian </w:t>
      </w:r>
      <w:proofErr w:type="gramStart"/>
      <w:r w:rsidRPr="009A4DB2">
        <w:rPr>
          <w:rFonts w:ascii="Times New Roman" w:hAnsi="Times New Roman" w:cs="Times New Roman"/>
        </w:rPr>
        <w:t>massa</w:t>
      </w:r>
      <w:proofErr w:type="gramEnd"/>
      <w:r w:rsidRPr="009A4DB2">
        <w:rPr>
          <w:rFonts w:ascii="Times New Roman" w:hAnsi="Times New Roman" w:cs="Times New Roman"/>
        </w:rPr>
        <w:t xml:space="preserve">, Polri dihadapkan pada tantangan besar untuk menyeimbangkan penghormatan terhadap kebebasan berekspresi dengan kewajiban menjaga ketertiban umum. </w:t>
      </w:r>
    </w:p>
    <w:p w14:paraId="70E8A320" w14:textId="77777777" w:rsidR="00491144" w:rsidRPr="009A4DB2" w:rsidRDefault="00491144" w:rsidP="009A4DB2">
      <w:pPr>
        <w:spacing w:after="0" w:line="360" w:lineRule="auto"/>
        <w:ind w:right="2" w:firstLine="567"/>
        <w:jc w:val="both"/>
        <w:rPr>
          <w:rFonts w:ascii="Times New Roman" w:hAnsi="Times New Roman" w:cs="Times New Roman"/>
        </w:rPr>
      </w:pPr>
      <w:proofErr w:type="gramStart"/>
      <w:r w:rsidRPr="009A4DB2">
        <w:rPr>
          <w:rFonts w:ascii="Times New Roman" w:hAnsi="Times New Roman" w:cs="Times New Roman"/>
        </w:rPr>
        <w:t>Situasi demonstrasi yang berujung anarki sering kali mengharuskan Polri untuk mengambil tindakan tegas, yang tidak jarang memunculkan risiko hukum dan tekanan sosial terhadap anggota yang terlibat.</w:t>
      </w:r>
      <w:proofErr w:type="gramEnd"/>
      <w:r w:rsidRPr="009A4DB2">
        <w:rPr>
          <w:rStyle w:val="FootnoteReference"/>
          <w:rFonts w:ascii="Times New Roman" w:hAnsi="Times New Roman" w:cs="Times New Roman"/>
        </w:rPr>
        <w:footnoteReference w:id="4"/>
      </w:r>
      <w:r w:rsidRPr="009A4DB2">
        <w:rPr>
          <w:rFonts w:ascii="Times New Roman" w:hAnsi="Times New Roman" w:cs="Times New Roman"/>
        </w:rPr>
        <w:t xml:space="preserve"> </w:t>
      </w:r>
      <w:proofErr w:type="gramStart"/>
      <w:r w:rsidRPr="009A4DB2">
        <w:rPr>
          <w:rFonts w:ascii="Times New Roman" w:hAnsi="Times New Roman" w:cs="Times New Roman"/>
        </w:rPr>
        <w:t xml:space="preserve">Kompleksitas peran ini menuntut Polri untuk memiliki landasan hukum yang kokoh dan prosedur operasional yang jelas, guna memastikan setiap tindakan penegakan hukum tidak hanya sesuai dengan prinsip proporsionalitas dan profesionalisme, tetapi juga melindungi mereka dari potensi </w:t>
      </w:r>
      <w:r w:rsidRPr="009A4DB2">
        <w:rPr>
          <w:rFonts w:ascii="Times New Roman" w:hAnsi="Times New Roman" w:cs="Times New Roman"/>
        </w:rPr>
        <w:lastRenderedPageBreak/>
        <w:t>kriminalisasi atau gugatan hukum.</w:t>
      </w:r>
      <w:proofErr w:type="gramEnd"/>
      <w:r w:rsidRPr="009A4DB2">
        <w:rPr>
          <w:rStyle w:val="FootnoteReference"/>
          <w:rFonts w:ascii="Times New Roman" w:hAnsi="Times New Roman" w:cs="Times New Roman"/>
        </w:rPr>
        <w:footnoteReference w:id="5"/>
      </w:r>
      <w:r w:rsidRPr="009A4DB2">
        <w:rPr>
          <w:rFonts w:ascii="Times New Roman" w:hAnsi="Times New Roman" w:cs="Times New Roman"/>
        </w:rPr>
        <w:t xml:space="preserve"> </w:t>
      </w:r>
      <w:proofErr w:type="gramStart"/>
      <w:r w:rsidRPr="009A4DB2">
        <w:rPr>
          <w:rFonts w:ascii="Times New Roman" w:hAnsi="Times New Roman" w:cs="Times New Roman"/>
        </w:rPr>
        <w:t>Dalam konteks yang semakin dinamis, keberhasilan Polri dalam menangani demonstrasi yang berpotensi anarkis tidak hanya mencerminkan efektivitas institusional, tetapi juga menjadi ukuran legitimasi dan kepercayaan masyarakat terhadap penegakan hukum di Indonesia.</w:t>
      </w:r>
      <w:proofErr w:type="gramEnd"/>
    </w:p>
    <w:p w14:paraId="27C6E8AE" w14:textId="77777777" w:rsidR="00491144" w:rsidRPr="009A4DB2" w:rsidRDefault="00491144" w:rsidP="009A4DB2">
      <w:pPr>
        <w:spacing w:after="0" w:line="360" w:lineRule="auto"/>
        <w:ind w:right="2" w:firstLine="567"/>
        <w:jc w:val="both"/>
        <w:rPr>
          <w:rFonts w:ascii="Times New Roman" w:hAnsi="Times New Roman" w:cs="Times New Roman"/>
        </w:rPr>
      </w:pPr>
      <w:proofErr w:type="gramStart"/>
      <w:r w:rsidRPr="009A4DB2">
        <w:rPr>
          <w:rFonts w:ascii="Times New Roman" w:hAnsi="Times New Roman" w:cs="Times New Roman"/>
        </w:rPr>
        <w:t>Penanganan demonstrasi yang berujung pada tindakan anarkis di Indonesia sering kali menempatkan anggota Kepolisian Republik Indonesia (Polri) dalam posisi yang dilematis.</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Di satu sisi, Polri memiliki tanggung jawab untuk menjaga ketertiban umum dan melindungi masyarakat dari potensi kerusakan atau kekerasan yang ditimbulkan oleh tindakan anarkis.</w:t>
      </w:r>
      <w:proofErr w:type="gramEnd"/>
      <w:r w:rsidRPr="009A4DB2">
        <w:rPr>
          <w:rFonts w:ascii="Times New Roman" w:hAnsi="Times New Roman" w:cs="Times New Roman"/>
        </w:rPr>
        <w:t xml:space="preserve"> Di sisi </w:t>
      </w:r>
      <w:proofErr w:type="gramStart"/>
      <w:r w:rsidRPr="009A4DB2">
        <w:rPr>
          <w:rFonts w:ascii="Times New Roman" w:hAnsi="Times New Roman" w:cs="Times New Roman"/>
        </w:rPr>
        <w:t>lain</w:t>
      </w:r>
      <w:proofErr w:type="gramEnd"/>
      <w:r w:rsidRPr="009A4DB2">
        <w:rPr>
          <w:rFonts w:ascii="Times New Roman" w:hAnsi="Times New Roman" w:cs="Times New Roman"/>
        </w:rPr>
        <w:t xml:space="preserve">, dalam menjalankan tugas tersebut, anggota Polri kerap dihadapkan pada risiko hukum akibat tindakan represif yang diperlukan untuk mengendalikan situasi. Ketidakjelasan </w:t>
      </w:r>
      <w:proofErr w:type="gramStart"/>
      <w:r w:rsidRPr="009A4DB2">
        <w:rPr>
          <w:rFonts w:ascii="Times New Roman" w:hAnsi="Times New Roman" w:cs="Times New Roman"/>
        </w:rPr>
        <w:t>norma</w:t>
      </w:r>
      <w:proofErr w:type="gramEnd"/>
      <w:r w:rsidRPr="009A4DB2">
        <w:rPr>
          <w:rFonts w:ascii="Times New Roman" w:hAnsi="Times New Roman" w:cs="Times New Roman"/>
        </w:rPr>
        <w:t xml:space="preserve"> hukum yang mengatur batasan tindakan kepolisian dalam situasi seperti ini sering kali memicu perdebatan di ruang publik dan berujung pada kriminalisasi individu anggota Polri. </w:t>
      </w:r>
      <w:proofErr w:type="gramStart"/>
      <w:r w:rsidRPr="009A4DB2">
        <w:rPr>
          <w:rFonts w:ascii="Times New Roman" w:hAnsi="Times New Roman" w:cs="Times New Roman"/>
        </w:rPr>
        <w:t>Masalah ini menjadi semakin kompleks mengingat pentingnya menjaga keseimbangan antara penghormatan terhadap hak konstitusional warga negara untuk menyampaikan pendapat dan kebutuhan untuk memastikan keamanan kolektif.</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Kurangnya perlindungan hukum yang memadai bagi anggota Polri yang menjalankan tugasnya dalam konteks demonstrasi anarkis menunjukkan adanya celah serius dalam sistem hukum Indonesia.</w:t>
      </w:r>
      <w:proofErr w:type="gramEnd"/>
      <w:r w:rsidRPr="009A4DB2">
        <w:rPr>
          <w:rFonts w:ascii="Times New Roman" w:hAnsi="Times New Roman" w:cs="Times New Roman"/>
        </w:rPr>
        <w:t xml:space="preserve"> Kondisi ini tidak hanya berdampak pada efektivitas Polri dalam menjalankan tugasnya, tetapi juga memengaruhi moralitas dan profesionalisme anggota kepolisian yang berada di garis depan dalam menangani isu-isu keamanan yang sensitif.</w:t>
      </w:r>
    </w:p>
    <w:p w14:paraId="14D91DFA" w14:textId="77777777" w:rsidR="00491144" w:rsidRPr="009A4DB2" w:rsidRDefault="00491144" w:rsidP="009A4DB2">
      <w:pPr>
        <w:spacing w:line="360" w:lineRule="auto"/>
        <w:ind w:right="2" w:firstLine="567"/>
        <w:jc w:val="both"/>
        <w:rPr>
          <w:rFonts w:ascii="Times New Roman" w:hAnsi="Times New Roman" w:cs="Times New Roman"/>
        </w:rPr>
      </w:pPr>
      <w:proofErr w:type="gramStart"/>
      <w:r w:rsidRPr="009A4DB2">
        <w:rPr>
          <w:rFonts w:ascii="Times New Roman" w:hAnsi="Times New Roman" w:cs="Times New Roman"/>
        </w:rPr>
        <w:t>Penelitian ini bertujuan untuk mengkaji secara komprehensif dua isu utama terkait penanganan demonstrasi anarkis oleh Kepolisian Republik Indonesia (Polri).</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Pertama, penelitian ini mengeksplorasi bagaimana Polri menangani demonstrasi yang berujung pada tindakan anarkis dalam kerangka hukum yang berlaku di Indonesia.</w:t>
      </w:r>
      <w:proofErr w:type="gramEnd"/>
      <w:r w:rsidRPr="009A4DB2">
        <w:rPr>
          <w:rFonts w:ascii="Times New Roman" w:hAnsi="Times New Roman" w:cs="Times New Roman"/>
        </w:rPr>
        <w:t xml:space="preserve"> Analisis ini mencakup pendekatan operasional yang diterapkan oleh Polri, efektivitas prosedur yang digunakan, serta sejauh mana langkah-langkah tersebut sesuai dengan prinsip-prinsip hukum nasional dan internasional yang mengatur pengendalian </w:t>
      </w:r>
      <w:proofErr w:type="gramStart"/>
      <w:r w:rsidRPr="009A4DB2">
        <w:rPr>
          <w:rFonts w:ascii="Times New Roman" w:hAnsi="Times New Roman" w:cs="Times New Roman"/>
        </w:rPr>
        <w:t>massa</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Kedua, penelitian ini berfokus pada rperlindungan hukum yang lebih kuat bagi anggota Polri yang terlibat dalam penanganan demonstrasi anarkis.</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Hal ini menjadi penting mengingat tingginya risiko hukum yang dihadapi oleh anggota Polri, baik dalam bentuk gugatan pidana, perdata, maupun pelanggaran hak asasi manusia.</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 xml:space="preserve">Dengan mengintegrasikan perspektif </w:t>
      </w:r>
      <w:r w:rsidRPr="009A4DB2">
        <w:rPr>
          <w:rFonts w:ascii="Times New Roman" w:hAnsi="Times New Roman" w:cs="Times New Roman"/>
        </w:rPr>
        <w:lastRenderedPageBreak/>
        <w:t>normatif dan empiris, penelitian ini diharapkan mampu memberikan rekomendasi strategis bagi pembangunan hukum kepolisian yang tidak hanya mendukung profesionalisme Polri, tetapi juga memastikan perlindungan yang memadai bagi para anggotanya dalam menjalankan tugas-tugas yang sering kali penuh tantangan.</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Hasil dari penelitian ini bertujuan untuk berkontribusi pada penguatan legitimasi institusional Polri dan mendukung terciptanya tata kelola hukum yang lebih adil dan berimbang.</w:t>
      </w:r>
      <w:proofErr w:type="gramEnd"/>
    </w:p>
    <w:p w14:paraId="4DC3EE67" w14:textId="77777777" w:rsidR="00491144" w:rsidRPr="009A4DB2" w:rsidRDefault="00491144" w:rsidP="009A4DB2">
      <w:pPr>
        <w:numPr>
          <w:ilvl w:val="0"/>
          <w:numId w:val="1"/>
        </w:numPr>
        <w:pBdr>
          <w:top w:val="nil"/>
          <w:left w:val="nil"/>
          <w:bottom w:val="nil"/>
          <w:right w:val="nil"/>
          <w:between w:val="nil"/>
        </w:pBdr>
        <w:spacing w:after="0" w:line="360" w:lineRule="auto"/>
        <w:ind w:left="567" w:right="2" w:hanging="567"/>
        <w:jc w:val="both"/>
        <w:rPr>
          <w:rFonts w:ascii="Times New Roman" w:eastAsia="Palatino Linotype" w:hAnsi="Times New Roman" w:cs="Times New Roman"/>
          <w:b/>
          <w:color w:val="000000"/>
        </w:rPr>
      </w:pPr>
      <w:r w:rsidRPr="009A4DB2">
        <w:rPr>
          <w:rFonts w:ascii="Times New Roman" w:eastAsia="Palatino Linotype" w:hAnsi="Times New Roman" w:cs="Times New Roman"/>
          <w:b/>
          <w:color w:val="000000"/>
        </w:rPr>
        <w:t>METODE PENELITIAN</w:t>
      </w:r>
    </w:p>
    <w:p w14:paraId="709DBBA8" w14:textId="77777777" w:rsidR="00491144" w:rsidRPr="009A4DB2" w:rsidRDefault="00491144" w:rsidP="009A4DB2">
      <w:pPr>
        <w:spacing w:after="0" w:line="360" w:lineRule="auto"/>
        <w:ind w:right="2" w:firstLine="567"/>
        <w:jc w:val="both"/>
        <w:rPr>
          <w:rFonts w:ascii="Times New Roman" w:hAnsi="Times New Roman" w:cs="Times New Roman"/>
        </w:rPr>
      </w:pPr>
      <w:proofErr w:type="gramStart"/>
      <w:r w:rsidRPr="009A4DB2">
        <w:rPr>
          <w:rFonts w:ascii="Times New Roman" w:hAnsi="Times New Roman" w:cs="Times New Roman"/>
        </w:rPr>
        <w:t>Penelitian ini menggunakan tipe penelitian hukum normatif dengan pendekatan perundang-undangan (</w:t>
      </w:r>
      <w:r w:rsidRPr="009A4DB2">
        <w:rPr>
          <w:rFonts w:ascii="Times New Roman" w:hAnsi="Times New Roman" w:cs="Times New Roman"/>
          <w:i/>
          <w:iCs/>
        </w:rPr>
        <w:t>statute approach</w:t>
      </w:r>
      <w:r w:rsidRPr="009A4DB2">
        <w:rPr>
          <w:rFonts w:ascii="Times New Roman" w:hAnsi="Times New Roman" w:cs="Times New Roman"/>
        </w:rPr>
        <w:t>), pendekatan konseptual (</w:t>
      </w:r>
      <w:r w:rsidRPr="009A4DB2">
        <w:rPr>
          <w:rFonts w:ascii="Times New Roman" w:hAnsi="Times New Roman" w:cs="Times New Roman"/>
          <w:i/>
          <w:iCs/>
        </w:rPr>
        <w:t>conceptual approach</w:t>
      </w:r>
      <w:r w:rsidRPr="009A4DB2">
        <w:rPr>
          <w:rFonts w:ascii="Times New Roman" w:hAnsi="Times New Roman" w:cs="Times New Roman"/>
        </w:rPr>
        <w:t>), dan pendekatan kasus (</w:t>
      </w:r>
      <w:r w:rsidRPr="009A4DB2">
        <w:rPr>
          <w:rFonts w:ascii="Times New Roman" w:hAnsi="Times New Roman" w:cs="Times New Roman"/>
          <w:i/>
          <w:iCs/>
        </w:rPr>
        <w:t>case approach</w:t>
      </w:r>
      <w:r w:rsidRPr="009A4DB2">
        <w:rPr>
          <w:rFonts w:ascii="Times New Roman" w:hAnsi="Times New Roman" w:cs="Times New Roman"/>
        </w:rPr>
        <w:t>).</w:t>
      </w:r>
      <w:proofErr w:type="gramEnd"/>
      <w:r w:rsidRPr="009A4DB2">
        <w:rPr>
          <w:rStyle w:val="FootnoteReference"/>
          <w:rFonts w:ascii="Times New Roman" w:hAnsi="Times New Roman" w:cs="Times New Roman"/>
        </w:rPr>
        <w:footnoteReference w:id="6"/>
      </w:r>
      <w:r w:rsidRPr="009A4DB2">
        <w:rPr>
          <w:rFonts w:ascii="Times New Roman" w:hAnsi="Times New Roman" w:cs="Times New Roman"/>
        </w:rPr>
        <w:t xml:space="preserve"> Pendekatan perundang-undangan digunakan untuk mengkaji aturan-aturan hukum yang relevan, seperti UUD 1945, UU Nomor 2 Tahun 2002 tentang Kepolisian Negara Republik Indonesia, serta instrumen hukum internasional yang mengatur pengendalian massa dan perlindungan aparat penegak hukum. </w:t>
      </w:r>
      <w:proofErr w:type="gramStart"/>
      <w:r w:rsidRPr="009A4DB2">
        <w:rPr>
          <w:rFonts w:ascii="Times New Roman" w:hAnsi="Times New Roman" w:cs="Times New Roman"/>
        </w:rPr>
        <w:t>Pendekatan konseptual diperlukan untuk memahami teori-teori hukum yang mendasari hubungan antara tugas kepolisian dan perlindungan hukum, termasuk teori hak asasi manusia dan supremasi hukum.</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Pendekatan kasus diterapkan untuk menganalisis putusan-putusan pengadilan yang relevan guna menggali pola perlindungan hukum bagi anggota Polri yang menghadapi risiko hukum dalam penanganan demonstrasi anarkis.</w:t>
      </w:r>
      <w:proofErr w:type="gramEnd"/>
    </w:p>
    <w:p w14:paraId="6E351EDB" w14:textId="77777777" w:rsidR="00491144" w:rsidRPr="009A4DB2" w:rsidRDefault="00491144" w:rsidP="009A4DB2">
      <w:pPr>
        <w:spacing w:after="0" w:line="360" w:lineRule="auto"/>
        <w:ind w:right="2" w:firstLine="567"/>
        <w:jc w:val="both"/>
        <w:rPr>
          <w:rFonts w:ascii="Times New Roman" w:hAnsi="Times New Roman" w:cs="Times New Roman"/>
        </w:rPr>
      </w:pPr>
      <w:proofErr w:type="gramStart"/>
      <w:r w:rsidRPr="009A4DB2">
        <w:rPr>
          <w:rFonts w:ascii="Times New Roman" w:hAnsi="Times New Roman" w:cs="Times New Roman"/>
        </w:rPr>
        <w:t>Pengumpulan data dilakukan melalui studi kepustakaan (</w:t>
      </w:r>
      <w:r w:rsidRPr="009A4DB2">
        <w:rPr>
          <w:rFonts w:ascii="Times New Roman" w:hAnsi="Times New Roman" w:cs="Times New Roman"/>
          <w:i/>
          <w:iCs/>
        </w:rPr>
        <w:t>library research</w:t>
      </w:r>
      <w:r w:rsidRPr="009A4DB2">
        <w:rPr>
          <w:rFonts w:ascii="Times New Roman" w:hAnsi="Times New Roman" w:cs="Times New Roman"/>
        </w:rPr>
        <w:t>), yang mencakup analisis terhadap bahan hukum primer, sekunder, dan tersier.</w:t>
      </w:r>
      <w:proofErr w:type="gramEnd"/>
      <w:r w:rsidRPr="009A4DB2">
        <w:rPr>
          <w:rStyle w:val="FootnoteReference"/>
          <w:rFonts w:ascii="Times New Roman" w:hAnsi="Times New Roman" w:cs="Times New Roman"/>
        </w:rPr>
        <w:footnoteReference w:id="7"/>
      </w:r>
      <w:r w:rsidRPr="009A4DB2">
        <w:rPr>
          <w:rFonts w:ascii="Times New Roman" w:hAnsi="Times New Roman" w:cs="Times New Roman"/>
        </w:rPr>
        <w:t xml:space="preserve"> </w:t>
      </w:r>
      <w:proofErr w:type="gramStart"/>
      <w:r w:rsidRPr="009A4DB2">
        <w:rPr>
          <w:rFonts w:ascii="Times New Roman" w:hAnsi="Times New Roman" w:cs="Times New Roman"/>
        </w:rPr>
        <w:t>Bahan hukum primer meliputi peraturan perundang-undangan dan putusan pengadilan.</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Bahan hukum sekunder berupa buku, jurnal ilmiah, laporan, dan hasil penelitian sebelumnya yang relevan.</w:t>
      </w:r>
      <w:proofErr w:type="gramEnd"/>
      <w:r w:rsidRPr="009A4DB2">
        <w:rPr>
          <w:rFonts w:ascii="Times New Roman" w:hAnsi="Times New Roman" w:cs="Times New Roman"/>
        </w:rPr>
        <w:t xml:space="preserve"> Sedangkan bahan hukum tersier mencakup kamus hukum, ensiklopedia, dan dokumen lain yang memberikan pemahaman tambahan tentang konteks permasalahan.</w:t>
      </w:r>
      <w:r w:rsidRPr="009A4DB2">
        <w:rPr>
          <w:rStyle w:val="FootnoteReference"/>
          <w:rFonts w:ascii="Times New Roman" w:hAnsi="Times New Roman" w:cs="Times New Roman"/>
        </w:rPr>
        <w:footnoteReference w:id="8"/>
      </w:r>
      <w:r w:rsidRPr="009A4DB2">
        <w:rPr>
          <w:rFonts w:ascii="Times New Roman" w:hAnsi="Times New Roman" w:cs="Times New Roman"/>
        </w:rPr>
        <w:t xml:space="preserve"> </w:t>
      </w:r>
      <w:proofErr w:type="gramStart"/>
      <w:r w:rsidRPr="009A4DB2">
        <w:rPr>
          <w:rFonts w:ascii="Times New Roman" w:hAnsi="Times New Roman" w:cs="Times New Roman"/>
        </w:rPr>
        <w:t>Selain itu, data empiris sekunder, seperti statistik demonstrasi anarkis dan data pelaporan kasus terhadap anggota Polri, juga digunakan untuk memperkuat analisis.</w:t>
      </w:r>
      <w:proofErr w:type="gramEnd"/>
    </w:p>
    <w:p w14:paraId="06ED9719" w14:textId="77777777" w:rsidR="00491144" w:rsidRPr="009A4DB2" w:rsidRDefault="00491144" w:rsidP="009A4DB2">
      <w:pPr>
        <w:spacing w:after="0" w:line="360" w:lineRule="auto"/>
        <w:ind w:right="2" w:firstLine="567"/>
        <w:jc w:val="both"/>
        <w:rPr>
          <w:rFonts w:ascii="Times New Roman" w:hAnsi="Times New Roman" w:cs="Times New Roman"/>
        </w:rPr>
      </w:pPr>
      <w:proofErr w:type="gramStart"/>
      <w:r w:rsidRPr="009A4DB2">
        <w:rPr>
          <w:rFonts w:ascii="Times New Roman" w:hAnsi="Times New Roman" w:cs="Times New Roman"/>
        </w:rPr>
        <w:t>Data yang diperoleh dianalisis secara kualitatif dengan menggunakan metode preskriptif dan evaluatif.</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Metode preskriptif bertujuan untuk merumuskan rekomendasi solusi hukum yang konkret berdasarkan hasil analisis terhadap aturan dan teori hukum yang ada.</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 xml:space="preserve">Sementara itu, metode evaluatif digunakan untuk menilai efektivitas kerangka </w:t>
      </w:r>
      <w:r w:rsidRPr="009A4DB2">
        <w:rPr>
          <w:rFonts w:ascii="Times New Roman" w:hAnsi="Times New Roman" w:cs="Times New Roman"/>
        </w:rPr>
        <w:lastRenderedPageBreak/>
        <w:t>hukum yang berlaku dan mengidentifikasi kelemahan yang memerlukan rekonstruksi.</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Dengan kombinasi ini, penelitian dapat memberikan kontribusi yang terukur terhadap pengembangan hukum kepolisian yang lebih responsif dan melindungi hak-hak anggota Polri dalam melaksanakan tugasnya.</w:t>
      </w:r>
      <w:proofErr w:type="gramEnd"/>
    </w:p>
    <w:p w14:paraId="63CA3DF9" w14:textId="77777777" w:rsidR="00491144" w:rsidRPr="009A4DB2" w:rsidRDefault="00491144" w:rsidP="009A4DB2">
      <w:pPr>
        <w:pBdr>
          <w:top w:val="nil"/>
          <w:left w:val="nil"/>
          <w:bottom w:val="nil"/>
          <w:right w:val="nil"/>
          <w:between w:val="nil"/>
        </w:pBdr>
        <w:spacing w:after="0" w:line="360" w:lineRule="auto"/>
        <w:ind w:right="2" w:firstLine="567"/>
        <w:jc w:val="both"/>
        <w:rPr>
          <w:rFonts w:ascii="Times New Roman" w:eastAsia="Palatino Linotype" w:hAnsi="Times New Roman" w:cs="Times New Roman"/>
          <w:color w:val="000000"/>
        </w:rPr>
      </w:pPr>
    </w:p>
    <w:p w14:paraId="60B85385" w14:textId="77777777" w:rsidR="00491144" w:rsidRPr="009A4DB2" w:rsidRDefault="00491144" w:rsidP="00BC7B4B">
      <w:pPr>
        <w:numPr>
          <w:ilvl w:val="0"/>
          <w:numId w:val="1"/>
        </w:numPr>
        <w:pBdr>
          <w:top w:val="nil"/>
          <w:left w:val="nil"/>
          <w:bottom w:val="nil"/>
          <w:right w:val="nil"/>
          <w:between w:val="nil"/>
        </w:pBdr>
        <w:spacing w:after="0" w:line="360" w:lineRule="auto"/>
        <w:ind w:left="567" w:right="2" w:hanging="567"/>
        <w:jc w:val="both"/>
        <w:rPr>
          <w:rFonts w:ascii="Times New Roman" w:eastAsia="Palatino Linotype" w:hAnsi="Times New Roman" w:cs="Times New Roman"/>
          <w:b/>
          <w:color w:val="000000"/>
        </w:rPr>
      </w:pPr>
      <w:r w:rsidRPr="009A4DB2">
        <w:rPr>
          <w:rFonts w:ascii="Times New Roman" w:eastAsia="Palatino Linotype" w:hAnsi="Times New Roman" w:cs="Times New Roman"/>
          <w:b/>
          <w:color w:val="000000"/>
        </w:rPr>
        <w:t>HASIL PENELITIAN DAN ANALISIS</w:t>
      </w:r>
    </w:p>
    <w:p w14:paraId="1A68FBE5" w14:textId="77777777" w:rsidR="00491144" w:rsidRPr="009A4DB2" w:rsidRDefault="00491144" w:rsidP="00BC7B4B">
      <w:pPr>
        <w:numPr>
          <w:ilvl w:val="0"/>
          <w:numId w:val="2"/>
        </w:numPr>
        <w:pBdr>
          <w:top w:val="nil"/>
          <w:left w:val="nil"/>
          <w:bottom w:val="nil"/>
          <w:right w:val="nil"/>
          <w:between w:val="nil"/>
        </w:pBdr>
        <w:spacing w:after="0" w:line="360" w:lineRule="auto"/>
        <w:ind w:left="567" w:right="2" w:hanging="567"/>
        <w:jc w:val="both"/>
        <w:rPr>
          <w:rFonts w:ascii="Times New Roman" w:eastAsia="Palatino Linotype" w:hAnsi="Times New Roman" w:cs="Times New Roman"/>
          <w:b/>
          <w:color w:val="000000"/>
          <w:lang w:val="pt-BR"/>
        </w:rPr>
      </w:pPr>
      <w:r w:rsidRPr="009A4DB2">
        <w:rPr>
          <w:rFonts w:ascii="Times New Roman" w:eastAsia="Palatino Linotype" w:hAnsi="Times New Roman" w:cs="Times New Roman"/>
          <w:b/>
          <w:color w:val="000000"/>
          <w:lang w:val="pt-BR"/>
        </w:rPr>
        <w:t>Penanganan Demonstrasi Anarkis oleh Polri dalam Kerangka Hukum yang Berlaku di Indonesia</w:t>
      </w:r>
    </w:p>
    <w:p w14:paraId="48944D38" w14:textId="77777777" w:rsidR="00491144" w:rsidRPr="009A4DB2" w:rsidRDefault="00491144" w:rsidP="009A4DB2">
      <w:pPr>
        <w:spacing w:after="0" w:line="360" w:lineRule="auto"/>
        <w:ind w:right="2" w:firstLine="567"/>
        <w:jc w:val="both"/>
        <w:rPr>
          <w:rFonts w:ascii="Times New Roman" w:hAnsi="Times New Roman" w:cs="Times New Roman"/>
          <w:lang w:val="pt-BR"/>
        </w:rPr>
      </w:pPr>
      <w:r w:rsidRPr="009A4DB2">
        <w:rPr>
          <w:rFonts w:ascii="Times New Roman" w:hAnsi="Times New Roman" w:cs="Times New Roman"/>
          <w:lang w:val="pt-BR"/>
        </w:rPr>
        <w:t xml:space="preserve">Kepolisian Republik Indonesia (Polri) memegang tanggung jawab penting dalam menjaga keamanan dan ketertiban umum, termasuk dalam menangani demonstrasi anarkis yang kerap terjadi di Indonesia. Dalam lima tahun terakhir, tren demonstrasi anarkis menunjukkan peningkatan signifikan. Berdasarkan data Badan Reserse Kriminal (Bareskrim) Polri, terdapat lebih dari </w:t>
      </w:r>
      <w:r w:rsidRPr="009A4DB2">
        <w:rPr>
          <w:rFonts w:ascii="Times New Roman" w:hAnsi="Times New Roman" w:cs="Times New Roman"/>
          <w:bCs/>
          <w:lang w:val="pt-BR"/>
        </w:rPr>
        <w:t>2.800 aksi demonstrasi</w:t>
      </w:r>
      <w:r w:rsidRPr="009A4DB2">
        <w:rPr>
          <w:rFonts w:ascii="Times New Roman" w:hAnsi="Times New Roman" w:cs="Times New Roman"/>
          <w:lang w:val="pt-BR"/>
        </w:rPr>
        <w:t xml:space="preserve"> yang terjadi pada tahun 2020, di mana sekitar </w:t>
      </w:r>
      <w:r w:rsidRPr="009A4DB2">
        <w:rPr>
          <w:rFonts w:ascii="Times New Roman" w:hAnsi="Times New Roman" w:cs="Times New Roman"/>
          <w:bCs/>
          <w:lang w:val="pt-BR"/>
        </w:rPr>
        <w:t>12%</w:t>
      </w:r>
      <w:r w:rsidRPr="009A4DB2">
        <w:rPr>
          <w:rFonts w:ascii="Times New Roman" w:hAnsi="Times New Roman" w:cs="Times New Roman"/>
          <w:lang w:val="pt-BR"/>
        </w:rPr>
        <w:t xml:space="preserve"> di antaranya, atau sekitar </w:t>
      </w:r>
      <w:r w:rsidRPr="009A4DB2">
        <w:rPr>
          <w:rFonts w:ascii="Times New Roman" w:hAnsi="Times New Roman" w:cs="Times New Roman"/>
          <w:bCs/>
          <w:lang w:val="pt-BR"/>
        </w:rPr>
        <w:t>336 aksi</w:t>
      </w:r>
      <w:r w:rsidRPr="009A4DB2">
        <w:rPr>
          <w:rFonts w:ascii="Times New Roman" w:hAnsi="Times New Roman" w:cs="Times New Roman"/>
          <w:lang w:val="pt-BR"/>
        </w:rPr>
        <w:t>, berujung pada kekerasan atau tindakan anarkis. Sebagian besar demonstrasi ini terkait isu-isu sensitif, seperti penolakan terhadap Undang-Undang Cipta Kerja (</w:t>
      </w:r>
      <w:r w:rsidRPr="009A4DB2">
        <w:rPr>
          <w:rFonts w:ascii="Times New Roman" w:hAnsi="Times New Roman" w:cs="Times New Roman"/>
          <w:i/>
          <w:lang w:val="pt-BR"/>
        </w:rPr>
        <w:t>Omnibus Law</w:t>
      </w:r>
      <w:r w:rsidRPr="009A4DB2">
        <w:rPr>
          <w:rFonts w:ascii="Times New Roman" w:hAnsi="Times New Roman" w:cs="Times New Roman"/>
          <w:lang w:val="pt-BR"/>
        </w:rPr>
        <w:t>), konflik agraria, atau kebijakan pemerintah yang kontroversial.</w:t>
      </w:r>
      <w:r w:rsidRPr="009A4DB2">
        <w:rPr>
          <w:rStyle w:val="FootnoteReference"/>
          <w:rFonts w:ascii="Times New Roman" w:hAnsi="Times New Roman" w:cs="Times New Roman"/>
        </w:rPr>
        <w:footnoteReference w:id="9"/>
      </w:r>
      <w:r w:rsidRPr="009A4DB2">
        <w:rPr>
          <w:rFonts w:ascii="Times New Roman" w:hAnsi="Times New Roman" w:cs="Times New Roman"/>
          <w:lang w:val="pt-BR"/>
        </w:rPr>
        <w:t xml:space="preserve"> Dampak anarkisme meliputi kerusakan fasilitas umum, gangguan keamanan, dan eskalasi konflik yang melibatkan aparat kepolisian dan peserta aksi.</w:t>
      </w:r>
    </w:p>
    <w:p w14:paraId="7C632CB0" w14:textId="77777777" w:rsidR="00491144" w:rsidRPr="009A4DB2" w:rsidRDefault="00491144" w:rsidP="009A4DB2">
      <w:pPr>
        <w:spacing w:after="0" w:line="360" w:lineRule="auto"/>
        <w:ind w:right="2" w:firstLine="567"/>
        <w:jc w:val="both"/>
        <w:rPr>
          <w:rFonts w:ascii="Times New Roman" w:hAnsi="Times New Roman" w:cs="Times New Roman"/>
        </w:rPr>
      </w:pPr>
      <w:r w:rsidRPr="009A4DB2">
        <w:rPr>
          <w:rFonts w:ascii="Times New Roman" w:hAnsi="Times New Roman" w:cs="Times New Roman"/>
          <w:lang w:val="pt-BR"/>
        </w:rPr>
        <w:t xml:space="preserve">Data juga menunjukkan bahwa penanganan terhadap demonstrasi anarkis tidak jarang menjadi pemicu pelaporan hukum terhadap anggota Polri. Sepanjang tahun 2020 hingga 2023, tercatat </w:t>
      </w:r>
      <w:r w:rsidRPr="009A4DB2">
        <w:rPr>
          <w:rFonts w:ascii="Times New Roman" w:hAnsi="Times New Roman" w:cs="Times New Roman"/>
          <w:bCs/>
          <w:lang w:val="pt-BR"/>
        </w:rPr>
        <w:t>120 laporan dugaan pelanggaran</w:t>
      </w:r>
      <w:r w:rsidRPr="009A4DB2">
        <w:rPr>
          <w:rFonts w:ascii="Times New Roman" w:hAnsi="Times New Roman" w:cs="Times New Roman"/>
          <w:lang w:val="pt-BR"/>
        </w:rPr>
        <w:t xml:space="preserve"> yang melibatkan tindakan anggota Polri dalam pengendalian massa, baik yang dilakukan oleh individu demonstran, organisasi masyarakat sipil, maupun pengawasan internal melalui Divisi Propam Polri.</w:t>
      </w:r>
      <w:r w:rsidRPr="009A4DB2">
        <w:rPr>
          <w:rStyle w:val="FootnoteReference"/>
          <w:rFonts w:ascii="Times New Roman" w:hAnsi="Times New Roman" w:cs="Times New Roman"/>
        </w:rPr>
        <w:footnoteReference w:id="10"/>
      </w:r>
      <w:r w:rsidRPr="009A4DB2">
        <w:rPr>
          <w:rFonts w:ascii="Times New Roman" w:hAnsi="Times New Roman" w:cs="Times New Roman"/>
          <w:lang w:val="pt-BR"/>
        </w:rPr>
        <w:t xml:space="preserve"> </w:t>
      </w:r>
      <w:proofErr w:type="gramStart"/>
      <w:r w:rsidRPr="009A4DB2">
        <w:rPr>
          <w:rFonts w:ascii="Times New Roman" w:hAnsi="Times New Roman" w:cs="Times New Roman"/>
        </w:rPr>
        <w:t>Kasus-kasus ini mencakup dugaan penggunaan kekuatan yang berlebihan (</w:t>
      </w:r>
      <w:r w:rsidRPr="009A4DB2">
        <w:rPr>
          <w:rFonts w:ascii="Times New Roman" w:hAnsi="Times New Roman" w:cs="Times New Roman"/>
          <w:i/>
          <w:iCs/>
        </w:rPr>
        <w:t>excessive use of force</w:t>
      </w:r>
      <w:r w:rsidRPr="009A4DB2">
        <w:rPr>
          <w:rFonts w:ascii="Times New Roman" w:hAnsi="Times New Roman" w:cs="Times New Roman"/>
        </w:rPr>
        <w:t>), pelanggaran prosedur operasional, hingga tuduhan pelanggaran hak asasi manusia.</w:t>
      </w:r>
      <w:proofErr w:type="gramEnd"/>
    </w:p>
    <w:p w14:paraId="03B669DB" w14:textId="77777777" w:rsidR="00491144" w:rsidRPr="009A4DB2" w:rsidRDefault="00491144" w:rsidP="009A4DB2">
      <w:pPr>
        <w:spacing w:after="0" w:line="360" w:lineRule="auto"/>
        <w:ind w:right="2" w:firstLine="567"/>
        <w:jc w:val="both"/>
        <w:rPr>
          <w:rFonts w:ascii="Times New Roman" w:hAnsi="Times New Roman" w:cs="Times New Roman"/>
          <w:lang w:val="pt-BR"/>
        </w:rPr>
      </w:pPr>
      <w:r w:rsidRPr="009A4DB2">
        <w:rPr>
          <w:rFonts w:ascii="Times New Roman" w:hAnsi="Times New Roman" w:cs="Times New Roman"/>
        </w:rPr>
        <w:t xml:space="preserve">Dalam menangani demonstrasi anarkis, Polri berpedoman pada UU Nomor 2 Tahun 2002 tentang Kepolisian Negara Republik Indonesia, Perkap Nomor 16 Tahun 2006 tentang Pedoman Pengendalian Massa, dan UU Nomor 9 Tahun 1998 tentang Kemerdekaan Menyampaikan Pendapat di Muka Umum. Pedoman ini mengatur bahwa tindakan pengendalian </w:t>
      </w:r>
      <w:proofErr w:type="gramStart"/>
      <w:r w:rsidRPr="009A4DB2">
        <w:rPr>
          <w:rFonts w:ascii="Times New Roman" w:hAnsi="Times New Roman" w:cs="Times New Roman"/>
        </w:rPr>
        <w:t>massa</w:t>
      </w:r>
      <w:proofErr w:type="gramEnd"/>
      <w:r w:rsidRPr="009A4DB2">
        <w:rPr>
          <w:rFonts w:ascii="Times New Roman" w:hAnsi="Times New Roman" w:cs="Times New Roman"/>
        </w:rPr>
        <w:t xml:space="preserve"> harus dilakukan secara bertahap, mulai dari pendekatan </w:t>
      </w:r>
      <w:r w:rsidRPr="009A4DB2">
        <w:rPr>
          <w:rFonts w:ascii="Times New Roman" w:hAnsi="Times New Roman" w:cs="Times New Roman"/>
        </w:rPr>
        <w:lastRenderedPageBreak/>
        <w:t xml:space="preserve">persuasif, penggunaan alat pengendali massa non-mematikan, hingga tindakan represif sebagai upaya terakhir. </w:t>
      </w:r>
      <w:r w:rsidRPr="009A4DB2">
        <w:rPr>
          <w:rFonts w:ascii="Times New Roman" w:hAnsi="Times New Roman" w:cs="Times New Roman"/>
          <w:lang w:val="pt-BR"/>
        </w:rPr>
        <w:t>Prinsip proporsionalitas dan akuntabilitas menjadi kunci dalam setiap tahapan ini. Namun, dalam situasi lapangan yang dinamis, anggota Polri kerap dihadapkan pada keputusan yang memerlukan diskresi tinggi, terutama ketika situasi berkembang secara tiba-tiba menjadi anarkis.</w:t>
      </w:r>
    </w:p>
    <w:p w14:paraId="0807AB3D" w14:textId="77777777" w:rsidR="00491144" w:rsidRPr="009A4DB2" w:rsidRDefault="00491144" w:rsidP="009A4DB2">
      <w:pPr>
        <w:spacing w:after="0" w:line="360" w:lineRule="auto"/>
        <w:ind w:right="2" w:firstLine="567"/>
        <w:jc w:val="both"/>
        <w:rPr>
          <w:rFonts w:ascii="Times New Roman" w:hAnsi="Times New Roman" w:cs="Times New Roman"/>
          <w:lang w:val="pt-BR"/>
        </w:rPr>
      </w:pPr>
      <w:r w:rsidRPr="009A4DB2">
        <w:rPr>
          <w:rFonts w:ascii="Times New Roman" w:hAnsi="Times New Roman" w:cs="Times New Roman"/>
          <w:lang w:val="pt-BR"/>
        </w:rPr>
        <w:t xml:space="preserve">Kasus demonstrasi besar seperti aksi protes mahasiswa tahun 2019 dan penolakan Omnibus Law tahun 2020 mengilustrasikan tantangan ini. Dalam dua peristiwa tersebut, tindakan represif yang diambil Polri untuk mengendalikan massa mengakibatkan lebih dari </w:t>
      </w:r>
      <w:r w:rsidRPr="009A4DB2">
        <w:rPr>
          <w:rFonts w:ascii="Times New Roman" w:hAnsi="Times New Roman" w:cs="Times New Roman"/>
          <w:bCs/>
          <w:lang w:val="pt-BR"/>
        </w:rPr>
        <w:t>400 laporan cedera pada peserta aksi</w:t>
      </w:r>
      <w:r w:rsidRPr="009A4DB2">
        <w:rPr>
          <w:rFonts w:ascii="Times New Roman" w:hAnsi="Times New Roman" w:cs="Times New Roman"/>
          <w:lang w:val="pt-BR"/>
        </w:rPr>
        <w:t xml:space="preserve"> dan </w:t>
      </w:r>
      <w:r w:rsidRPr="009A4DB2">
        <w:rPr>
          <w:rFonts w:ascii="Times New Roman" w:hAnsi="Times New Roman" w:cs="Times New Roman"/>
          <w:bCs/>
          <w:lang w:val="pt-BR"/>
        </w:rPr>
        <w:t>30 gugatan hukum terhadap anggota kepolisian</w:t>
      </w:r>
      <w:r w:rsidRPr="009A4DB2">
        <w:rPr>
          <w:rFonts w:ascii="Times New Roman" w:hAnsi="Times New Roman" w:cs="Times New Roman"/>
          <w:lang w:val="pt-BR"/>
        </w:rPr>
        <w:t>.</w:t>
      </w:r>
      <w:r w:rsidRPr="009A4DB2">
        <w:rPr>
          <w:rStyle w:val="FootnoteReference"/>
          <w:rFonts w:ascii="Times New Roman" w:hAnsi="Times New Roman" w:cs="Times New Roman"/>
        </w:rPr>
        <w:footnoteReference w:id="11"/>
      </w:r>
      <w:r w:rsidRPr="009A4DB2">
        <w:rPr>
          <w:rFonts w:ascii="Times New Roman" w:hAnsi="Times New Roman" w:cs="Times New Roman"/>
          <w:lang w:val="pt-BR"/>
        </w:rPr>
        <w:t xml:space="preserve"> Sebagian besar kasus gugatan berfokus pada penggunaan kekerasan yang dianggap melampaui batas kewajaran, meskipun tindakan tersebut dilakukan untuk menjaga ketertiban umum.</w:t>
      </w:r>
    </w:p>
    <w:p w14:paraId="2940EAE0" w14:textId="77777777" w:rsidR="00491144" w:rsidRPr="009A4DB2" w:rsidRDefault="00491144" w:rsidP="009A4DB2">
      <w:pPr>
        <w:spacing w:after="0" w:line="360" w:lineRule="auto"/>
        <w:ind w:right="2" w:firstLine="567"/>
        <w:jc w:val="both"/>
        <w:rPr>
          <w:rFonts w:ascii="Times New Roman" w:hAnsi="Times New Roman" w:cs="Times New Roman"/>
          <w:b/>
          <w:bCs/>
          <w:lang w:val="pt-BR"/>
        </w:rPr>
      </w:pPr>
      <w:r w:rsidRPr="009A4DB2">
        <w:rPr>
          <w:rFonts w:ascii="Times New Roman" w:hAnsi="Times New Roman" w:cs="Times New Roman"/>
          <w:lang w:val="pt-BR"/>
        </w:rPr>
        <w:t>Meskipun kerangka hukum yang ada menyediakan pedoman umum, hasil penelitian menunjukan bahwa kelemahan fundamental tetap terlihat. Pertama, tidak adanya aturan spesifik yang memberikan perlindungan hukum bagi anggota Polri yang bertindak berdasarkan diskresi dalam situasi darurat. Kedua, mekanisme pengawasan terhadap tindakan Polri di lapangan sering kali tidak mempertimbangkan kompleksitas operasional yang dihadapi. Ketiga, prosedur hukum yang panjang dan berbelit-belit sering kali menempatkan anggota Polri dalam posisi rentan, baik secara hukum maupun psikologis.</w:t>
      </w:r>
    </w:p>
    <w:p w14:paraId="3A7F5131" w14:textId="77777777" w:rsidR="00491144" w:rsidRPr="009A4DB2" w:rsidRDefault="00491144" w:rsidP="00476B72">
      <w:pPr>
        <w:spacing w:line="360" w:lineRule="auto"/>
        <w:ind w:right="2" w:firstLine="567"/>
        <w:jc w:val="both"/>
        <w:rPr>
          <w:rFonts w:ascii="Times New Roman" w:hAnsi="Times New Roman" w:cs="Times New Roman"/>
          <w:lang w:val="pt-BR"/>
        </w:rPr>
      </w:pPr>
      <w:r w:rsidRPr="009A4DB2">
        <w:rPr>
          <w:rFonts w:ascii="Times New Roman" w:hAnsi="Times New Roman" w:cs="Times New Roman"/>
          <w:lang w:val="pt-BR"/>
        </w:rPr>
        <w:t>Untuk mengatasi tantangan ini, diperlukan rekonstruksi hukum yang lebih responsif. Pertama, peraturan khusus yang memberikan perlindungan hukum kepada anggota Polri yang bertindak dalam batas kewajaran saat menangani demonstrasi anarkis perlu disusun, dengan merujuk pada standar internasional seperti Prinsip Dasar PBB tentang Penggunaan Kekuatan dan Senjata Api oleh Aparat Penegak Hukum. Kedua, mekanisme pengawasan yang lebih adil harus dikembangkan, termasuk pengadilan etik yang mempertimbangkan konteks operasional di lapangan. Ketiga, pelatihan intensif yang menggabungkan manajemen pengendalian massa dengan pendekatan hak asasi manusia perlu diperkuat.</w:t>
      </w:r>
      <w:r w:rsidRPr="009A4DB2">
        <w:rPr>
          <w:rStyle w:val="FootnoteReference"/>
          <w:rFonts w:ascii="Times New Roman" w:hAnsi="Times New Roman" w:cs="Times New Roman"/>
        </w:rPr>
        <w:footnoteReference w:id="12"/>
      </w:r>
      <w:r w:rsidRPr="009A4DB2">
        <w:rPr>
          <w:rFonts w:ascii="Times New Roman" w:hAnsi="Times New Roman" w:cs="Times New Roman"/>
          <w:lang w:val="pt-BR"/>
        </w:rPr>
        <w:t xml:space="preserve"> Dengan langkah-langkah ini, Polri dapat lebih efektif dalam menjalankan tugasnya, sementara anggota yang terlibat tetap terlindungi secara hukum. Selain itu, legitimasi institusi Polri dapat ditingkatkan, menciptakan hubungan yang lebih harmonis antara masyarakat, peserta demonstrasi, dan aparat penegak hukum di </w:t>
      </w:r>
      <w:r w:rsidRPr="009A4DB2">
        <w:rPr>
          <w:rFonts w:ascii="Times New Roman" w:hAnsi="Times New Roman" w:cs="Times New Roman"/>
          <w:lang w:val="pt-BR"/>
        </w:rPr>
        <w:lastRenderedPageBreak/>
        <w:t>Indonesia. Statistik dan data pelaporan ini menggarisbawahi urgensi reformasi hukum untuk mendukung profesionalisme dan perlindungan bagi anggota Polri dalam menjalankan tugas negara.</w:t>
      </w:r>
    </w:p>
    <w:p w14:paraId="4BAD34F3" w14:textId="77777777" w:rsidR="00491144" w:rsidRPr="009A4DB2" w:rsidRDefault="00491144" w:rsidP="00476B72">
      <w:pPr>
        <w:numPr>
          <w:ilvl w:val="0"/>
          <w:numId w:val="2"/>
        </w:numPr>
        <w:pBdr>
          <w:top w:val="nil"/>
          <w:left w:val="nil"/>
          <w:bottom w:val="nil"/>
          <w:right w:val="nil"/>
          <w:between w:val="nil"/>
        </w:pBdr>
        <w:spacing w:after="0" w:line="360" w:lineRule="auto"/>
        <w:ind w:left="567" w:right="2" w:hanging="567"/>
        <w:jc w:val="both"/>
        <w:rPr>
          <w:rFonts w:ascii="Times New Roman" w:eastAsia="Palatino Linotype" w:hAnsi="Times New Roman" w:cs="Times New Roman"/>
          <w:b/>
          <w:color w:val="000000"/>
          <w:lang w:val="pt-BR"/>
        </w:rPr>
      </w:pPr>
      <w:r w:rsidRPr="009A4DB2">
        <w:rPr>
          <w:rFonts w:ascii="Times New Roman" w:eastAsia="Palatino Linotype" w:hAnsi="Times New Roman" w:cs="Times New Roman"/>
          <w:b/>
          <w:color w:val="000000"/>
          <w:lang w:val="pt-BR"/>
        </w:rPr>
        <w:t>Rekonstruksi Perlindungan Hukum bagi Anggota Polri atas Penanganan Demonstrasi Anarkis dalam Kerangka Pembangunan Hukum Kepolisian di Indonesia</w:t>
      </w:r>
    </w:p>
    <w:p w14:paraId="4ED529D7" w14:textId="77777777" w:rsidR="00491144" w:rsidRPr="009A4DB2" w:rsidRDefault="00491144" w:rsidP="009A4DB2">
      <w:pPr>
        <w:spacing w:after="0" w:line="360" w:lineRule="auto"/>
        <w:ind w:right="2" w:firstLine="567"/>
        <w:jc w:val="both"/>
        <w:rPr>
          <w:rFonts w:ascii="Times New Roman" w:hAnsi="Times New Roman" w:cs="Times New Roman"/>
          <w:lang w:val="pt-BR"/>
        </w:rPr>
      </w:pPr>
      <w:r w:rsidRPr="009A4DB2">
        <w:rPr>
          <w:rFonts w:ascii="Times New Roman" w:hAnsi="Times New Roman" w:cs="Times New Roman"/>
          <w:lang w:val="pt-BR"/>
        </w:rPr>
        <w:t>Perlindungan hukum bagi anggota Kepolisian Republik Indonesia (Polri) yang terlibat dalam penanganan demonstrasi anarkis menjadi isu krusial dalam pembangunan hukum kepolisian di Indonesia. Dalam menjalankan tugas, anggota Polri tidak hanya berhadapan dengan ancaman fisik, tetapi juga potensi gugatan hukum pasca tindakan represif yang dilakukan untuk mengendalikan situasi. Kerangka hukum yang ada saat ini belum sepenuhnya memberikan perlindungan yang memadai, sehingga menimbulkan ketidakpastian hukum yang berdampak pada moralitas, keberanian bertindak, dan profesionalisme anggota Polri.</w:t>
      </w:r>
    </w:p>
    <w:p w14:paraId="62B2F598" w14:textId="77777777" w:rsidR="00491144" w:rsidRPr="009A4DB2" w:rsidRDefault="00491144" w:rsidP="009A4DB2">
      <w:pPr>
        <w:spacing w:after="0" w:line="360" w:lineRule="auto"/>
        <w:ind w:right="2" w:firstLine="567"/>
        <w:jc w:val="both"/>
        <w:rPr>
          <w:rFonts w:ascii="Times New Roman" w:hAnsi="Times New Roman" w:cs="Times New Roman"/>
        </w:rPr>
      </w:pPr>
      <w:r w:rsidRPr="009A4DB2">
        <w:rPr>
          <w:rFonts w:ascii="Times New Roman" w:hAnsi="Times New Roman" w:cs="Times New Roman"/>
          <w:lang w:val="pt-BR"/>
        </w:rPr>
        <w:t xml:space="preserve">Saat ini, perlindungan hukum bagi anggota Polri diatur secara implisit dalam beberapa peraturan, seperti UU Nomor 2 Tahun 2002 tentang Kepolisian Negara Republik Indonesia, yang menyatakan bahwa anggota Polri berwenang menggunakan diskresi dalam situasi tertentu untuk menjaga ketertiban umum. </w:t>
      </w:r>
      <w:r w:rsidRPr="009A4DB2">
        <w:rPr>
          <w:rFonts w:ascii="Times New Roman" w:hAnsi="Times New Roman" w:cs="Times New Roman"/>
        </w:rPr>
        <w:t xml:space="preserve">Selain itu, Peraturan Kapolri Nomor 1 Tahun 2009 tentang Penggunaan Kekuatan dalam Tindakan Kepolisian memberikan pedoman operasional terkait penggunaan kekuatan secara bertahap dan proporsional. </w:t>
      </w:r>
      <w:proofErr w:type="gramStart"/>
      <w:r w:rsidRPr="009A4DB2">
        <w:rPr>
          <w:rFonts w:ascii="Times New Roman" w:hAnsi="Times New Roman" w:cs="Times New Roman"/>
        </w:rPr>
        <w:t>Namun, kedua peraturan ini lebih berorientasi pada prosedur dan belum mengatur secara eksplisit perlindungan hukum bagi anggota Polri yang menghadapi gugatan hukum akibat diskresi mereka dalam situasi darurat.</w:t>
      </w:r>
      <w:proofErr w:type="gramEnd"/>
    </w:p>
    <w:p w14:paraId="0684B5EB" w14:textId="77777777" w:rsidR="00491144" w:rsidRPr="009A4DB2" w:rsidRDefault="00491144" w:rsidP="009A4DB2">
      <w:pPr>
        <w:spacing w:after="0" w:line="360" w:lineRule="auto"/>
        <w:ind w:right="2" w:firstLine="567"/>
        <w:jc w:val="both"/>
        <w:rPr>
          <w:rFonts w:ascii="Times New Roman" w:hAnsi="Times New Roman" w:cs="Times New Roman"/>
        </w:rPr>
      </w:pPr>
      <w:r w:rsidRPr="009A4DB2">
        <w:rPr>
          <w:rFonts w:ascii="Times New Roman" w:hAnsi="Times New Roman" w:cs="Times New Roman"/>
        </w:rPr>
        <w:t xml:space="preserve">Menurut Suparman Marzuki, keberhasilan penegakan hukum oleh kepolisian sangat tergantung pada dukungan sistem hukum yang adil, termasuk perlindungan bagi aparat dalam menjalankan tugas mereka. </w:t>
      </w:r>
      <w:proofErr w:type="gramStart"/>
      <w:r w:rsidRPr="009A4DB2">
        <w:rPr>
          <w:rFonts w:ascii="Times New Roman" w:hAnsi="Times New Roman" w:cs="Times New Roman"/>
        </w:rPr>
        <w:t>Marzuki menegaskan bahwa kegagalan melindungi aparat hukum dari risiko kriminalisasi yang tidak proporsional dapat melemahkan kepercayaan diri dan kredibilitas institusi kepolisian.</w:t>
      </w:r>
      <w:proofErr w:type="gramEnd"/>
      <w:r w:rsidRPr="009A4DB2">
        <w:rPr>
          <w:rStyle w:val="FootnoteReference"/>
          <w:rFonts w:ascii="Times New Roman" w:hAnsi="Times New Roman" w:cs="Times New Roman"/>
        </w:rPr>
        <w:footnoteReference w:id="13"/>
      </w:r>
      <w:r w:rsidRPr="009A4DB2">
        <w:rPr>
          <w:rFonts w:ascii="Times New Roman" w:hAnsi="Times New Roman" w:cs="Times New Roman"/>
        </w:rPr>
        <w:t xml:space="preserve"> </w:t>
      </w:r>
      <w:proofErr w:type="gramStart"/>
      <w:r w:rsidRPr="009A4DB2">
        <w:rPr>
          <w:rFonts w:ascii="Times New Roman" w:hAnsi="Times New Roman" w:cs="Times New Roman"/>
        </w:rPr>
        <w:t xml:space="preserve">Sementara itu, Damos Dumoli Agusman (2021) menggarisbawahi bahwa prinsip proporsionalitas dalam penggunaan kekuatan perlu disertai dengan mekanisme perlindungan hukum yang </w:t>
      </w:r>
      <w:r w:rsidRPr="009A4DB2">
        <w:rPr>
          <w:rFonts w:ascii="Times New Roman" w:hAnsi="Times New Roman" w:cs="Times New Roman"/>
        </w:rPr>
        <w:lastRenderedPageBreak/>
        <w:t>menjamin bahwa anggota Polri tidak dipidanakan secara tidak adil akibat tindakan operasional yang dilakukan dalam koridor hukum.</w:t>
      </w:r>
      <w:proofErr w:type="gramEnd"/>
      <w:r w:rsidRPr="009A4DB2">
        <w:rPr>
          <w:rStyle w:val="FootnoteReference"/>
          <w:rFonts w:ascii="Times New Roman" w:hAnsi="Times New Roman" w:cs="Times New Roman"/>
        </w:rPr>
        <w:footnoteReference w:id="14"/>
      </w:r>
    </w:p>
    <w:p w14:paraId="2C43A8DA" w14:textId="77777777" w:rsidR="00491144" w:rsidRPr="009A4DB2" w:rsidRDefault="00491144" w:rsidP="009A4DB2">
      <w:pPr>
        <w:spacing w:after="0" w:line="360" w:lineRule="auto"/>
        <w:ind w:right="2" w:firstLine="567"/>
        <w:jc w:val="both"/>
        <w:rPr>
          <w:rFonts w:ascii="Times New Roman" w:hAnsi="Times New Roman" w:cs="Times New Roman"/>
        </w:rPr>
      </w:pPr>
      <w:proofErr w:type="gramStart"/>
      <w:r w:rsidRPr="009A4DB2">
        <w:rPr>
          <w:rFonts w:ascii="Times New Roman" w:hAnsi="Times New Roman" w:cs="Times New Roman"/>
        </w:rPr>
        <w:t>Salah satu kelemahan mendasar dalam sistem yang ada adalah tidak adanya standar operasional prosedur (SOP) yang memiliki kekuatan hukum kuat untuk membatasi dan melindungi diskresi anggota Polri dalam situasi darurat.</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Hal ini membuat anggota Polri sering kali menjadi subjek kriminalisasi ketika tindakan mereka dianggap melampaui batas kewajaran, meskipun situasi tersebut memerlukan tindakan yang tegas dan cepat.</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Selain itu, mekanisme pengawasan internal, seperti Divisi Propam Polri, sering kali dipersepsikan tidak memihak kepada anggota yang sedang menghadapi gugatan hukum, sehingga memperparah ketidakpastian hukum.</w:t>
      </w:r>
      <w:proofErr w:type="gramEnd"/>
    </w:p>
    <w:p w14:paraId="3AB17AAD" w14:textId="77777777" w:rsidR="00491144" w:rsidRPr="009A4DB2" w:rsidRDefault="00491144" w:rsidP="009A4DB2">
      <w:pPr>
        <w:spacing w:after="0" w:line="360" w:lineRule="auto"/>
        <w:ind w:right="2" w:firstLine="567"/>
        <w:jc w:val="both"/>
        <w:rPr>
          <w:rFonts w:ascii="Times New Roman" w:hAnsi="Times New Roman" w:cs="Times New Roman"/>
        </w:rPr>
      </w:pPr>
      <w:proofErr w:type="gramStart"/>
      <w:r w:rsidRPr="009A4DB2">
        <w:rPr>
          <w:rFonts w:ascii="Times New Roman" w:hAnsi="Times New Roman" w:cs="Times New Roman"/>
        </w:rPr>
        <w:t>Untuk memperkuat perlindungan hukum bagi anggota Polri, pembangunan hukum kepolisian yang responsif menjadi keharusan.</w:t>
      </w:r>
      <w:proofErr w:type="gramEnd"/>
      <w:r w:rsidRPr="009A4DB2">
        <w:rPr>
          <w:rFonts w:ascii="Times New Roman" w:hAnsi="Times New Roman" w:cs="Times New Roman"/>
        </w:rPr>
        <w:t xml:space="preserve"> Penelitian ini menawarkan rekonstruksi bentuk perlindungan hukum bagi anggota Polri yang bertugas dalam situasi pengendalian </w:t>
      </w:r>
      <w:proofErr w:type="gramStart"/>
      <w:r w:rsidRPr="009A4DB2">
        <w:rPr>
          <w:rFonts w:ascii="Times New Roman" w:hAnsi="Times New Roman" w:cs="Times New Roman"/>
        </w:rPr>
        <w:t>massa</w:t>
      </w:r>
      <w:proofErr w:type="gramEnd"/>
      <w:r w:rsidRPr="009A4DB2">
        <w:rPr>
          <w:rFonts w:ascii="Times New Roman" w:hAnsi="Times New Roman" w:cs="Times New Roman"/>
        </w:rPr>
        <w:t xml:space="preserve"> berisiko tinggi dengan fokus pada tiga aspek utama: </w:t>
      </w:r>
      <w:r w:rsidRPr="009A4DB2">
        <w:rPr>
          <w:rFonts w:ascii="Times New Roman" w:hAnsi="Times New Roman" w:cs="Times New Roman"/>
          <w:bCs/>
        </w:rPr>
        <w:t>peraturan hukum yang lebih spesifik</w:t>
      </w:r>
      <w:r w:rsidRPr="009A4DB2">
        <w:rPr>
          <w:rFonts w:ascii="Times New Roman" w:hAnsi="Times New Roman" w:cs="Times New Roman"/>
        </w:rPr>
        <w:t xml:space="preserve">, </w:t>
      </w:r>
      <w:r w:rsidRPr="009A4DB2">
        <w:rPr>
          <w:rFonts w:ascii="Times New Roman" w:hAnsi="Times New Roman" w:cs="Times New Roman"/>
          <w:bCs/>
        </w:rPr>
        <w:t>mekanisme dukungan hukum internal</w:t>
      </w:r>
      <w:r w:rsidRPr="009A4DB2">
        <w:rPr>
          <w:rFonts w:ascii="Times New Roman" w:hAnsi="Times New Roman" w:cs="Times New Roman"/>
        </w:rPr>
        <w:t xml:space="preserve">, dan </w:t>
      </w:r>
      <w:r w:rsidRPr="009A4DB2">
        <w:rPr>
          <w:rFonts w:ascii="Times New Roman" w:hAnsi="Times New Roman" w:cs="Times New Roman"/>
          <w:bCs/>
        </w:rPr>
        <w:t>penguatan akuntabilitas berbasis perlindungan</w:t>
      </w:r>
      <w:r w:rsidRPr="009A4DB2">
        <w:rPr>
          <w:rFonts w:ascii="Times New Roman" w:hAnsi="Times New Roman" w:cs="Times New Roman"/>
        </w:rPr>
        <w:t>. Berikut adalah bentuk perlindungan hukum yang diusulkan:</w:t>
      </w:r>
    </w:p>
    <w:p w14:paraId="45BC23A0" w14:textId="77777777" w:rsidR="00491144" w:rsidRPr="009A4DB2" w:rsidRDefault="00491144" w:rsidP="00476B72">
      <w:pPr>
        <w:pStyle w:val="ListParagraph"/>
        <w:numPr>
          <w:ilvl w:val="0"/>
          <w:numId w:val="3"/>
        </w:numPr>
        <w:spacing w:after="0" w:line="360" w:lineRule="auto"/>
        <w:ind w:left="567" w:right="2" w:hanging="567"/>
        <w:jc w:val="both"/>
        <w:rPr>
          <w:rFonts w:ascii="Times New Roman" w:hAnsi="Times New Roman" w:cs="Times New Roman"/>
          <w:b/>
          <w:bCs/>
        </w:rPr>
      </w:pPr>
      <w:r w:rsidRPr="009A4DB2">
        <w:rPr>
          <w:rFonts w:ascii="Times New Roman" w:hAnsi="Times New Roman" w:cs="Times New Roman"/>
          <w:b/>
          <w:bCs/>
        </w:rPr>
        <w:t>Peraturan Hukum yang Lebih Spesifik</w:t>
      </w:r>
    </w:p>
    <w:p w14:paraId="5DAF96BA" w14:textId="77777777" w:rsidR="00491144" w:rsidRPr="009A4DB2" w:rsidRDefault="00491144" w:rsidP="009A4DB2">
      <w:pPr>
        <w:spacing w:after="0" w:line="360" w:lineRule="auto"/>
        <w:ind w:right="2" w:firstLine="567"/>
        <w:jc w:val="both"/>
        <w:rPr>
          <w:rFonts w:ascii="Times New Roman" w:hAnsi="Times New Roman" w:cs="Times New Roman"/>
        </w:rPr>
      </w:pPr>
      <w:r w:rsidRPr="009A4DB2">
        <w:rPr>
          <w:rFonts w:ascii="Times New Roman" w:hAnsi="Times New Roman" w:cs="Times New Roman"/>
        </w:rPr>
        <w:t>Diperlukan penyusunan regulasi baru atau revisi terhadap peraturan yang ada, seperti UU Nomor 2 Tahun 2002 tentang Kepolisian Negara Republik Indonesia, untuk mengatur secara eksplisit perlindungan hukum bagi anggota Polri. Regulasi ini harus mencakup:</w:t>
      </w:r>
    </w:p>
    <w:p w14:paraId="34364319" w14:textId="77777777" w:rsidR="00491144" w:rsidRPr="009A4DB2" w:rsidRDefault="00491144" w:rsidP="00476B72">
      <w:pPr>
        <w:numPr>
          <w:ilvl w:val="0"/>
          <w:numId w:val="6"/>
        </w:numPr>
        <w:tabs>
          <w:tab w:val="clear" w:pos="720"/>
        </w:tabs>
        <w:spacing w:after="0" w:line="360" w:lineRule="auto"/>
        <w:ind w:left="567" w:right="2" w:hanging="567"/>
        <w:jc w:val="both"/>
        <w:rPr>
          <w:rFonts w:ascii="Times New Roman" w:hAnsi="Times New Roman" w:cs="Times New Roman"/>
          <w:b/>
        </w:rPr>
      </w:pPr>
      <w:r w:rsidRPr="009A4DB2">
        <w:rPr>
          <w:rFonts w:ascii="Times New Roman" w:hAnsi="Times New Roman" w:cs="Times New Roman"/>
          <w:b/>
          <w:bCs/>
        </w:rPr>
        <w:t>Standar Prosedur Operasional (SOP) Berbasis Hukum</w:t>
      </w:r>
    </w:p>
    <w:p w14:paraId="20B8F4A5" w14:textId="77777777" w:rsidR="00491144" w:rsidRPr="009A4DB2" w:rsidRDefault="00491144" w:rsidP="009A4DB2">
      <w:pPr>
        <w:spacing w:after="0" w:line="360" w:lineRule="auto"/>
        <w:ind w:right="2" w:firstLine="567"/>
        <w:jc w:val="both"/>
        <w:rPr>
          <w:rFonts w:ascii="Times New Roman" w:hAnsi="Times New Roman" w:cs="Times New Roman"/>
        </w:rPr>
      </w:pPr>
      <w:r w:rsidRPr="009A4DB2">
        <w:rPr>
          <w:rFonts w:ascii="Times New Roman" w:hAnsi="Times New Roman" w:cs="Times New Roman"/>
        </w:rPr>
        <w:t xml:space="preserve">Standar Prosedur Operasional (SOP) berbasis hukum adalah pedoman resmi yang dirancang untuk mengatur tindakan anggota kepolisian dalam situasi pengendalian </w:t>
      </w:r>
      <w:proofErr w:type="gramStart"/>
      <w:r w:rsidRPr="009A4DB2">
        <w:rPr>
          <w:rFonts w:ascii="Times New Roman" w:hAnsi="Times New Roman" w:cs="Times New Roman"/>
        </w:rPr>
        <w:t>massa</w:t>
      </w:r>
      <w:proofErr w:type="gramEnd"/>
      <w:r w:rsidRPr="009A4DB2">
        <w:rPr>
          <w:rFonts w:ascii="Times New Roman" w:hAnsi="Times New Roman" w:cs="Times New Roman"/>
        </w:rPr>
        <w:t xml:space="preserve">, khususnya dalam konteks demonstrasi anarkis. SOP ini tidak hanya berfungsi sebagai alat manajemen operasional, tetapi juga sebagai perlindungan hukum yang memberikan legitimasi terhadap tindakan anggota Polri di lapangan. SOP berbasis hukum memastikan bahwa semua tindakan kepolisian didasarkan pada prinsip-prinsip hukum yang jelas, seperti proporsionalitas, legalitas, dan kebutuhan. Dalam konteks pengendalian </w:t>
      </w:r>
      <w:proofErr w:type="gramStart"/>
      <w:r w:rsidRPr="009A4DB2">
        <w:rPr>
          <w:rFonts w:ascii="Times New Roman" w:hAnsi="Times New Roman" w:cs="Times New Roman"/>
        </w:rPr>
        <w:t>massa</w:t>
      </w:r>
      <w:proofErr w:type="gramEnd"/>
      <w:r w:rsidRPr="009A4DB2">
        <w:rPr>
          <w:rFonts w:ascii="Times New Roman" w:hAnsi="Times New Roman" w:cs="Times New Roman"/>
        </w:rPr>
        <w:t xml:space="preserve"> berisiko tinggi, SOP berbasis hukum mengurangi potensi kriminalisasi terhadap anggota </w:t>
      </w:r>
      <w:r w:rsidRPr="009A4DB2">
        <w:rPr>
          <w:rFonts w:ascii="Times New Roman" w:hAnsi="Times New Roman" w:cs="Times New Roman"/>
        </w:rPr>
        <w:lastRenderedPageBreak/>
        <w:t>Polri dengan menyediakan kerangka kerja yang spesifik dan dapat dipertanggungjawabkan.</w:t>
      </w:r>
      <w:r w:rsidRPr="009A4DB2">
        <w:rPr>
          <w:rStyle w:val="FootnoteReference"/>
          <w:rFonts w:ascii="Times New Roman" w:hAnsi="Times New Roman" w:cs="Times New Roman"/>
        </w:rPr>
        <w:footnoteReference w:id="15"/>
      </w:r>
      <w:r w:rsidRPr="009A4DB2">
        <w:rPr>
          <w:rFonts w:ascii="Times New Roman" w:hAnsi="Times New Roman" w:cs="Times New Roman"/>
        </w:rPr>
        <w:t xml:space="preserve"> Terdapat beberapa k</w:t>
      </w:r>
      <w:r w:rsidRPr="009A4DB2">
        <w:rPr>
          <w:rFonts w:ascii="Times New Roman" w:hAnsi="Times New Roman" w:cs="Times New Roman"/>
          <w:bCs/>
        </w:rPr>
        <w:t>omponen utama SOP berbasis hukum:</w:t>
      </w:r>
    </w:p>
    <w:p w14:paraId="728E1A42" w14:textId="77777777" w:rsidR="00491144" w:rsidRPr="009A4DB2" w:rsidRDefault="00491144" w:rsidP="00476B72">
      <w:pPr>
        <w:numPr>
          <w:ilvl w:val="0"/>
          <w:numId w:val="7"/>
        </w:numPr>
        <w:tabs>
          <w:tab w:val="clear" w:pos="720"/>
          <w:tab w:val="num" w:pos="1146"/>
        </w:tabs>
        <w:spacing w:after="0" w:line="360" w:lineRule="auto"/>
        <w:ind w:left="567" w:right="2" w:hanging="567"/>
        <w:jc w:val="both"/>
        <w:rPr>
          <w:rFonts w:ascii="Times New Roman" w:hAnsi="Times New Roman" w:cs="Times New Roman"/>
        </w:rPr>
      </w:pPr>
      <w:r w:rsidRPr="009A4DB2">
        <w:rPr>
          <w:rFonts w:ascii="Times New Roman" w:hAnsi="Times New Roman" w:cs="Times New Roman"/>
          <w:bCs/>
        </w:rPr>
        <w:t>Langkah-Langkah Pengendalian Massa Berjenjang</w:t>
      </w:r>
    </w:p>
    <w:p w14:paraId="50923848" w14:textId="77777777" w:rsidR="00491144" w:rsidRPr="009A4DB2" w:rsidRDefault="00491144" w:rsidP="00476B72">
      <w:pPr>
        <w:spacing w:after="0" w:line="360" w:lineRule="auto"/>
        <w:ind w:left="567" w:right="2" w:hanging="567"/>
        <w:jc w:val="both"/>
        <w:rPr>
          <w:rFonts w:ascii="Times New Roman" w:hAnsi="Times New Roman" w:cs="Times New Roman"/>
        </w:rPr>
      </w:pPr>
      <w:r w:rsidRPr="009A4DB2">
        <w:rPr>
          <w:rFonts w:ascii="Times New Roman" w:hAnsi="Times New Roman" w:cs="Times New Roman"/>
        </w:rPr>
        <w:t xml:space="preserve">SOP berbasis hukum harus memuat tahapan pengendalian </w:t>
      </w:r>
      <w:proofErr w:type="gramStart"/>
      <w:r w:rsidRPr="009A4DB2">
        <w:rPr>
          <w:rFonts w:ascii="Times New Roman" w:hAnsi="Times New Roman" w:cs="Times New Roman"/>
        </w:rPr>
        <w:t>massa</w:t>
      </w:r>
      <w:proofErr w:type="gramEnd"/>
      <w:r w:rsidRPr="009A4DB2">
        <w:rPr>
          <w:rFonts w:ascii="Times New Roman" w:hAnsi="Times New Roman" w:cs="Times New Roman"/>
        </w:rPr>
        <w:t xml:space="preserve"> yang sistematis dan berjenjang, seperti:</w:t>
      </w:r>
    </w:p>
    <w:p w14:paraId="148607FD" w14:textId="77777777" w:rsidR="00491144" w:rsidRPr="009A4DB2" w:rsidRDefault="00491144" w:rsidP="00564AFB">
      <w:pPr>
        <w:numPr>
          <w:ilvl w:val="1"/>
          <w:numId w:val="8"/>
        </w:numPr>
        <w:tabs>
          <w:tab w:val="clear" w:pos="1440"/>
        </w:tabs>
        <w:spacing w:after="0" w:line="360" w:lineRule="auto"/>
        <w:ind w:left="1134" w:right="2" w:hanging="567"/>
        <w:jc w:val="both"/>
        <w:rPr>
          <w:rFonts w:ascii="Times New Roman" w:hAnsi="Times New Roman" w:cs="Times New Roman"/>
        </w:rPr>
      </w:pPr>
      <w:r w:rsidRPr="009A4DB2">
        <w:rPr>
          <w:rFonts w:ascii="Times New Roman" w:hAnsi="Times New Roman" w:cs="Times New Roman"/>
          <w:bCs/>
        </w:rPr>
        <w:t>Tahap Preventif</w:t>
      </w:r>
    </w:p>
    <w:p w14:paraId="74ED229D" w14:textId="77777777" w:rsidR="00491144" w:rsidRPr="009A4DB2" w:rsidRDefault="00491144" w:rsidP="00564AFB">
      <w:pPr>
        <w:spacing w:after="0" w:line="360" w:lineRule="auto"/>
        <w:ind w:left="1134" w:right="2"/>
        <w:jc w:val="both"/>
        <w:rPr>
          <w:rFonts w:ascii="Times New Roman" w:hAnsi="Times New Roman" w:cs="Times New Roman"/>
        </w:rPr>
      </w:pPr>
      <w:proofErr w:type="gramStart"/>
      <w:r w:rsidRPr="009A4DB2">
        <w:rPr>
          <w:rFonts w:ascii="Times New Roman" w:hAnsi="Times New Roman" w:cs="Times New Roman"/>
        </w:rPr>
        <w:t>Upaya pencegahan melalui negosiasi, mediasi, dan komunikasi persuasif dengan koordinator aksi.</w:t>
      </w:r>
      <w:proofErr w:type="gramEnd"/>
    </w:p>
    <w:p w14:paraId="4855D998" w14:textId="77777777" w:rsidR="00491144" w:rsidRPr="009A4DB2" w:rsidRDefault="00491144" w:rsidP="00564AFB">
      <w:pPr>
        <w:numPr>
          <w:ilvl w:val="1"/>
          <w:numId w:val="8"/>
        </w:numPr>
        <w:tabs>
          <w:tab w:val="clear" w:pos="1440"/>
        </w:tabs>
        <w:spacing w:after="0" w:line="360" w:lineRule="auto"/>
        <w:ind w:left="1134" w:right="2" w:hanging="567"/>
        <w:jc w:val="both"/>
        <w:rPr>
          <w:rFonts w:ascii="Times New Roman" w:hAnsi="Times New Roman" w:cs="Times New Roman"/>
        </w:rPr>
      </w:pPr>
      <w:r w:rsidRPr="009A4DB2">
        <w:rPr>
          <w:rFonts w:ascii="Times New Roman" w:hAnsi="Times New Roman" w:cs="Times New Roman"/>
          <w:bCs/>
        </w:rPr>
        <w:t>Tahap Non-Kekerasan</w:t>
      </w:r>
    </w:p>
    <w:p w14:paraId="2089801A" w14:textId="77777777" w:rsidR="00491144" w:rsidRPr="009A4DB2" w:rsidRDefault="00491144" w:rsidP="00564AFB">
      <w:pPr>
        <w:spacing w:after="0" w:line="360" w:lineRule="auto"/>
        <w:ind w:left="1134" w:right="2"/>
        <w:jc w:val="both"/>
        <w:rPr>
          <w:rFonts w:ascii="Times New Roman" w:hAnsi="Times New Roman" w:cs="Times New Roman"/>
        </w:rPr>
      </w:pPr>
      <w:r w:rsidRPr="009A4DB2">
        <w:rPr>
          <w:rFonts w:ascii="Times New Roman" w:hAnsi="Times New Roman" w:cs="Times New Roman"/>
        </w:rPr>
        <w:t xml:space="preserve">Penggunaan alat pengendalian </w:t>
      </w:r>
      <w:proofErr w:type="gramStart"/>
      <w:r w:rsidRPr="009A4DB2">
        <w:rPr>
          <w:rFonts w:ascii="Times New Roman" w:hAnsi="Times New Roman" w:cs="Times New Roman"/>
        </w:rPr>
        <w:t>massa</w:t>
      </w:r>
      <w:proofErr w:type="gramEnd"/>
      <w:r w:rsidRPr="009A4DB2">
        <w:rPr>
          <w:rFonts w:ascii="Times New Roman" w:hAnsi="Times New Roman" w:cs="Times New Roman"/>
        </w:rPr>
        <w:t xml:space="preserve"> seperti perisai, gas air mata, dan semprotan air untuk mengendalikan situasi tanpa melibatkan kekerasan fisik langsung.</w:t>
      </w:r>
    </w:p>
    <w:p w14:paraId="56041DCA" w14:textId="77777777" w:rsidR="00491144" w:rsidRPr="009A4DB2" w:rsidRDefault="00491144" w:rsidP="00564AFB">
      <w:pPr>
        <w:numPr>
          <w:ilvl w:val="1"/>
          <w:numId w:val="8"/>
        </w:numPr>
        <w:tabs>
          <w:tab w:val="clear" w:pos="1440"/>
        </w:tabs>
        <w:spacing w:after="0" w:line="360" w:lineRule="auto"/>
        <w:ind w:left="1134" w:right="2" w:hanging="567"/>
        <w:jc w:val="both"/>
        <w:rPr>
          <w:rFonts w:ascii="Times New Roman" w:hAnsi="Times New Roman" w:cs="Times New Roman"/>
        </w:rPr>
      </w:pPr>
      <w:r w:rsidRPr="009A4DB2">
        <w:rPr>
          <w:rFonts w:ascii="Times New Roman" w:hAnsi="Times New Roman" w:cs="Times New Roman"/>
          <w:bCs/>
        </w:rPr>
        <w:t>Tahap Represif Terbatas</w:t>
      </w:r>
    </w:p>
    <w:p w14:paraId="76F7BEFF" w14:textId="77777777" w:rsidR="00491144" w:rsidRPr="009A4DB2" w:rsidRDefault="00491144" w:rsidP="00564AFB">
      <w:pPr>
        <w:spacing w:after="0" w:line="360" w:lineRule="auto"/>
        <w:ind w:left="1134" w:right="2"/>
        <w:jc w:val="both"/>
        <w:rPr>
          <w:rFonts w:ascii="Times New Roman" w:hAnsi="Times New Roman" w:cs="Times New Roman"/>
        </w:rPr>
      </w:pPr>
      <w:proofErr w:type="gramStart"/>
      <w:r w:rsidRPr="009A4DB2">
        <w:rPr>
          <w:rFonts w:ascii="Times New Roman" w:hAnsi="Times New Roman" w:cs="Times New Roman"/>
        </w:rPr>
        <w:t>Penggunaan kekuatan fisik atau tindakan tegas lainnya yang bersifat minimal dan terukur sesuai eskalasi ancaman.</w:t>
      </w:r>
      <w:proofErr w:type="gramEnd"/>
    </w:p>
    <w:p w14:paraId="19673D11" w14:textId="77777777" w:rsidR="00491144" w:rsidRPr="009A4DB2" w:rsidRDefault="00491144" w:rsidP="00476B72">
      <w:pPr>
        <w:numPr>
          <w:ilvl w:val="0"/>
          <w:numId w:val="7"/>
        </w:numPr>
        <w:tabs>
          <w:tab w:val="clear" w:pos="720"/>
          <w:tab w:val="num" w:pos="1146"/>
        </w:tabs>
        <w:spacing w:after="0" w:line="360" w:lineRule="auto"/>
        <w:ind w:left="567" w:right="2" w:hanging="567"/>
        <w:jc w:val="both"/>
        <w:rPr>
          <w:rFonts w:ascii="Times New Roman" w:hAnsi="Times New Roman" w:cs="Times New Roman"/>
        </w:rPr>
      </w:pPr>
      <w:r w:rsidRPr="009A4DB2">
        <w:rPr>
          <w:rFonts w:ascii="Times New Roman" w:hAnsi="Times New Roman" w:cs="Times New Roman"/>
          <w:bCs/>
        </w:rPr>
        <w:t>Panduan Penggunaan Diskresi</w:t>
      </w:r>
    </w:p>
    <w:p w14:paraId="289E758A" w14:textId="77777777" w:rsidR="00491144" w:rsidRPr="009A4DB2" w:rsidRDefault="00491144" w:rsidP="00564AFB">
      <w:pPr>
        <w:spacing w:after="0" w:line="360" w:lineRule="auto"/>
        <w:ind w:left="567" w:right="2"/>
        <w:jc w:val="both"/>
        <w:rPr>
          <w:rFonts w:ascii="Times New Roman" w:hAnsi="Times New Roman" w:cs="Times New Roman"/>
          <w:lang w:val="pt-BR"/>
        </w:rPr>
      </w:pPr>
      <w:r w:rsidRPr="009A4DB2">
        <w:rPr>
          <w:rFonts w:ascii="Times New Roman" w:hAnsi="Times New Roman" w:cs="Times New Roman"/>
          <w:lang w:val="pt-BR"/>
        </w:rPr>
        <w:t>SOP harus mengatur dengan jelas batas-batas penggunaan diskresi oleh anggota Polri. Hal ini mencakup panduan situasional tentang kapan dan bagaimana anggota Polri dapat mengambil tindakan tertentu tanpa melanggar prinsip hukum, seperti:</w:t>
      </w:r>
    </w:p>
    <w:p w14:paraId="62100A18" w14:textId="77777777" w:rsidR="00491144" w:rsidRPr="009A4DB2" w:rsidRDefault="00491144" w:rsidP="00564AFB">
      <w:pPr>
        <w:numPr>
          <w:ilvl w:val="1"/>
          <w:numId w:val="9"/>
        </w:numPr>
        <w:tabs>
          <w:tab w:val="clear" w:pos="1440"/>
        </w:tabs>
        <w:spacing w:after="0" w:line="360" w:lineRule="auto"/>
        <w:ind w:left="1134" w:right="2" w:hanging="567"/>
        <w:jc w:val="both"/>
        <w:rPr>
          <w:rFonts w:ascii="Times New Roman" w:hAnsi="Times New Roman" w:cs="Times New Roman"/>
          <w:bCs/>
          <w:lang w:val="pt-BR"/>
        </w:rPr>
      </w:pPr>
      <w:r w:rsidRPr="009A4DB2">
        <w:rPr>
          <w:rFonts w:ascii="Times New Roman" w:hAnsi="Times New Roman" w:cs="Times New Roman"/>
          <w:bCs/>
          <w:lang w:val="pt-BR"/>
        </w:rPr>
        <w:t>Situasi darurat yang mengancam keselamatan publik.</w:t>
      </w:r>
    </w:p>
    <w:p w14:paraId="1C602831" w14:textId="77777777" w:rsidR="00491144" w:rsidRPr="009A4DB2" w:rsidRDefault="00491144" w:rsidP="00564AFB">
      <w:pPr>
        <w:numPr>
          <w:ilvl w:val="1"/>
          <w:numId w:val="9"/>
        </w:numPr>
        <w:tabs>
          <w:tab w:val="clear" w:pos="1440"/>
        </w:tabs>
        <w:spacing w:after="0" w:line="360" w:lineRule="auto"/>
        <w:ind w:left="1134" w:right="2" w:hanging="567"/>
        <w:jc w:val="both"/>
        <w:rPr>
          <w:rFonts w:ascii="Times New Roman" w:hAnsi="Times New Roman" w:cs="Times New Roman"/>
          <w:bCs/>
        </w:rPr>
      </w:pPr>
      <w:r w:rsidRPr="009A4DB2">
        <w:rPr>
          <w:rFonts w:ascii="Times New Roman" w:hAnsi="Times New Roman" w:cs="Times New Roman"/>
          <w:bCs/>
        </w:rPr>
        <w:t>Eskalasi ancaman yang memerlukan intervensi langsung tanpa persetujuan komando.</w:t>
      </w:r>
    </w:p>
    <w:p w14:paraId="2FF2A1BD" w14:textId="77777777" w:rsidR="00491144" w:rsidRPr="009A4DB2" w:rsidRDefault="00491144" w:rsidP="00476B72">
      <w:pPr>
        <w:numPr>
          <w:ilvl w:val="0"/>
          <w:numId w:val="7"/>
        </w:numPr>
        <w:tabs>
          <w:tab w:val="clear" w:pos="720"/>
          <w:tab w:val="num" w:pos="1146"/>
        </w:tabs>
        <w:spacing w:after="0" w:line="360" w:lineRule="auto"/>
        <w:ind w:left="567" w:right="2" w:hanging="567"/>
        <w:jc w:val="both"/>
        <w:rPr>
          <w:rFonts w:ascii="Times New Roman" w:hAnsi="Times New Roman" w:cs="Times New Roman"/>
        </w:rPr>
      </w:pPr>
      <w:r w:rsidRPr="009A4DB2">
        <w:rPr>
          <w:rFonts w:ascii="Times New Roman" w:hAnsi="Times New Roman" w:cs="Times New Roman"/>
          <w:bCs/>
        </w:rPr>
        <w:t>Penerapan Prinsip Hukum Internasional</w:t>
      </w:r>
    </w:p>
    <w:p w14:paraId="0A33A382" w14:textId="77777777" w:rsidR="00491144" w:rsidRPr="009A4DB2" w:rsidRDefault="00491144" w:rsidP="00564AFB">
      <w:pPr>
        <w:spacing w:after="0" w:line="360" w:lineRule="auto"/>
        <w:ind w:left="567" w:right="2"/>
        <w:jc w:val="both"/>
        <w:rPr>
          <w:rFonts w:ascii="Times New Roman" w:hAnsi="Times New Roman" w:cs="Times New Roman"/>
        </w:rPr>
      </w:pPr>
      <w:r w:rsidRPr="009A4DB2">
        <w:rPr>
          <w:rFonts w:ascii="Times New Roman" w:hAnsi="Times New Roman" w:cs="Times New Roman"/>
        </w:rPr>
        <w:t xml:space="preserve">SOP berbasis hukum harus merujuk pada standar internasional, seperti Prinsip Dasar PBB tentang Penggunaan Kekuatan dan Senjata </w:t>
      </w:r>
      <w:proofErr w:type="gramStart"/>
      <w:r w:rsidRPr="009A4DB2">
        <w:rPr>
          <w:rFonts w:ascii="Times New Roman" w:hAnsi="Times New Roman" w:cs="Times New Roman"/>
        </w:rPr>
        <w:t>Api</w:t>
      </w:r>
      <w:proofErr w:type="gramEnd"/>
      <w:r w:rsidRPr="009A4DB2">
        <w:rPr>
          <w:rFonts w:ascii="Times New Roman" w:hAnsi="Times New Roman" w:cs="Times New Roman"/>
        </w:rPr>
        <w:t xml:space="preserve"> oleh Aparat Penegak Hukum. Prinsip ini menekankan bahwa:</w:t>
      </w:r>
    </w:p>
    <w:p w14:paraId="7A146F84" w14:textId="77777777" w:rsidR="00491144" w:rsidRPr="009A4DB2" w:rsidRDefault="00491144" w:rsidP="00564AFB">
      <w:pPr>
        <w:numPr>
          <w:ilvl w:val="1"/>
          <w:numId w:val="10"/>
        </w:numPr>
        <w:tabs>
          <w:tab w:val="clear" w:pos="1440"/>
        </w:tabs>
        <w:spacing w:after="0" w:line="360" w:lineRule="auto"/>
        <w:ind w:left="1134" w:right="2" w:hanging="567"/>
        <w:jc w:val="both"/>
        <w:rPr>
          <w:rFonts w:ascii="Times New Roman" w:hAnsi="Times New Roman" w:cs="Times New Roman"/>
          <w:bCs/>
        </w:rPr>
      </w:pPr>
      <w:r w:rsidRPr="009A4DB2">
        <w:rPr>
          <w:rFonts w:ascii="Times New Roman" w:hAnsi="Times New Roman" w:cs="Times New Roman"/>
          <w:bCs/>
        </w:rPr>
        <w:t>Penggunaan kekuatan hanya diperbolehkan ketika benar-benar diperlukan.</w:t>
      </w:r>
    </w:p>
    <w:p w14:paraId="7D070B1E" w14:textId="77777777" w:rsidR="00491144" w:rsidRPr="009A4DB2" w:rsidRDefault="00491144" w:rsidP="00564AFB">
      <w:pPr>
        <w:numPr>
          <w:ilvl w:val="1"/>
          <w:numId w:val="10"/>
        </w:numPr>
        <w:tabs>
          <w:tab w:val="clear" w:pos="1440"/>
        </w:tabs>
        <w:spacing w:after="0" w:line="360" w:lineRule="auto"/>
        <w:ind w:left="1134" w:right="2" w:hanging="567"/>
        <w:jc w:val="both"/>
        <w:rPr>
          <w:rFonts w:ascii="Times New Roman" w:hAnsi="Times New Roman" w:cs="Times New Roman"/>
          <w:bCs/>
        </w:rPr>
      </w:pPr>
      <w:r w:rsidRPr="009A4DB2">
        <w:rPr>
          <w:rFonts w:ascii="Times New Roman" w:hAnsi="Times New Roman" w:cs="Times New Roman"/>
          <w:bCs/>
        </w:rPr>
        <w:t>Tingkat kekuatan harus proporsional terhadap ancaman yang dihadapi.</w:t>
      </w:r>
    </w:p>
    <w:p w14:paraId="12427AF5" w14:textId="77777777" w:rsidR="00491144" w:rsidRPr="009A4DB2" w:rsidRDefault="00491144" w:rsidP="00564AFB">
      <w:pPr>
        <w:numPr>
          <w:ilvl w:val="1"/>
          <w:numId w:val="10"/>
        </w:numPr>
        <w:tabs>
          <w:tab w:val="clear" w:pos="1440"/>
        </w:tabs>
        <w:spacing w:after="0" w:line="360" w:lineRule="auto"/>
        <w:ind w:left="1134" w:right="2" w:hanging="567"/>
        <w:jc w:val="both"/>
        <w:rPr>
          <w:rFonts w:ascii="Times New Roman" w:hAnsi="Times New Roman" w:cs="Times New Roman"/>
          <w:bCs/>
        </w:rPr>
      </w:pPr>
      <w:r w:rsidRPr="009A4DB2">
        <w:rPr>
          <w:rFonts w:ascii="Times New Roman" w:hAnsi="Times New Roman" w:cs="Times New Roman"/>
          <w:bCs/>
        </w:rPr>
        <w:t>Setiap tindakan yang diambil harus dapat dipertanggungjawabkan secara hukum dan etis.</w:t>
      </w:r>
    </w:p>
    <w:p w14:paraId="1B73C2A0" w14:textId="77777777" w:rsidR="00491144" w:rsidRPr="009A4DB2" w:rsidRDefault="00491144" w:rsidP="00476B72">
      <w:pPr>
        <w:numPr>
          <w:ilvl w:val="0"/>
          <w:numId w:val="7"/>
        </w:numPr>
        <w:tabs>
          <w:tab w:val="clear" w:pos="720"/>
          <w:tab w:val="num" w:pos="1146"/>
        </w:tabs>
        <w:spacing w:after="0" w:line="360" w:lineRule="auto"/>
        <w:ind w:left="567" w:right="2" w:hanging="567"/>
        <w:jc w:val="both"/>
        <w:rPr>
          <w:rFonts w:ascii="Times New Roman" w:hAnsi="Times New Roman" w:cs="Times New Roman"/>
        </w:rPr>
      </w:pPr>
      <w:r w:rsidRPr="009A4DB2">
        <w:rPr>
          <w:rFonts w:ascii="Times New Roman" w:hAnsi="Times New Roman" w:cs="Times New Roman"/>
          <w:bCs/>
        </w:rPr>
        <w:t>Dokumentasi dan Pelaporan</w:t>
      </w:r>
    </w:p>
    <w:p w14:paraId="42FE41C0" w14:textId="77777777" w:rsidR="00491144" w:rsidRPr="009A4DB2" w:rsidRDefault="00491144" w:rsidP="009A4DB2">
      <w:pPr>
        <w:spacing w:after="0" w:line="360" w:lineRule="auto"/>
        <w:ind w:right="2" w:firstLine="567"/>
        <w:jc w:val="both"/>
        <w:rPr>
          <w:rFonts w:ascii="Times New Roman" w:hAnsi="Times New Roman" w:cs="Times New Roman"/>
        </w:rPr>
      </w:pPr>
      <w:r w:rsidRPr="009A4DB2">
        <w:rPr>
          <w:rFonts w:ascii="Times New Roman" w:hAnsi="Times New Roman" w:cs="Times New Roman"/>
        </w:rPr>
        <w:lastRenderedPageBreak/>
        <w:t xml:space="preserve">SOP harus mencantumkan kewajiban anggota Polri untuk mendokumentasikan setiap tindakan yang dilakukan selama pengendalian </w:t>
      </w:r>
      <w:proofErr w:type="gramStart"/>
      <w:r w:rsidRPr="009A4DB2">
        <w:rPr>
          <w:rFonts w:ascii="Times New Roman" w:hAnsi="Times New Roman" w:cs="Times New Roman"/>
        </w:rPr>
        <w:t>massa</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Dokumentasi ini, seperti laporan tertulis, rekaman kamera tubuh (body camera), atau rekaman video lainnya, dapat digunakan sebagai alat bukti dalam penyelidikan atau pengadilan.</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Hal ini memberikan perlindungan hukum tambahan bagi anggota Polri dengan menyediakan bukti otentik yang menunjukkan bahwa tindakan mereka sesuai dengan prosedur.</w:t>
      </w:r>
      <w:proofErr w:type="gramEnd"/>
    </w:p>
    <w:p w14:paraId="2F2D437C" w14:textId="77777777" w:rsidR="00491144" w:rsidRPr="009A4DB2" w:rsidRDefault="00491144" w:rsidP="009A4DB2">
      <w:pPr>
        <w:spacing w:after="0" w:line="360" w:lineRule="auto"/>
        <w:ind w:right="2" w:firstLine="567"/>
        <w:jc w:val="both"/>
        <w:rPr>
          <w:rFonts w:ascii="Times New Roman" w:hAnsi="Times New Roman" w:cs="Times New Roman"/>
        </w:rPr>
      </w:pPr>
      <w:proofErr w:type="gramStart"/>
      <w:r w:rsidRPr="009A4DB2">
        <w:rPr>
          <w:rFonts w:ascii="Times New Roman" w:hAnsi="Times New Roman" w:cs="Times New Roman"/>
        </w:rPr>
        <w:t>Implementasi SOP berbasis hukum memerlukan pelatihan intensif bagi anggota Polri untuk memastikan pemahaman dan kepatuhan terhadap prosedur yang ditetapkan.</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Selain itu, penggunaan teknologi, seperti simulasi dan latihan situasional, dapat membantu anggota Polri memahami dinamika lapangan dan meningkatkan respons mereka terhadap situasi anarkis.</w:t>
      </w:r>
      <w:proofErr w:type="gramEnd"/>
    </w:p>
    <w:p w14:paraId="7682B2A0" w14:textId="77777777" w:rsidR="00491144" w:rsidRPr="009A4DB2" w:rsidRDefault="00491144" w:rsidP="00564AFB">
      <w:pPr>
        <w:numPr>
          <w:ilvl w:val="0"/>
          <w:numId w:val="6"/>
        </w:numPr>
        <w:tabs>
          <w:tab w:val="clear" w:pos="720"/>
        </w:tabs>
        <w:spacing w:after="0" w:line="360" w:lineRule="auto"/>
        <w:ind w:left="567" w:right="2" w:hanging="567"/>
        <w:jc w:val="both"/>
        <w:rPr>
          <w:rFonts w:ascii="Times New Roman" w:hAnsi="Times New Roman" w:cs="Times New Roman"/>
          <w:b/>
        </w:rPr>
      </w:pPr>
      <w:r w:rsidRPr="009A4DB2">
        <w:rPr>
          <w:rFonts w:ascii="Times New Roman" w:hAnsi="Times New Roman" w:cs="Times New Roman"/>
          <w:b/>
          <w:bCs/>
        </w:rPr>
        <w:t>Klausul Perlindungan Diskresi</w:t>
      </w:r>
    </w:p>
    <w:p w14:paraId="0F0BA860" w14:textId="77777777" w:rsidR="00491144" w:rsidRPr="009A4DB2" w:rsidRDefault="00491144" w:rsidP="009A4DB2">
      <w:pPr>
        <w:spacing w:after="0" w:line="360" w:lineRule="auto"/>
        <w:ind w:right="2" w:firstLine="567"/>
        <w:jc w:val="both"/>
        <w:rPr>
          <w:rFonts w:ascii="Times New Roman" w:hAnsi="Times New Roman" w:cs="Times New Roman"/>
        </w:rPr>
      </w:pPr>
      <w:r w:rsidRPr="009A4DB2">
        <w:rPr>
          <w:rFonts w:ascii="Times New Roman" w:hAnsi="Times New Roman" w:cs="Times New Roman"/>
        </w:rPr>
        <w:t>Diskresi adalah wewenang yang diberikan kepada aparat penegak hukum, termasuk anggota Kepolisian Republik Indonesia (Polri), untuk membuat keputusan berdasarkan pertimbangan situasional di luar ketentuan yang secara eksplisit diatur dalam peraturan hukum.</w:t>
      </w:r>
      <w:r w:rsidRPr="009A4DB2">
        <w:rPr>
          <w:rStyle w:val="FootnoteReference"/>
          <w:rFonts w:ascii="Times New Roman" w:hAnsi="Times New Roman" w:cs="Times New Roman"/>
        </w:rPr>
        <w:footnoteReference w:id="16"/>
      </w:r>
      <w:r w:rsidRPr="009A4DB2">
        <w:rPr>
          <w:rFonts w:ascii="Times New Roman" w:hAnsi="Times New Roman" w:cs="Times New Roman"/>
        </w:rPr>
        <w:t xml:space="preserve"> Dalam konteks pengendalian </w:t>
      </w:r>
      <w:proofErr w:type="gramStart"/>
      <w:r w:rsidRPr="009A4DB2">
        <w:rPr>
          <w:rFonts w:ascii="Times New Roman" w:hAnsi="Times New Roman" w:cs="Times New Roman"/>
        </w:rPr>
        <w:t>massa</w:t>
      </w:r>
      <w:proofErr w:type="gramEnd"/>
      <w:r w:rsidRPr="009A4DB2">
        <w:rPr>
          <w:rFonts w:ascii="Times New Roman" w:hAnsi="Times New Roman" w:cs="Times New Roman"/>
        </w:rPr>
        <w:t xml:space="preserve"> berisiko tinggi, diskresi sering kali diperlukan ketika situasi berkembang cepat dan memerlukan respons segera yang tidak selalu tercakup dalam prosedur operasional standar (SOP). </w:t>
      </w:r>
      <w:proofErr w:type="gramStart"/>
      <w:r w:rsidRPr="009A4DB2">
        <w:rPr>
          <w:rFonts w:ascii="Times New Roman" w:hAnsi="Times New Roman" w:cs="Times New Roman"/>
        </w:rPr>
        <w:t>Namun, diskresi ini sering menjadi sumber kontroversi, terutama jika tindakan yang diambil dianggap melampaui batas kewajaran atau prinsip legalitas.</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 xml:space="preserve">Oleh karena itu, diperlukan </w:t>
      </w:r>
      <w:r w:rsidRPr="009A4DB2">
        <w:rPr>
          <w:rFonts w:ascii="Times New Roman" w:hAnsi="Times New Roman" w:cs="Times New Roman"/>
          <w:iCs/>
        </w:rPr>
        <w:t>klausul perlindungan diskresi</w:t>
      </w:r>
      <w:r w:rsidRPr="009A4DB2">
        <w:rPr>
          <w:rFonts w:ascii="Times New Roman" w:hAnsi="Times New Roman" w:cs="Times New Roman"/>
        </w:rPr>
        <w:t xml:space="preserve"> yang jelas dan berbasis hukum untuk memastikan bahwa tindakan yang diambil oleh anggota Polri dalam batas-batas diskresi dapat terlindungi secara hukum.</w:t>
      </w:r>
      <w:proofErr w:type="gramEnd"/>
    </w:p>
    <w:p w14:paraId="4D473547" w14:textId="77777777" w:rsidR="00491144" w:rsidRPr="009A4DB2" w:rsidRDefault="00491144" w:rsidP="009A4DB2">
      <w:pPr>
        <w:spacing w:after="0" w:line="360" w:lineRule="auto"/>
        <w:ind w:right="2" w:firstLine="567"/>
        <w:jc w:val="both"/>
        <w:rPr>
          <w:rFonts w:ascii="Times New Roman" w:hAnsi="Times New Roman" w:cs="Times New Roman"/>
        </w:rPr>
      </w:pPr>
      <w:r w:rsidRPr="009A4DB2">
        <w:rPr>
          <w:rFonts w:ascii="Times New Roman" w:hAnsi="Times New Roman" w:cs="Times New Roman"/>
        </w:rPr>
        <w:t xml:space="preserve">Klausul perlindungan diskresi bertujuan untuk memberikan kepastian hukum kepada anggota Polri yang mengambil tindakan berbasis diskresi dalam situasi pengendalian </w:t>
      </w:r>
      <w:proofErr w:type="gramStart"/>
      <w:r w:rsidRPr="009A4DB2">
        <w:rPr>
          <w:rFonts w:ascii="Times New Roman" w:hAnsi="Times New Roman" w:cs="Times New Roman"/>
        </w:rPr>
        <w:t>massa</w:t>
      </w:r>
      <w:proofErr w:type="gramEnd"/>
      <w:r w:rsidRPr="009A4DB2">
        <w:rPr>
          <w:rFonts w:ascii="Times New Roman" w:hAnsi="Times New Roman" w:cs="Times New Roman"/>
        </w:rPr>
        <w:t>.</w:t>
      </w:r>
      <w:r w:rsidRPr="009A4DB2">
        <w:rPr>
          <w:rStyle w:val="FootnoteReference"/>
          <w:rFonts w:ascii="Times New Roman" w:hAnsi="Times New Roman" w:cs="Times New Roman"/>
        </w:rPr>
        <w:footnoteReference w:id="17"/>
      </w:r>
      <w:r w:rsidRPr="009A4DB2">
        <w:rPr>
          <w:rFonts w:ascii="Times New Roman" w:hAnsi="Times New Roman" w:cs="Times New Roman"/>
        </w:rPr>
        <w:t xml:space="preserve"> Klausul ini harus didasarkan pada tiga prinsip hukum utama:</w:t>
      </w:r>
    </w:p>
    <w:p w14:paraId="3FD3CCCB" w14:textId="77777777" w:rsidR="00491144" w:rsidRPr="009A4DB2" w:rsidRDefault="00491144" w:rsidP="00564AFB">
      <w:pPr>
        <w:numPr>
          <w:ilvl w:val="0"/>
          <w:numId w:val="12"/>
        </w:numPr>
        <w:tabs>
          <w:tab w:val="clear" w:pos="720"/>
        </w:tabs>
        <w:spacing w:after="0" w:line="360" w:lineRule="auto"/>
        <w:ind w:left="567" w:right="2" w:hanging="567"/>
        <w:jc w:val="both"/>
        <w:rPr>
          <w:rFonts w:ascii="Times New Roman" w:hAnsi="Times New Roman" w:cs="Times New Roman"/>
        </w:rPr>
      </w:pPr>
      <w:r w:rsidRPr="009A4DB2">
        <w:rPr>
          <w:rFonts w:ascii="Times New Roman" w:hAnsi="Times New Roman" w:cs="Times New Roman"/>
          <w:bCs/>
        </w:rPr>
        <w:t>Legalitas</w:t>
      </w:r>
    </w:p>
    <w:p w14:paraId="3B646615" w14:textId="77777777" w:rsidR="00491144" w:rsidRPr="009A4DB2" w:rsidRDefault="00491144" w:rsidP="00564AFB">
      <w:pPr>
        <w:spacing w:after="0" w:line="360" w:lineRule="auto"/>
        <w:ind w:left="567" w:right="2"/>
        <w:jc w:val="both"/>
        <w:rPr>
          <w:rFonts w:ascii="Times New Roman" w:hAnsi="Times New Roman" w:cs="Times New Roman"/>
        </w:rPr>
      </w:pPr>
      <w:proofErr w:type="gramStart"/>
      <w:r w:rsidRPr="009A4DB2">
        <w:rPr>
          <w:rFonts w:ascii="Times New Roman" w:hAnsi="Times New Roman" w:cs="Times New Roman"/>
        </w:rPr>
        <w:t>Diskresi hanya dapat dilakukan dalam situasi yang diatur oleh hukum sebagai ruang lingkup kewenangan yang sah.</w:t>
      </w:r>
      <w:proofErr w:type="gramEnd"/>
    </w:p>
    <w:p w14:paraId="15AD0168" w14:textId="77777777" w:rsidR="00491144" w:rsidRPr="009A4DB2" w:rsidRDefault="00491144" w:rsidP="00564AFB">
      <w:pPr>
        <w:numPr>
          <w:ilvl w:val="0"/>
          <w:numId w:val="12"/>
        </w:numPr>
        <w:tabs>
          <w:tab w:val="clear" w:pos="720"/>
        </w:tabs>
        <w:spacing w:after="0" w:line="360" w:lineRule="auto"/>
        <w:ind w:left="567" w:right="2" w:hanging="567"/>
        <w:jc w:val="both"/>
        <w:rPr>
          <w:rFonts w:ascii="Times New Roman" w:hAnsi="Times New Roman" w:cs="Times New Roman"/>
        </w:rPr>
      </w:pPr>
      <w:r w:rsidRPr="009A4DB2">
        <w:rPr>
          <w:rFonts w:ascii="Times New Roman" w:hAnsi="Times New Roman" w:cs="Times New Roman"/>
          <w:bCs/>
        </w:rPr>
        <w:t>Proposionalitas</w:t>
      </w:r>
    </w:p>
    <w:p w14:paraId="291BBB17" w14:textId="77777777" w:rsidR="00491144" w:rsidRPr="009A4DB2" w:rsidRDefault="00491144" w:rsidP="00564AFB">
      <w:pPr>
        <w:spacing w:after="0" w:line="360" w:lineRule="auto"/>
        <w:ind w:left="567" w:right="2" w:hanging="567"/>
        <w:jc w:val="both"/>
        <w:rPr>
          <w:rFonts w:ascii="Times New Roman" w:hAnsi="Times New Roman" w:cs="Times New Roman"/>
        </w:rPr>
      </w:pPr>
      <w:proofErr w:type="gramStart"/>
      <w:r w:rsidRPr="009A4DB2">
        <w:rPr>
          <w:rFonts w:ascii="Times New Roman" w:hAnsi="Times New Roman" w:cs="Times New Roman"/>
        </w:rPr>
        <w:lastRenderedPageBreak/>
        <w:t>Tindakan berbasis diskresi harus seimbang dengan ancaman yang dihadapi dan tidak melampaui kebutuhan situasi.</w:t>
      </w:r>
      <w:proofErr w:type="gramEnd"/>
    </w:p>
    <w:p w14:paraId="27E51FB3" w14:textId="77777777" w:rsidR="00491144" w:rsidRPr="009A4DB2" w:rsidRDefault="00491144" w:rsidP="00564AFB">
      <w:pPr>
        <w:numPr>
          <w:ilvl w:val="0"/>
          <w:numId w:val="12"/>
        </w:numPr>
        <w:tabs>
          <w:tab w:val="clear" w:pos="720"/>
        </w:tabs>
        <w:spacing w:after="0" w:line="360" w:lineRule="auto"/>
        <w:ind w:left="567" w:right="2" w:hanging="567"/>
        <w:jc w:val="both"/>
        <w:rPr>
          <w:rFonts w:ascii="Times New Roman" w:hAnsi="Times New Roman" w:cs="Times New Roman"/>
        </w:rPr>
      </w:pPr>
      <w:r w:rsidRPr="009A4DB2">
        <w:rPr>
          <w:rFonts w:ascii="Times New Roman" w:hAnsi="Times New Roman" w:cs="Times New Roman"/>
          <w:bCs/>
        </w:rPr>
        <w:t>Akuntabilitas</w:t>
      </w:r>
    </w:p>
    <w:p w14:paraId="1BFDCE4D" w14:textId="77777777" w:rsidR="00491144" w:rsidRPr="009A4DB2" w:rsidRDefault="00491144" w:rsidP="009A4DB2">
      <w:pPr>
        <w:spacing w:after="0" w:line="360" w:lineRule="auto"/>
        <w:ind w:right="2" w:firstLine="567"/>
        <w:jc w:val="both"/>
        <w:rPr>
          <w:rFonts w:ascii="Times New Roman" w:hAnsi="Times New Roman" w:cs="Times New Roman"/>
        </w:rPr>
      </w:pPr>
      <w:proofErr w:type="gramStart"/>
      <w:r w:rsidRPr="009A4DB2">
        <w:rPr>
          <w:rFonts w:ascii="Times New Roman" w:hAnsi="Times New Roman" w:cs="Times New Roman"/>
        </w:rPr>
        <w:t>Setiap tindakan yang diambil berdasarkan diskresi harus dapat dipertanggungjawabkan melalui mekanisme evaluasi yang adil dan independen.</w:t>
      </w:r>
      <w:proofErr w:type="gramEnd"/>
    </w:p>
    <w:p w14:paraId="72E02341" w14:textId="77777777" w:rsidR="00491144" w:rsidRPr="009A4DB2" w:rsidRDefault="00491144" w:rsidP="009A4DB2">
      <w:pPr>
        <w:spacing w:after="0" w:line="360" w:lineRule="auto"/>
        <w:ind w:right="2" w:firstLine="567"/>
        <w:jc w:val="both"/>
        <w:rPr>
          <w:rFonts w:ascii="Times New Roman" w:hAnsi="Times New Roman" w:cs="Times New Roman"/>
        </w:rPr>
      </w:pPr>
      <w:r w:rsidRPr="009A4DB2">
        <w:rPr>
          <w:rFonts w:ascii="Times New Roman" w:hAnsi="Times New Roman" w:cs="Times New Roman"/>
        </w:rPr>
        <w:t xml:space="preserve">Dalam kerangka hukum nasional, diskresi diatur secara umum dalam Pasal 18 UU Nomor 2 Tahun 2002 tentang Kepolisian Negara Republik Indonesia, yang memberikan kewenangan kepada anggota Polri untuk bertindak menurut penilaian mereka dalam situasi darurat demi melindungi kepentingan umum. </w:t>
      </w:r>
      <w:proofErr w:type="gramStart"/>
      <w:r w:rsidRPr="009A4DB2">
        <w:rPr>
          <w:rFonts w:ascii="Times New Roman" w:hAnsi="Times New Roman" w:cs="Times New Roman"/>
        </w:rPr>
        <w:t>Namun, undang-undang ini tidak memberikan kejelasan terkait perlindungan hukum terhadap anggota Polri yang menghadapi risiko kriminalisasi akibat penggunaan diskresi.</w:t>
      </w:r>
      <w:proofErr w:type="gramEnd"/>
      <w:r w:rsidRPr="009A4DB2">
        <w:rPr>
          <w:rFonts w:ascii="Times New Roman" w:hAnsi="Times New Roman" w:cs="Times New Roman"/>
        </w:rPr>
        <w:t xml:space="preserve"> Klausul perlindungan diskresi yang lebih spesifik diperlukan untuk:</w:t>
      </w:r>
    </w:p>
    <w:p w14:paraId="1BB5792A" w14:textId="77777777" w:rsidR="00491144" w:rsidRPr="009A4DB2" w:rsidRDefault="00491144" w:rsidP="00640C02">
      <w:pPr>
        <w:numPr>
          <w:ilvl w:val="0"/>
          <w:numId w:val="13"/>
        </w:numPr>
        <w:tabs>
          <w:tab w:val="clear" w:pos="720"/>
        </w:tabs>
        <w:spacing w:after="0" w:line="360" w:lineRule="auto"/>
        <w:ind w:left="567" w:right="2" w:hanging="567"/>
        <w:jc w:val="both"/>
        <w:rPr>
          <w:rFonts w:ascii="Times New Roman" w:hAnsi="Times New Roman" w:cs="Times New Roman"/>
        </w:rPr>
      </w:pPr>
      <w:r w:rsidRPr="009A4DB2">
        <w:rPr>
          <w:rFonts w:ascii="Times New Roman" w:hAnsi="Times New Roman" w:cs="Times New Roman"/>
        </w:rPr>
        <w:t>Menjamin bahwa tindakan berbasis diskresi yang dilakukan sesuai dengan prosedur hukum tidak dapat langsung dianggap sebagai pelanggaran hukum atau pelanggaran disiplin tanpa melalui investigasi yang independen.</w:t>
      </w:r>
    </w:p>
    <w:p w14:paraId="1BF6002D" w14:textId="77777777" w:rsidR="00491144" w:rsidRPr="009A4DB2" w:rsidRDefault="00491144" w:rsidP="00640C02">
      <w:pPr>
        <w:numPr>
          <w:ilvl w:val="0"/>
          <w:numId w:val="13"/>
        </w:numPr>
        <w:tabs>
          <w:tab w:val="clear" w:pos="720"/>
        </w:tabs>
        <w:spacing w:after="0" w:line="360" w:lineRule="auto"/>
        <w:ind w:left="567" w:right="2" w:hanging="567"/>
        <w:jc w:val="both"/>
        <w:rPr>
          <w:rFonts w:ascii="Times New Roman" w:hAnsi="Times New Roman" w:cs="Times New Roman"/>
        </w:rPr>
      </w:pPr>
      <w:r w:rsidRPr="009A4DB2">
        <w:rPr>
          <w:rFonts w:ascii="Times New Roman" w:hAnsi="Times New Roman" w:cs="Times New Roman"/>
        </w:rPr>
        <w:t>Menyediakan mekanisme pembelaan hukum bagi anggota Polri yang menghadapi gugatan hukum sebagai akibat dari tindakan berbasis diskresi.</w:t>
      </w:r>
    </w:p>
    <w:p w14:paraId="47716F80" w14:textId="77777777" w:rsidR="00491144" w:rsidRPr="009A4DB2" w:rsidRDefault="00491144" w:rsidP="009A4DB2">
      <w:pPr>
        <w:spacing w:after="0" w:line="360" w:lineRule="auto"/>
        <w:ind w:right="2" w:firstLine="567"/>
        <w:jc w:val="both"/>
        <w:rPr>
          <w:rFonts w:ascii="Times New Roman" w:hAnsi="Times New Roman" w:cs="Times New Roman"/>
        </w:rPr>
      </w:pPr>
      <w:proofErr w:type="gramStart"/>
      <w:r w:rsidRPr="009A4DB2">
        <w:rPr>
          <w:rFonts w:ascii="Times New Roman" w:hAnsi="Times New Roman" w:cs="Times New Roman"/>
        </w:rPr>
        <w:t>Dengan penerapan klausul perlindungan diskresi, anggota Polri dapat lebih terlindungi secara hukum dalam menjalankan tugas mereka, tanpa mengurangi akuntabilitas atas tindakan yang diambil.</w:t>
      </w:r>
      <w:proofErr w:type="gramEnd"/>
      <w:r w:rsidRPr="009A4DB2">
        <w:rPr>
          <w:rFonts w:ascii="Times New Roman" w:hAnsi="Times New Roman" w:cs="Times New Roman"/>
        </w:rPr>
        <w:t xml:space="preserve"> Klausul ini juga </w:t>
      </w:r>
      <w:proofErr w:type="gramStart"/>
      <w:r w:rsidRPr="009A4DB2">
        <w:rPr>
          <w:rFonts w:ascii="Times New Roman" w:hAnsi="Times New Roman" w:cs="Times New Roman"/>
        </w:rPr>
        <w:t>akan</w:t>
      </w:r>
      <w:proofErr w:type="gramEnd"/>
      <w:r w:rsidRPr="009A4DB2">
        <w:rPr>
          <w:rFonts w:ascii="Times New Roman" w:hAnsi="Times New Roman" w:cs="Times New Roman"/>
        </w:rPr>
        <w:t xml:space="preserve"> memperkuat pembangunan hukum kepolisian yang lebih progresif dan responsif di Indonesia.</w:t>
      </w:r>
    </w:p>
    <w:p w14:paraId="65CF6155" w14:textId="77777777" w:rsidR="00491144" w:rsidRPr="009A4DB2" w:rsidRDefault="00491144" w:rsidP="009A4DB2">
      <w:pPr>
        <w:numPr>
          <w:ilvl w:val="0"/>
          <w:numId w:val="6"/>
        </w:numPr>
        <w:tabs>
          <w:tab w:val="clear" w:pos="720"/>
        </w:tabs>
        <w:spacing w:after="0" w:line="360" w:lineRule="auto"/>
        <w:ind w:left="0" w:right="2" w:firstLine="567"/>
        <w:jc w:val="both"/>
        <w:rPr>
          <w:rFonts w:ascii="Times New Roman" w:hAnsi="Times New Roman" w:cs="Times New Roman"/>
          <w:b/>
        </w:rPr>
      </w:pPr>
      <w:r w:rsidRPr="009A4DB2">
        <w:rPr>
          <w:rFonts w:ascii="Times New Roman" w:hAnsi="Times New Roman" w:cs="Times New Roman"/>
          <w:b/>
          <w:bCs/>
        </w:rPr>
        <w:t>Panduan Im</w:t>
      </w:r>
      <w:bookmarkStart w:id="1" w:name="_GoBack"/>
      <w:bookmarkEnd w:id="1"/>
      <w:r w:rsidRPr="009A4DB2">
        <w:rPr>
          <w:rFonts w:ascii="Times New Roman" w:hAnsi="Times New Roman" w:cs="Times New Roman"/>
          <w:b/>
          <w:bCs/>
        </w:rPr>
        <w:t>plementasi Prinsip Proposionalitas</w:t>
      </w:r>
    </w:p>
    <w:p w14:paraId="5FD5DFEE" w14:textId="77777777" w:rsidR="00491144" w:rsidRPr="009A4DB2" w:rsidRDefault="00491144" w:rsidP="009A4DB2">
      <w:pPr>
        <w:spacing w:after="0" w:line="360" w:lineRule="auto"/>
        <w:ind w:right="2" w:firstLine="567"/>
        <w:jc w:val="both"/>
        <w:rPr>
          <w:rFonts w:ascii="Times New Roman" w:hAnsi="Times New Roman" w:cs="Times New Roman"/>
        </w:rPr>
      </w:pPr>
      <w:proofErr w:type="gramStart"/>
      <w:r w:rsidRPr="009A4DB2">
        <w:rPr>
          <w:rFonts w:ascii="Times New Roman" w:hAnsi="Times New Roman" w:cs="Times New Roman"/>
        </w:rPr>
        <w:t>Prinsip proposionalitas adalah salah satu asas fundamental dalam hukum yang digunakan untuk menilai apakah tindakan yang dilakukan aparat penegak hukum, termasuk anggota Polri, sesuai dengan tingkat ancaman yang dihadapi dan kebutuhan situasi.</w:t>
      </w:r>
      <w:proofErr w:type="gramEnd"/>
      <w:r w:rsidRPr="009A4DB2">
        <w:rPr>
          <w:rStyle w:val="FootnoteReference"/>
          <w:rFonts w:ascii="Times New Roman" w:hAnsi="Times New Roman" w:cs="Times New Roman"/>
        </w:rPr>
        <w:footnoteReference w:id="18"/>
      </w:r>
      <w:r w:rsidRPr="009A4DB2">
        <w:rPr>
          <w:rFonts w:ascii="Times New Roman" w:hAnsi="Times New Roman" w:cs="Times New Roman"/>
        </w:rPr>
        <w:t xml:space="preserve"> Dalam konteks pengendalian </w:t>
      </w:r>
      <w:proofErr w:type="gramStart"/>
      <w:r w:rsidRPr="009A4DB2">
        <w:rPr>
          <w:rFonts w:ascii="Times New Roman" w:hAnsi="Times New Roman" w:cs="Times New Roman"/>
        </w:rPr>
        <w:t>massa</w:t>
      </w:r>
      <w:proofErr w:type="gramEnd"/>
      <w:r w:rsidRPr="009A4DB2">
        <w:rPr>
          <w:rFonts w:ascii="Times New Roman" w:hAnsi="Times New Roman" w:cs="Times New Roman"/>
        </w:rPr>
        <w:t xml:space="preserve">, prinsip ini menjadi landasan untuk memastikan bahwa kekuatan yang digunakan seimbang, tepat, dan tidak berlebihan. Prinsip ini mencakup 3 (tiga) elemen kunci: </w:t>
      </w:r>
      <w:r w:rsidRPr="009A4DB2">
        <w:rPr>
          <w:rFonts w:ascii="Times New Roman" w:hAnsi="Times New Roman" w:cs="Times New Roman"/>
          <w:bCs/>
        </w:rPr>
        <w:t>keharusan (</w:t>
      </w:r>
      <w:r w:rsidRPr="009A4DB2">
        <w:rPr>
          <w:rFonts w:ascii="Times New Roman" w:hAnsi="Times New Roman" w:cs="Times New Roman"/>
          <w:bCs/>
          <w:i/>
        </w:rPr>
        <w:t>necessity</w:t>
      </w:r>
      <w:r w:rsidRPr="009A4DB2">
        <w:rPr>
          <w:rFonts w:ascii="Times New Roman" w:hAnsi="Times New Roman" w:cs="Times New Roman"/>
          <w:bCs/>
        </w:rPr>
        <w:t>)</w:t>
      </w:r>
      <w:r w:rsidRPr="009A4DB2">
        <w:rPr>
          <w:rFonts w:ascii="Times New Roman" w:hAnsi="Times New Roman" w:cs="Times New Roman"/>
        </w:rPr>
        <w:t xml:space="preserve">, </w:t>
      </w:r>
      <w:r w:rsidRPr="009A4DB2">
        <w:rPr>
          <w:rFonts w:ascii="Times New Roman" w:hAnsi="Times New Roman" w:cs="Times New Roman"/>
          <w:bCs/>
        </w:rPr>
        <w:t>kesesuaian (</w:t>
      </w:r>
      <w:r w:rsidRPr="009A4DB2">
        <w:rPr>
          <w:rFonts w:ascii="Times New Roman" w:hAnsi="Times New Roman" w:cs="Times New Roman"/>
          <w:bCs/>
          <w:i/>
        </w:rPr>
        <w:t>suitability</w:t>
      </w:r>
      <w:r w:rsidRPr="009A4DB2">
        <w:rPr>
          <w:rFonts w:ascii="Times New Roman" w:hAnsi="Times New Roman" w:cs="Times New Roman"/>
          <w:bCs/>
        </w:rPr>
        <w:t>)</w:t>
      </w:r>
      <w:r w:rsidRPr="009A4DB2">
        <w:rPr>
          <w:rFonts w:ascii="Times New Roman" w:hAnsi="Times New Roman" w:cs="Times New Roman"/>
        </w:rPr>
        <w:t xml:space="preserve">, dan </w:t>
      </w:r>
      <w:r w:rsidRPr="009A4DB2">
        <w:rPr>
          <w:rFonts w:ascii="Times New Roman" w:hAnsi="Times New Roman" w:cs="Times New Roman"/>
          <w:bCs/>
        </w:rPr>
        <w:t>keseimbangan (</w:t>
      </w:r>
      <w:r w:rsidRPr="009A4DB2">
        <w:rPr>
          <w:rFonts w:ascii="Times New Roman" w:hAnsi="Times New Roman" w:cs="Times New Roman"/>
          <w:bCs/>
          <w:i/>
        </w:rPr>
        <w:t>balancing</w:t>
      </w:r>
      <w:r w:rsidRPr="009A4DB2">
        <w:rPr>
          <w:rFonts w:ascii="Times New Roman" w:hAnsi="Times New Roman" w:cs="Times New Roman"/>
          <w:bCs/>
        </w:rPr>
        <w:t>)</w:t>
      </w:r>
      <w:r w:rsidRPr="009A4DB2">
        <w:rPr>
          <w:rFonts w:ascii="Times New Roman" w:hAnsi="Times New Roman" w:cs="Times New Roman"/>
        </w:rPr>
        <w:t xml:space="preserve">. </w:t>
      </w:r>
      <w:proofErr w:type="gramStart"/>
      <w:r w:rsidRPr="009A4DB2">
        <w:rPr>
          <w:rFonts w:ascii="Times New Roman" w:hAnsi="Times New Roman" w:cs="Times New Roman"/>
        </w:rPr>
        <w:t xml:space="preserve">Dengan menerapkan prinsip proposionalitas, </w:t>
      </w:r>
      <w:r w:rsidRPr="009A4DB2">
        <w:rPr>
          <w:rFonts w:ascii="Times New Roman" w:hAnsi="Times New Roman" w:cs="Times New Roman"/>
        </w:rPr>
        <w:lastRenderedPageBreak/>
        <w:t>Polri dapat menjaga legitimasi tindakan mereka, mengurangi risiko pelanggaran hak asasi manusia, dan memberikan perlindungan hukum yang lebih baik kepada anggotanya.</w:t>
      </w:r>
      <w:proofErr w:type="gramEnd"/>
      <w:r w:rsidRPr="009A4DB2">
        <w:rPr>
          <w:rStyle w:val="FootnoteReference"/>
          <w:rFonts w:ascii="Times New Roman" w:hAnsi="Times New Roman" w:cs="Times New Roman"/>
        </w:rPr>
        <w:footnoteReference w:id="19"/>
      </w:r>
    </w:p>
    <w:p w14:paraId="2AFC9670" w14:textId="77777777" w:rsidR="00491144" w:rsidRPr="009A4DB2" w:rsidRDefault="00491144" w:rsidP="009A4DB2">
      <w:pPr>
        <w:pStyle w:val="ListParagraph"/>
        <w:numPr>
          <w:ilvl w:val="0"/>
          <w:numId w:val="11"/>
        </w:numPr>
        <w:spacing w:after="0" w:line="360" w:lineRule="auto"/>
        <w:ind w:left="0" w:right="2" w:firstLine="567"/>
        <w:jc w:val="both"/>
        <w:rPr>
          <w:rFonts w:ascii="Times New Roman" w:hAnsi="Times New Roman" w:cs="Times New Roman"/>
        </w:rPr>
      </w:pPr>
      <w:r w:rsidRPr="009A4DB2">
        <w:rPr>
          <w:rFonts w:ascii="Times New Roman" w:hAnsi="Times New Roman" w:cs="Times New Roman"/>
          <w:bCs/>
        </w:rPr>
        <w:t>Keharusan (</w:t>
      </w:r>
      <w:r w:rsidRPr="009A4DB2">
        <w:rPr>
          <w:rFonts w:ascii="Times New Roman" w:hAnsi="Times New Roman" w:cs="Times New Roman"/>
          <w:bCs/>
          <w:i/>
        </w:rPr>
        <w:t>Necessity</w:t>
      </w:r>
      <w:r w:rsidRPr="009A4DB2">
        <w:rPr>
          <w:rFonts w:ascii="Times New Roman" w:hAnsi="Times New Roman" w:cs="Times New Roman"/>
          <w:bCs/>
        </w:rPr>
        <w:t>)</w:t>
      </w:r>
    </w:p>
    <w:p w14:paraId="37240C86" w14:textId="77777777" w:rsidR="00491144" w:rsidRPr="009A4DB2" w:rsidRDefault="00491144" w:rsidP="009A4DB2">
      <w:pPr>
        <w:spacing w:after="0" w:line="360" w:lineRule="auto"/>
        <w:ind w:right="2" w:firstLine="567"/>
        <w:jc w:val="both"/>
        <w:rPr>
          <w:rFonts w:ascii="Times New Roman" w:hAnsi="Times New Roman" w:cs="Times New Roman"/>
        </w:rPr>
      </w:pPr>
      <w:r w:rsidRPr="009A4DB2">
        <w:rPr>
          <w:rFonts w:ascii="Times New Roman" w:hAnsi="Times New Roman" w:cs="Times New Roman"/>
        </w:rPr>
        <w:t xml:space="preserve">Panduan ini menekankan bahwa penggunaan kekuatan harus menjadi langkah terakhir setelah semua metode </w:t>
      </w:r>
      <w:proofErr w:type="gramStart"/>
      <w:r w:rsidRPr="009A4DB2">
        <w:rPr>
          <w:rFonts w:ascii="Times New Roman" w:hAnsi="Times New Roman" w:cs="Times New Roman"/>
        </w:rPr>
        <w:t>lain</w:t>
      </w:r>
      <w:proofErr w:type="gramEnd"/>
      <w:r w:rsidRPr="009A4DB2">
        <w:rPr>
          <w:rFonts w:ascii="Times New Roman" w:hAnsi="Times New Roman" w:cs="Times New Roman"/>
        </w:rPr>
        <w:t xml:space="preserve">, seperti komunikasi persuasif dan negosiasi, terbukti tidak efektif. Contoh: Jika demonstrasi masih dapat diredam melalui pendekatan non-kekerasan, penggunaan alat pengendali </w:t>
      </w:r>
      <w:proofErr w:type="gramStart"/>
      <w:r w:rsidRPr="009A4DB2">
        <w:rPr>
          <w:rFonts w:ascii="Times New Roman" w:hAnsi="Times New Roman" w:cs="Times New Roman"/>
        </w:rPr>
        <w:t>massa</w:t>
      </w:r>
      <w:proofErr w:type="gramEnd"/>
      <w:r w:rsidRPr="009A4DB2">
        <w:rPr>
          <w:rFonts w:ascii="Times New Roman" w:hAnsi="Times New Roman" w:cs="Times New Roman"/>
        </w:rPr>
        <w:t xml:space="preserve"> seperti gas air mata atau semprotan air tidak boleh dilakukan.</w:t>
      </w:r>
    </w:p>
    <w:p w14:paraId="7D012F3E" w14:textId="77777777" w:rsidR="00491144" w:rsidRPr="009A4DB2" w:rsidRDefault="00491144" w:rsidP="009A4DB2">
      <w:pPr>
        <w:pStyle w:val="ListParagraph"/>
        <w:numPr>
          <w:ilvl w:val="0"/>
          <w:numId w:val="11"/>
        </w:numPr>
        <w:spacing w:after="0" w:line="360" w:lineRule="auto"/>
        <w:ind w:left="0" w:right="2" w:firstLine="567"/>
        <w:jc w:val="both"/>
        <w:rPr>
          <w:rFonts w:ascii="Times New Roman" w:hAnsi="Times New Roman" w:cs="Times New Roman"/>
          <w:bCs/>
        </w:rPr>
      </w:pPr>
      <w:r w:rsidRPr="009A4DB2">
        <w:rPr>
          <w:rFonts w:ascii="Times New Roman" w:hAnsi="Times New Roman" w:cs="Times New Roman"/>
          <w:bCs/>
        </w:rPr>
        <w:t>Kesesuaian (</w:t>
      </w:r>
      <w:r w:rsidRPr="009A4DB2">
        <w:rPr>
          <w:rFonts w:ascii="Times New Roman" w:hAnsi="Times New Roman" w:cs="Times New Roman"/>
          <w:bCs/>
          <w:i/>
        </w:rPr>
        <w:t>Suitability</w:t>
      </w:r>
      <w:r w:rsidRPr="009A4DB2">
        <w:rPr>
          <w:rFonts w:ascii="Times New Roman" w:hAnsi="Times New Roman" w:cs="Times New Roman"/>
          <w:bCs/>
        </w:rPr>
        <w:t>)</w:t>
      </w:r>
    </w:p>
    <w:p w14:paraId="317E5110" w14:textId="77777777" w:rsidR="00491144" w:rsidRPr="009A4DB2" w:rsidRDefault="00491144" w:rsidP="009A4DB2">
      <w:pPr>
        <w:tabs>
          <w:tab w:val="num" w:pos="720"/>
        </w:tabs>
        <w:spacing w:after="0" w:line="360" w:lineRule="auto"/>
        <w:ind w:right="2" w:firstLine="567"/>
        <w:jc w:val="both"/>
        <w:rPr>
          <w:rFonts w:ascii="Times New Roman" w:hAnsi="Times New Roman" w:cs="Times New Roman"/>
        </w:rPr>
      </w:pPr>
      <w:proofErr w:type="gramStart"/>
      <w:r w:rsidRPr="009A4DB2">
        <w:rPr>
          <w:rFonts w:ascii="Times New Roman" w:hAnsi="Times New Roman" w:cs="Times New Roman"/>
        </w:rPr>
        <w:t>Tindakan yang diambil harus sesuai dengan tujuan yang ingin dicapai, yaitu menjaga ketertiban umum tanpa melanggar hak konstitusional warga negara.</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Panduan ini harus menetapkan alat atau metode yang tepat untuk setiap tingkat ancaman.</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Misalnya, dalam situasi di mana demonstrasi mulai menunjukkan potensi anarki, penggunaan peralatan non-mematikan seperti tongkat atau tameng adalah langkah pertama sebelum eskalasi ke tindakan represif.</w:t>
      </w:r>
      <w:proofErr w:type="gramEnd"/>
    </w:p>
    <w:p w14:paraId="55F8B03F" w14:textId="77777777" w:rsidR="00491144" w:rsidRPr="009A4DB2" w:rsidRDefault="00491144" w:rsidP="009A4DB2">
      <w:pPr>
        <w:pStyle w:val="ListParagraph"/>
        <w:numPr>
          <w:ilvl w:val="0"/>
          <w:numId w:val="11"/>
        </w:numPr>
        <w:spacing w:after="0" w:line="360" w:lineRule="auto"/>
        <w:ind w:left="0" w:right="2" w:firstLine="567"/>
        <w:jc w:val="both"/>
        <w:rPr>
          <w:rFonts w:ascii="Times New Roman" w:hAnsi="Times New Roman" w:cs="Times New Roman"/>
          <w:bCs/>
        </w:rPr>
      </w:pPr>
      <w:r w:rsidRPr="009A4DB2">
        <w:rPr>
          <w:rFonts w:ascii="Times New Roman" w:hAnsi="Times New Roman" w:cs="Times New Roman"/>
          <w:bCs/>
        </w:rPr>
        <w:t>Keseimbangan (</w:t>
      </w:r>
      <w:r w:rsidRPr="009A4DB2">
        <w:rPr>
          <w:rFonts w:ascii="Times New Roman" w:hAnsi="Times New Roman" w:cs="Times New Roman"/>
          <w:bCs/>
          <w:i/>
        </w:rPr>
        <w:t>Balancing</w:t>
      </w:r>
      <w:r w:rsidRPr="009A4DB2">
        <w:rPr>
          <w:rFonts w:ascii="Times New Roman" w:hAnsi="Times New Roman" w:cs="Times New Roman"/>
          <w:bCs/>
        </w:rPr>
        <w:t>)</w:t>
      </w:r>
    </w:p>
    <w:p w14:paraId="408E4E22" w14:textId="77777777" w:rsidR="00491144" w:rsidRPr="009A4DB2" w:rsidRDefault="00491144" w:rsidP="009A4DB2">
      <w:pPr>
        <w:tabs>
          <w:tab w:val="num" w:pos="720"/>
        </w:tabs>
        <w:spacing w:after="0" w:line="360" w:lineRule="auto"/>
        <w:ind w:right="2" w:firstLine="567"/>
        <w:jc w:val="both"/>
        <w:rPr>
          <w:rFonts w:ascii="Times New Roman" w:hAnsi="Times New Roman" w:cs="Times New Roman"/>
        </w:rPr>
      </w:pPr>
      <w:proofErr w:type="gramStart"/>
      <w:r w:rsidRPr="009A4DB2">
        <w:rPr>
          <w:rFonts w:ascii="Times New Roman" w:hAnsi="Times New Roman" w:cs="Times New Roman"/>
        </w:rPr>
        <w:t>Panduan ini mengharuskan adanya analisis risiko dan manfaat sebelum tindakan diambil.</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Misalnya, kerugian akibat penggunaan kekuatan tidak boleh melebihi manfaat yang dihasilkan.</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Jika tindakan dapat menimbulkan kerugian besar bagi demonstran tetapi tidak signifikan dalam mengembalikan ketertiban, tindakan tersebut tidak dianggap proporsional.</w:t>
      </w:r>
      <w:proofErr w:type="gramEnd"/>
    </w:p>
    <w:p w14:paraId="2E5841C0" w14:textId="77777777" w:rsidR="00491144" w:rsidRPr="009A4DB2" w:rsidRDefault="00491144" w:rsidP="009A4DB2">
      <w:pPr>
        <w:spacing w:after="0" w:line="360" w:lineRule="auto"/>
        <w:ind w:right="2" w:firstLine="567"/>
        <w:jc w:val="both"/>
        <w:rPr>
          <w:rFonts w:ascii="Times New Roman" w:hAnsi="Times New Roman" w:cs="Times New Roman"/>
        </w:rPr>
      </w:pPr>
      <w:proofErr w:type="gramStart"/>
      <w:r w:rsidRPr="009A4DB2">
        <w:rPr>
          <w:rFonts w:ascii="Times New Roman" w:hAnsi="Times New Roman" w:cs="Times New Roman"/>
        </w:rPr>
        <w:t>Panduan implementasi prinsip proposionalitas adalah elemen kunci dalam membangun kepercayaan publik terhadap Polri sekaligus melindungi anggota Polri dari risiko hukum yang tidak adil.</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Dengan panduan yang jelas, pelatihan yang memadai, dan pengawasan yang ketat, penerapan prinsip ini dapat membantu Polri menjalankan tugasnya secara profesional dan bertanggung jawab, sambil tetap menghormati hak asasi manusia.</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Hal ini menjadi bagian integral dari pembangunan hukum kepolisian yang lebih progresif dan adaptif terhadap kebutuhan lapangan.</w:t>
      </w:r>
      <w:proofErr w:type="gramEnd"/>
    </w:p>
    <w:p w14:paraId="0ADF1C99" w14:textId="77777777" w:rsidR="00491144" w:rsidRPr="009A4DB2" w:rsidRDefault="00491144" w:rsidP="009A4DB2">
      <w:pPr>
        <w:pStyle w:val="ListParagraph"/>
        <w:numPr>
          <w:ilvl w:val="0"/>
          <w:numId w:val="3"/>
        </w:numPr>
        <w:spacing w:after="0" w:line="360" w:lineRule="auto"/>
        <w:ind w:left="0" w:right="2" w:firstLine="567"/>
        <w:jc w:val="both"/>
        <w:rPr>
          <w:rFonts w:ascii="Times New Roman" w:hAnsi="Times New Roman" w:cs="Times New Roman"/>
          <w:b/>
          <w:bCs/>
        </w:rPr>
      </w:pPr>
      <w:r w:rsidRPr="009A4DB2">
        <w:rPr>
          <w:rFonts w:ascii="Times New Roman" w:hAnsi="Times New Roman" w:cs="Times New Roman"/>
          <w:b/>
          <w:bCs/>
        </w:rPr>
        <w:t>Mekanisme Dukungan Hukum Internal</w:t>
      </w:r>
    </w:p>
    <w:p w14:paraId="2C58D5C0" w14:textId="77777777" w:rsidR="00491144" w:rsidRPr="009A4DB2" w:rsidRDefault="00491144" w:rsidP="009A4DB2">
      <w:pPr>
        <w:spacing w:after="0" w:line="360" w:lineRule="auto"/>
        <w:ind w:right="2" w:firstLine="567"/>
        <w:jc w:val="both"/>
        <w:rPr>
          <w:rFonts w:ascii="Times New Roman" w:hAnsi="Times New Roman" w:cs="Times New Roman"/>
        </w:rPr>
      </w:pPr>
      <w:r w:rsidRPr="009A4DB2">
        <w:rPr>
          <w:rFonts w:ascii="Times New Roman" w:hAnsi="Times New Roman" w:cs="Times New Roman"/>
        </w:rPr>
        <w:t>Untuk memastikan perlindungan hukum yang efektif, perlu dibangun mekanisme dukungan hukum internal di dalam institusi Polri, yang mencakup:</w:t>
      </w:r>
    </w:p>
    <w:p w14:paraId="670CFB1E" w14:textId="77777777" w:rsidR="00491144" w:rsidRPr="009A4DB2" w:rsidRDefault="00491144" w:rsidP="009A4DB2">
      <w:pPr>
        <w:numPr>
          <w:ilvl w:val="0"/>
          <w:numId w:val="4"/>
        </w:numPr>
        <w:tabs>
          <w:tab w:val="clear" w:pos="720"/>
        </w:tabs>
        <w:spacing w:after="0" w:line="360" w:lineRule="auto"/>
        <w:ind w:left="0" w:right="2" w:firstLine="567"/>
        <w:jc w:val="both"/>
        <w:rPr>
          <w:rFonts w:ascii="Times New Roman" w:hAnsi="Times New Roman" w:cs="Times New Roman"/>
        </w:rPr>
      </w:pPr>
      <w:r w:rsidRPr="009A4DB2">
        <w:rPr>
          <w:rFonts w:ascii="Times New Roman" w:hAnsi="Times New Roman" w:cs="Times New Roman"/>
          <w:bCs/>
        </w:rPr>
        <w:t>Tim Advokasi Internal</w:t>
      </w:r>
    </w:p>
    <w:p w14:paraId="780A9BF7" w14:textId="77777777" w:rsidR="00491144" w:rsidRPr="009A4DB2" w:rsidRDefault="00491144" w:rsidP="009A4DB2">
      <w:pPr>
        <w:spacing w:after="0" w:line="360" w:lineRule="auto"/>
        <w:ind w:right="2" w:firstLine="567"/>
        <w:jc w:val="both"/>
        <w:rPr>
          <w:rFonts w:ascii="Times New Roman" w:hAnsi="Times New Roman" w:cs="Times New Roman"/>
          <w:lang w:val="pt-BR"/>
        </w:rPr>
      </w:pPr>
      <w:r w:rsidRPr="009A4DB2">
        <w:rPr>
          <w:rFonts w:ascii="Times New Roman" w:hAnsi="Times New Roman" w:cs="Times New Roman"/>
        </w:rPr>
        <w:lastRenderedPageBreak/>
        <w:t xml:space="preserve">Pembentukan </w:t>
      </w:r>
      <w:proofErr w:type="gramStart"/>
      <w:r w:rsidRPr="009A4DB2">
        <w:rPr>
          <w:rFonts w:ascii="Times New Roman" w:hAnsi="Times New Roman" w:cs="Times New Roman"/>
        </w:rPr>
        <w:t>tim</w:t>
      </w:r>
      <w:proofErr w:type="gramEnd"/>
      <w:r w:rsidRPr="009A4DB2">
        <w:rPr>
          <w:rFonts w:ascii="Times New Roman" w:hAnsi="Times New Roman" w:cs="Times New Roman"/>
        </w:rPr>
        <w:t xml:space="preserve"> hukum khusus untuk memberikan pendampingan kepada anggota Polri yang menghadapi gugatan hukum akibat tindakan operasional mereka. </w:t>
      </w:r>
      <w:r w:rsidRPr="009A4DB2">
        <w:rPr>
          <w:rFonts w:ascii="Times New Roman" w:hAnsi="Times New Roman" w:cs="Times New Roman"/>
          <w:lang w:val="pt-BR"/>
        </w:rPr>
        <w:t>Tim ini bertugas mendampingi sejak investigasi awal hingga proses peradilan.</w:t>
      </w:r>
    </w:p>
    <w:p w14:paraId="4A0E4C6A" w14:textId="77777777" w:rsidR="00491144" w:rsidRPr="009A4DB2" w:rsidRDefault="00491144" w:rsidP="009A4DB2">
      <w:pPr>
        <w:numPr>
          <w:ilvl w:val="0"/>
          <w:numId w:val="4"/>
        </w:numPr>
        <w:tabs>
          <w:tab w:val="clear" w:pos="720"/>
        </w:tabs>
        <w:spacing w:after="0" w:line="360" w:lineRule="auto"/>
        <w:ind w:left="0" w:right="2" w:firstLine="567"/>
        <w:jc w:val="both"/>
        <w:rPr>
          <w:rFonts w:ascii="Times New Roman" w:hAnsi="Times New Roman" w:cs="Times New Roman"/>
        </w:rPr>
      </w:pPr>
      <w:r w:rsidRPr="009A4DB2">
        <w:rPr>
          <w:rFonts w:ascii="Times New Roman" w:hAnsi="Times New Roman" w:cs="Times New Roman"/>
          <w:bCs/>
        </w:rPr>
        <w:t>Evaluasi Internal Berbasis Independen</w:t>
      </w:r>
    </w:p>
    <w:p w14:paraId="219657C0" w14:textId="77777777" w:rsidR="00491144" w:rsidRPr="009A4DB2" w:rsidRDefault="00491144" w:rsidP="009A4DB2">
      <w:pPr>
        <w:spacing w:after="0" w:line="360" w:lineRule="auto"/>
        <w:ind w:right="2" w:firstLine="567"/>
        <w:jc w:val="both"/>
        <w:rPr>
          <w:rFonts w:ascii="Times New Roman" w:hAnsi="Times New Roman" w:cs="Times New Roman"/>
        </w:rPr>
      </w:pPr>
      <w:r w:rsidRPr="009A4DB2">
        <w:rPr>
          <w:rFonts w:ascii="Times New Roman" w:hAnsi="Times New Roman" w:cs="Times New Roman"/>
        </w:rPr>
        <w:t xml:space="preserve">Mengoptimalkan Divisi Propam Polri dengan pendekatan independen dan berimbang untuk menilai tindakan anggota Polri dalam pengendalian </w:t>
      </w:r>
      <w:proofErr w:type="gramStart"/>
      <w:r w:rsidRPr="009A4DB2">
        <w:rPr>
          <w:rFonts w:ascii="Times New Roman" w:hAnsi="Times New Roman" w:cs="Times New Roman"/>
        </w:rPr>
        <w:t>massa</w:t>
      </w:r>
      <w:proofErr w:type="gramEnd"/>
      <w:r w:rsidRPr="009A4DB2">
        <w:rPr>
          <w:rFonts w:ascii="Times New Roman" w:hAnsi="Times New Roman" w:cs="Times New Roman"/>
        </w:rPr>
        <w:t>, sehingga melindungi mereka dari tekanan internal maupun eksternal yang tidak adil.</w:t>
      </w:r>
    </w:p>
    <w:p w14:paraId="1FB1210A" w14:textId="77777777" w:rsidR="00491144" w:rsidRPr="009A4DB2" w:rsidRDefault="00491144" w:rsidP="009A4DB2">
      <w:pPr>
        <w:numPr>
          <w:ilvl w:val="0"/>
          <w:numId w:val="4"/>
        </w:numPr>
        <w:tabs>
          <w:tab w:val="clear" w:pos="720"/>
        </w:tabs>
        <w:spacing w:after="0" w:line="360" w:lineRule="auto"/>
        <w:ind w:left="0" w:right="2" w:firstLine="567"/>
        <w:jc w:val="both"/>
        <w:rPr>
          <w:rFonts w:ascii="Times New Roman" w:hAnsi="Times New Roman" w:cs="Times New Roman"/>
        </w:rPr>
      </w:pPr>
      <w:r w:rsidRPr="009A4DB2">
        <w:rPr>
          <w:rFonts w:ascii="Times New Roman" w:hAnsi="Times New Roman" w:cs="Times New Roman"/>
          <w:bCs/>
        </w:rPr>
        <w:t>Asuransi dan Jaminan Hukum</w:t>
      </w:r>
    </w:p>
    <w:p w14:paraId="694D50A0" w14:textId="77777777" w:rsidR="00491144" w:rsidRPr="009A4DB2" w:rsidRDefault="00491144" w:rsidP="009A4DB2">
      <w:pPr>
        <w:spacing w:after="0" w:line="360" w:lineRule="auto"/>
        <w:ind w:right="2" w:firstLine="567"/>
        <w:jc w:val="both"/>
        <w:rPr>
          <w:rFonts w:ascii="Times New Roman" w:hAnsi="Times New Roman" w:cs="Times New Roman"/>
        </w:rPr>
      </w:pPr>
      <w:proofErr w:type="gramStart"/>
      <w:r w:rsidRPr="009A4DB2">
        <w:rPr>
          <w:rFonts w:ascii="Times New Roman" w:hAnsi="Times New Roman" w:cs="Times New Roman"/>
        </w:rPr>
        <w:t>Memberikan jaminan perlindungan hukum dan finansial kepada anggota Polri yang menghadapi risiko gugatan hukum, termasuk pembiayaan untuk pendampingan hukum.</w:t>
      </w:r>
      <w:proofErr w:type="gramEnd"/>
    </w:p>
    <w:p w14:paraId="561AFBB7" w14:textId="77777777" w:rsidR="00491144" w:rsidRPr="009A4DB2" w:rsidRDefault="00491144" w:rsidP="009A4DB2">
      <w:pPr>
        <w:pStyle w:val="ListParagraph"/>
        <w:numPr>
          <w:ilvl w:val="0"/>
          <w:numId w:val="3"/>
        </w:numPr>
        <w:spacing w:after="0" w:line="360" w:lineRule="auto"/>
        <w:ind w:left="0" w:right="2" w:firstLine="567"/>
        <w:jc w:val="both"/>
        <w:rPr>
          <w:rFonts w:ascii="Times New Roman" w:hAnsi="Times New Roman" w:cs="Times New Roman"/>
          <w:b/>
          <w:bCs/>
        </w:rPr>
      </w:pPr>
      <w:r w:rsidRPr="009A4DB2">
        <w:rPr>
          <w:rFonts w:ascii="Times New Roman" w:hAnsi="Times New Roman" w:cs="Times New Roman"/>
          <w:b/>
          <w:bCs/>
        </w:rPr>
        <w:t>Penguatan Akuntabilitas Berbasis Perlindungan</w:t>
      </w:r>
    </w:p>
    <w:p w14:paraId="64378367" w14:textId="77777777" w:rsidR="00491144" w:rsidRPr="009A4DB2" w:rsidRDefault="00491144" w:rsidP="009A4DB2">
      <w:pPr>
        <w:spacing w:after="0" w:line="360" w:lineRule="auto"/>
        <w:ind w:right="2" w:firstLine="567"/>
        <w:jc w:val="both"/>
        <w:rPr>
          <w:rFonts w:ascii="Times New Roman" w:hAnsi="Times New Roman" w:cs="Times New Roman"/>
        </w:rPr>
      </w:pPr>
      <w:proofErr w:type="gramStart"/>
      <w:r w:rsidRPr="009A4DB2">
        <w:rPr>
          <w:rFonts w:ascii="Times New Roman" w:hAnsi="Times New Roman" w:cs="Times New Roman"/>
        </w:rPr>
        <w:t>Dalam konteks pengendalian demonstrasi anarkis, akuntabilitas berbasis perlindungan menjadi krusial untuk menjaga legitimasi tindakan kepolisian dan kepercayaan publik terhadap institusi Polri.</w:t>
      </w:r>
      <w:proofErr w:type="gramEnd"/>
    </w:p>
    <w:p w14:paraId="40B90426" w14:textId="77777777" w:rsidR="00491144" w:rsidRPr="009A4DB2" w:rsidRDefault="00491144" w:rsidP="009A4DB2">
      <w:pPr>
        <w:numPr>
          <w:ilvl w:val="0"/>
          <w:numId w:val="5"/>
        </w:numPr>
        <w:tabs>
          <w:tab w:val="clear" w:pos="720"/>
        </w:tabs>
        <w:spacing w:after="0" w:line="360" w:lineRule="auto"/>
        <w:ind w:left="0" w:right="2" w:firstLine="567"/>
        <w:jc w:val="both"/>
        <w:rPr>
          <w:rFonts w:ascii="Times New Roman" w:hAnsi="Times New Roman" w:cs="Times New Roman"/>
        </w:rPr>
      </w:pPr>
      <w:r w:rsidRPr="009A4DB2">
        <w:rPr>
          <w:rFonts w:ascii="Times New Roman" w:hAnsi="Times New Roman" w:cs="Times New Roman"/>
          <w:bCs/>
        </w:rPr>
        <w:t>Mekanisme Review Independen</w:t>
      </w:r>
    </w:p>
    <w:p w14:paraId="14E0F7B4" w14:textId="77777777" w:rsidR="00491144" w:rsidRPr="009A4DB2" w:rsidRDefault="00491144" w:rsidP="009A4DB2">
      <w:pPr>
        <w:spacing w:after="0" w:line="360" w:lineRule="auto"/>
        <w:ind w:right="2" w:firstLine="567"/>
        <w:jc w:val="both"/>
        <w:rPr>
          <w:rFonts w:ascii="Times New Roman" w:hAnsi="Times New Roman" w:cs="Times New Roman"/>
        </w:rPr>
      </w:pPr>
      <w:r w:rsidRPr="009A4DB2">
        <w:rPr>
          <w:rFonts w:ascii="Times New Roman" w:hAnsi="Times New Roman" w:cs="Times New Roman"/>
        </w:rPr>
        <w:t>Dibentuknya panel pengawasan independen yang terdiri dari ahli hukum, perwakilan masyarakat, dan pejabat kepolisian untuk mengevaluasi tindakan Polri dalam situasi tertentu, guna memastikan bahwa keputusan operasional anggota Polri tidak menjadi dasar kriminalisasi yang tidak adil.</w:t>
      </w:r>
    </w:p>
    <w:p w14:paraId="158B7C53" w14:textId="77777777" w:rsidR="00491144" w:rsidRPr="009A4DB2" w:rsidRDefault="00491144" w:rsidP="009A4DB2">
      <w:pPr>
        <w:numPr>
          <w:ilvl w:val="0"/>
          <w:numId w:val="5"/>
        </w:numPr>
        <w:tabs>
          <w:tab w:val="clear" w:pos="720"/>
        </w:tabs>
        <w:spacing w:after="0" w:line="360" w:lineRule="auto"/>
        <w:ind w:left="0" w:right="2" w:firstLine="567"/>
        <w:jc w:val="both"/>
        <w:rPr>
          <w:rFonts w:ascii="Times New Roman" w:hAnsi="Times New Roman" w:cs="Times New Roman"/>
        </w:rPr>
      </w:pPr>
      <w:r w:rsidRPr="009A4DB2">
        <w:rPr>
          <w:rFonts w:ascii="Times New Roman" w:hAnsi="Times New Roman" w:cs="Times New Roman"/>
          <w:bCs/>
        </w:rPr>
        <w:t>Pelatihan Berbasis Hak Asasi Manusia dan Hukum Operasional</w:t>
      </w:r>
    </w:p>
    <w:p w14:paraId="232D3E04" w14:textId="77777777" w:rsidR="00491144" w:rsidRPr="009A4DB2" w:rsidRDefault="00491144" w:rsidP="009A4DB2">
      <w:pPr>
        <w:spacing w:after="0" w:line="360" w:lineRule="auto"/>
        <w:ind w:right="2" w:firstLine="567"/>
        <w:jc w:val="both"/>
        <w:rPr>
          <w:rFonts w:ascii="Times New Roman" w:hAnsi="Times New Roman" w:cs="Times New Roman"/>
        </w:rPr>
      </w:pPr>
      <w:r w:rsidRPr="009A4DB2">
        <w:rPr>
          <w:rFonts w:ascii="Times New Roman" w:hAnsi="Times New Roman" w:cs="Times New Roman"/>
        </w:rPr>
        <w:t xml:space="preserve">Peningkatan kapasitas anggota Polri melalui pelatihan yang berorientasi pada manajemen risiko hukum, pengendalian </w:t>
      </w:r>
      <w:proofErr w:type="gramStart"/>
      <w:r w:rsidRPr="009A4DB2">
        <w:rPr>
          <w:rFonts w:ascii="Times New Roman" w:hAnsi="Times New Roman" w:cs="Times New Roman"/>
        </w:rPr>
        <w:t>massa</w:t>
      </w:r>
      <w:proofErr w:type="gramEnd"/>
      <w:r w:rsidRPr="009A4DB2">
        <w:rPr>
          <w:rFonts w:ascii="Times New Roman" w:hAnsi="Times New Roman" w:cs="Times New Roman"/>
        </w:rPr>
        <w:t xml:space="preserve"> berbasis hak asasi manusia, dan penegakan hukum sesuai standar internasional.</w:t>
      </w:r>
    </w:p>
    <w:p w14:paraId="19B0EC55" w14:textId="77777777" w:rsidR="00491144" w:rsidRPr="009A4DB2" w:rsidRDefault="00491144" w:rsidP="009A4DB2">
      <w:pPr>
        <w:numPr>
          <w:ilvl w:val="0"/>
          <w:numId w:val="5"/>
        </w:numPr>
        <w:tabs>
          <w:tab w:val="clear" w:pos="720"/>
        </w:tabs>
        <w:spacing w:after="0" w:line="360" w:lineRule="auto"/>
        <w:ind w:left="0" w:right="2" w:firstLine="567"/>
        <w:jc w:val="both"/>
        <w:rPr>
          <w:rFonts w:ascii="Times New Roman" w:hAnsi="Times New Roman" w:cs="Times New Roman"/>
        </w:rPr>
      </w:pPr>
      <w:r w:rsidRPr="009A4DB2">
        <w:rPr>
          <w:rFonts w:ascii="Times New Roman" w:hAnsi="Times New Roman" w:cs="Times New Roman"/>
          <w:bCs/>
        </w:rPr>
        <w:t>Sistem Dokumentasi yang Transparan</w:t>
      </w:r>
    </w:p>
    <w:p w14:paraId="33673A4B" w14:textId="77777777" w:rsidR="00491144" w:rsidRPr="009A4DB2" w:rsidRDefault="00491144" w:rsidP="009A4DB2">
      <w:pPr>
        <w:spacing w:after="0" w:line="360" w:lineRule="auto"/>
        <w:ind w:right="2" w:firstLine="567"/>
        <w:jc w:val="both"/>
        <w:rPr>
          <w:rFonts w:ascii="Times New Roman" w:hAnsi="Times New Roman" w:cs="Times New Roman"/>
          <w:lang w:val="pt-BR"/>
        </w:rPr>
      </w:pPr>
      <w:r w:rsidRPr="009A4DB2">
        <w:rPr>
          <w:rFonts w:ascii="Times New Roman" w:hAnsi="Times New Roman" w:cs="Times New Roman"/>
        </w:rPr>
        <w:t xml:space="preserve">Pemanfaatan teknologi, seperti kamera tubuh (body camera), untuk mendokumentasikan tindakan anggota Polri selama pengendalian </w:t>
      </w:r>
      <w:proofErr w:type="gramStart"/>
      <w:r w:rsidRPr="009A4DB2">
        <w:rPr>
          <w:rFonts w:ascii="Times New Roman" w:hAnsi="Times New Roman" w:cs="Times New Roman"/>
        </w:rPr>
        <w:t>massa</w:t>
      </w:r>
      <w:proofErr w:type="gramEnd"/>
      <w:r w:rsidRPr="009A4DB2">
        <w:rPr>
          <w:rFonts w:ascii="Times New Roman" w:hAnsi="Times New Roman" w:cs="Times New Roman"/>
        </w:rPr>
        <w:t xml:space="preserve">. </w:t>
      </w:r>
      <w:r w:rsidRPr="009A4DB2">
        <w:rPr>
          <w:rFonts w:ascii="Times New Roman" w:hAnsi="Times New Roman" w:cs="Times New Roman"/>
          <w:lang w:val="pt-BR"/>
        </w:rPr>
        <w:t>Bukti ini dapat menjadi dasar perlindungan hukum dalam kasus gugatan atau investigasi.</w:t>
      </w:r>
    </w:p>
    <w:p w14:paraId="1A3418AE" w14:textId="77777777" w:rsidR="00491144" w:rsidRPr="009A4DB2" w:rsidRDefault="00491144" w:rsidP="009A4DB2">
      <w:pPr>
        <w:spacing w:after="0" w:line="360" w:lineRule="auto"/>
        <w:ind w:right="2" w:firstLine="567"/>
        <w:jc w:val="both"/>
        <w:rPr>
          <w:rFonts w:ascii="Times New Roman" w:hAnsi="Times New Roman" w:cs="Times New Roman"/>
          <w:lang w:val="pt-BR"/>
        </w:rPr>
      </w:pPr>
      <w:r w:rsidRPr="009A4DB2">
        <w:rPr>
          <w:rFonts w:ascii="Times New Roman" w:hAnsi="Times New Roman" w:cs="Times New Roman"/>
          <w:lang w:val="pt-BR"/>
        </w:rPr>
        <w:t xml:space="preserve">Perlindungan hukum yang memadai bagi anggota Polri tidak hanya penting untuk menjamin keadilan bagi aparat penegak hukum, tetapi juga untuk memastikan bahwa tindakan kepolisian yang dilakukan dalam penanganan demonstrasi anarkis tetap sesuai dengan prinsip supremasi hukum dan hak asasi manusia. Sebagaimana dikemukakan oleh Friedman, hukum yang baik adalah hukum yang tidak hanya memberikan kepastian, tetapi juga mampu melindungi dan memberikan rasa aman kepada pihak-pihak yang </w:t>
      </w:r>
      <w:r w:rsidRPr="009A4DB2">
        <w:rPr>
          <w:rFonts w:ascii="Times New Roman" w:hAnsi="Times New Roman" w:cs="Times New Roman"/>
          <w:lang w:val="pt-BR"/>
        </w:rPr>
        <w:lastRenderedPageBreak/>
        <w:t>berperan dalam penegakannya.</w:t>
      </w:r>
      <w:r w:rsidRPr="009A4DB2">
        <w:rPr>
          <w:rStyle w:val="FootnoteReference"/>
          <w:rFonts w:ascii="Times New Roman" w:hAnsi="Times New Roman" w:cs="Times New Roman"/>
        </w:rPr>
        <w:footnoteReference w:id="20"/>
      </w:r>
      <w:r w:rsidRPr="009A4DB2">
        <w:rPr>
          <w:rFonts w:ascii="Times New Roman" w:hAnsi="Times New Roman" w:cs="Times New Roman"/>
          <w:lang w:val="pt-BR"/>
        </w:rPr>
        <w:t xml:space="preserve"> Dengan demikian, rekonstruksi sistem hukum yang memberikan keseimbangan antara perlindungan bagi anggota Polri dan akuntabilitas tindakan mereka adalah langkah mendesak dalam pembangunan hukum kepolisian di Indonesia.</w:t>
      </w:r>
    </w:p>
    <w:p w14:paraId="5BA37EFC" w14:textId="77777777" w:rsidR="00491144" w:rsidRPr="009A4DB2" w:rsidRDefault="00491144" w:rsidP="009A4DB2">
      <w:pPr>
        <w:spacing w:after="0" w:line="360" w:lineRule="auto"/>
        <w:ind w:right="2" w:firstLine="567"/>
        <w:jc w:val="both"/>
        <w:rPr>
          <w:rFonts w:ascii="Times New Roman" w:hAnsi="Times New Roman" w:cs="Times New Roman"/>
          <w:lang w:val="pt-BR"/>
        </w:rPr>
      </w:pPr>
    </w:p>
    <w:p w14:paraId="2A4B7718" w14:textId="77777777" w:rsidR="00491144" w:rsidRPr="009A4DB2" w:rsidRDefault="00491144" w:rsidP="009A4DB2">
      <w:pPr>
        <w:numPr>
          <w:ilvl w:val="0"/>
          <w:numId w:val="1"/>
        </w:numPr>
        <w:pBdr>
          <w:top w:val="nil"/>
          <w:left w:val="nil"/>
          <w:bottom w:val="nil"/>
          <w:right w:val="nil"/>
          <w:between w:val="nil"/>
        </w:pBdr>
        <w:spacing w:after="0" w:line="360" w:lineRule="auto"/>
        <w:ind w:left="0" w:right="2" w:firstLine="567"/>
        <w:jc w:val="both"/>
        <w:rPr>
          <w:rFonts w:ascii="Times New Roman" w:hAnsi="Times New Roman" w:cs="Times New Roman"/>
        </w:rPr>
      </w:pPr>
      <w:r w:rsidRPr="009A4DB2">
        <w:rPr>
          <w:rFonts w:ascii="Times New Roman" w:eastAsia="Palatino Linotype" w:hAnsi="Times New Roman" w:cs="Times New Roman"/>
          <w:b/>
          <w:color w:val="000000"/>
        </w:rPr>
        <w:t>KESIMPULAN</w:t>
      </w:r>
    </w:p>
    <w:p w14:paraId="2C249CA0" w14:textId="77777777" w:rsidR="00491144" w:rsidRPr="009A4DB2" w:rsidRDefault="00491144" w:rsidP="009A4DB2">
      <w:pPr>
        <w:spacing w:after="0" w:line="360" w:lineRule="auto"/>
        <w:ind w:right="2" w:firstLine="567"/>
        <w:jc w:val="both"/>
        <w:rPr>
          <w:rFonts w:ascii="Times New Roman" w:hAnsi="Times New Roman" w:cs="Times New Roman"/>
        </w:rPr>
      </w:pPr>
      <w:proofErr w:type="gramStart"/>
      <w:r w:rsidRPr="009A4DB2">
        <w:rPr>
          <w:rFonts w:ascii="Times New Roman" w:hAnsi="Times New Roman" w:cs="Times New Roman"/>
        </w:rPr>
        <w:t>Penanganan demonstrasi anarkis di Indonesia oleh Kepolisian Republik Indonesia (Polri) menghadirkan tantangan yang signifikan dalam menjaga keseimbangan antara penghormatan terhadap hak konstitusional warga negara dan kebutuhan untuk memastikan ketertiban umum.</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Kerangka hukum yang ada saat ini, meskipun memberikan panduan umum, belum mampu memberikan perlindungan hukum yang memadai bagi anggota Polri yang bertindak dalam situasi darurat yang berisiko tinggi.</w:t>
      </w:r>
      <w:proofErr w:type="gramEnd"/>
      <w:r w:rsidRPr="009A4DB2">
        <w:rPr>
          <w:rFonts w:ascii="Times New Roman" w:hAnsi="Times New Roman" w:cs="Times New Roman"/>
        </w:rPr>
        <w:t xml:space="preserve"> Tindakan berbasis diskresi dan prinsip proposionalitas menjadi aspek kritis dalam pengendalian </w:t>
      </w:r>
      <w:proofErr w:type="gramStart"/>
      <w:r w:rsidRPr="009A4DB2">
        <w:rPr>
          <w:rFonts w:ascii="Times New Roman" w:hAnsi="Times New Roman" w:cs="Times New Roman"/>
        </w:rPr>
        <w:t>massa</w:t>
      </w:r>
      <w:proofErr w:type="gramEnd"/>
      <w:r w:rsidRPr="009A4DB2">
        <w:rPr>
          <w:rFonts w:ascii="Times New Roman" w:hAnsi="Times New Roman" w:cs="Times New Roman"/>
        </w:rPr>
        <w:t xml:space="preserve">, tetapi sering kali menimbulkan risiko kriminalisasi akibat kurangnya regulasi yang spesifik, mekanisme evaluasi yang adil, dan dukungan hukum internal yang efektif. Oleh karena itu, diperlukan rekonstruksi bentuk perlindungan hukum bagi anggota Polri yang bertugas dalam situasi pengendalian massa berisiko tinggi dengan fokus pada 3 (tiga) aspek utama yaitu: 1) </w:t>
      </w:r>
      <w:r w:rsidRPr="009A4DB2">
        <w:rPr>
          <w:rFonts w:ascii="Times New Roman" w:hAnsi="Times New Roman" w:cs="Times New Roman"/>
          <w:bCs/>
        </w:rPr>
        <w:t xml:space="preserve">peraturan hukum yang lebih spesifik yang secara eksplisit mengatur perlindungan hukum bagi anggota Polri dengan mencakup: </w:t>
      </w:r>
      <w:r w:rsidRPr="009A4DB2">
        <w:rPr>
          <w:rFonts w:ascii="Times New Roman" w:hAnsi="Times New Roman" w:cs="Times New Roman"/>
        </w:rPr>
        <w:t xml:space="preserve">pembaruan dalam Standar Prosedur Operasional (SOP), klausul perlindungan diskresi, dan panduan implementasi prinsip proposionalitas yang jelas dan berbasis hukum; 2) </w:t>
      </w:r>
      <w:r w:rsidRPr="009A4DB2">
        <w:rPr>
          <w:rFonts w:ascii="Times New Roman" w:hAnsi="Times New Roman" w:cs="Times New Roman"/>
          <w:bCs/>
        </w:rPr>
        <w:t>mekanisme dukungan hukum internal</w:t>
      </w:r>
      <w:r w:rsidRPr="009A4DB2">
        <w:rPr>
          <w:rFonts w:ascii="Times New Roman" w:hAnsi="Times New Roman" w:cs="Times New Roman"/>
        </w:rPr>
        <w:t xml:space="preserve">; dan 3) </w:t>
      </w:r>
      <w:r w:rsidRPr="009A4DB2">
        <w:rPr>
          <w:rFonts w:ascii="Times New Roman" w:hAnsi="Times New Roman" w:cs="Times New Roman"/>
          <w:bCs/>
        </w:rPr>
        <w:t xml:space="preserve">penguatan akuntabilitas berbasis perlindungan. </w:t>
      </w:r>
      <w:r w:rsidRPr="009A4DB2">
        <w:rPr>
          <w:rFonts w:ascii="Times New Roman" w:hAnsi="Times New Roman" w:cs="Times New Roman"/>
        </w:rPr>
        <w:t xml:space="preserve">Langkah-langkah ini tidak hanya </w:t>
      </w:r>
      <w:proofErr w:type="gramStart"/>
      <w:r w:rsidRPr="009A4DB2">
        <w:rPr>
          <w:rFonts w:ascii="Times New Roman" w:hAnsi="Times New Roman" w:cs="Times New Roman"/>
        </w:rPr>
        <w:t>akan</w:t>
      </w:r>
      <w:proofErr w:type="gramEnd"/>
      <w:r w:rsidRPr="009A4DB2">
        <w:rPr>
          <w:rFonts w:ascii="Times New Roman" w:hAnsi="Times New Roman" w:cs="Times New Roman"/>
        </w:rPr>
        <w:t xml:space="preserve"> meningkatkan legitimasi tindakan kepolisian di mata publik, tetapi juga memberikan perlindungan hukum yang esensial bagi anggota Polri dalam menjalankan tugas negara.</w:t>
      </w:r>
    </w:p>
    <w:p w14:paraId="139975DA" w14:textId="77777777" w:rsidR="00491144" w:rsidRPr="009A4DB2" w:rsidRDefault="00491144" w:rsidP="009A4DB2">
      <w:pPr>
        <w:spacing w:after="0" w:line="360" w:lineRule="auto"/>
        <w:ind w:right="2" w:firstLine="567"/>
        <w:jc w:val="both"/>
        <w:rPr>
          <w:rFonts w:ascii="Times New Roman" w:hAnsi="Times New Roman" w:cs="Times New Roman"/>
        </w:rPr>
      </w:pPr>
      <w:proofErr w:type="gramStart"/>
      <w:r w:rsidRPr="009A4DB2">
        <w:rPr>
          <w:rFonts w:ascii="Times New Roman" w:hAnsi="Times New Roman" w:cs="Times New Roman"/>
        </w:rPr>
        <w:t>Untuk memperkuat perlindungan hukum bagi anggota Polri dalam penanganan demonstrasi anarkis, diperlukan beberapa langkah strategis.</w:t>
      </w:r>
      <w:proofErr w:type="gramEnd"/>
      <w:r w:rsidRPr="009A4DB2">
        <w:rPr>
          <w:rFonts w:ascii="Times New Roman" w:hAnsi="Times New Roman" w:cs="Times New Roman"/>
        </w:rPr>
        <w:t xml:space="preserve"> </w:t>
      </w:r>
      <w:r w:rsidRPr="009A4DB2">
        <w:rPr>
          <w:rFonts w:ascii="Times New Roman" w:hAnsi="Times New Roman" w:cs="Times New Roman"/>
          <w:i/>
        </w:rPr>
        <w:t>Pertama</w:t>
      </w:r>
      <w:r w:rsidRPr="009A4DB2">
        <w:rPr>
          <w:rFonts w:ascii="Times New Roman" w:hAnsi="Times New Roman" w:cs="Times New Roman"/>
        </w:rPr>
        <w:t xml:space="preserve">, pemerintah dan legislator perlu segera menyusun atau merevisi </w:t>
      </w:r>
      <w:r w:rsidRPr="009A4DB2">
        <w:rPr>
          <w:rFonts w:ascii="Times New Roman" w:hAnsi="Times New Roman" w:cs="Times New Roman"/>
          <w:bCs/>
        </w:rPr>
        <w:t>Undang-Undang Nomor 2 Tahun 2002 tentang Kepolisian Negara Republik Indonesia, untuk mengatur secara eksplisit perlindungan hukum bagi anggota Polri</w:t>
      </w:r>
      <w:r w:rsidRPr="009A4DB2">
        <w:rPr>
          <w:rFonts w:ascii="Times New Roman" w:hAnsi="Times New Roman" w:cs="Times New Roman"/>
        </w:rPr>
        <w:t xml:space="preserve">, dengan merujuk pada standar internasional seperti Prinsip Dasar PBB tentang Penggunaan Kekuatan dan Senjata Api. </w:t>
      </w:r>
      <w:r w:rsidRPr="009A4DB2">
        <w:rPr>
          <w:rFonts w:ascii="Times New Roman" w:hAnsi="Times New Roman" w:cs="Times New Roman"/>
          <w:i/>
        </w:rPr>
        <w:t>Kedua</w:t>
      </w:r>
      <w:r w:rsidRPr="009A4DB2">
        <w:rPr>
          <w:rFonts w:ascii="Times New Roman" w:hAnsi="Times New Roman" w:cs="Times New Roman"/>
        </w:rPr>
        <w:t xml:space="preserve">, Polri harus meningkatkan kapasitas anggotanya melalui pelatihan berkelanjutan yang berfokus </w:t>
      </w:r>
      <w:r w:rsidRPr="009A4DB2">
        <w:rPr>
          <w:rFonts w:ascii="Times New Roman" w:hAnsi="Times New Roman" w:cs="Times New Roman"/>
        </w:rPr>
        <w:lastRenderedPageBreak/>
        <w:t xml:space="preserve">pada penggunaan diskresi, prinsip proposionalitas, dan manajemen pengendalian </w:t>
      </w:r>
      <w:proofErr w:type="gramStart"/>
      <w:r w:rsidRPr="009A4DB2">
        <w:rPr>
          <w:rFonts w:ascii="Times New Roman" w:hAnsi="Times New Roman" w:cs="Times New Roman"/>
        </w:rPr>
        <w:t>massa</w:t>
      </w:r>
      <w:proofErr w:type="gramEnd"/>
      <w:r w:rsidRPr="009A4DB2">
        <w:rPr>
          <w:rFonts w:ascii="Times New Roman" w:hAnsi="Times New Roman" w:cs="Times New Roman"/>
        </w:rPr>
        <w:t xml:space="preserve"> berbasis hak asasi manusia. </w:t>
      </w:r>
      <w:proofErr w:type="gramStart"/>
      <w:r w:rsidRPr="009A4DB2">
        <w:rPr>
          <w:rFonts w:ascii="Times New Roman" w:hAnsi="Times New Roman" w:cs="Times New Roman"/>
          <w:i/>
        </w:rPr>
        <w:t>Ketiga</w:t>
      </w:r>
      <w:r w:rsidRPr="009A4DB2">
        <w:rPr>
          <w:rFonts w:ascii="Times New Roman" w:hAnsi="Times New Roman" w:cs="Times New Roman"/>
        </w:rPr>
        <w:t>, diperlukan pengawasan yang transparan dan independen terhadap tindakan kepolisian untuk memastikan akuntabilitas yang seimbang tanpa mengurangi perlindungan hukum.</w:t>
      </w:r>
      <w:proofErr w:type="gramEnd"/>
      <w:r w:rsidRPr="009A4DB2">
        <w:rPr>
          <w:rFonts w:ascii="Times New Roman" w:hAnsi="Times New Roman" w:cs="Times New Roman"/>
        </w:rPr>
        <w:t xml:space="preserve"> </w:t>
      </w:r>
      <w:proofErr w:type="gramStart"/>
      <w:r w:rsidRPr="009A4DB2">
        <w:rPr>
          <w:rFonts w:ascii="Times New Roman" w:hAnsi="Times New Roman" w:cs="Times New Roman"/>
        </w:rPr>
        <w:t>Terakhir, pemanfaatan teknologi seperti kamera tubuh dan sistem dokumentasi elektronik harus dioptimalkan untuk mendukung pembuktian tindakan di lapangan.</w:t>
      </w:r>
      <w:proofErr w:type="gramEnd"/>
      <w:r w:rsidRPr="009A4DB2">
        <w:rPr>
          <w:rFonts w:ascii="Times New Roman" w:hAnsi="Times New Roman" w:cs="Times New Roman"/>
        </w:rPr>
        <w:t xml:space="preserve"> Implementasi saran-saran ini </w:t>
      </w:r>
      <w:proofErr w:type="gramStart"/>
      <w:r w:rsidRPr="009A4DB2">
        <w:rPr>
          <w:rFonts w:ascii="Times New Roman" w:hAnsi="Times New Roman" w:cs="Times New Roman"/>
        </w:rPr>
        <w:t>akan</w:t>
      </w:r>
      <w:proofErr w:type="gramEnd"/>
      <w:r w:rsidRPr="009A4DB2">
        <w:rPr>
          <w:rFonts w:ascii="Times New Roman" w:hAnsi="Times New Roman" w:cs="Times New Roman"/>
        </w:rPr>
        <w:t xml:space="preserve"> memperkuat sistem hukum kepolisian, mendukung profesionalisme Polri, dan menjaga kepercayaan masyarakat terhadap institusi penegak hukum.</w:t>
      </w:r>
    </w:p>
    <w:p w14:paraId="014AE9DE" w14:textId="77777777" w:rsidR="00491144" w:rsidRPr="009A4DB2" w:rsidRDefault="00491144" w:rsidP="009A4DB2">
      <w:pPr>
        <w:spacing w:after="0" w:line="360" w:lineRule="auto"/>
        <w:ind w:right="2" w:firstLine="567"/>
        <w:jc w:val="both"/>
        <w:rPr>
          <w:rFonts w:ascii="Times New Roman" w:hAnsi="Times New Roman" w:cs="Times New Roman"/>
        </w:rPr>
      </w:pPr>
    </w:p>
    <w:p w14:paraId="31FA8992" w14:textId="77777777" w:rsidR="00491144" w:rsidRPr="009A4DB2" w:rsidRDefault="00491144" w:rsidP="009A4DB2">
      <w:pPr>
        <w:pBdr>
          <w:top w:val="nil"/>
          <w:left w:val="nil"/>
          <w:bottom w:val="nil"/>
          <w:right w:val="nil"/>
          <w:between w:val="nil"/>
        </w:pBdr>
        <w:spacing w:after="0" w:line="360" w:lineRule="auto"/>
        <w:ind w:right="2" w:firstLine="567"/>
        <w:jc w:val="both"/>
        <w:rPr>
          <w:rFonts w:ascii="Times New Roman" w:eastAsia="Palatino Linotype" w:hAnsi="Times New Roman" w:cs="Times New Roman"/>
          <w:b/>
          <w:color w:val="000000"/>
        </w:rPr>
      </w:pPr>
      <w:r w:rsidRPr="009A4DB2">
        <w:rPr>
          <w:rFonts w:ascii="Times New Roman" w:eastAsia="Palatino Linotype" w:hAnsi="Times New Roman" w:cs="Times New Roman"/>
          <w:b/>
          <w:color w:val="000000"/>
        </w:rPr>
        <w:t>DAFTAR PUSTAKA</w:t>
      </w:r>
    </w:p>
    <w:p w14:paraId="737C680D" w14:textId="77777777" w:rsidR="00491144" w:rsidRPr="009A4DB2" w:rsidRDefault="00491144" w:rsidP="009A4DB2">
      <w:pPr>
        <w:pStyle w:val="Bibliography"/>
        <w:spacing w:line="360" w:lineRule="auto"/>
        <w:ind w:left="0" w:right="2" w:firstLine="567"/>
        <w:jc w:val="both"/>
        <w:rPr>
          <w:sz w:val="22"/>
          <w:szCs w:val="22"/>
          <w:lang w:val="pt-BR"/>
        </w:rPr>
      </w:pPr>
      <w:r w:rsidRPr="009A4DB2">
        <w:rPr>
          <w:sz w:val="22"/>
          <w:szCs w:val="22"/>
        </w:rPr>
        <w:fldChar w:fldCharType="begin"/>
      </w:r>
      <w:r w:rsidRPr="009A4DB2">
        <w:rPr>
          <w:sz w:val="22"/>
          <w:szCs w:val="22"/>
          <w:lang w:val="pt-BR"/>
        </w:rPr>
        <w:instrText xml:space="preserve"> ADDIN ZOTERO_BIBL {"uncited":[],"omitted":[],"custom":[]} CSL_BIBLIOGRAPHY </w:instrText>
      </w:r>
      <w:r w:rsidRPr="009A4DB2">
        <w:rPr>
          <w:sz w:val="22"/>
          <w:szCs w:val="22"/>
        </w:rPr>
        <w:fldChar w:fldCharType="separate"/>
      </w:r>
      <w:r w:rsidRPr="009A4DB2">
        <w:rPr>
          <w:sz w:val="22"/>
          <w:szCs w:val="22"/>
        </w:rPr>
        <w:fldChar w:fldCharType="begin"/>
      </w:r>
      <w:r w:rsidRPr="009A4DB2">
        <w:rPr>
          <w:sz w:val="22"/>
          <w:szCs w:val="22"/>
          <w:lang w:val="pt-BR"/>
        </w:rPr>
        <w:instrText xml:space="preserve"> ADDIN ZOTERO_BIBL {"uncited":[],"omitted":[],"custom":[]} CSL_BIBLIOGRAPHY </w:instrText>
      </w:r>
      <w:r w:rsidRPr="009A4DB2">
        <w:rPr>
          <w:sz w:val="22"/>
          <w:szCs w:val="22"/>
        </w:rPr>
        <w:fldChar w:fldCharType="separate"/>
      </w:r>
      <w:r w:rsidRPr="009A4DB2">
        <w:rPr>
          <w:sz w:val="22"/>
          <w:szCs w:val="22"/>
          <w:lang w:val="pt-BR"/>
        </w:rPr>
        <w:t xml:space="preserve">Amirudin, Amirudin, dan Zainal Asikin. </w:t>
      </w:r>
      <w:r w:rsidRPr="009A4DB2">
        <w:rPr>
          <w:i/>
          <w:iCs/>
          <w:sz w:val="22"/>
          <w:szCs w:val="22"/>
          <w:lang w:val="pt-BR"/>
        </w:rPr>
        <w:t>Pengantar Metode Penelitian Hukum</w:t>
      </w:r>
      <w:r w:rsidRPr="009A4DB2">
        <w:rPr>
          <w:sz w:val="22"/>
          <w:szCs w:val="22"/>
          <w:lang w:val="pt-BR"/>
        </w:rPr>
        <w:t>. Jakarta: RajaGrafindo Persada, 2004.</w:t>
      </w:r>
    </w:p>
    <w:p w14:paraId="06B0A10B" w14:textId="77777777" w:rsidR="00491144" w:rsidRPr="009A4DB2" w:rsidRDefault="00491144" w:rsidP="009A4DB2">
      <w:pPr>
        <w:pStyle w:val="Bibliography"/>
        <w:spacing w:line="360" w:lineRule="auto"/>
        <w:ind w:left="0" w:right="2" w:firstLine="567"/>
        <w:jc w:val="both"/>
        <w:rPr>
          <w:sz w:val="22"/>
          <w:szCs w:val="22"/>
        </w:rPr>
      </w:pPr>
      <w:r w:rsidRPr="009A4DB2">
        <w:rPr>
          <w:sz w:val="22"/>
          <w:szCs w:val="22"/>
          <w:lang w:val="pt-BR"/>
        </w:rPr>
        <w:t xml:space="preserve">Arifani, Devina, Siti Sa’atun, dan Armunanto Armunanto. </w:t>
      </w:r>
      <w:r w:rsidRPr="009A4DB2">
        <w:rPr>
          <w:sz w:val="22"/>
          <w:szCs w:val="22"/>
        </w:rPr>
        <w:t xml:space="preserve">“The Facts Still There is Legal Discrimination in Indonesia.” </w:t>
      </w:r>
      <w:r w:rsidRPr="009A4DB2">
        <w:rPr>
          <w:i/>
          <w:iCs/>
          <w:sz w:val="22"/>
          <w:szCs w:val="22"/>
        </w:rPr>
        <w:t>International Journal of Law Society Services</w:t>
      </w:r>
      <w:r w:rsidRPr="009A4DB2">
        <w:rPr>
          <w:sz w:val="22"/>
          <w:szCs w:val="22"/>
        </w:rPr>
        <w:t xml:space="preserve"> 2, no. 2 (24 Oktober 2022): 42. https://doi.org/10.26532/ijlss.v2i2.25020.</w:t>
      </w:r>
    </w:p>
    <w:p w14:paraId="411EC47D" w14:textId="77777777" w:rsidR="00491144" w:rsidRPr="009A4DB2" w:rsidRDefault="00491144" w:rsidP="009A4DB2">
      <w:pPr>
        <w:pStyle w:val="Bibliography"/>
        <w:spacing w:line="360" w:lineRule="auto"/>
        <w:ind w:left="0" w:right="2" w:firstLine="567"/>
        <w:jc w:val="both"/>
        <w:rPr>
          <w:sz w:val="22"/>
          <w:szCs w:val="22"/>
        </w:rPr>
      </w:pPr>
      <w:r w:rsidRPr="009A4DB2">
        <w:rPr>
          <w:sz w:val="22"/>
          <w:szCs w:val="22"/>
        </w:rPr>
        <w:t xml:space="preserve">Bahri, Robi Assadul. “Konsep Penegakan Hukum Pidana Adat di Indonesia Berdasarkan Asas Kepastian Hukum.” </w:t>
      </w:r>
      <w:r w:rsidRPr="009A4DB2">
        <w:rPr>
          <w:i/>
          <w:iCs/>
          <w:sz w:val="22"/>
          <w:szCs w:val="22"/>
        </w:rPr>
        <w:t>Law,  Development and Justice Review</w:t>
      </w:r>
      <w:r w:rsidRPr="009A4DB2">
        <w:rPr>
          <w:sz w:val="22"/>
          <w:szCs w:val="22"/>
        </w:rPr>
        <w:t xml:space="preserve"> 7, no. 1 (30 April 2024): 61–74. https://doi.org/10.14710/ldjr.7.2024.61-74.</w:t>
      </w:r>
    </w:p>
    <w:p w14:paraId="5464D0AB" w14:textId="77777777" w:rsidR="00491144" w:rsidRPr="009A4DB2" w:rsidRDefault="00491144" w:rsidP="009A4DB2">
      <w:pPr>
        <w:pStyle w:val="Bibliography"/>
        <w:spacing w:line="360" w:lineRule="auto"/>
        <w:ind w:left="0" w:right="2" w:firstLine="567"/>
        <w:jc w:val="both"/>
        <w:rPr>
          <w:sz w:val="22"/>
          <w:szCs w:val="22"/>
        </w:rPr>
      </w:pPr>
      <w:r w:rsidRPr="009A4DB2">
        <w:rPr>
          <w:sz w:val="22"/>
          <w:szCs w:val="22"/>
          <w:lang w:val="pt-BR"/>
        </w:rPr>
        <w:t xml:space="preserve">———. </w:t>
      </w:r>
      <w:r w:rsidRPr="009A4DB2">
        <w:rPr>
          <w:i/>
          <w:iCs/>
          <w:sz w:val="22"/>
          <w:szCs w:val="22"/>
          <w:lang w:val="pt-BR"/>
        </w:rPr>
        <w:t>Teori Kriminologi Dasar, Perkembangan, dan Aplikasinya</w:t>
      </w:r>
      <w:r w:rsidRPr="009A4DB2">
        <w:rPr>
          <w:sz w:val="22"/>
          <w:szCs w:val="22"/>
          <w:lang w:val="pt-BR"/>
        </w:rPr>
        <w:t xml:space="preserve">. </w:t>
      </w:r>
      <w:r w:rsidRPr="009A4DB2">
        <w:rPr>
          <w:sz w:val="22"/>
          <w:szCs w:val="22"/>
        </w:rPr>
        <w:t>Tasikmalaya: Mahalisan Legal Development, 2024.</w:t>
      </w:r>
    </w:p>
    <w:p w14:paraId="3AA6011F" w14:textId="77777777" w:rsidR="00491144" w:rsidRPr="009A4DB2" w:rsidRDefault="00491144" w:rsidP="009A4DB2">
      <w:pPr>
        <w:pStyle w:val="Bibliography"/>
        <w:spacing w:line="360" w:lineRule="auto"/>
        <w:ind w:left="0" w:right="2" w:firstLine="567"/>
        <w:jc w:val="both"/>
        <w:rPr>
          <w:sz w:val="22"/>
          <w:szCs w:val="22"/>
          <w:lang w:val="pt-BR"/>
        </w:rPr>
      </w:pPr>
      <w:r w:rsidRPr="009A4DB2">
        <w:rPr>
          <w:sz w:val="22"/>
          <w:szCs w:val="22"/>
        </w:rPr>
        <w:t xml:space="preserve">Bareskrim. </w:t>
      </w:r>
      <w:r w:rsidRPr="009A4DB2">
        <w:rPr>
          <w:sz w:val="22"/>
          <w:szCs w:val="22"/>
          <w:lang w:val="pt-BR"/>
        </w:rPr>
        <w:t>“Data Badan Reserse Kriminal (Bareskrim) Polri,” 2020. https://polri.go.id/.</w:t>
      </w:r>
    </w:p>
    <w:p w14:paraId="0D85C34E" w14:textId="77777777" w:rsidR="00491144" w:rsidRPr="009A4DB2" w:rsidRDefault="00491144" w:rsidP="009A4DB2">
      <w:pPr>
        <w:pStyle w:val="Bibliography"/>
        <w:spacing w:line="360" w:lineRule="auto"/>
        <w:ind w:left="0" w:right="2" w:firstLine="567"/>
        <w:jc w:val="both"/>
        <w:rPr>
          <w:sz w:val="22"/>
          <w:szCs w:val="22"/>
          <w:lang w:val="pt-BR"/>
        </w:rPr>
      </w:pPr>
      <w:r w:rsidRPr="009A4DB2">
        <w:rPr>
          <w:sz w:val="22"/>
          <w:szCs w:val="22"/>
          <w:lang w:val="pt-BR"/>
        </w:rPr>
        <w:t>Divisi Propam Polri. “Rekapitulasi Data Demonstrasi Badan Reserse Kriminal (Bareskrim) Polri Tahun 2019-2020,” 2020. https://polri.go.id/.</w:t>
      </w:r>
    </w:p>
    <w:p w14:paraId="5FA22DEC" w14:textId="77777777" w:rsidR="00491144" w:rsidRPr="009A4DB2" w:rsidRDefault="00491144" w:rsidP="009A4DB2">
      <w:pPr>
        <w:pStyle w:val="Bibliography"/>
        <w:spacing w:line="360" w:lineRule="auto"/>
        <w:ind w:left="0" w:right="2" w:firstLine="567"/>
        <w:jc w:val="both"/>
        <w:rPr>
          <w:sz w:val="22"/>
          <w:szCs w:val="22"/>
          <w:lang w:val="pt-BR"/>
        </w:rPr>
      </w:pPr>
      <w:r w:rsidRPr="009A4DB2">
        <w:rPr>
          <w:sz w:val="22"/>
          <w:szCs w:val="22"/>
          <w:lang w:val="pt-BR"/>
        </w:rPr>
        <w:t>———. “Rekapitulasi Data Demonstrasi Badan Reserse Kriminal (Bareskrim) Polri Tahun 2020-2023,” 2023. https://polri.go.id/.</w:t>
      </w:r>
    </w:p>
    <w:p w14:paraId="6BC8A57A" w14:textId="77777777" w:rsidR="00491144" w:rsidRPr="009A4DB2" w:rsidRDefault="00491144" w:rsidP="009A4DB2">
      <w:pPr>
        <w:pStyle w:val="Bibliography"/>
        <w:spacing w:line="360" w:lineRule="auto"/>
        <w:ind w:left="0" w:right="2" w:firstLine="567"/>
        <w:jc w:val="both"/>
        <w:rPr>
          <w:sz w:val="22"/>
          <w:szCs w:val="22"/>
        </w:rPr>
      </w:pPr>
      <w:r w:rsidRPr="009A4DB2">
        <w:rPr>
          <w:sz w:val="22"/>
          <w:szCs w:val="22"/>
        </w:rPr>
        <w:t xml:space="preserve">Ercan, Selen A., Hans Asenbaum, dan Ricardo F. Mendonça. “Performing Democracy: Non-Verbal Protest Through a Democratic Lens.” </w:t>
      </w:r>
      <w:r w:rsidRPr="009A4DB2">
        <w:rPr>
          <w:i/>
          <w:iCs/>
          <w:sz w:val="22"/>
          <w:szCs w:val="22"/>
        </w:rPr>
        <w:t>Performance Research</w:t>
      </w:r>
      <w:r w:rsidRPr="009A4DB2">
        <w:rPr>
          <w:sz w:val="22"/>
          <w:szCs w:val="22"/>
        </w:rPr>
        <w:t xml:space="preserve"> 27, no. 3–4 (19 Mei 2022): 26–37. https://doi.org/10.1080/13528165.2022.2155393.</w:t>
      </w:r>
    </w:p>
    <w:p w14:paraId="0B8124FF" w14:textId="77777777" w:rsidR="00491144" w:rsidRPr="009A4DB2" w:rsidRDefault="00491144" w:rsidP="009A4DB2">
      <w:pPr>
        <w:pStyle w:val="Bibliography"/>
        <w:spacing w:line="360" w:lineRule="auto"/>
        <w:ind w:left="0" w:right="2" w:firstLine="567"/>
        <w:jc w:val="both"/>
        <w:rPr>
          <w:sz w:val="22"/>
          <w:szCs w:val="22"/>
        </w:rPr>
      </w:pPr>
      <w:r w:rsidRPr="009A4DB2">
        <w:rPr>
          <w:sz w:val="22"/>
          <w:szCs w:val="22"/>
        </w:rPr>
        <w:t xml:space="preserve">Fekolli, Saimir, Bledar Biti, dan Francesk Ganaj. “Analysis of the Substantive and Procedural Elements of the Principle of Legality.” </w:t>
      </w:r>
      <w:r w:rsidRPr="009A4DB2">
        <w:rPr>
          <w:i/>
          <w:iCs/>
          <w:sz w:val="22"/>
          <w:szCs w:val="22"/>
        </w:rPr>
        <w:t>European Scientific Journal ESJ</w:t>
      </w:r>
      <w:r w:rsidRPr="009A4DB2">
        <w:rPr>
          <w:sz w:val="22"/>
          <w:szCs w:val="22"/>
        </w:rPr>
        <w:t xml:space="preserve"> 15, no. 5 (28 Februari 2019). https://doi.org/10.19044/esj.2019.v15n5p254.</w:t>
      </w:r>
    </w:p>
    <w:p w14:paraId="7474FEDC" w14:textId="77777777" w:rsidR="00491144" w:rsidRPr="009A4DB2" w:rsidRDefault="00491144" w:rsidP="009A4DB2">
      <w:pPr>
        <w:pStyle w:val="Bibliography"/>
        <w:spacing w:line="360" w:lineRule="auto"/>
        <w:ind w:left="0" w:right="2" w:firstLine="567"/>
        <w:jc w:val="both"/>
        <w:rPr>
          <w:sz w:val="22"/>
          <w:szCs w:val="22"/>
        </w:rPr>
      </w:pPr>
      <w:r w:rsidRPr="009A4DB2">
        <w:rPr>
          <w:sz w:val="22"/>
          <w:szCs w:val="22"/>
        </w:rPr>
        <w:t xml:space="preserve">Gautam, Om Prakash. “Concept of Good Faith in Domestic Laws – To Debrief the Common Understanding.” </w:t>
      </w:r>
      <w:r w:rsidRPr="009A4DB2">
        <w:rPr>
          <w:i/>
          <w:iCs/>
          <w:sz w:val="22"/>
          <w:szCs w:val="22"/>
        </w:rPr>
        <w:t>SSRN Electronic Journal</w:t>
      </w:r>
      <w:r w:rsidRPr="009A4DB2">
        <w:rPr>
          <w:sz w:val="22"/>
          <w:szCs w:val="22"/>
        </w:rPr>
        <w:t>, 2020. https://doi.org/10.2139/ssrn.3558349.</w:t>
      </w:r>
    </w:p>
    <w:p w14:paraId="47622EEA" w14:textId="77777777" w:rsidR="00491144" w:rsidRPr="009A4DB2" w:rsidRDefault="00491144" w:rsidP="009A4DB2">
      <w:pPr>
        <w:pStyle w:val="Bibliography"/>
        <w:spacing w:line="360" w:lineRule="auto"/>
        <w:ind w:left="0" w:right="2" w:firstLine="567"/>
        <w:jc w:val="both"/>
        <w:rPr>
          <w:sz w:val="22"/>
          <w:szCs w:val="22"/>
        </w:rPr>
      </w:pPr>
      <w:r w:rsidRPr="009A4DB2">
        <w:rPr>
          <w:sz w:val="22"/>
          <w:szCs w:val="22"/>
        </w:rPr>
        <w:lastRenderedPageBreak/>
        <w:t xml:space="preserve">Handoko, Heru Pujo. “Pergeseran Wewenang Polri Dalam Undang-Undang Nomor 11 Tahun 2020 tentang Cipta Kerja (Omnibus Law).” </w:t>
      </w:r>
      <w:r w:rsidRPr="009A4DB2">
        <w:rPr>
          <w:i/>
          <w:iCs/>
          <w:sz w:val="22"/>
          <w:szCs w:val="22"/>
        </w:rPr>
        <w:t>Jurnal Ilmu Kepolisian</w:t>
      </w:r>
      <w:r w:rsidRPr="009A4DB2">
        <w:rPr>
          <w:sz w:val="22"/>
          <w:szCs w:val="22"/>
        </w:rPr>
        <w:t xml:space="preserve"> 16, no. 3 (1 Desember 2022): 21. https://doi.org/10.35879/jik.v16i3.319.</w:t>
      </w:r>
    </w:p>
    <w:p w14:paraId="1CAE9D8D" w14:textId="77777777" w:rsidR="00491144" w:rsidRPr="009A4DB2" w:rsidRDefault="00491144" w:rsidP="009A4DB2">
      <w:pPr>
        <w:pStyle w:val="Bibliography"/>
        <w:spacing w:line="360" w:lineRule="auto"/>
        <w:ind w:left="0" w:right="2" w:firstLine="567"/>
        <w:jc w:val="both"/>
        <w:rPr>
          <w:sz w:val="22"/>
          <w:szCs w:val="22"/>
        </w:rPr>
      </w:pPr>
      <w:r w:rsidRPr="009A4DB2">
        <w:rPr>
          <w:sz w:val="22"/>
          <w:szCs w:val="22"/>
        </w:rPr>
        <w:t xml:space="preserve">Kristianita, Friska. “Legal Authority of Indonesian National Police in Handling Rally or Demonstrations.” </w:t>
      </w:r>
      <w:r w:rsidRPr="009A4DB2">
        <w:rPr>
          <w:i/>
          <w:iCs/>
          <w:sz w:val="22"/>
          <w:szCs w:val="22"/>
        </w:rPr>
        <w:t>UMPurwokerto Law Review</w:t>
      </w:r>
      <w:r w:rsidRPr="009A4DB2">
        <w:rPr>
          <w:sz w:val="22"/>
          <w:szCs w:val="22"/>
        </w:rPr>
        <w:t xml:space="preserve"> 3, no. 1 (4 April 2022): 38. https://doi.org/10.30595/umplr.v3i1.11114.</w:t>
      </w:r>
    </w:p>
    <w:p w14:paraId="71DEFC31" w14:textId="77777777" w:rsidR="00491144" w:rsidRPr="009A4DB2" w:rsidRDefault="00491144" w:rsidP="009A4DB2">
      <w:pPr>
        <w:pStyle w:val="Bibliography"/>
        <w:spacing w:line="360" w:lineRule="auto"/>
        <w:ind w:left="0" w:right="2" w:firstLine="567"/>
        <w:jc w:val="both"/>
        <w:rPr>
          <w:sz w:val="22"/>
          <w:szCs w:val="22"/>
        </w:rPr>
      </w:pPr>
      <w:r w:rsidRPr="009A4DB2">
        <w:rPr>
          <w:sz w:val="22"/>
          <w:szCs w:val="22"/>
        </w:rPr>
        <w:t xml:space="preserve">Kunarti, Siti dan Kartono. “Discretion as Freedom of Action in Administering Governance.” Disunting oleh A. Raharjo dan T. Sudrajat. </w:t>
      </w:r>
      <w:r w:rsidRPr="009A4DB2">
        <w:rPr>
          <w:i/>
          <w:iCs/>
          <w:sz w:val="22"/>
          <w:szCs w:val="22"/>
        </w:rPr>
        <w:t>SHS Web of Conferences</w:t>
      </w:r>
      <w:r w:rsidRPr="009A4DB2">
        <w:rPr>
          <w:sz w:val="22"/>
          <w:szCs w:val="22"/>
        </w:rPr>
        <w:t xml:space="preserve"> 54 (2018): 03018. https://doi.org/10.1051/shsconf/20185403018.</w:t>
      </w:r>
    </w:p>
    <w:p w14:paraId="127DD911" w14:textId="77777777" w:rsidR="00491144" w:rsidRPr="009A4DB2" w:rsidRDefault="00491144" w:rsidP="009A4DB2">
      <w:pPr>
        <w:pStyle w:val="Bibliography"/>
        <w:spacing w:line="360" w:lineRule="auto"/>
        <w:ind w:left="0" w:right="2" w:firstLine="567"/>
        <w:jc w:val="both"/>
        <w:rPr>
          <w:sz w:val="22"/>
          <w:szCs w:val="22"/>
        </w:rPr>
      </w:pPr>
      <w:r w:rsidRPr="009A4DB2">
        <w:rPr>
          <w:sz w:val="22"/>
          <w:szCs w:val="22"/>
        </w:rPr>
        <w:t xml:space="preserve">Loskutov, Т. “Legal Regulation of The Principle of Proportionality in Criminal Proceedings Under Martial Law.” </w:t>
      </w:r>
      <w:r w:rsidRPr="009A4DB2">
        <w:rPr>
          <w:i/>
          <w:iCs/>
          <w:sz w:val="22"/>
          <w:szCs w:val="22"/>
        </w:rPr>
        <w:t>Analytical and Comparative Jurisprudence</w:t>
      </w:r>
      <w:r w:rsidRPr="009A4DB2">
        <w:rPr>
          <w:sz w:val="22"/>
          <w:szCs w:val="22"/>
        </w:rPr>
        <w:t>, no. 1 (29 Mei 2023): 524–29. https://doi.org/10.24144/2788-6018.2023.01.91.</w:t>
      </w:r>
    </w:p>
    <w:p w14:paraId="00FD1EFF" w14:textId="77777777" w:rsidR="00491144" w:rsidRPr="009A4DB2" w:rsidRDefault="00491144" w:rsidP="009A4DB2">
      <w:pPr>
        <w:pStyle w:val="Bibliography"/>
        <w:spacing w:line="360" w:lineRule="auto"/>
        <w:ind w:left="0" w:right="2" w:firstLine="567"/>
        <w:jc w:val="both"/>
        <w:rPr>
          <w:sz w:val="22"/>
          <w:szCs w:val="22"/>
        </w:rPr>
      </w:pPr>
      <w:r w:rsidRPr="009A4DB2">
        <w:rPr>
          <w:sz w:val="22"/>
          <w:szCs w:val="22"/>
        </w:rPr>
        <w:t xml:space="preserve">Manalu, Sahata. “Analisis Yuridis Tindakan Diskresi Kepolisian Pada Tahap Penyidikan.” </w:t>
      </w:r>
      <w:r w:rsidRPr="009A4DB2">
        <w:rPr>
          <w:i/>
          <w:iCs/>
          <w:sz w:val="22"/>
          <w:szCs w:val="22"/>
        </w:rPr>
        <w:t>Fiat Iustitia : Jurnal Hukum</w:t>
      </w:r>
      <w:r w:rsidRPr="009A4DB2">
        <w:rPr>
          <w:sz w:val="22"/>
          <w:szCs w:val="22"/>
        </w:rPr>
        <w:t>, 24 September 2020, 109–25. https://doi.org/10.54367/fiat.v1i1.913.</w:t>
      </w:r>
    </w:p>
    <w:p w14:paraId="099ACA7F" w14:textId="77777777" w:rsidR="00491144" w:rsidRPr="009A4DB2" w:rsidRDefault="00491144" w:rsidP="009A4DB2">
      <w:pPr>
        <w:pStyle w:val="Bibliography"/>
        <w:spacing w:line="360" w:lineRule="auto"/>
        <w:ind w:left="0" w:right="2" w:firstLine="567"/>
        <w:jc w:val="both"/>
        <w:rPr>
          <w:sz w:val="22"/>
          <w:szCs w:val="22"/>
        </w:rPr>
      </w:pPr>
      <w:r w:rsidRPr="009A4DB2">
        <w:rPr>
          <w:sz w:val="22"/>
          <w:szCs w:val="22"/>
          <w:lang w:val="pt-BR"/>
        </w:rPr>
        <w:t xml:space="preserve">Matarazzo, Gustavo, Rafael Alcadipani, Alan Fernandes, dan Maurício De Thomazi. </w:t>
      </w:r>
      <w:r w:rsidRPr="009A4DB2">
        <w:rPr>
          <w:sz w:val="22"/>
          <w:szCs w:val="22"/>
        </w:rPr>
        <w:t xml:space="preserve">“Organizational Conditions for Evidence-Based Policing: A Proposal from The International Literature.” </w:t>
      </w:r>
      <w:r w:rsidRPr="009A4DB2">
        <w:rPr>
          <w:i/>
          <w:iCs/>
          <w:sz w:val="22"/>
          <w:szCs w:val="22"/>
        </w:rPr>
        <w:t>Cadernos EBAPE.BR</w:t>
      </w:r>
      <w:r w:rsidRPr="009A4DB2">
        <w:rPr>
          <w:sz w:val="22"/>
          <w:szCs w:val="22"/>
        </w:rPr>
        <w:t xml:space="preserve"> 20, no. 6 (November 2022): 919–30. https://doi.org/10.1590/1679-395120220013x.</w:t>
      </w:r>
    </w:p>
    <w:p w14:paraId="125723E9" w14:textId="77777777" w:rsidR="00491144" w:rsidRPr="009A4DB2" w:rsidRDefault="00491144" w:rsidP="009A4DB2">
      <w:pPr>
        <w:pStyle w:val="Bibliography"/>
        <w:spacing w:line="360" w:lineRule="auto"/>
        <w:ind w:left="0" w:right="2" w:firstLine="567"/>
        <w:jc w:val="both"/>
        <w:rPr>
          <w:sz w:val="22"/>
          <w:szCs w:val="22"/>
        </w:rPr>
      </w:pPr>
      <w:r w:rsidRPr="009A4DB2">
        <w:rPr>
          <w:sz w:val="22"/>
          <w:szCs w:val="22"/>
        </w:rPr>
        <w:t xml:space="preserve">Pavel, Carmen E. “The Rule of Law and The Limits of Anarchy.” </w:t>
      </w:r>
      <w:r w:rsidRPr="009A4DB2">
        <w:rPr>
          <w:i/>
          <w:iCs/>
          <w:sz w:val="22"/>
          <w:szCs w:val="22"/>
        </w:rPr>
        <w:t>Legal Theory</w:t>
      </w:r>
      <w:r w:rsidRPr="009A4DB2">
        <w:rPr>
          <w:sz w:val="22"/>
          <w:szCs w:val="22"/>
        </w:rPr>
        <w:t xml:space="preserve"> 27, no. 1 (Maret 2021): 70–95. https://doi.org/10.1017/S1352325221000045.</w:t>
      </w:r>
    </w:p>
    <w:p w14:paraId="34096259" w14:textId="77777777" w:rsidR="00491144" w:rsidRPr="009A4DB2" w:rsidRDefault="00491144" w:rsidP="009A4DB2">
      <w:pPr>
        <w:pStyle w:val="Bibliography"/>
        <w:spacing w:line="360" w:lineRule="auto"/>
        <w:ind w:left="0" w:right="2" w:firstLine="567"/>
        <w:jc w:val="both"/>
        <w:rPr>
          <w:sz w:val="22"/>
          <w:szCs w:val="22"/>
        </w:rPr>
      </w:pPr>
      <w:r w:rsidRPr="009A4DB2">
        <w:rPr>
          <w:sz w:val="22"/>
          <w:szCs w:val="22"/>
        </w:rPr>
        <w:t xml:space="preserve">Raharjo, Agus, Rahadi Wasi Bintoro, Nurani Ajeng Tri Utami, dan Masahiro Suzuki. “The Legal Policy of Criminal Justice Bureaucracy Cybercrime.” </w:t>
      </w:r>
      <w:r w:rsidRPr="009A4DB2">
        <w:rPr>
          <w:i/>
          <w:iCs/>
          <w:sz w:val="22"/>
          <w:szCs w:val="22"/>
        </w:rPr>
        <w:t>BESTUUR</w:t>
      </w:r>
      <w:r w:rsidRPr="009A4DB2">
        <w:rPr>
          <w:sz w:val="22"/>
          <w:szCs w:val="22"/>
        </w:rPr>
        <w:t xml:space="preserve"> 10, no. 2 (9 Desember 2022): 105. https://doi.org/10.20961/bestuur.v10i2.64498.</w:t>
      </w:r>
    </w:p>
    <w:p w14:paraId="670EB11B" w14:textId="77777777" w:rsidR="00491144" w:rsidRPr="009A4DB2" w:rsidRDefault="00491144" w:rsidP="009A4DB2">
      <w:pPr>
        <w:pStyle w:val="Bibliography"/>
        <w:spacing w:line="360" w:lineRule="auto"/>
        <w:ind w:left="0" w:right="2" w:firstLine="567"/>
        <w:jc w:val="both"/>
        <w:rPr>
          <w:sz w:val="22"/>
          <w:szCs w:val="22"/>
          <w:lang w:val="pt-BR"/>
        </w:rPr>
      </w:pPr>
      <w:r w:rsidRPr="009A4DB2">
        <w:rPr>
          <w:sz w:val="22"/>
          <w:szCs w:val="22"/>
          <w:lang w:val="pt-BR"/>
        </w:rPr>
        <w:t xml:space="preserve">Sugiyono. </w:t>
      </w:r>
      <w:r w:rsidRPr="009A4DB2">
        <w:rPr>
          <w:i/>
          <w:iCs/>
          <w:sz w:val="22"/>
          <w:szCs w:val="22"/>
          <w:lang w:val="pt-BR"/>
        </w:rPr>
        <w:t>Metode Penelitian Kuantitatif Kualitatif dan R&amp;D</w:t>
      </w:r>
      <w:r w:rsidRPr="009A4DB2">
        <w:rPr>
          <w:sz w:val="22"/>
          <w:szCs w:val="22"/>
          <w:lang w:val="pt-BR"/>
        </w:rPr>
        <w:t>. Bandung: Alfabeta, 2008.</w:t>
      </w:r>
    </w:p>
    <w:p w14:paraId="39AD46EB" w14:textId="77777777" w:rsidR="00491144" w:rsidRPr="009A4DB2" w:rsidRDefault="00491144" w:rsidP="009A4DB2">
      <w:pPr>
        <w:pStyle w:val="Bibliography"/>
        <w:spacing w:line="360" w:lineRule="auto"/>
        <w:ind w:left="0" w:right="2" w:firstLine="567"/>
        <w:jc w:val="both"/>
        <w:rPr>
          <w:sz w:val="22"/>
          <w:szCs w:val="22"/>
        </w:rPr>
      </w:pPr>
      <w:r w:rsidRPr="009A4DB2">
        <w:rPr>
          <w:sz w:val="22"/>
          <w:szCs w:val="22"/>
        </w:rPr>
        <w:t xml:space="preserve">Walgrave, Stefaan. “Demonstrations.” Dalam </w:t>
      </w:r>
      <w:r w:rsidRPr="009A4DB2">
        <w:rPr>
          <w:i/>
          <w:iCs/>
          <w:sz w:val="22"/>
          <w:szCs w:val="22"/>
        </w:rPr>
        <w:t>The Wiley-Blackwell Encyclopedia of Social and Political Movements</w:t>
      </w:r>
      <w:r w:rsidRPr="009A4DB2">
        <w:rPr>
          <w:sz w:val="22"/>
          <w:szCs w:val="22"/>
        </w:rPr>
        <w:t>, disunting oleh Donatella Della Porta, Bert Klandermans, Doug McAdam, dan David A. Snow, 1 ed., 1–2. Wiley, 2022. https://doi.org/10.1002/9780470674871.wbespm069.pub2.</w:t>
      </w:r>
    </w:p>
    <w:p w14:paraId="478668F5" w14:textId="77777777" w:rsidR="00491144" w:rsidRPr="009A4DB2" w:rsidRDefault="00491144" w:rsidP="009A4DB2">
      <w:pPr>
        <w:pBdr>
          <w:top w:val="nil"/>
          <w:left w:val="nil"/>
          <w:bottom w:val="nil"/>
          <w:right w:val="nil"/>
          <w:between w:val="nil"/>
        </w:pBdr>
        <w:spacing w:after="0" w:line="360" w:lineRule="auto"/>
        <w:ind w:right="2" w:firstLine="567"/>
        <w:jc w:val="both"/>
        <w:rPr>
          <w:rFonts w:ascii="Times New Roman" w:eastAsia="Palatino Linotype" w:hAnsi="Times New Roman" w:cs="Times New Roman"/>
          <w:color w:val="000000"/>
          <w:lang w:val="id-ID"/>
        </w:rPr>
      </w:pPr>
      <w:r w:rsidRPr="009A4DB2">
        <w:rPr>
          <w:rFonts w:ascii="Times New Roman" w:hAnsi="Times New Roman" w:cs="Times New Roman"/>
        </w:rPr>
        <w:fldChar w:fldCharType="end"/>
      </w:r>
      <w:r w:rsidRPr="009A4DB2">
        <w:rPr>
          <w:rFonts w:ascii="Times New Roman" w:hAnsi="Times New Roman" w:cs="Times New Roman"/>
        </w:rPr>
        <w:fldChar w:fldCharType="end"/>
      </w:r>
    </w:p>
    <w:p w14:paraId="164D626F" w14:textId="77777777" w:rsidR="00D12E06" w:rsidRPr="009A4DB2" w:rsidRDefault="00D12E06" w:rsidP="009A4DB2">
      <w:pPr>
        <w:spacing w:line="360" w:lineRule="auto"/>
        <w:ind w:right="2"/>
        <w:rPr>
          <w:rFonts w:ascii="Times New Roman" w:hAnsi="Times New Roman" w:cs="Times New Roman"/>
        </w:rPr>
      </w:pPr>
    </w:p>
    <w:sectPr w:rsidR="00D12E06" w:rsidRPr="009A4DB2" w:rsidSect="00F83068">
      <w:headerReference w:type="even" r:id="rId9"/>
      <w:headerReference w:type="default" r:id="rId10"/>
      <w:footerReference w:type="even" r:id="rId11"/>
      <w:footerReference w:type="default" r:id="rId12"/>
      <w:headerReference w:type="first" r:id="rId13"/>
      <w:footerReference w:type="first" r:id="rId14"/>
      <w:pgSz w:w="11909" w:h="16834" w:code="9"/>
      <w:pgMar w:top="1701" w:right="1701" w:bottom="1701" w:left="2268" w:header="28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97628" w14:textId="77777777" w:rsidR="006567F4" w:rsidRDefault="006567F4" w:rsidP="00491144">
      <w:pPr>
        <w:spacing w:after="0" w:line="240" w:lineRule="auto"/>
      </w:pPr>
      <w:r>
        <w:separator/>
      </w:r>
    </w:p>
  </w:endnote>
  <w:endnote w:type="continuationSeparator" w:id="0">
    <w:p w14:paraId="0D3B9E47" w14:textId="77777777" w:rsidR="006567F4" w:rsidRDefault="006567F4" w:rsidP="00491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7CFA2" w14:textId="77777777" w:rsidR="001775C2" w:rsidRDefault="006567F4">
    <w:pPr>
      <w:pBdr>
        <w:top w:val="nil"/>
        <w:left w:val="nil"/>
        <w:bottom w:val="nil"/>
        <w:right w:val="nil"/>
        <w:between w:val="nil"/>
      </w:pBdr>
      <w:tabs>
        <w:tab w:val="center" w:pos="4513"/>
        <w:tab w:val="right" w:pos="9026"/>
      </w:tabs>
      <w:spacing w:after="0" w:line="240" w:lineRule="auto"/>
      <w:jc w:val="center"/>
      <w:rPr>
        <w:color w:val="000000"/>
      </w:rPr>
    </w:pPr>
    <w:r>
      <w:rPr>
        <w:noProof/>
        <w:lang w:val="id-ID" w:eastAsia="id-ID"/>
      </w:rPr>
      <mc:AlternateContent>
        <mc:Choice Requires="wps">
          <w:drawing>
            <wp:anchor distT="0" distB="0" distL="114300" distR="114300" simplePos="0" relativeHeight="251665408" behindDoc="0" locked="0" layoutInCell="1" hidden="0" allowOverlap="1" wp14:anchorId="654712B4" wp14:editId="72A56864">
              <wp:simplePos x="0" y="0"/>
              <wp:positionH relativeFrom="column">
                <wp:posOffset>1308100</wp:posOffset>
              </wp:positionH>
              <wp:positionV relativeFrom="paragraph">
                <wp:posOffset>9766300</wp:posOffset>
              </wp:positionV>
              <wp:extent cx="4725035" cy="337185"/>
              <wp:effectExtent l="0" t="0" r="0" b="0"/>
              <wp:wrapNone/>
              <wp:docPr id="273" name="Rectangle 273"/>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3610D1"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id="Rectangle 273" o:spid="_x0000_s1027" style="position:absolute;left:0;text-align:left;margin-left:103pt;margin-top:769pt;width:372.05pt;height:26.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">
              <v:stroke startarrowwidth="narrow" startarrowlength="short" endarrowwidth="narrow" endarrowlength="short"/>
              <v:textbox inset="2.53958mm,1.2694mm,2.53958mm,1.2694mm">
                <w:txbxContent>
                  <w:p w14:paraId="0B3610D1"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r>
      <w:rPr>
        <w:noProof/>
        <w:lang w:val="id-ID" w:eastAsia="id-ID"/>
      </w:rPr>
      <mc:AlternateContent>
        <mc:Choice Requires="wps">
          <w:drawing>
            <wp:anchor distT="0" distB="0" distL="114300" distR="114300" simplePos="0" relativeHeight="251666432" behindDoc="0" locked="0" layoutInCell="1" hidden="0" allowOverlap="1" wp14:anchorId="4EA2BED6" wp14:editId="547FF0FB">
              <wp:simplePos x="0" y="0"/>
              <wp:positionH relativeFrom="column">
                <wp:posOffset>1308100</wp:posOffset>
              </wp:positionH>
              <wp:positionV relativeFrom="paragraph">
                <wp:posOffset>9766300</wp:posOffset>
              </wp:positionV>
              <wp:extent cx="4725035" cy="337185"/>
              <wp:effectExtent l="0" t="0" r="0" b="0"/>
              <wp:wrapNone/>
              <wp:docPr id="279" name="Rectangle 279"/>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E124AE"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id="Rectangle 279" o:spid="_x0000_s1028" style="position:absolute;left:0;text-align:left;margin-left:103pt;margin-top:769pt;width:372.05pt;height:26.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">
              <v:stroke startarrowwidth="narrow" startarrowlength="short" endarrowwidth="narrow" endarrowlength="short"/>
              <v:textbox inset="2.53958mm,1.2694mm,2.53958mm,1.2694mm">
                <w:txbxContent>
                  <w:p w14:paraId="29E124AE"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r>
      <w:rPr>
        <w:noProof/>
        <w:lang w:val="id-ID" w:eastAsia="id-ID"/>
      </w:rPr>
      <mc:AlternateContent>
        <mc:Choice Requires="wps">
          <w:drawing>
            <wp:anchor distT="45720" distB="45720" distL="114300" distR="114300" simplePos="0" relativeHeight="251667456" behindDoc="0" locked="0" layoutInCell="1" hidden="0" allowOverlap="1" wp14:anchorId="4B4CB3D6" wp14:editId="589BECBC">
              <wp:simplePos x="0" y="0"/>
              <wp:positionH relativeFrom="column">
                <wp:posOffset>393700</wp:posOffset>
              </wp:positionH>
              <wp:positionV relativeFrom="paragraph">
                <wp:posOffset>121920</wp:posOffset>
              </wp:positionV>
              <wp:extent cx="4735195" cy="304800"/>
              <wp:effectExtent l="0" t="0" r="0" b="0"/>
              <wp:wrapNone/>
              <wp:docPr id="284" name="Rectangle 284"/>
              <wp:cNvGraphicFramePr/>
              <a:graphic xmlns:a="http://schemas.openxmlformats.org/drawingml/2006/main">
                <a:graphicData uri="http://schemas.microsoft.com/office/word/2010/wordprocessingShape">
                  <wps:wsp>
                    <wps:cNvSpPr/>
                    <wps:spPr>
                      <a:xfrm>
                        <a:off x="2997453" y="3646650"/>
                        <a:ext cx="4697095"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C39A8F" w14:textId="77777777" w:rsidR="001775C2" w:rsidRDefault="006567F4">
                          <w:pPr>
                            <w:spacing w:line="275" w:lineRule="auto"/>
                            <w:jc w:val="center"/>
                            <w:textDirection w:val="btLr"/>
                          </w:pPr>
                          <w:r>
                            <w:rPr>
                              <w:color w:val="000000"/>
                            </w:rPr>
                            <w:t xml:space="preserve">Copyright © 2023, JURNAL LITIGASI (e-Journal), e-ISSN: </w:t>
                          </w:r>
                          <w:r>
                            <w:rPr>
                              <w:color w:val="000000"/>
                            </w:rPr>
                            <w:t>2442-2274</w:t>
                          </w:r>
                        </w:p>
                      </w:txbxContent>
                    </wps:txbx>
                    <wps:bodyPr spcFirstLastPara="1" wrap="square" lIns="91425" tIns="45700" rIns="91425" bIns="45700" anchor="t" anchorCtr="0">
                      <a:noAutofit/>
                    </wps:bodyPr>
                  </wps:wsp>
                </a:graphicData>
              </a:graphic>
            </wp:anchor>
          </w:drawing>
        </mc:Choice>
        <mc:Fallback>
          <w:pict>
            <v:rect id="Rectangle 284" o:spid="_x0000_s1029" style="position:absolute;left:0;text-align:left;margin-left:31pt;margin-top:9.6pt;width:372.85pt;height:24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">
              <v:stroke startarrowwidth="narrow" startarrowlength="short" endarrowwidth="narrow" endarrowlength="short"/>
              <v:textbox inset="2.53958mm,1.2694mm,2.53958mm,1.2694mm">
                <w:txbxContent>
                  <w:p w14:paraId="2FC39A8F" w14:textId="77777777" w:rsidR="001775C2" w:rsidRDefault="006567F4">
                    <w:pPr>
                      <w:spacing w:line="275" w:lineRule="auto"/>
                      <w:jc w:val="center"/>
                      <w:textDirection w:val="btLr"/>
                    </w:pPr>
                    <w:r>
                      <w:rPr>
                        <w:color w:val="000000"/>
                      </w:rPr>
                      <w:t xml:space="preserve">Copyright © 2023, JURNAL LITIGASI (e-Journal), e-ISSN: </w:t>
                    </w:r>
                    <w:r>
                      <w:rPr>
                        <w:color w:val="000000"/>
                      </w:rPr>
                      <w:t>2442-2274</w:t>
                    </w:r>
                  </w:p>
                </w:txbxContent>
              </v:textbox>
            </v:rect>
          </w:pict>
        </mc:Fallback>
      </mc:AlternateContent>
    </w:r>
  </w:p>
  <w:p w14:paraId="5F954B09" w14:textId="77777777" w:rsidR="001775C2" w:rsidRDefault="001775C2">
    <w:pPr>
      <w:pBdr>
        <w:top w:val="nil"/>
        <w:left w:val="nil"/>
        <w:bottom w:val="nil"/>
        <w:right w:val="nil"/>
        <w:between w:val="nil"/>
      </w:pBdr>
      <w:tabs>
        <w:tab w:val="center" w:pos="4513"/>
        <w:tab w:val="right" w:pos="9026"/>
      </w:tabs>
      <w:spacing w:after="0" w:line="240" w:lineRule="auto"/>
      <w:jc w:val="center"/>
      <w:rPr>
        <w:color w:val="000000"/>
      </w:rPr>
    </w:pPr>
  </w:p>
  <w:p w14:paraId="7D6C8B8B" w14:textId="77777777" w:rsidR="001775C2" w:rsidRDefault="006567F4">
    <w:pPr>
      <w:pBdr>
        <w:top w:val="nil"/>
        <w:left w:val="nil"/>
        <w:bottom w:val="nil"/>
        <w:right w:val="nil"/>
        <w:between w:val="nil"/>
      </w:pBdr>
      <w:tabs>
        <w:tab w:val="center" w:pos="4513"/>
        <w:tab w:val="right" w:pos="9026"/>
      </w:tabs>
      <w:spacing w:after="0" w:line="240" w:lineRule="auto"/>
      <w:jc w:val="center"/>
      <w:rPr>
        <w:color w:val="000000"/>
      </w:rPr>
    </w:pPr>
    <w:r>
      <w:rPr>
        <w:noProof/>
        <w:lang w:val="id-ID" w:eastAsia="id-ID"/>
      </w:rPr>
      <mc:AlternateContent>
        <mc:Choice Requires="wps">
          <w:drawing>
            <wp:anchor distT="0" distB="0" distL="114300" distR="114300" simplePos="0" relativeHeight="251668480" behindDoc="0" locked="0" layoutInCell="1" hidden="0" allowOverlap="1" wp14:anchorId="70D5D9E3" wp14:editId="5714C164">
              <wp:simplePos x="0" y="0"/>
              <wp:positionH relativeFrom="column">
                <wp:posOffset>1308100</wp:posOffset>
              </wp:positionH>
              <wp:positionV relativeFrom="paragraph">
                <wp:posOffset>9766300</wp:posOffset>
              </wp:positionV>
              <wp:extent cx="4725035" cy="337185"/>
              <wp:effectExtent l="0" t="0" r="0" b="0"/>
              <wp:wrapNone/>
              <wp:docPr id="277" name="Rectangle 277"/>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60EF3B"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id="Rectangle 277" o:spid="_x0000_s1030" style="position:absolute;left:0;text-align:left;margin-left:103pt;margin-top:769pt;width:372.05pt;height:26.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">
              <v:stroke startarrowwidth="narrow" startarrowlength="short" endarrowwidth="narrow" endarrowlength="short"/>
              <v:textbox inset="2.53958mm,1.2694mm,2.53958mm,1.2694mm">
                <w:txbxContent>
                  <w:p w14:paraId="5960EF3B"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r>
      <w:rPr>
        <w:noProof/>
        <w:lang w:val="id-ID" w:eastAsia="id-ID"/>
      </w:rPr>
      <mc:AlternateContent>
        <mc:Choice Requires="wps">
          <w:drawing>
            <wp:anchor distT="0" distB="0" distL="114300" distR="114300" simplePos="0" relativeHeight="251669504" behindDoc="0" locked="0" layoutInCell="1" hidden="0" allowOverlap="1" wp14:anchorId="524BF0C5" wp14:editId="46608E6E">
              <wp:simplePos x="0" y="0"/>
              <wp:positionH relativeFrom="column">
                <wp:posOffset>1308100</wp:posOffset>
              </wp:positionH>
              <wp:positionV relativeFrom="paragraph">
                <wp:posOffset>9766300</wp:posOffset>
              </wp:positionV>
              <wp:extent cx="4725035" cy="337185"/>
              <wp:effectExtent l="0" t="0" r="0" b="0"/>
              <wp:wrapNone/>
              <wp:docPr id="272" name="Rectangle 272"/>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03B523"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id="Rectangle 272" o:spid="_x0000_s1031" style="position:absolute;left:0;text-align:left;margin-left:103pt;margin-top:769pt;width:372.05pt;height:26.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">
              <v:stroke startarrowwidth="narrow" startarrowlength="short" endarrowwidth="narrow" endarrowlength="short"/>
              <v:textbox inset="2.53958mm,1.2694mm,2.53958mm,1.2694mm">
                <w:txbxContent>
                  <w:p w14:paraId="3A03B523"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r>
      <w:rPr>
        <w:noProof/>
        <w:lang w:val="id-ID" w:eastAsia="id-ID"/>
      </w:rPr>
      <mc:AlternateContent>
        <mc:Choice Requires="wps">
          <w:drawing>
            <wp:anchor distT="0" distB="0" distL="114300" distR="114300" simplePos="0" relativeHeight="251670528" behindDoc="0" locked="0" layoutInCell="1" hidden="0" allowOverlap="1" wp14:anchorId="0144FC23" wp14:editId="4E898CF3">
              <wp:simplePos x="0" y="0"/>
              <wp:positionH relativeFrom="column">
                <wp:posOffset>1308100</wp:posOffset>
              </wp:positionH>
              <wp:positionV relativeFrom="paragraph">
                <wp:posOffset>9766300</wp:posOffset>
              </wp:positionV>
              <wp:extent cx="4725035" cy="337185"/>
              <wp:effectExtent l="0" t="0" r="0" b="0"/>
              <wp:wrapNone/>
              <wp:docPr id="282" name="Rectangle 282"/>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4E169B"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id="Rectangle 282" o:spid="_x0000_s1032" style="position:absolute;left:0;text-align:left;margin-left:103pt;margin-top:769pt;width:372.05pt;height:26.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">
              <v:stroke startarrowwidth="narrow" startarrowlength="short" endarrowwidth="narrow" endarrowlength="short"/>
              <v:textbox inset="2.53958mm,1.2694mm,2.53958mm,1.2694mm">
                <w:txbxContent>
                  <w:p w14:paraId="714E169B"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r>
      <w:rPr>
        <w:noProof/>
        <w:lang w:val="id-ID" w:eastAsia="id-ID"/>
      </w:rPr>
      <mc:AlternateContent>
        <mc:Choice Requires="wps">
          <w:drawing>
            <wp:anchor distT="0" distB="0" distL="114300" distR="114300" simplePos="0" relativeHeight="251671552" behindDoc="0" locked="0" layoutInCell="1" hidden="0" allowOverlap="1" wp14:anchorId="0DF13600" wp14:editId="79B15645">
              <wp:simplePos x="0" y="0"/>
              <wp:positionH relativeFrom="column">
                <wp:posOffset>1308100</wp:posOffset>
              </wp:positionH>
              <wp:positionV relativeFrom="paragraph">
                <wp:posOffset>9766300</wp:posOffset>
              </wp:positionV>
              <wp:extent cx="4725035" cy="337185"/>
              <wp:effectExtent l="0" t="0" r="0" b="0"/>
              <wp:wrapNone/>
              <wp:docPr id="278" name="Rectangle 278"/>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98AC2F"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id="Rectangle 278" o:spid="_x0000_s1033" style="position:absolute;left:0;text-align:left;margin-left:103pt;margin-top:769pt;width:372.05pt;height:26.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">
              <v:stroke startarrowwidth="narrow" startarrowlength="short" endarrowwidth="narrow" endarrowlength="short"/>
              <v:textbox inset="2.53958mm,1.2694mm,2.53958mm,1.2694mm">
                <w:txbxContent>
                  <w:p w14:paraId="5B98AC2F"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p>
  <w:p w14:paraId="483251FA" w14:textId="77777777" w:rsidR="001775C2" w:rsidRDefault="006567F4">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end"/>
    </w:r>
    <w:r>
      <w:rPr>
        <w:noProof/>
        <w:lang w:val="id-ID" w:eastAsia="id-ID"/>
      </w:rPr>
      <mc:AlternateContent>
        <mc:Choice Requires="wps">
          <w:drawing>
            <wp:anchor distT="0" distB="0" distL="114300" distR="114300" simplePos="0" relativeHeight="251672576" behindDoc="0" locked="0" layoutInCell="1" hidden="0" allowOverlap="1" wp14:anchorId="23477EB8" wp14:editId="08D510D2">
              <wp:simplePos x="0" y="0"/>
              <wp:positionH relativeFrom="column">
                <wp:posOffset>1308100</wp:posOffset>
              </wp:positionH>
              <wp:positionV relativeFrom="paragraph">
                <wp:posOffset>9766300</wp:posOffset>
              </wp:positionV>
              <wp:extent cx="4725035" cy="337185"/>
              <wp:effectExtent l="0" t="0" r="0" b="0"/>
              <wp:wrapNone/>
              <wp:docPr id="281" name="Rectangle 281"/>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BA848C"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id="Rectangle 281" o:spid="_x0000_s1034" style="position:absolute;left:0;text-align:left;margin-left:103pt;margin-top:769pt;width:372.05pt;height:26.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">
              <v:stroke startarrowwidth="narrow" startarrowlength="short" endarrowwidth="narrow" endarrowlength="short"/>
              <v:textbox inset="2.53958mm,1.2694mm,2.53958mm,1.2694mm">
                <w:txbxContent>
                  <w:p w14:paraId="5DBA848C"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p>
  <w:p w14:paraId="4D7FAEAC" w14:textId="77777777" w:rsidR="001775C2" w:rsidRDefault="001775C2"/>
  <w:p w14:paraId="365CE7EF" w14:textId="77777777" w:rsidR="001775C2" w:rsidRDefault="001775C2"/>
  <w:p w14:paraId="253A816F" w14:textId="77777777" w:rsidR="001775C2" w:rsidRDefault="001775C2"/>
  <w:p w14:paraId="50844F59" w14:textId="77777777" w:rsidR="001775C2" w:rsidRDefault="001775C2"/>
  <w:p w14:paraId="7EE4E2DE" w14:textId="77777777" w:rsidR="001775C2" w:rsidRDefault="001775C2"/>
  <w:p w14:paraId="2DE0612D" w14:textId="77777777" w:rsidR="001775C2" w:rsidRDefault="001775C2"/>
  <w:p w14:paraId="13FCBF03" w14:textId="77777777" w:rsidR="001775C2" w:rsidRDefault="001775C2"/>
  <w:p w14:paraId="62388A63" w14:textId="77777777" w:rsidR="001775C2" w:rsidRDefault="001775C2"/>
  <w:p w14:paraId="2E21EFED" w14:textId="77777777" w:rsidR="001775C2" w:rsidRDefault="001775C2"/>
  <w:p w14:paraId="66FE2984" w14:textId="77777777" w:rsidR="001775C2" w:rsidRDefault="001775C2"/>
  <w:p w14:paraId="3F8BA5AA" w14:textId="77777777" w:rsidR="001775C2" w:rsidRDefault="001775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CAC37" w14:textId="77777777" w:rsidR="001775C2" w:rsidRDefault="001775C2">
    <w:pPr>
      <w:pBdr>
        <w:top w:val="nil"/>
        <w:left w:val="nil"/>
        <w:bottom w:val="nil"/>
        <w:right w:val="nil"/>
        <w:between w:val="nil"/>
      </w:pBdr>
      <w:tabs>
        <w:tab w:val="center" w:pos="4513"/>
        <w:tab w:val="right" w:pos="9026"/>
      </w:tabs>
      <w:spacing w:after="0" w:line="240" w:lineRule="auto"/>
      <w:jc w:val="center"/>
      <w:rPr>
        <w:color w:val="000000"/>
      </w:rPr>
    </w:pPr>
  </w:p>
  <w:p w14:paraId="0157892F" w14:textId="77777777" w:rsidR="001775C2" w:rsidRDefault="001775C2">
    <w:pPr>
      <w:pBdr>
        <w:top w:val="nil"/>
        <w:left w:val="nil"/>
        <w:bottom w:val="nil"/>
        <w:right w:val="nil"/>
        <w:between w:val="nil"/>
      </w:pBdr>
      <w:tabs>
        <w:tab w:val="center" w:pos="4513"/>
        <w:tab w:val="right" w:pos="9026"/>
      </w:tabs>
      <w:spacing w:after="0" w:line="240" w:lineRule="auto"/>
      <w:jc w:val="center"/>
      <w:rPr>
        <w:color w:val="000000"/>
      </w:rPr>
    </w:pPr>
  </w:p>
  <w:p w14:paraId="16368354" w14:textId="77777777" w:rsidR="001775C2" w:rsidRDefault="006567F4">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40C02">
      <w:rPr>
        <w:noProof/>
        <w:color w:val="000000"/>
      </w:rPr>
      <w:t>13</w:t>
    </w:r>
    <w:r>
      <w:rPr>
        <w:color w:val="000000"/>
      </w:rPr>
      <w:fldChar w:fldCharType="end"/>
    </w:r>
  </w:p>
  <w:p w14:paraId="4458EA49" w14:textId="77777777" w:rsidR="001775C2" w:rsidRDefault="001775C2">
    <w:pPr>
      <w:pBdr>
        <w:top w:val="nil"/>
        <w:left w:val="nil"/>
        <w:bottom w:val="nil"/>
        <w:right w:val="nil"/>
        <w:between w:val="nil"/>
      </w:pBdr>
      <w:tabs>
        <w:tab w:val="center" w:pos="4513"/>
        <w:tab w:val="right" w:pos="9026"/>
      </w:tabs>
      <w:spacing w:after="0" w:line="240" w:lineRule="auto"/>
      <w:jc w:val="cente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62B98" w14:textId="77777777" w:rsidR="001775C2" w:rsidRDefault="006567F4">
    <w:pPr>
      <w:pBdr>
        <w:top w:val="nil"/>
        <w:left w:val="nil"/>
        <w:bottom w:val="nil"/>
        <w:right w:val="nil"/>
        <w:between w:val="nil"/>
      </w:pBdr>
      <w:tabs>
        <w:tab w:val="center" w:pos="4513"/>
        <w:tab w:val="right" w:pos="9026"/>
      </w:tabs>
      <w:spacing w:after="0" w:line="240" w:lineRule="auto"/>
      <w:jc w:val="center"/>
      <w:rPr>
        <w:color w:val="000000"/>
      </w:rPr>
    </w:pPr>
    <w:r>
      <w:rPr>
        <w:noProof/>
        <w:lang w:val="id-ID" w:eastAsia="id-ID"/>
      </w:rPr>
      <mc:AlternateContent>
        <mc:Choice Requires="wps">
          <w:drawing>
            <wp:anchor distT="0" distB="0" distL="114300" distR="114300" simplePos="0" relativeHeight="251660288" behindDoc="0" locked="0" layoutInCell="1" hidden="0" allowOverlap="1" wp14:anchorId="70F2EFB3" wp14:editId="32E294B3">
              <wp:simplePos x="0" y="0"/>
              <wp:positionH relativeFrom="column">
                <wp:posOffset>1308100</wp:posOffset>
              </wp:positionH>
              <wp:positionV relativeFrom="paragraph">
                <wp:posOffset>9766300</wp:posOffset>
              </wp:positionV>
              <wp:extent cx="4725035" cy="337185"/>
              <wp:effectExtent l="0" t="0" r="0" b="0"/>
              <wp:wrapNone/>
              <wp:docPr id="274" name="Rectangle 274"/>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92EF6A"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id="Rectangle 274" o:spid="_x0000_s1035" style="position:absolute;left:0;text-align:left;margin-left:103pt;margin-top:769pt;width:372.05pt;height:2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">
              <v:stroke startarrowwidth="narrow" startarrowlength="short" endarrowwidth="narrow" endarrowlength="short"/>
              <v:textbox inset="2.53958mm,1.2694mm,2.53958mm,1.2694mm">
                <w:txbxContent>
                  <w:p w14:paraId="4292EF6A"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r>
      <w:rPr>
        <w:noProof/>
        <w:lang w:val="id-ID" w:eastAsia="id-ID"/>
      </w:rPr>
      <mc:AlternateContent>
        <mc:Choice Requires="wps">
          <w:drawing>
            <wp:anchor distT="0" distB="0" distL="114300" distR="114300" simplePos="0" relativeHeight="251661312" behindDoc="0" locked="0" layoutInCell="1" hidden="0" allowOverlap="1" wp14:anchorId="396F5571" wp14:editId="7F2DB5A6">
              <wp:simplePos x="0" y="0"/>
              <wp:positionH relativeFrom="column">
                <wp:posOffset>1308100</wp:posOffset>
              </wp:positionH>
              <wp:positionV relativeFrom="paragraph">
                <wp:posOffset>9766300</wp:posOffset>
              </wp:positionV>
              <wp:extent cx="4725035" cy="337185"/>
              <wp:effectExtent l="0" t="0" r="0" b="0"/>
              <wp:wrapNone/>
              <wp:docPr id="283" name="Rectangle 283"/>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AA6AD6"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id="Rectangle 283" o:spid="_x0000_s1036" style="position:absolute;left:0;text-align:left;margin-left:103pt;margin-top:769pt;width:372.05pt;height:26.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">
              <v:stroke startarrowwidth="narrow" startarrowlength="short" endarrowwidth="narrow" endarrowlength="short"/>
              <v:textbox inset="2.53958mm,1.2694mm,2.53958mm,1.2694mm">
                <w:txbxContent>
                  <w:p w14:paraId="4AAA6AD6"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r>
      <w:rPr>
        <w:noProof/>
        <w:lang w:val="id-ID" w:eastAsia="id-ID"/>
      </w:rPr>
      <mc:AlternateContent>
        <mc:Choice Requires="wps">
          <w:drawing>
            <wp:anchor distT="0" distB="0" distL="114300" distR="114300" simplePos="0" relativeHeight="251662336" behindDoc="0" locked="0" layoutInCell="1" hidden="0" allowOverlap="1" wp14:anchorId="179EAD33" wp14:editId="3D6735CD">
              <wp:simplePos x="0" y="0"/>
              <wp:positionH relativeFrom="column">
                <wp:posOffset>1308100</wp:posOffset>
              </wp:positionH>
              <wp:positionV relativeFrom="paragraph">
                <wp:posOffset>9766300</wp:posOffset>
              </wp:positionV>
              <wp:extent cx="4725035" cy="337185"/>
              <wp:effectExtent l="0" t="0" r="0" b="0"/>
              <wp:wrapNone/>
              <wp:docPr id="285" name="Rectangle 285"/>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E9EB9B0"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id="Rectangle 285" o:spid="_x0000_s1037" style="position:absolute;left:0;text-align:left;margin-left:103pt;margin-top:769pt;width:372.05pt;height:26.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">
              <v:stroke startarrowwidth="narrow" startarrowlength="short" endarrowwidth="narrow" endarrowlength="short"/>
              <v:textbox inset="2.53958mm,1.2694mm,2.53958mm,1.2694mm">
                <w:txbxContent>
                  <w:p w14:paraId="2E9EB9B0"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r>
      <w:rPr>
        <w:noProof/>
        <w:lang w:val="id-ID" w:eastAsia="id-ID"/>
      </w:rPr>
      <mc:AlternateContent>
        <mc:Choice Requires="wps">
          <w:drawing>
            <wp:anchor distT="0" distB="0" distL="114300" distR="114300" simplePos="0" relativeHeight="251663360" behindDoc="0" locked="0" layoutInCell="1" hidden="0" allowOverlap="1" wp14:anchorId="3B87BCC2" wp14:editId="61613CA9">
              <wp:simplePos x="0" y="0"/>
              <wp:positionH relativeFrom="column">
                <wp:posOffset>1308100</wp:posOffset>
              </wp:positionH>
              <wp:positionV relativeFrom="paragraph">
                <wp:posOffset>9766300</wp:posOffset>
              </wp:positionV>
              <wp:extent cx="4725035" cy="337185"/>
              <wp:effectExtent l="0" t="0" r="0" b="0"/>
              <wp:wrapNone/>
              <wp:docPr id="280" name="Rectangle 280"/>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3DB1B5"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id="Rectangle 280" o:spid="_x0000_s1038" style="position:absolute;left:0;text-align:left;margin-left:103pt;margin-top:769pt;width:372.05pt;height:26.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">
              <v:stroke startarrowwidth="narrow" startarrowlength="short" endarrowwidth="narrow" endarrowlength="short"/>
              <v:textbox inset="2.53958mm,1.2694mm,2.53958mm,1.2694mm">
                <w:txbxContent>
                  <w:p w14:paraId="163DB1B5" w14:textId="77777777" w:rsidR="001775C2" w:rsidRDefault="006567F4">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p>
  <w:p w14:paraId="5F5326A8" w14:textId="77777777" w:rsidR="001775C2" w:rsidRDefault="001775C2">
    <w:pPr>
      <w:pBdr>
        <w:top w:val="nil"/>
        <w:left w:val="nil"/>
        <w:bottom w:val="nil"/>
        <w:right w:val="nil"/>
        <w:between w:val="nil"/>
      </w:pBdr>
      <w:tabs>
        <w:tab w:val="center" w:pos="4513"/>
        <w:tab w:val="right" w:pos="9026"/>
      </w:tabs>
      <w:spacing w:after="0" w:line="240" w:lineRule="auto"/>
      <w:jc w:val="center"/>
      <w:rPr>
        <w:color w:val="000000"/>
      </w:rPr>
    </w:pPr>
  </w:p>
  <w:p w14:paraId="13FEDCF7" w14:textId="77777777" w:rsidR="001775C2" w:rsidRDefault="001775C2">
    <w:pPr>
      <w:pBdr>
        <w:top w:val="nil"/>
        <w:left w:val="nil"/>
        <w:bottom w:val="nil"/>
        <w:right w:val="nil"/>
        <w:between w:val="nil"/>
      </w:pBdr>
      <w:tabs>
        <w:tab w:val="center" w:pos="4513"/>
        <w:tab w:val="right" w:pos="9026"/>
      </w:tabs>
      <w:spacing w:after="0" w:line="240" w:lineRule="auto"/>
      <w:jc w:val="center"/>
      <w:rPr>
        <w:color w:val="000000"/>
      </w:rPr>
    </w:pPr>
  </w:p>
  <w:p w14:paraId="336FB2B8" w14:textId="77777777" w:rsidR="001775C2" w:rsidRDefault="006567F4">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A4DB2">
      <w:rPr>
        <w:noProof/>
        <w:color w:val="000000"/>
      </w:rPr>
      <w:t>1</w:t>
    </w:r>
    <w:r>
      <w:rPr>
        <w:color w:val="000000"/>
      </w:rPr>
      <w:fldChar w:fldCharType="end"/>
    </w:r>
    <w:r>
      <w:rPr>
        <w:noProof/>
        <w:lang w:val="id-ID" w:eastAsia="id-ID"/>
      </w:rPr>
      <mc:AlternateContent>
        <mc:Choice Requires="wps">
          <w:drawing>
            <wp:anchor distT="0" distB="0" distL="114300" distR="114300" simplePos="0" relativeHeight="251664384" behindDoc="0" locked="0" layoutInCell="1" hidden="0" allowOverlap="1" wp14:anchorId="6A610598" wp14:editId="27208F22">
              <wp:simplePos x="0" y="0"/>
              <wp:positionH relativeFrom="column">
                <wp:posOffset>1308100</wp:posOffset>
              </wp:positionH>
              <wp:positionV relativeFrom="paragraph">
                <wp:posOffset>9766300</wp:posOffset>
              </wp:positionV>
              <wp:extent cx="4725035" cy="337185"/>
              <wp:effectExtent l="0" t="0" r="0" b="0"/>
              <wp:wrapNone/>
              <wp:docPr id="275" name="Rectangle 275"/>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A2D617" w14:textId="77777777" w:rsidR="001775C2" w:rsidRDefault="006567F4">
                          <w:pPr>
                            <w:spacing w:after="0" w:line="240" w:lineRule="auto"/>
                            <w:jc w:val="center"/>
                            <w:textDirection w:val="btLr"/>
                          </w:pPr>
                          <w:r>
                            <w:rPr>
                              <w:rFonts w:ascii="Arial" w:eastAsia="Arial" w:hAnsi="Arial" w:cs="Arial"/>
                              <w:color w:val="000000"/>
                            </w:rPr>
                            <w:t>Copyright © 2020, JURNAL LITIGASI (e-Jour</w:t>
                          </w:r>
                          <w:r>
                            <w:rPr>
                              <w:rFonts w:ascii="Arial" w:eastAsia="Arial" w:hAnsi="Arial" w:cs="Arial"/>
                              <w:color w:val="000000"/>
                            </w:rPr>
                            <w:t xml:space="preserve">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id="Rectangle 275" o:spid="_x0000_s1039" style="position:absolute;left:0;text-align:left;margin-left:103pt;margin-top:769pt;width:372.05pt;height:26.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">
              <v:stroke startarrowwidth="narrow" startarrowlength="short" endarrowwidth="narrow" endarrowlength="short"/>
              <v:textbox inset="2.53958mm,1.2694mm,2.53958mm,1.2694mm">
                <w:txbxContent>
                  <w:p w14:paraId="74A2D617" w14:textId="77777777" w:rsidR="001775C2" w:rsidRDefault="006567F4">
                    <w:pPr>
                      <w:spacing w:after="0" w:line="240" w:lineRule="auto"/>
                      <w:jc w:val="center"/>
                      <w:textDirection w:val="btLr"/>
                    </w:pPr>
                    <w:r>
                      <w:rPr>
                        <w:rFonts w:ascii="Arial" w:eastAsia="Arial" w:hAnsi="Arial" w:cs="Arial"/>
                        <w:color w:val="000000"/>
                      </w:rPr>
                      <w:t>Copyright © 2020, JURNAL LITIGASI (e-Jour</w:t>
                    </w:r>
                    <w:r>
                      <w:rPr>
                        <w:rFonts w:ascii="Arial" w:eastAsia="Arial" w:hAnsi="Arial" w:cs="Arial"/>
                        <w:color w:val="000000"/>
                      </w:rPr>
                      <w:t xml:space="preserve">nal), </w:t>
                    </w:r>
                    <w:r>
                      <w:rPr>
                        <w:rFonts w:ascii="Arial" w:eastAsia="Arial" w:hAnsi="Arial" w:cs="Arial"/>
                        <w:color w:val="111111"/>
                      </w:rPr>
                      <w:t>e-ISSN: 2442-2274</w:t>
                    </w:r>
                  </w:p>
                </w:txbxContent>
              </v:textbox>
            </v:rect>
          </w:pict>
        </mc:Fallback>
      </mc:AlternateContent>
    </w:r>
  </w:p>
  <w:p w14:paraId="5F27FF27" w14:textId="77777777" w:rsidR="001775C2" w:rsidRDefault="001775C2">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91207" w14:textId="77777777" w:rsidR="006567F4" w:rsidRDefault="006567F4" w:rsidP="00491144">
      <w:pPr>
        <w:spacing w:after="0" w:line="240" w:lineRule="auto"/>
      </w:pPr>
      <w:r>
        <w:separator/>
      </w:r>
    </w:p>
  </w:footnote>
  <w:footnote w:type="continuationSeparator" w:id="0">
    <w:p w14:paraId="29647495" w14:textId="77777777" w:rsidR="006567F4" w:rsidRDefault="006567F4" w:rsidP="00491144">
      <w:pPr>
        <w:spacing w:after="0" w:line="240" w:lineRule="auto"/>
      </w:pPr>
      <w:r>
        <w:continuationSeparator/>
      </w:r>
    </w:p>
  </w:footnote>
  <w:footnote w:id="1">
    <w:p w14:paraId="0A7552B4" w14:textId="77777777" w:rsidR="00491144" w:rsidRPr="002E5649" w:rsidRDefault="00491144" w:rsidP="00491144">
      <w:pPr>
        <w:pStyle w:val="FootnoteText"/>
        <w:ind w:left="284" w:hanging="284"/>
        <w:jc w:val="both"/>
        <w:rPr>
          <w:rFonts w:ascii="Palatino Linotype" w:hAnsi="Palatino Linotype"/>
        </w:rPr>
      </w:pPr>
      <w:r w:rsidRPr="002E5649">
        <w:rPr>
          <w:rStyle w:val="FootnoteReference"/>
          <w:rFonts w:ascii="Palatino Linotype" w:hAnsi="Palatino Linotype"/>
        </w:rPr>
        <w:footnoteRef/>
      </w:r>
      <w:r w:rsidRPr="002E5649">
        <w:rPr>
          <w:rFonts w:ascii="Palatino Linotype" w:hAnsi="Palatino Linotype"/>
        </w:rPr>
        <w:t xml:space="preserve"> </w:t>
      </w:r>
      <w:r>
        <w:rPr>
          <w:rFonts w:ascii="Palatino Linotype" w:hAnsi="Palatino Linotype"/>
        </w:rPr>
        <w:tab/>
      </w:r>
      <w:r w:rsidRPr="002E5649">
        <w:rPr>
          <w:rFonts w:ascii="Palatino Linotype" w:hAnsi="Palatino Linotype"/>
        </w:rPr>
        <w:fldChar w:fldCharType="begin"/>
      </w:r>
      <w:r w:rsidRPr="002E5649">
        <w:rPr>
          <w:rFonts w:ascii="Palatino Linotype" w:hAnsi="Palatino Linotype"/>
        </w:rPr>
        <w:instrText xml:space="preserve"> ADDIN ZOTERO_ITEM CSL_CITATION {"citationID":"j9wrIpap","properties":{"formattedCitation":"Stefaan Walgrave, \\uc0\\u8220{}Demonstrations,\\uc0\\u8221{} dalam {\\i{}The Wiley-Blackwell Encyclopedia of Social and Political Movements}, ed. oleh Donatella Della Porta dkk., 1 ed. (Wiley, 2022), 1\\uc0\\u8211{}2, https://doi.org/10.1002/9780470674871.wbespm069.pub2.","plainCitation":"Stefaan Walgrave, “Demonstrations,” dalam The Wiley-Blackwell Encyclopedia of Social and Political Movements, ed. oleh Donatella Della Porta dkk., 1 ed. (Wiley, 2022), 1–2, https://doi.org/10.1002/9780470674871.wbespm069.pub2.","noteIndex":1},"citationItems":[{"id":964,"uris":["http://zotero.org/users/15177137/items/T8MBBCYF"],"itemData":{"id":964,"type":"chapter","abstract":"Demonstrations are legal or illegal gatherings of people in the public domain (squares or streets) voicing economic, social, or political claims. When these people move from point A to B in the public space we call this a demonstration; when they are static we instead call them “rallies.”","container-title":"The Wiley-Blackwell Encyclopedia of Social and Political Movements","edition":"1","ISBN":"978-1-4051-9773-1","language":"en","license":"http://doi.wiley.com/10.1002/tdm_license_1.1","note":"DOI: 10.1002/9780470674871.wbespm069.pub2","page":"1-2","publisher":"Wiley","source":"DOI.org (Crossref)","title":"Demonstrations","URL":"https://onlinelibrary.wiley.com/doi/10.1002/9780470674871.wbespm069.pub2","editor":[{"family":"Della Porta","given":"Donatella"},{"family":"Klandermans","given":"Bert"},{"family":"McAdam","given":"Doug"},{"family":"Snow","given":"David A."}],"author":[{"family":"Walgrave","given":"Stefaan"}],"accessed":{"date-parts":[["2024",11,19]]},"issued":{"date-parts":[["2022",9,27]]}}}],"schema":"https://github.com/citation-style-language/schema/raw/master/csl-citation.json"} </w:instrText>
      </w:r>
      <w:r w:rsidRPr="002E5649">
        <w:rPr>
          <w:rFonts w:ascii="Palatino Linotype" w:hAnsi="Palatino Linotype"/>
        </w:rPr>
        <w:fldChar w:fldCharType="separate"/>
      </w:r>
      <w:r w:rsidRPr="002E5649">
        <w:rPr>
          <w:rFonts w:ascii="Palatino Linotype" w:hAnsi="Palatino Linotype" w:cs="Times New Roman"/>
          <w:szCs w:val="24"/>
        </w:rPr>
        <w:t xml:space="preserve">Stefaan Walgrave, “Demonstrations,” dalam </w:t>
      </w:r>
      <w:r w:rsidRPr="002E5649">
        <w:rPr>
          <w:rFonts w:ascii="Palatino Linotype" w:hAnsi="Palatino Linotype" w:cs="Times New Roman"/>
          <w:i/>
          <w:iCs/>
          <w:szCs w:val="24"/>
        </w:rPr>
        <w:t>The Wiley-Blackwell Encyclopedia of Social and Political Movements</w:t>
      </w:r>
      <w:r w:rsidRPr="002E5649">
        <w:rPr>
          <w:rFonts w:ascii="Palatino Linotype" w:hAnsi="Palatino Linotype" w:cs="Times New Roman"/>
          <w:szCs w:val="24"/>
        </w:rPr>
        <w:t>, ed. oleh Donatella Della Porta dkk., 1 ed. (Wiley, 2022), 1–2, https://doi.org/10.1002/9780470674871.wbespm069.pub2.</w:t>
      </w:r>
      <w:r w:rsidRPr="002E5649">
        <w:rPr>
          <w:rFonts w:ascii="Palatino Linotype" w:hAnsi="Palatino Linotype"/>
        </w:rPr>
        <w:fldChar w:fldCharType="end"/>
      </w:r>
    </w:p>
  </w:footnote>
  <w:footnote w:id="2">
    <w:p w14:paraId="51F272BF" w14:textId="77777777" w:rsidR="00491144" w:rsidRPr="002E5649" w:rsidRDefault="00491144" w:rsidP="00491144">
      <w:pPr>
        <w:pStyle w:val="FootnoteText"/>
        <w:ind w:left="284" w:hanging="284"/>
        <w:jc w:val="both"/>
        <w:rPr>
          <w:rFonts w:ascii="Palatino Linotype" w:hAnsi="Palatino Linotype"/>
        </w:rPr>
      </w:pPr>
      <w:r w:rsidRPr="002E5649">
        <w:rPr>
          <w:rStyle w:val="FootnoteReference"/>
          <w:rFonts w:ascii="Palatino Linotype" w:hAnsi="Palatino Linotype"/>
        </w:rPr>
        <w:footnoteRef/>
      </w:r>
      <w:r w:rsidRPr="002E5649">
        <w:rPr>
          <w:rFonts w:ascii="Palatino Linotype" w:hAnsi="Palatino Linotype"/>
        </w:rPr>
        <w:t xml:space="preserve"> </w:t>
      </w:r>
      <w:r>
        <w:rPr>
          <w:rFonts w:ascii="Palatino Linotype" w:hAnsi="Palatino Linotype"/>
        </w:rPr>
        <w:tab/>
      </w:r>
      <w:r w:rsidRPr="002E5649">
        <w:rPr>
          <w:rFonts w:ascii="Palatino Linotype" w:hAnsi="Palatino Linotype"/>
        </w:rPr>
        <w:fldChar w:fldCharType="begin"/>
      </w:r>
      <w:r w:rsidRPr="002E5649">
        <w:rPr>
          <w:rFonts w:ascii="Palatino Linotype" w:hAnsi="Palatino Linotype"/>
        </w:rPr>
        <w:instrText xml:space="preserve"> ADDIN ZOTERO_ITEM CSL_CITATION {"citationID":"lHSBSxgt","properties":{"formattedCitation":"Selen A. Ercan, Hans Asenbaum, dan Ricardo F. Mendon\\uc0\\u231{}a, \\uc0\\u8220{}Performing Democracy: Non-Verbal Protest Through a Democratic Lens,\\uc0\\u8221{} {\\i{}Performance Research} 27, no. 3\\uc0\\u8211{}4 (19 Mei 2022): 26\\uc0\\u8211{}37, https://doi.org/10.1080/13528165.2022.2155393.","plainCitation":"Selen A. Ercan, Hans Asenbaum, dan Ricardo F. Mendonça, “Performing Democracy: Non-Verbal Protest Through a Democratic Lens,” Performance Research 27, no. 3–4 (19 Mei 2022): 26–37, https://doi.org/10.1080/13528165.2022.2155393.","noteIndex":2},"citationItems":[{"id":965,"uris":["http://zotero.org/users/15177137/items/WP75MC8M"],"itemData":{"id":965,"type":"article-journal","container-title":"Performance Research","DOI":"10.1080/13528165.2022.2155393","ISSN":"1352-8165, 1469-9990","issue":"3-4","journalAbbreviation":"Performance Research","language":"en","page":"26-37","source":"DOI.org (Crossref)","title":"Performing Democracy: Non-Verbal Protest Through a Democratic Lens","title-short":"Performing Democracy","volume":"27","author":[{"family":"Ercan","given":"Selen A."},{"family":"Asenbaum","given":"Hans"},{"family":"Mendonça","given":"Ricardo F."}],"issued":{"date-parts":[["2022",5,19]]}}}],"schema":"https://github.com/citation-style-language/schema/raw/master/csl-citation.json"} </w:instrText>
      </w:r>
      <w:r w:rsidRPr="002E5649">
        <w:rPr>
          <w:rFonts w:ascii="Palatino Linotype" w:hAnsi="Palatino Linotype"/>
        </w:rPr>
        <w:fldChar w:fldCharType="separate"/>
      </w:r>
      <w:r w:rsidRPr="002E5649">
        <w:rPr>
          <w:rFonts w:ascii="Palatino Linotype" w:hAnsi="Palatino Linotype" w:cs="Times New Roman"/>
          <w:szCs w:val="24"/>
        </w:rPr>
        <w:t xml:space="preserve">Selen A. Ercan, Hans Asenbaum, dan Ricardo F. Mendonça, “Performing Democracy: Non-Verbal Protest Through a Democratic Lens,” </w:t>
      </w:r>
      <w:r w:rsidRPr="002E5649">
        <w:rPr>
          <w:rFonts w:ascii="Palatino Linotype" w:hAnsi="Palatino Linotype" w:cs="Times New Roman"/>
          <w:i/>
          <w:iCs/>
          <w:szCs w:val="24"/>
        </w:rPr>
        <w:t>Performance Research</w:t>
      </w:r>
      <w:r w:rsidRPr="002E5649">
        <w:rPr>
          <w:rFonts w:ascii="Palatino Linotype" w:hAnsi="Palatino Linotype" w:cs="Times New Roman"/>
          <w:szCs w:val="24"/>
        </w:rPr>
        <w:t xml:space="preserve"> 27, no. 3–4 (19 Mei 2022): 26–37, https://doi.org/10.1080/13528165.2022.2155393.</w:t>
      </w:r>
      <w:r w:rsidRPr="002E5649">
        <w:rPr>
          <w:rFonts w:ascii="Palatino Linotype" w:hAnsi="Palatino Linotype"/>
        </w:rPr>
        <w:fldChar w:fldCharType="end"/>
      </w:r>
    </w:p>
  </w:footnote>
  <w:footnote w:id="3">
    <w:p w14:paraId="5D28DB6F" w14:textId="77777777" w:rsidR="00491144" w:rsidRPr="002E5649" w:rsidRDefault="00491144" w:rsidP="00491144">
      <w:pPr>
        <w:pStyle w:val="FootnoteText"/>
        <w:ind w:left="284" w:hanging="284"/>
        <w:jc w:val="both"/>
        <w:rPr>
          <w:rFonts w:ascii="Palatino Linotype" w:hAnsi="Palatino Linotype"/>
        </w:rPr>
      </w:pPr>
      <w:r w:rsidRPr="002E5649">
        <w:rPr>
          <w:rStyle w:val="FootnoteReference"/>
          <w:rFonts w:ascii="Palatino Linotype" w:hAnsi="Palatino Linotype"/>
        </w:rPr>
        <w:footnoteRef/>
      </w:r>
      <w:r w:rsidRPr="002E5649">
        <w:rPr>
          <w:rFonts w:ascii="Palatino Linotype" w:hAnsi="Palatino Linotype"/>
        </w:rPr>
        <w:t xml:space="preserve"> </w:t>
      </w:r>
      <w:r>
        <w:rPr>
          <w:rFonts w:ascii="Palatino Linotype" w:hAnsi="Palatino Linotype"/>
        </w:rPr>
        <w:tab/>
      </w:r>
      <w:r w:rsidRPr="002E5649">
        <w:rPr>
          <w:rFonts w:ascii="Palatino Linotype" w:hAnsi="Palatino Linotype"/>
        </w:rPr>
        <w:fldChar w:fldCharType="begin"/>
      </w:r>
      <w:r w:rsidRPr="002E5649">
        <w:rPr>
          <w:rFonts w:ascii="Palatino Linotype" w:hAnsi="Palatino Linotype"/>
        </w:rPr>
        <w:instrText xml:space="preserve"> ADDIN ZOTERO_ITEM CSL_CITATION {"citationID":"0wzdLtgH","properties":{"formattedCitation":"Heru Pujo Handoko, \\uc0\\u8220{}Pergeseran Wewenang Polri Dalam Undang-Undang Nomor 11 Tahun 2020 tentang Cipta Kerja (Omnibus Law),\\uc0\\u8221{} {\\i{}Jurnal Ilmu Kepolisian} 16, no. 3 (1 Desember 2022): 21, https://doi.org/10.35879/jik.v16i3.319.","plainCitation":"Heru Pujo Handoko, “Pergeseran Wewenang Polri Dalam Undang-Undang Nomor 11 Tahun 2020 tentang Cipta Kerja (Omnibus Law),” Jurnal Ilmu Kepolisian 16, no. 3 (1 Desember 2022): 21, https://doi.org/10.35879/jik.v16i3.319.","noteIndex":3},"citationItems":[{"id":966,"uris":["http://zotero.org/users/15177137/items/ELQGC7QS"],"itemData":{"id":966,"type":"article-journal","abstract":"AbstractIndonesian National Police (INP) which has general authority and special police authority, in which article 75 of Law Number 11 ofÂ  2020 concerning Cipta Kerja. The Indonesian National Police is given the authority to grant business licenses and supervise business entities in the field of security services in accordance with statutory provisions in the business licensing. The provisions in the field of business licensing refer to Government Regulation Number 24 of 2018 concerning Electronically Integrated Business Licensing Services where the Police sector is one of the ones that are included in licensing regulatory reform in order to accelerate business services through the OSS (Online Single Submission) system. This authority contradicts the authority of the police universally and specifically in Indonesia where the Police are positioned as part of the economic, political and cultural sub-system. This authority can have an unprofessional impact on the Indonesian National Police and carry out the task of maintaining security and public order and law enforcement because it is contrary to the 1945 Constitution of the Republic of Indonesia. This research uses a normative research method, namely a process to find a rule of law, legal principles, as well as legal doctrines in order to answer the legal issues at hand. The research approach uses the legislation approach, historical approaches, theoretical approaches and philosophical approaches and conclusions are drawn deductively and inductively.Â Keywords : autority shift, Law No. 11 of 2020; Omnibus law, police dutiesÂ AbstrakPolri memiliki kewenangan umum dan kewenangan kepolisian khusus, yang mana pasal 75 Undang-Undang Nomor 11 Tahun 2020 tentang Cipta Kerja. Kepolisian Negara Republik Indonesia diberikan kewenangan untuk memberikan izin usaha dan mengawasi badan usaha di bidang jasa pengamanan sesuai dengan ketentuan peraturan perundang-undangan dalam perizinan usaha. Ketentuan di bidang perizinan berusaha mengacu pada Peraturan Pemerintah Nomor 24 Tahun 2018 tentang Pelayanan Perizinan Berusaha Terintegrasi Secara Elektronik dimana pihak Kepolisian merupakan salah satu yang termasuk dalam reformasi regulasi perizinan dalam rangka percepatan pelayanan berusaha melalui OSS (Online Single Sistem pengajuan. Kewenangan tersebut bertentangan dengan kewenangan Polri secara universal dan khusus di Indonesia dimana Polri diposisikan sebagai bagian dari subsistem ekonomi, politik dan budaya. Kewenangan tersebut dapat berdampak tidak profesionalnya Polri dan mengemban tugas memelihara keamanan dan ketertiban masyarakat serta penegakan hukum karena bertentangan dengan UUD Negara Republik Indonesia Tahun 1945. Penelitian ini menggunakan metode penelitian normatif, yaitu suatu proses untuk menemukan suatu kaidah hukum, asas-asas hukum, serta doktrin-doktrin hukum guna menjawab permasalahan hukum yang dihadapi. Pendekatan penelitian menggunakan pendekatan perundang-undangan, pendekatan sejarah, pendekatan teoritis dan pendekatan filosofis serta ditarik kesimpulan secara deduktif dan induktifÂ Kata kunci: pergeseran wewenang, UU No. 11 tahun 2020, UU Omnibus, tugas polisiTRANSLATE with  x  EnglishArabicHebrewPolishBulgarianHindiPortugueseCatalanHmong DawRomanianChinese SimplifiedHungarianRussianChinese TraditionalIndonesianSlovakCzechItalianSlovenianDanishJapaneseSpanishDutchKlingonSwedishEnglishKoreanThaiEstonianLatvianTurkishFinnishLithuanianUkrainianFrenchMalayUrduGermanMalteseVietnameseGreekNorwegianWelshHaitian CreolePersianÂ //       Â TRANSLATE with  COPY THE URL BELOW       Back  EMBED THE SNIPPET BELOW IN YOUR SITE  Enable collaborative features and customize widget: Bing Webmaster PortalBack//\n          , \n            AbstractIndonesian National Police (INP) which has general authority and special police authority, in which article 75 of Law Number 11 ofÂ  2020 concerning Cipta Kerja. The Indonesian National Police is given the authority to grant business licenses and supervise business entities in the field of security services in accordance with statutory provisions in the business licensing. The provisions in the field of business licensing refer to Government Regulation Number 24 of 2018 concerning Electronically Integrated Business Licensing Services where the Police sector is one of the ones that are included in licensing regulatory reform in order to accelerate business services through the OSS (Online Single Submission) system. This authority contradicts the authority of the police universally and specifically in Indonesia where the Police are positioned as part of the economic, political and cultural sub-system. This authority can have an unprofessional impact on the Indonesian National Police and carry out the task of maintaining security and public order and law enforcement because it is contrary to the 1945 Constitution of the Republic of Indonesia. This research uses a normative research method, namely a process to find a rule of law, legal principles, as well as legal doctrines in order to answer the legal issues at hand. The research approach uses the legislation approach, historical approaches, theoretical approaches and philosophical approaches and conclusions are drawn deductively and inductively.Â Keywords : autority shift, Law No. 11 of 2020; Omnibus law, police dutiesÂ AbstrakPolri memiliki kewenangan umum dan kewenangan kepolisian khusus, yang mana pasal 75 Undang-Undang Nomor 11 Tahun 2020 tentang Cipta Kerja. Kepolisian Negara Republik Indonesia diberikan kewenangan untuk memberikan izin usaha dan mengawasi badan usaha di bidang jasa pengamanan sesuai dengan ketentuan peraturan perundang-undangan dalam perizinan usaha. Ketentuan di bidang perizinan berusaha mengacu pada Peraturan Pemerintah Nomor 24 Tahun 2018 tentang Pelayanan Perizinan Berusaha Terintegrasi Secara Elektronik dimana pihak Kepolisian merupakan salah satu yang termasuk dalam reformasi regulasi perizinan dalam rangka percepatan pelayanan berusaha melalui OSS (Online Single Sistem pengajuan. Kewenangan tersebut bertentangan dengan kewenangan Polri secara universal dan khusus di Indonesia dimana Polri diposisikan sebagai bagian dari subsistem ekonomi, politik dan budaya. Kewenangan tersebut dapat berdampak tidak profesionalnya Polri dan mengemban tugas memelihara keamanan dan ketertiban masyarakat serta penegakan hukum karena bertentangan dengan UUD Negara Republik Indonesia Tahun 1945. Penelitian ini menggunakan metode penelitian normatif, yaitu suatu proses untuk menemukan suatu kaidah hukum, asas-asas hukum, serta doktrin-doktrin hukum guna menjawab permasalahan hukum yang dihadapi. Pendekatan penelitian menggunakan pendekatan perundang-undangan, pendekatan sejarah, pendekatan teoritis dan pendekatan filosofis serta ditarik kesimpulan secara deduktif dan induktifÂ Kata kunci: pergeseran wewenang, UU No. 11 tahun 2020, UU Omnibus, tugas polisi","container-title":"Jurnal Ilmu Kepolisian","DOI":"10.35879/jik.v16i3.319","ISSN":"2621-8410, 2620-5025","issue":"3","journalAbbreviation":"JIK","page":"21","source":"DOI.org (Crossref)","title":"Pergeseran Wewenang Polri Dalam Undang-Undang Nomor 11 Tahun 2020 tentang Cipta Kerja (Omnibus Law)","volume":"16","author":[{"family":"Handoko","given":"Heru Pujo"}],"issued":{"date-parts":[["2022",12,1]]}}}],"schema":"https://github.com/citation-style-language/schema/raw/master/csl-citation.json"} </w:instrText>
      </w:r>
      <w:r w:rsidRPr="002E5649">
        <w:rPr>
          <w:rFonts w:ascii="Palatino Linotype" w:hAnsi="Palatino Linotype"/>
        </w:rPr>
        <w:fldChar w:fldCharType="separate"/>
      </w:r>
      <w:r w:rsidRPr="002E5649">
        <w:rPr>
          <w:rFonts w:ascii="Palatino Linotype" w:hAnsi="Palatino Linotype" w:cs="Times New Roman"/>
          <w:szCs w:val="24"/>
        </w:rPr>
        <w:t xml:space="preserve">Heru Pujo Handoko, “Pergeseran Wewenang Polri Dalam Undang-Undang Nomor 11 Tahun 2020 tentang Cipta Kerja (Omnibus Law),” </w:t>
      </w:r>
      <w:r w:rsidRPr="002E5649">
        <w:rPr>
          <w:rFonts w:ascii="Palatino Linotype" w:hAnsi="Palatino Linotype" w:cs="Times New Roman"/>
          <w:i/>
          <w:iCs/>
          <w:szCs w:val="24"/>
        </w:rPr>
        <w:t>Jurnal Ilmu Kepolisian</w:t>
      </w:r>
      <w:r w:rsidRPr="002E5649">
        <w:rPr>
          <w:rFonts w:ascii="Palatino Linotype" w:hAnsi="Palatino Linotype" w:cs="Times New Roman"/>
          <w:szCs w:val="24"/>
        </w:rPr>
        <w:t xml:space="preserve"> 16, no. 3 (1 Desember 2022): 21, https://doi.org/10.35879/jik.v16i3.319.</w:t>
      </w:r>
      <w:r w:rsidRPr="002E5649">
        <w:rPr>
          <w:rFonts w:ascii="Palatino Linotype" w:hAnsi="Palatino Linotype"/>
        </w:rPr>
        <w:fldChar w:fldCharType="end"/>
      </w:r>
    </w:p>
  </w:footnote>
  <w:footnote w:id="4">
    <w:p w14:paraId="03770732" w14:textId="77777777" w:rsidR="00491144" w:rsidRPr="002E5649" w:rsidRDefault="00491144" w:rsidP="00491144">
      <w:pPr>
        <w:pStyle w:val="FootnoteText"/>
        <w:ind w:left="284" w:hanging="284"/>
        <w:jc w:val="both"/>
        <w:rPr>
          <w:rFonts w:ascii="Palatino Linotype" w:hAnsi="Palatino Linotype"/>
        </w:rPr>
      </w:pPr>
      <w:r w:rsidRPr="002E5649">
        <w:rPr>
          <w:rStyle w:val="FootnoteReference"/>
          <w:rFonts w:ascii="Palatino Linotype" w:hAnsi="Palatino Linotype"/>
        </w:rPr>
        <w:footnoteRef/>
      </w:r>
      <w:r w:rsidRPr="002E5649">
        <w:rPr>
          <w:rFonts w:ascii="Palatino Linotype" w:hAnsi="Palatino Linotype"/>
        </w:rPr>
        <w:t xml:space="preserve"> </w:t>
      </w:r>
      <w:r>
        <w:rPr>
          <w:rFonts w:ascii="Palatino Linotype" w:hAnsi="Palatino Linotype"/>
        </w:rPr>
        <w:tab/>
      </w:r>
      <w:r w:rsidRPr="002E5649">
        <w:rPr>
          <w:rFonts w:ascii="Palatino Linotype" w:hAnsi="Palatino Linotype"/>
        </w:rPr>
        <w:fldChar w:fldCharType="begin"/>
      </w:r>
      <w:r w:rsidRPr="002E5649">
        <w:rPr>
          <w:rFonts w:ascii="Palatino Linotype" w:hAnsi="Palatino Linotype"/>
        </w:rPr>
        <w:instrText xml:space="preserve"> ADDIN ZOTERO_ITEM CSL_CITATION {"citationID":"QEcOF9L2","properties":{"formattedCitation":"Robi Assadul Bahri, {\\i{}Teori Kriminologi Dasar, Perkembangan, dan Aplikasinya} (Tasikmalaya: Mahalisan Legal Development, 2024).","plainCitation":"Robi Assadul Bahri, Teori Kriminologi Dasar, Perkembangan, dan Aplikasinya (Tasikmalaya: Mahalisan Legal Development, 2024).","noteIndex":4},"citationItems":[{"id":892,"uris":["http://zotero.org/users/15177137/items/RRDKG3L7"],"itemData":{"id":892,"type":"book","event-place":"Tasikmalaya","ISBN":"978-623-10-4300-9","language":"id","publisher":"Mahalisan Legal Development","publisher-place":"Tasikmalaya","source":"Zotero","title":"Teori Kriminologi Dasar, Perkembangan, dan Aplikasinya","author":[{"family":"Bahri","given":"Robi Assadul"}],"issued":{"date-parts":[["2024"]]}}}],"schema":"https://github.com/citation-style-language/schema/raw/master/csl-citation.json"} </w:instrText>
      </w:r>
      <w:r w:rsidRPr="002E5649">
        <w:rPr>
          <w:rFonts w:ascii="Palatino Linotype" w:hAnsi="Palatino Linotype"/>
        </w:rPr>
        <w:fldChar w:fldCharType="separate"/>
      </w:r>
      <w:r w:rsidRPr="002E5649">
        <w:rPr>
          <w:rFonts w:ascii="Palatino Linotype" w:hAnsi="Palatino Linotype" w:cs="Times New Roman"/>
          <w:szCs w:val="24"/>
        </w:rPr>
        <w:t xml:space="preserve">Robi Assadul Bahri, </w:t>
      </w:r>
      <w:r w:rsidRPr="002E5649">
        <w:rPr>
          <w:rFonts w:ascii="Palatino Linotype" w:hAnsi="Palatino Linotype" w:cs="Times New Roman"/>
          <w:i/>
          <w:iCs/>
          <w:szCs w:val="24"/>
        </w:rPr>
        <w:t>Teori Kriminologi Dasar, Perkembangan, dan Aplikasinya</w:t>
      </w:r>
      <w:r w:rsidRPr="002E5649">
        <w:rPr>
          <w:rFonts w:ascii="Palatino Linotype" w:hAnsi="Palatino Linotype" w:cs="Times New Roman"/>
          <w:szCs w:val="24"/>
        </w:rPr>
        <w:t xml:space="preserve"> (Tasikmalaya: Mahalisan Legal Development, 2024).</w:t>
      </w:r>
      <w:r w:rsidRPr="002E5649">
        <w:rPr>
          <w:rFonts w:ascii="Palatino Linotype" w:hAnsi="Palatino Linotype"/>
        </w:rPr>
        <w:fldChar w:fldCharType="end"/>
      </w:r>
    </w:p>
  </w:footnote>
  <w:footnote w:id="5">
    <w:p w14:paraId="085BC2CA" w14:textId="77777777" w:rsidR="00491144" w:rsidRPr="002E5649" w:rsidRDefault="00491144" w:rsidP="00491144">
      <w:pPr>
        <w:pStyle w:val="FootnoteText"/>
        <w:ind w:left="284" w:hanging="284"/>
        <w:jc w:val="both"/>
        <w:rPr>
          <w:rFonts w:ascii="Palatino Linotype" w:hAnsi="Palatino Linotype"/>
        </w:rPr>
      </w:pPr>
      <w:r w:rsidRPr="002E5649">
        <w:rPr>
          <w:rStyle w:val="FootnoteReference"/>
          <w:rFonts w:ascii="Palatino Linotype" w:hAnsi="Palatino Linotype"/>
        </w:rPr>
        <w:footnoteRef/>
      </w:r>
      <w:r w:rsidRPr="002E5649">
        <w:rPr>
          <w:rFonts w:ascii="Palatino Linotype" w:hAnsi="Palatino Linotype"/>
        </w:rPr>
        <w:t xml:space="preserve"> </w:t>
      </w:r>
      <w:r>
        <w:rPr>
          <w:rFonts w:ascii="Palatino Linotype" w:hAnsi="Palatino Linotype"/>
        </w:rPr>
        <w:tab/>
      </w:r>
      <w:r w:rsidRPr="002E5649">
        <w:rPr>
          <w:rFonts w:ascii="Palatino Linotype" w:hAnsi="Palatino Linotype"/>
        </w:rPr>
        <w:fldChar w:fldCharType="begin"/>
      </w:r>
      <w:r w:rsidRPr="002E5649">
        <w:rPr>
          <w:rFonts w:ascii="Palatino Linotype" w:hAnsi="Palatino Linotype"/>
        </w:rPr>
        <w:instrText xml:space="preserve"> ADDIN ZOTERO_ITEM CSL_CITATION {"citationID":"338RynMD","properties":{"formattedCitation":"Friska Kristianita, \\uc0\\u8220{}Legal Authority of Indonesian National Police in Handling Rally or Demonstrations,\\uc0\\u8221{} {\\i{}UMPurwokerto Law Review} 3, no. 1 (4 April 2022): 38, https://doi.org/10.30595/umplr.v3i1.11114.","plainCitation":"Friska Kristianita, “Legal Authority of Indonesian National Police in Handling Rally or Demonstrations,” UMPurwokerto Law Review 3, no. 1 (4 April 2022): 38, https://doi.org/10.30595/umplr.v3i1.11114.","noteIndex":5},"citationItems":[{"id":968,"uris":["http://zotero.org/users/15177137/items/B36DUDLD"],"itemData":{"id":968,"type":"article-journal","abstract":"AbstractDemonstrations are a form of expression of opinion, which is the right of every citizen regulated by law. Demonstrations always involve the Police as a law enforcement agency, which participates in controlling and maintaining security. Problems arise in the efforts of the Police in dealing with demonstrations or demonstrations. This study aimed to determine the legality of the Police's authority in handling demonstrations and the police efforts. This study uses a normative juridical research method. The normative juridical research method is carried out through a literature study that examines secondary data. The results of this study are; first, cannot be separated the implementation of rallies from the security of the Police, who have the authority in handling demonstrations, and in terms of handling, the Police are authorized to regulate, maintain the course of rallies and provide supervision to protest participants. Second, how to act in the implementation of the demonstration consists of 3 (three) stages, namely the preemptive stage, the preventive stage, and the repressive stage.Keywords: Handling, Police, Demonstrations AbstrakUnjuk rasa atau demonstrasi adalah bentuk ekspresi berpendapat yang merupakan hak setiap warga negara yang diatur dalam Undang-undang. Unjuk rasa selalu melibatkan kepolisian sebagai lembaga penegak hukum, yang ikut serta dalam melakukan penertiban dan keamanan. Permasalahan muncul dalam upaya kepolisian dalam menangani unjuk rasa atau demonstrasi. Tujuan dari penelitian ini adalah untuk mengetahui legalitas kewenangan kepolisian dalam hal penanganan unjuk rasa dan upaya kepolisian yang dilakukan dalam penanganan unjuk rasa.  Penelitian ini menggunakan metode penelitian yuridis normatif. Metode penelitian yuridis normatif dilakukan melalui studi pustaka yang menelaah data sekunder. Hasil dari penelitian ini adalah Pertama, Pelaksanaan unjuk rasa tidak terlepas dari pengamanan pihak kepolisian yang memiliki kewenangan dalam penanganan unjuk rasa dan dalam hal penanganan polisi berwenang untuk mengatur, menjaga jalannya unjuk rasa serta memberikan pengawasan terhadap peserta unjuk rasa.  Kedua, cara bertindak dalam pelaksanaan unjuk rasa terdiri dari 3 (tiga) tahap yaitu tahap preemtif, tahap preventif dan tahap represif. Kata Kunci : Penanganan, Kepolisian, Unjuk Rasa.","container-title":"UMPurwokerto Law Review","DOI":"10.30595/umplr.v3i1.11114","ISSN":"2745-5203, 2745-3839","issue":"1","journalAbbreviation":"umplr","license":"http://creativecommons.org/licenses/by/4.0","page":"38","source":"DOI.org (Crossref)","title":"Legal Authority of Indonesian National Police in Handling Rally or Demonstrations","volume":"3","author":[{"family":"Kristianita","given":"Friska"}],"issued":{"date-parts":[["2022",4,4]]}}}],"schema":"https://github.com/citation-style-language/schema/raw/master/csl-citation.json"} </w:instrText>
      </w:r>
      <w:r w:rsidRPr="002E5649">
        <w:rPr>
          <w:rFonts w:ascii="Palatino Linotype" w:hAnsi="Palatino Linotype"/>
        </w:rPr>
        <w:fldChar w:fldCharType="separate"/>
      </w:r>
      <w:r w:rsidRPr="002E5649">
        <w:rPr>
          <w:rFonts w:ascii="Palatino Linotype" w:hAnsi="Palatino Linotype" w:cs="Times New Roman"/>
          <w:szCs w:val="24"/>
        </w:rPr>
        <w:t xml:space="preserve">Friska Kristianita, “Legal Authority of Indonesian National Police in Handling Rally or Demonstrations,” </w:t>
      </w:r>
      <w:r w:rsidRPr="002E5649">
        <w:rPr>
          <w:rFonts w:ascii="Palatino Linotype" w:hAnsi="Palatino Linotype" w:cs="Times New Roman"/>
          <w:i/>
          <w:iCs/>
          <w:szCs w:val="24"/>
        </w:rPr>
        <w:t>UMPurwokerto Law Review</w:t>
      </w:r>
      <w:r w:rsidRPr="002E5649">
        <w:rPr>
          <w:rFonts w:ascii="Palatino Linotype" w:hAnsi="Palatino Linotype" w:cs="Times New Roman"/>
          <w:szCs w:val="24"/>
        </w:rPr>
        <w:t xml:space="preserve"> 3, no. 1 (4 April 2022): 38, https://doi.org/10.30595/umplr.v3i1.11114.</w:t>
      </w:r>
      <w:r w:rsidRPr="002E5649">
        <w:rPr>
          <w:rFonts w:ascii="Palatino Linotype" w:hAnsi="Palatino Linotype"/>
        </w:rPr>
        <w:fldChar w:fldCharType="end"/>
      </w:r>
    </w:p>
  </w:footnote>
  <w:footnote w:id="6">
    <w:p w14:paraId="434C66A5" w14:textId="77777777" w:rsidR="00491144" w:rsidRPr="007F58BB" w:rsidRDefault="00491144" w:rsidP="00491144">
      <w:pPr>
        <w:pStyle w:val="FootnoteText"/>
        <w:ind w:left="284" w:hanging="284"/>
        <w:jc w:val="both"/>
        <w:rPr>
          <w:rFonts w:ascii="Palatino Linotype" w:hAnsi="Palatino Linotype"/>
          <w:lang w:val="pt-BR"/>
        </w:rPr>
      </w:pPr>
      <w:r w:rsidRPr="002E5649">
        <w:rPr>
          <w:rStyle w:val="FootnoteReference"/>
          <w:rFonts w:ascii="Palatino Linotype" w:hAnsi="Palatino Linotype"/>
        </w:rPr>
        <w:footnoteRef/>
      </w:r>
      <w:r w:rsidRPr="007F58BB">
        <w:rPr>
          <w:rFonts w:ascii="Palatino Linotype" w:hAnsi="Palatino Linotype"/>
          <w:lang w:val="pt-BR"/>
        </w:rPr>
        <w:t xml:space="preserve"> </w:t>
      </w:r>
      <w:r w:rsidRPr="007F58BB">
        <w:rPr>
          <w:rFonts w:ascii="Palatino Linotype" w:hAnsi="Palatino Linotype"/>
          <w:lang w:val="pt-BR"/>
        </w:rPr>
        <w:tab/>
      </w:r>
      <w:r w:rsidRPr="002E5649">
        <w:rPr>
          <w:rFonts w:ascii="Palatino Linotype" w:hAnsi="Palatino Linotype"/>
        </w:rPr>
        <w:fldChar w:fldCharType="begin"/>
      </w:r>
      <w:r w:rsidRPr="007F58BB">
        <w:rPr>
          <w:rFonts w:ascii="Palatino Linotype" w:hAnsi="Palatino Linotype"/>
          <w:lang w:val="pt-BR"/>
        </w:rPr>
        <w:instrText xml:space="preserve"> ADDIN ZOTERO_ITEM CSL_CITATION {"citationID":"JZSV3weV","properties":{"formattedCitation":"Amirudin Amirudin dan Zainal Asikin, {\\i{}Pengantar Metode Penelitian Hukum} (Jakarta: RajaGrafindo Persada, 2004).","plainCitation":"Amirudin Amirudin dan Zainal Asikin, Pengantar Metode Penelitian Hukum (Jakarta: RajaGrafindo Persada, 2004).","noteIndex":6},"citationItems":[{"id":817,"uris":["http://zotero.org/users/15177137/items/EV32BYPI"],"itemData":{"id":817,"type":"book","event-place":"Jakarta","publisher":"RajaGrafindo Persada","publisher-place":"Jakarta","title":"Pengantar Metode Penelitian Hukum","author":[{"family":"Amirudin","given":"Amirudin"},{"family":"Asikin","given":"Zainal"}],"issued":{"date-parts":[["2004"]]}}}],"schema":"https://github.com/citation-style-language/schema/raw/master/csl-citation.json"} </w:instrText>
      </w:r>
      <w:r w:rsidRPr="002E5649">
        <w:rPr>
          <w:rFonts w:ascii="Palatino Linotype" w:hAnsi="Palatino Linotype"/>
        </w:rPr>
        <w:fldChar w:fldCharType="separate"/>
      </w:r>
      <w:r w:rsidRPr="007F58BB">
        <w:rPr>
          <w:rFonts w:ascii="Palatino Linotype" w:hAnsi="Palatino Linotype" w:cs="Times New Roman"/>
          <w:szCs w:val="24"/>
          <w:lang w:val="pt-BR"/>
        </w:rPr>
        <w:t xml:space="preserve">Amirudin Amirudin dan Zainal Asikin, </w:t>
      </w:r>
      <w:r w:rsidRPr="007F58BB">
        <w:rPr>
          <w:rFonts w:ascii="Palatino Linotype" w:hAnsi="Palatino Linotype" w:cs="Times New Roman"/>
          <w:i/>
          <w:iCs/>
          <w:szCs w:val="24"/>
          <w:lang w:val="pt-BR"/>
        </w:rPr>
        <w:t>Pengantar Metode Penelitian Hukum</w:t>
      </w:r>
      <w:r w:rsidRPr="007F58BB">
        <w:rPr>
          <w:rFonts w:ascii="Palatino Linotype" w:hAnsi="Palatino Linotype" w:cs="Times New Roman"/>
          <w:szCs w:val="24"/>
          <w:lang w:val="pt-BR"/>
        </w:rPr>
        <w:t xml:space="preserve"> (Jakarta: RajaGrafindo Persada, 2004).</w:t>
      </w:r>
      <w:r w:rsidRPr="002E5649">
        <w:rPr>
          <w:rFonts w:ascii="Palatino Linotype" w:hAnsi="Palatino Linotype"/>
        </w:rPr>
        <w:fldChar w:fldCharType="end"/>
      </w:r>
    </w:p>
  </w:footnote>
  <w:footnote w:id="7">
    <w:p w14:paraId="650AA8AC" w14:textId="77777777" w:rsidR="00491144" w:rsidRPr="002E5649" w:rsidRDefault="00491144" w:rsidP="00491144">
      <w:pPr>
        <w:pStyle w:val="FootnoteText"/>
        <w:ind w:left="284" w:hanging="284"/>
        <w:jc w:val="both"/>
        <w:rPr>
          <w:rFonts w:ascii="Palatino Linotype" w:hAnsi="Palatino Linotype"/>
        </w:rPr>
      </w:pPr>
      <w:r w:rsidRPr="002E5649">
        <w:rPr>
          <w:rStyle w:val="FootnoteReference"/>
          <w:rFonts w:ascii="Palatino Linotype" w:hAnsi="Palatino Linotype"/>
        </w:rPr>
        <w:footnoteRef/>
      </w:r>
      <w:r w:rsidRPr="002E5649">
        <w:rPr>
          <w:rFonts w:ascii="Palatino Linotype" w:hAnsi="Palatino Linotype"/>
        </w:rPr>
        <w:t xml:space="preserve"> </w:t>
      </w:r>
      <w:r>
        <w:rPr>
          <w:rFonts w:ascii="Palatino Linotype" w:hAnsi="Palatino Linotype"/>
        </w:rPr>
        <w:tab/>
      </w:r>
      <w:r w:rsidRPr="002E5649">
        <w:rPr>
          <w:rFonts w:ascii="Palatino Linotype" w:hAnsi="Palatino Linotype"/>
        </w:rPr>
        <w:fldChar w:fldCharType="begin"/>
      </w:r>
      <w:r w:rsidRPr="002E5649">
        <w:rPr>
          <w:rFonts w:ascii="Palatino Linotype" w:hAnsi="Palatino Linotype"/>
        </w:rPr>
        <w:instrText xml:space="preserve"> ADDIN ZOTERO_ITEM CSL_CITATION {"citationID":"waPhd43Y","properties":{"formattedCitation":"Robi Assadul Bahri, \\uc0\\u8220{}Konsep Penegakan Hukum Pidana Adat di Indonesia Berdasarkan Asas Kepastian Hukum,\\uc0\\u8221{} {\\i{}Law,  Development and Justice Review} 7, no. 1 (30 April 2024): 61\\uc0\\u8211{}74, https://doi.org/10.14710/ldjr.7.2024.61-74.","plainCitation":"Robi Assadul Bahri, “Konsep Penegakan Hukum Pidana Adat di Indonesia Berdasarkan Asas Kepastian Hukum,” Law,  Development and Justice Review 7, no. 1 (30 April 2024): 61–74, https://doi.org/10.14710/ldjr.7.2024.61-74.","noteIndex":7},"citationItems":[{"id":63,"uris":["http://zotero.org/users/15177137/items/7RDRNIX3"],"itemData":{"id":63,"type":"article-journal","abstract":"One of the advances in Indonesian criminal law is the recognition of customary criminal law in the New Criminal Code. However, there will be problems in enforcing national criminal law if customary criminal law is accommodated. The problem that will be studied in this research is the consequences of the implementation of customary criminal law in enforcing national criminal law and enforcing customary criminal law in Indonesia that has legal certainty. This research is legal research with a typology of normative/doctrinal legal research which aims to produce a new argument, theory or concept on the problem being studied. The research results show that the application of customary criminal law in enforcing national criminal law will have the potential for disharmonious relations between law enforcement officials and local customary institutions. Therefore, enforcement of customary criminal law in Indonesia with legal certainty can be achieved by reviving the Customary Courts which have the authority to examine and try violations of customary criminal law. This research recommends immediately compiling customary law through regional regulations and immediately enacting a Draft Law on Customary Courts to ensure legal certainty of customary justice in the Indonesian Judicial System.","container-title":"Law,  Development and Justice Review","DOI":"10.14710/ldjr.7.2024.61-74","ISSN":"2655-1942","issue":"1","journalAbbreviation":"Law,  Development and Justice Review","language":"id","page":"61-74","source":"DOI.org (Crossref)","title":"Konsep Penegakan Hukum Pidana Adat di Indonesia Berdasarkan Asas Kepastian Hukum","volume":"7","author":[{"family":"Bahri","given":"Robi Assadul"}],"issued":{"date-parts":[["2024",4,30]]}}}],"schema":"https://github.com/citation-style-language/schema/raw/master/csl-citation.json"} </w:instrText>
      </w:r>
      <w:r w:rsidRPr="002E5649">
        <w:rPr>
          <w:rFonts w:ascii="Palatino Linotype" w:hAnsi="Palatino Linotype"/>
        </w:rPr>
        <w:fldChar w:fldCharType="separate"/>
      </w:r>
      <w:r w:rsidRPr="002E5649">
        <w:rPr>
          <w:rFonts w:ascii="Palatino Linotype" w:hAnsi="Palatino Linotype" w:cs="Times New Roman"/>
          <w:szCs w:val="24"/>
        </w:rPr>
        <w:t xml:space="preserve">Robi Assadul Bahri, “Konsep Penegakan Hukum Pidana Adat di Indonesia Berdasarkan Asas Kepastian Hukum,” </w:t>
      </w:r>
      <w:r w:rsidRPr="002E5649">
        <w:rPr>
          <w:rFonts w:ascii="Palatino Linotype" w:hAnsi="Palatino Linotype" w:cs="Times New Roman"/>
          <w:i/>
          <w:iCs/>
          <w:szCs w:val="24"/>
        </w:rPr>
        <w:t>Law,  Development and Justice Review</w:t>
      </w:r>
      <w:r w:rsidRPr="002E5649">
        <w:rPr>
          <w:rFonts w:ascii="Palatino Linotype" w:hAnsi="Palatino Linotype" w:cs="Times New Roman"/>
          <w:szCs w:val="24"/>
        </w:rPr>
        <w:t xml:space="preserve"> 7, no. 1 (30 April 2024): 61–74, https://doi.org/10.14710/ldjr.7.2024.61-74.</w:t>
      </w:r>
      <w:r w:rsidRPr="002E5649">
        <w:rPr>
          <w:rFonts w:ascii="Palatino Linotype" w:hAnsi="Palatino Linotype"/>
        </w:rPr>
        <w:fldChar w:fldCharType="end"/>
      </w:r>
    </w:p>
  </w:footnote>
  <w:footnote w:id="8">
    <w:p w14:paraId="64F5BB6E" w14:textId="77777777" w:rsidR="00491144" w:rsidRPr="007F58BB" w:rsidRDefault="00491144" w:rsidP="00491144">
      <w:pPr>
        <w:pStyle w:val="FootnoteText"/>
        <w:ind w:left="284" w:hanging="284"/>
        <w:jc w:val="both"/>
        <w:rPr>
          <w:rFonts w:ascii="Palatino Linotype" w:hAnsi="Palatino Linotype"/>
          <w:lang w:val="pt-BR"/>
        </w:rPr>
      </w:pPr>
      <w:r w:rsidRPr="002E5649">
        <w:rPr>
          <w:rStyle w:val="FootnoteReference"/>
          <w:rFonts w:ascii="Palatino Linotype" w:hAnsi="Palatino Linotype"/>
        </w:rPr>
        <w:footnoteRef/>
      </w:r>
      <w:r w:rsidRPr="007F58BB">
        <w:rPr>
          <w:rFonts w:ascii="Palatino Linotype" w:hAnsi="Palatino Linotype"/>
          <w:lang w:val="pt-BR"/>
        </w:rPr>
        <w:t xml:space="preserve"> </w:t>
      </w:r>
      <w:r w:rsidRPr="007F58BB">
        <w:rPr>
          <w:rFonts w:ascii="Palatino Linotype" w:hAnsi="Palatino Linotype"/>
          <w:lang w:val="pt-BR"/>
        </w:rPr>
        <w:tab/>
      </w:r>
      <w:r w:rsidRPr="002E5649">
        <w:rPr>
          <w:rFonts w:ascii="Palatino Linotype" w:hAnsi="Palatino Linotype"/>
        </w:rPr>
        <w:fldChar w:fldCharType="begin"/>
      </w:r>
      <w:r w:rsidRPr="007F58BB">
        <w:rPr>
          <w:rFonts w:ascii="Palatino Linotype" w:hAnsi="Palatino Linotype"/>
          <w:lang w:val="pt-BR"/>
        </w:rPr>
        <w:instrText xml:space="preserve"> ADDIN ZOTERO_ITEM CSL_CITATION {"citationID":"UBxKK0dC","properties":{"formattedCitation":"Sugiyono, {\\i{}Metode Penelitian Kuantitatif Kualitatif dan R&amp;D} (Bandung: Alfabeta, 2008).","plainCitation":"Sugiyono, Metode Penelitian Kuantitatif Kualitatif dan R&amp;D (Bandung: Alfabeta, 2008).","noteIndex":8},"citationItems":[{"id":75,"uris":["http://zotero.org/users/15177137/items/RDYTCLPX"],"itemData":{"id":75,"type":"book","event-place":"Bandung","publisher":"Alfabeta","publisher-place":"Bandung","title":"Metode Penelitian Kuantitatif Kualitatif dan R&amp;D","author":[{"family":"Sugiyono","given":""}],"issued":{"date-parts":[["2008"]]}}}],"schema":"https://github.com/citation-style-language/schema/raw/master/csl-citation.json"} </w:instrText>
      </w:r>
      <w:r w:rsidRPr="002E5649">
        <w:rPr>
          <w:rFonts w:ascii="Palatino Linotype" w:hAnsi="Palatino Linotype"/>
        </w:rPr>
        <w:fldChar w:fldCharType="separate"/>
      </w:r>
      <w:r w:rsidRPr="007F58BB">
        <w:rPr>
          <w:rFonts w:ascii="Palatino Linotype" w:hAnsi="Palatino Linotype" w:cs="Times New Roman"/>
          <w:szCs w:val="24"/>
          <w:lang w:val="pt-BR"/>
        </w:rPr>
        <w:t xml:space="preserve">Sugiyono, </w:t>
      </w:r>
      <w:r w:rsidRPr="007F58BB">
        <w:rPr>
          <w:rFonts w:ascii="Palatino Linotype" w:hAnsi="Palatino Linotype" w:cs="Times New Roman"/>
          <w:i/>
          <w:iCs/>
          <w:szCs w:val="24"/>
          <w:lang w:val="pt-BR"/>
        </w:rPr>
        <w:t>Metode Penelitian Kuantitatif Kualitatif dan R&amp;D</w:t>
      </w:r>
      <w:r w:rsidRPr="007F58BB">
        <w:rPr>
          <w:rFonts w:ascii="Palatino Linotype" w:hAnsi="Palatino Linotype" w:cs="Times New Roman"/>
          <w:szCs w:val="24"/>
          <w:lang w:val="pt-BR"/>
        </w:rPr>
        <w:t xml:space="preserve"> (Bandung: Alfabeta, 2008).</w:t>
      </w:r>
      <w:r w:rsidRPr="002E5649">
        <w:rPr>
          <w:rFonts w:ascii="Palatino Linotype" w:hAnsi="Palatino Linotype"/>
        </w:rPr>
        <w:fldChar w:fldCharType="end"/>
      </w:r>
    </w:p>
  </w:footnote>
  <w:footnote w:id="9">
    <w:p w14:paraId="422448D9" w14:textId="77777777" w:rsidR="00491144" w:rsidRPr="007F58BB" w:rsidRDefault="00491144" w:rsidP="00491144">
      <w:pPr>
        <w:pStyle w:val="FootnoteText"/>
        <w:ind w:left="284" w:hanging="284"/>
        <w:jc w:val="both"/>
        <w:rPr>
          <w:rFonts w:ascii="Palatino Linotype" w:hAnsi="Palatino Linotype"/>
          <w:lang w:val="pt-BR"/>
        </w:rPr>
      </w:pPr>
      <w:r w:rsidRPr="002E5649">
        <w:rPr>
          <w:rStyle w:val="FootnoteReference"/>
          <w:rFonts w:ascii="Palatino Linotype" w:hAnsi="Palatino Linotype"/>
        </w:rPr>
        <w:footnoteRef/>
      </w:r>
      <w:r w:rsidRPr="007F58BB">
        <w:rPr>
          <w:rFonts w:ascii="Palatino Linotype" w:hAnsi="Palatino Linotype"/>
          <w:lang w:val="pt-BR"/>
        </w:rPr>
        <w:t xml:space="preserve"> </w:t>
      </w:r>
      <w:r w:rsidRPr="007F58BB">
        <w:rPr>
          <w:rFonts w:ascii="Palatino Linotype" w:hAnsi="Palatino Linotype"/>
          <w:lang w:val="pt-BR"/>
        </w:rPr>
        <w:tab/>
      </w:r>
      <w:r w:rsidRPr="002E5649">
        <w:rPr>
          <w:rFonts w:ascii="Palatino Linotype" w:hAnsi="Palatino Linotype"/>
        </w:rPr>
        <w:fldChar w:fldCharType="begin"/>
      </w:r>
      <w:r w:rsidRPr="007F58BB">
        <w:rPr>
          <w:rFonts w:ascii="Palatino Linotype" w:hAnsi="Palatino Linotype"/>
          <w:lang w:val="pt-BR"/>
        </w:rPr>
        <w:instrText xml:space="preserve"> ADDIN ZOTERO_ITEM CSL_CITATION {"citationID":"GieaEtMu","properties":{"formattedCitation":"Bareskrim, \\uc0\\u8220{}Data Badan Reserse Kriminal (Bareskrim) Polri,\\uc0\\u8221{} 2020, https://polri.go.id/.","plainCitation":"Bareskrim, “Data Badan Reserse Kriminal (Bareskrim) Polri,” 2020, https://polri.go.id/.","noteIndex":9},"citationItems":[{"id":969,"uris":["http://zotero.org/users/15177137/items/ZHPYQCF2"],"itemData":{"id":969,"type":"report","title":"Data Badan Reserse Kriminal (Bareskrim) Polri","URL":"https://polri.go.id/","author":[{"literal":"Bareskrim"}],"issued":{"date-parts":[["2020"]]}}}],"schema":"https://github.com/citation-style-language/schema/raw/master/csl-citation.json"} </w:instrText>
      </w:r>
      <w:r w:rsidRPr="002E5649">
        <w:rPr>
          <w:rFonts w:ascii="Palatino Linotype" w:hAnsi="Palatino Linotype"/>
        </w:rPr>
        <w:fldChar w:fldCharType="separate"/>
      </w:r>
      <w:r w:rsidRPr="007F58BB">
        <w:rPr>
          <w:rFonts w:ascii="Palatino Linotype" w:hAnsi="Palatino Linotype" w:cs="Times New Roman"/>
          <w:szCs w:val="24"/>
          <w:lang w:val="pt-BR"/>
        </w:rPr>
        <w:t>Bareskrim, “Data Badan Reserse Kriminal (Bareskrim) Polri,” 2020, https://polri.go.id/.</w:t>
      </w:r>
      <w:r w:rsidRPr="002E5649">
        <w:rPr>
          <w:rFonts w:ascii="Palatino Linotype" w:hAnsi="Palatino Linotype"/>
        </w:rPr>
        <w:fldChar w:fldCharType="end"/>
      </w:r>
    </w:p>
  </w:footnote>
  <w:footnote w:id="10">
    <w:p w14:paraId="050B772A" w14:textId="77777777" w:rsidR="00491144" w:rsidRPr="007F58BB" w:rsidRDefault="00491144" w:rsidP="00491144">
      <w:pPr>
        <w:pStyle w:val="FootnoteText"/>
        <w:ind w:left="284" w:hanging="284"/>
        <w:jc w:val="both"/>
        <w:rPr>
          <w:rFonts w:ascii="Palatino Linotype" w:hAnsi="Palatino Linotype"/>
          <w:lang w:val="pt-BR"/>
        </w:rPr>
      </w:pPr>
      <w:r w:rsidRPr="002E5649">
        <w:rPr>
          <w:rStyle w:val="FootnoteReference"/>
          <w:rFonts w:ascii="Palatino Linotype" w:hAnsi="Palatino Linotype"/>
        </w:rPr>
        <w:footnoteRef/>
      </w:r>
      <w:r w:rsidRPr="007F58BB">
        <w:rPr>
          <w:rFonts w:ascii="Palatino Linotype" w:hAnsi="Palatino Linotype"/>
          <w:lang w:val="pt-BR"/>
        </w:rPr>
        <w:t xml:space="preserve"> </w:t>
      </w:r>
      <w:r w:rsidRPr="007F58BB">
        <w:rPr>
          <w:rFonts w:ascii="Palatino Linotype" w:hAnsi="Palatino Linotype"/>
          <w:lang w:val="pt-BR"/>
        </w:rPr>
        <w:tab/>
      </w:r>
      <w:r w:rsidRPr="002E5649">
        <w:rPr>
          <w:rFonts w:ascii="Palatino Linotype" w:hAnsi="Palatino Linotype"/>
        </w:rPr>
        <w:fldChar w:fldCharType="begin"/>
      </w:r>
      <w:r w:rsidRPr="007F58BB">
        <w:rPr>
          <w:rFonts w:ascii="Palatino Linotype" w:hAnsi="Palatino Linotype"/>
          <w:lang w:val="pt-BR"/>
        </w:rPr>
        <w:instrText xml:space="preserve"> ADDIN ZOTERO_ITEM CSL_CITATION {"citationID":"ujntLVP3","properties":{"formattedCitation":"Divisi Propam Polri, \\uc0\\u8220{}Rekapitulasi Data Demonstrasi Badan Reserse Kriminal (Bareskrim) Polri Tahun 2020-2023,\\uc0\\u8221{} 2023, https://polri.go.id/.","plainCitation":"Divisi Propam Polri, “Rekapitulasi Data Demonstrasi Badan Reserse Kriminal (Bareskrim) Polri Tahun 2020-2023,” 2023, https://polri.go.id/.","noteIndex":10},"citationItems":[{"id":970,"uris":["http://zotero.org/users/15177137/items/EMJFRA7Z"],"itemData":{"id":970,"type":"report","title":"Rekapitulasi Data Demonstrasi Badan Reserse Kriminal (Bareskrim) Polri Tahun 2020-2023","URL":"https://polri.go.id/","author":[{"literal":"Divisi Propam Polri"}],"issued":{"date-parts":[["2023"]]}}}],"schema":"https://github.com/citation-style-language/schema/raw/master/csl-citation.json"} </w:instrText>
      </w:r>
      <w:r w:rsidRPr="002E5649">
        <w:rPr>
          <w:rFonts w:ascii="Palatino Linotype" w:hAnsi="Palatino Linotype"/>
        </w:rPr>
        <w:fldChar w:fldCharType="separate"/>
      </w:r>
      <w:r w:rsidRPr="007F58BB">
        <w:rPr>
          <w:rFonts w:ascii="Palatino Linotype" w:hAnsi="Palatino Linotype" w:cs="Times New Roman"/>
          <w:szCs w:val="24"/>
          <w:lang w:val="pt-BR"/>
        </w:rPr>
        <w:t>Divisi Propam Polri, “Rekapitulasi Data Demonstrasi Badan Reserse Kriminal (Bareskrim) Polri Tahun 2020-2023,” 2023, https://polri.go.id/.</w:t>
      </w:r>
      <w:r w:rsidRPr="002E5649">
        <w:rPr>
          <w:rFonts w:ascii="Palatino Linotype" w:hAnsi="Palatino Linotype"/>
        </w:rPr>
        <w:fldChar w:fldCharType="end"/>
      </w:r>
    </w:p>
  </w:footnote>
  <w:footnote w:id="11">
    <w:p w14:paraId="23E740EE" w14:textId="77777777" w:rsidR="00491144" w:rsidRPr="007F58BB" w:rsidRDefault="00491144" w:rsidP="00491144">
      <w:pPr>
        <w:pStyle w:val="FootnoteText"/>
        <w:ind w:left="284" w:hanging="284"/>
        <w:jc w:val="both"/>
        <w:rPr>
          <w:rFonts w:ascii="Palatino Linotype" w:hAnsi="Palatino Linotype"/>
          <w:lang w:val="pt-BR"/>
        </w:rPr>
      </w:pPr>
      <w:r w:rsidRPr="002E5649">
        <w:rPr>
          <w:rStyle w:val="FootnoteReference"/>
          <w:rFonts w:ascii="Palatino Linotype" w:hAnsi="Palatino Linotype"/>
        </w:rPr>
        <w:footnoteRef/>
      </w:r>
      <w:r w:rsidRPr="007F58BB">
        <w:rPr>
          <w:rFonts w:ascii="Palatino Linotype" w:hAnsi="Palatino Linotype"/>
          <w:lang w:val="pt-BR"/>
        </w:rPr>
        <w:t xml:space="preserve"> </w:t>
      </w:r>
      <w:r w:rsidRPr="007F58BB">
        <w:rPr>
          <w:rFonts w:ascii="Palatino Linotype" w:hAnsi="Palatino Linotype"/>
          <w:lang w:val="pt-BR"/>
        </w:rPr>
        <w:tab/>
      </w:r>
      <w:r w:rsidRPr="002E5649">
        <w:rPr>
          <w:rFonts w:ascii="Palatino Linotype" w:hAnsi="Palatino Linotype"/>
        </w:rPr>
        <w:fldChar w:fldCharType="begin"/>
      </w:r>
      <w:r w:rsidRPr="007F58BB">
        <w:rPr>
          <w:rFonts w:ascii="Palatino Linotype" w:hAnsi="Palatino Linotype"/>
          <w:lang w:val="pt-BR"/>
        </w:rPr>
        <w:instrText xml:space="preserve"> ADDIN ZOTERO_ITEM CSL_CITATION {"citationID":"t2KRGwPo","properties":{"formattedCitation":"Divisi Propam Polri, \\uc0\\u8220{}Rekapitulasi Data Demonstrasi Badan Reserse Kriminal (Bareskrim) Polri Tahun 2019-2020,\\uc0\\u8221{} 2020, https://polri.go.id/.","plainCitation":"Divisi Propam Polri, “Rekapitulasi Data Demonstrasi Badan Reserse Kriminal (Bareskrim) Polri Tahun 2019-2020,” 2020, https://polri.go.id/.","noteIndex":11},"citationItems":[{"id":971,"uris":["http://zotero.org/users/15177137/items/NJ4W542M"],"itemData":{"id":971,"type":"report","title":"Rekapitulasi Data Demonstrasi Badan Reserse Kriminal (Bareskrim) Polri Tahun 2019-2020","URL":"https://polri.go.id/","author":[{"literal":"Divisi Propam Polri"}],"issued":{"date-parts":[["2020"]]}}}],"schema":"https://github.com/citation-style-language/schema/raw/master/csl-citation.json"} </w:instrText>
      </w:r>
      <w:r w:rsidRPr="002E5649">
        <w:rPr>
          <w:rFonts w:ascii="Palatino Linotype" w:hAnsi="Palatino Linotype"/>
        </w:rPr>
        <w:fldChar w:fldCharType="separate"/>
      </w:r>
      <w:r w:rsidRPr="007F58BB">
        <w:rPr>
          <w:rFonts w:ascii="Palatino Linotype" w:hAnsi="Palatino Linotype" w:cs="Times New Roman"/>
          <w:szCs w:val="24"/>
          <w:lang w:val="pt-BR"/>
        </w:rPr>
        <w:t>Divisi Propam Polri, “Rekapitulasi Data Demonstrasi Badan Reserse Kriminal (Bareskrim) Polri Tahun 2019-2020,” 2020, https://polri.go.id/.</w:t>
      </w:r>
      <w:r w:rsidRPr="002E5649">
        <w:rPr>
          <w:rFonts w:ascii="Palatino Linotype" w:hAnsi="Palatino Linotype"/>
        </w:rPr>
        <w:fldChar w:fldCharType="end"/>
      </w:r>
    </w:p>
  </w:footnote>
  <w:footnote w:id="12">
    <w:p w14:paraId="79B2A68D" w14:textId="77777777" w:rsidR="00491144" w:rsidRPr="002E5649" w:rsidRDefault="00491144" w:rsidP="00491144">
      <w:pPr>
        <w:pStyle w:val="FootnoteText"/>
        <w:ind w:left="284" w:hanging="284"/>
        <w:jc w:val="both"/>
        <w:rPr>
          <w:rFonts w:ascii="Palatino Linotype" w:hAnsi="Palatino Linotype"/>
        </w:rPr>
      </w:pPr>
      <w:r w:rsidRPr="002E5649">
        <w:rPr>
          <w:rStyle w:val="FootnoteReference"/>
          <w:rFonts w:ascii="Palatino Linotype" w:hAnsi="Palatino Linotype"/>
        </w:rPr>
        <w:footnoteRef/>
      </w:r>
      <w:r w:rsidRPr="002E5649">
        <w:rPr>
          <w:rFonts w:ascii="Palatino Linotype" w:hAnsi="Palatino Linotype"/>
        </w:rPr>
        <w:t xml:space="preserve"> </w:t>
      </w:r>
      <w:r>
        <w:rPr>
          <w:rFonts w:ascii="Palatino Linotype" w:hAnsi="Palatino Linotype"/>
        </w:rPr>
        <w:tab/>
      </w:r>
      <w:r w:rsidRPr="002E5649">
        <w:rPr>
          <w:rFonts w:ascii="Palatino Linotype" w:hAnsi="Palatino Linotype"/>
        </w:rPr>
        <w:fldChar w:fldCharType="begin"/>
      </w:r>
      <w:r w:rsidRPr="002E5649">
        <w:rPr>
          <w:rFonts w:ascii="Palatino Linotype" w:hAnsi="Palatino Linotype"/>
        </w:rPr>
        <w:instrText xml:space="preserve"> ADDIN ZOTERO_ITEM CSL_CITATION {"citationID":"yARin4ZR","properties":{"formattedCitation":"Carmen E. Pavel, \\uc0\\u8220{}The Rule of Law and The Limits of Anarchy,\\uc0\\u8221{} {\\i{}Legal Theory} 27, no. 1 (Maret 2021): 70\\uc0\\u8211{}95, https://doi.org/10.1017/S1352325221000045.","plainCitation":"Carmen E. Pavel, “The Rule of Law and The Limits of Anarchy,” Legal Theory 27, no. 1 (Maret 2021): 70–95, https://doi.org/10.1017/S1352325221000045.","noteIndex":12},"citationItems":[{"id":972,"uris":["http://zotero.org/users/15177137/items/XIUWXX3X"],"itemData":{"id":972,"type":"article-journal","abstract":"Abstract\n            Anarchy is often contrasted with law, order, or security. But anarchist societies, by which I mean societies that lack a monopoly of coercive force, need not be lawless. They can develop sophisticated legal systems that regulate the behavior of their members and protect their rights. International law, market anarchism, and other models of anarchism such as the one proposed by Chandran Kukathas already exhibit or could plausibly exhibit complex legal rules and institutions. I will show that insofar as these models rely on consent, they all share similar structural flaws, namely, that they cannot meet basic rule-of-law values such as equality before the law and access to legal remedies for wrongs that embody and respect individual moral equality, even minimally conceived. The implication of this argument is not to vindicate state-based legal systems. Rather it is to show that legal systems, state-based or not, must have a strong nonconsensual, coercive element: the process of making, applying, and enforcing law must, to some extent, be severed from consent if law is to perform its function of providing for minimal justice.","container-title":"Legal Theory","DOI":"10.1017/S1352325221000045","ISSN":"1352-3252, 1469-8048","issue":"1","journalAbbreviation":"Legal Theory","language":"en","license":"http://creativecommons.org/licenses/by-nc-nd/4.0/","page":"70-95","source":"DOI.org (Crossref)","title":"The Rule of Law and The Limits of Anarchy","volume":"27","author":[{"family":"Pavel","given":"Carmen E."}],"issued":{"date-parts":[["2021",3]]}}}],"schema":"https://github.com/citation-style-language/schema/raw/master/csl-citation.json"} </w:instrText>
      </w:r>
      <w:r w:rsidRPr="002E5649">
        <w:rPr>
          <w:rFonts w:ascii="Palatino Linotype" w:hAnsi="Palatino Linotype"/>
        </w:rPr>
        <w:fldChar w:fldCharType="separate"/>
      </w:r>
      <w:r w:rsidRPr="002E5649">
        <w:rPr>
          <w:rFonts w:ascii="Palatino Linotype" w:hAnsi="Palatino Linotype" w:cs="Times New Roman"/>
          <w:szCs w:val="24"/>
        </w:rPr>
        <w:t xml:space="preserve">Carmen E. Pavel, “The Rule of Law and The Limits of Anarchy,” </w:t>
      </w:r>
      <w:r w:rsidRPr="002E5649">
        <w:rPr>
          <w:rFonts w:ascii="Palatino Linotype" w:hAnsi="Palatino Linotype" w:cs="Times New Roman"/>
          <w:i/>
          <w:iCs/>
          <w:szCs w:val="24"/>
        </w:rPr>
        <w:t>Legal Theory</w:t>
      </w:r>
      <w:r w:rsidRPr="002E5649">
        <w:rPr>
          <w:rFonts w:ascii="Palatino Linotype" w:hAnsi="Palatino Linotype" w:cs="Times New Roman"/>
          <w:szCs w:val="24"/>
        </w:rPr>
        <w:t xml:space="preserve"> 27, no. 1 (Maret 2021): 70–95, https://doi.org/10.1017/S1352325221000045.</w:t>
      </w:r>
      <w:r w:rsidRPr="002E5649">
        <w:rPr>
          <w:rFonts w:ascii="Palatino Linotype" w:hAnsi="Palatino Linotype"/>
        </w:rPr>
        <w:fldChar w:fldCharType="end"/>
      </w:r>
    </w:p>
  </w:footnote>
  <w:footnote w:id="13">
    <w:p w14:paraId="55AC62FC" w14:textId="77777777" w:rsidR="00491144" w:rsidRPr="002E5649" w:rsidRDefault="00491144" w:rsidP="00491144">
      <w:pPr>
        <w:pStyle w:val="FootnoteText"/>
        <w:ind w:left="284" w:hanging="284"/>
        <w:jc w:val="both"/>
        <w:rPr>
          <w:rFonts w:ascii="Palatino Linotype" w:hAnsi="Palatino Linotype"/>
        </w:rPr>
      </w:pPr>
      <w:r w:rsidRPr="002E5649">
        <w:rPr>
          <w:rStyle w:val="FootnoteReference"/>
          <w:rFonts w:ascii="Palatino Linotype" w:hAnsi="Palatino Linotype"/>
        </w:rPr>
        <w:footnoteRef/>
      </w:r>
      <w:r w:rsidRPr="002E5649">
        <w:rPr>
          <w:rFonts w:ascii="Palatino Linotype" w:hAnsi="Palatino Linotype"/>
        </w:rPr>
        <w:t xml:space="preserve"> </w:t>
      </w:r>
      <w:r>
        <w:rPr>
          <w:rFonts w:ascii="Palatino Linotype" w:hAnsi="Palatino Linotype"/>
        </w:rPr>
        <w:tab/>
      </w:r>
      <w:r w:rsidRPr="002E5649">
        <w:rPr>
          <w:rFonts w:ascii="Palatino Linotype" w:hAnsi="Palatino Linotype"/>
        </w:rPr>
        <w:fldChar w:fldCharType="begin"/>
      </w:r>
      <w:r w:rsidRPr="002E5649">
        <w:rPr>
          <w:rFonts w:ascii="Palatino Linotype" w:hAnsi="Palatino Linotype"/>
        </w:rPr>
        <w:instrText xml:space="preserve"> ADDIN ZOTERO_ITEM CSL_CITATION {"citationID":"DUPO3YmY","properties":{"formattedCitation":"Devina Arifani, Siti Sa\\uc0\\u8217{}atun, dan Armunanto Armunanto, \\uc0\\u8220{}The Facts Still There is Legal Discrimination in Indonesia,\\uc0\\u8221{} {\\i{}International Journal of Law Society Services} 2, no. 2 (24 Oktober 2022): 42, https://doi.org/10.26532/ijlss.v2i2.25020.","plainCitation":"Devina Arifani, Siti Sa’atun, dan Armunanto Armunanto, “The Facts Still There is Legal Discrimination in Indonesia,” International Journal of Law Society Services 2, no. 2 (24 Oktober 2022): 42, https://doi.org/10.26532/ijlss.v2i2.25020.","noteIndex":13},"citationItems":[{"id":974,"uris":["http://zotero.org/users/15177137/items/L5D3RERA"],"itemData":{"id":974,"type":"article-journal","abstract":"Justice is a desire that must be fulfilled in enforcing the law. Justice has an individualistic nature and does not generalize. If law enforcers hold fast to the value of justice but the value of usefulness and legal certainty is not considered, then the law will not run smoothly. Then if you focus on the value of expediency but neglecting legal certainty and justice, the law will not work. If you want to enforce the law, the values of justice, benefits and legal certainty must be balanced and in harmony. The law can be enforced if it has credible, competent and independent law enforcement officers. As good as a law is, if it is not supported by good law enforcement officers, justice will not be created. The powers of law enforcement agencies are regulated by law. So in carrying out their duties and responsibilities, they are not affected by government authority or outside influences. The crucial problem in law enforcement is not only against uncooperative legal products but also because the law enforcement officers still carry out glaring discrimination, namely the difference in the handling of cases between the poor and the rich/ranking. Therefore, the saying \"law is sharp downwards, but blunt up\". The conclusion of this study is that the main pillars in law enforcement are law enforcement officers who carry out their duties with good integrity and dedication without discriminating against anyone, meaning that they are not discriminatory.","container-title":"International Journal of Law Society Services","DOI":"10.26532/ijlss.v2i2.25020","ISSN":"2775-8885","issue":"2","journalAbbreviation":"IJLSS","license":"http://creativecommons.org/licenses/by/4.0","page":"42","source":"DOI.org (Crossref)","title":"The Facts Still There is Legal Discrimination in Indonesia","volume":"2","author":[{"family":"Arifani","given":"Devina"},{"family":"Sa'atun","given":"Siti"},{"family":"Armunanto","given":"Armunanto"}],"issued":{"date-parts":[["2022",10,24]]}}}],"schema":"https://github.com/citation-style-language/schema/raw/master/csl-citation.json"} </w:instrText>
      </w:r>
      <w:r w:rsidRPr="002E5649">
        <w:rPr>
          <w:rFonts w:ascii="Palatino Linotype" w:hAnsi="Palatino Linotype"/>
        </w:rPr>
        <w:fldChar w:fldCharType="separate"/>
      </w:r>
      <w:r w:rsidRPr="002E5649">
        <w:rPr>
          <w:rFonts w:ascii="Palatino Linotype" w:hAnsi="Palatino Linotype" w:cs="Times New Roman"/>
          <w:szCs w:val="24"/>
        </w:rPr>
        <w:t xml:space="preserve">Devina Arifani, Siti Sa’atun, dan Armunanto Armunanto, “The Facts Still There is Legal Discrimination in Indonesia,” </w:t>
      </w:r>
      <w:r w:rsidRPr="002E5649">
        <w:rPr>
          <w:rFonts w:ascii="Palatino Linotype" w:hAnsi="Palatino Linotype" w:cs="Times New Roman"/>
          <w:i/>
          <w:iCs/>
          <w:szCs w:val="24"/>
        </w:rPr>
        <w:t>International Journal of Law Society Services</w:t>
      </w:r>
      <w:r w:rsidRPr="002E5649">
        <w:rPr>
          <w:rFonts w:ascii="Palatino Linotype" w:hAnsi="Palatino Linotype" w:cs="Times New Roman"/>
          <w:szCs w:val="24"/>
        </w:rPr>
        <w:t xml:space="preserve"> 2, no. 2 (24 Oktober 2022): 42, https://doi.org/10.26532/ijlss.v2i2.25020.</w:t>
      </w:r>
      <w:r w:rsidRPr="002E5649">
        <w:rPr>
          <w:rFonts w:ascii="Palatino Linotype" w:hAnsi="Palatino Linotype"/>
        </w:rPr>
        <w:fldChar w:fldCharType="end"/>
      </w:r>
    </w:p>
  </w:footnote>
  <w:footnote w:id="14">
    <w:p w14:paraId="515E4FD0" w14:textId="77777777" w:rsidR="00491144" w:rsidRPr="002E5649" w:rsidRDefault="00491144" w:rsidP="00491144">
      <w:pPr>
        <w:pStyle w:val="FootnoteText"/>
        <w:ind w:left="284" w:hanging="284"/>
        <w:jc w:val="both"/>
        <w:rPr>
          <w:rFonts w:ascii="Palatino Linotype" w:hAnsi="Palatino Linotype"/>
        </w:rPr>
      </w:pPr>
      <w:r w:rsidRPr="002E5649">
        <w:rPr>
          <w:rStyle w:val="FootnoteReference"/>
          <w:rFonts w:ascii="Palatino Linotype" w:hAnsi="Palatino Linotype"/>
        </w:rPr>
        <w:footnoteRef/>
      </w:r>
      <w:r w:rsidRPr="002E5649">
        <w:rPr>
          <w:rFonts w:ascii="Palatino Linotype" w:hAnsi="Palatino Linotype"/>
        </w:rPr>
        <w:t xml:space="preserve"> </w:t>
      </w:r>
      <w:r>
        <w:rPr>
          <w:rFonts w:ascii="Palatino Linotype" w:hAnsi="Palatino Linotype"/>
        </w:rPr>
        <w:tab/>
      </w:r>
      <w:r w:rsidRPr="002E5649">
        <w:rPr>
          <w:rFonts w:ascii="Palatino Linotype" w:hAnsi="Palatino Linotype"/>
        </w:rPr>
        <w:fldChar w:fldCharType="begin"/>
      </w:r>
      <w:r w:rsidRPr="002E5649">
        <w:rPr>
          <w:rFonts w:ascii="Palatino Linotype" w:hAnsi="Palatino Linotype"/>
        </w:rPr>
        <w:instrText xml:space="preserve"> ADDIN ZOTERO_ITEM CSL_CITATION {"citationID":"PbcrVWkw","properties":{"formattedCitation":"\\uc0\\u1058{}. Loskutov, \\uc0\\u8220{}Legal Regulation of The Principle of Proportionality in Criminal Proceedings Under Martial Law,\\uc0\\u8221{} {\\i{}Analytical and Comparative Jurisprudence}, no. 1 (29 Mei 2023): 524\\uc0\\u8211{}29, https://doi.org/10.24144/2788-6018.2023.01.91.","plainCitation":"Т. Loskutov, “Legal Regulation of The Principle of Proportionality in Criminal Proceedings Under Martial Law,” Analytical and Comparative Jurisprudence, no. 1 (29 Mei 2023): 524–29, https://doi.org/10.24144/2788-6018.2023.01.91.","noteIndex":14},"citationItems":[{"id":976,"uris":["http://zotero.org/users/15177137/items/PAHRI67H"],"itemData":{"id":976,"type":"article-journal","abstract":"The article examines the legal regulation of the principle of proportionality in criminal proceedings under martial law. During the statement of the problem, it is noted that restrictions on human rights and freedoms during martial law must be commensurate with the specific situation of danger and the need to carry out effective criminal proceedings. In the course of disclosing the state of development of the relevant issues, it is noted that despite the fact that scientists paid attention to some aspects of the proportionality of the limitation of human rights and freedoms in the criminal process, there are currently separate problems of legal regulation of the principle of proportionality in criminal proceedings under martial law. During the presentation of the main material, it is indicated that the principle of proportionality should be used in every case of possible limitation of the fundamental right of a person in criminal proceedings. It is emphasized that the recognition of the principle of proportionality at the legislative level will protect against possible regulatory gaps regarding the requirement of proportionate restriction of human rights in criminal proceedings. Attention is focused on the fact that the normalized general principle of proportionality should apply to all circumstances of excessive procedural interference with the rights of a person, which cannot be comprehensively predicted objectively in the legislative prescriptions. It is emphasized that in criminal proceedings under martial law, in addition to the general principle of proportionality, a special principle of proportionality must be observed, which is related to the need to take into account the severity of the combat situation during the implementation of criminal procedural activities and ensure the rights of participants in criminal proceedings. It is concluded that the special principle of proportionality should be regulated in such a way as to potentially apply to all possible situations of criminal proceedings during martial law. It is determined that criminal procedural law must \"require\" that a special principle of proportionality be assessed in relation to each case of departure from the general procedure of criminal procedure. It is concluded that by applying the special principle of proportionality, the proportionality between the state (public) interest, enhanced by the \"security\" component, and the private interest is determined.","container-title":"Analytical and Comparative Jurisprudence","DOI":"10.24144/2788-6018.2023.01.91","ISSN":"2788-6018","issue":"1","journalAbbreviation":"АПП","license":"https://creativecommons.org/licenses/by-nc-nd/4.0","page":"524-529","source":"DOI.org (Crossref)","title":"Legal Regulation of The Principle of Proportionality in Criminal Proceedings Under Martial Law","author":[{"family":"Loskutov","given":"Т."}],"issued":{"date-parts":[["2023",5,29]]}}}],"schema":"https://github.com/citation-style-language/schema/raw/master/csl-citation.json"} </w:instrText>
      </w:r>
      <w:r w:rsidRPr="002E5649">
        <w:rPr>
          <w:rFonts w:ascii="Palatino Linotype" w:hAnsi="Palatino Linotype"/>
        </w:rPr>
        <w:fldChar w:fldCharType="separate"/>
      </w:r>
      <w:r w:rsidRPr="002E5649">
        <w:rPr>
          <w:rFonts w:ascii="Palatino Linotype" w:hAnsi="Palatino Linotype" w:cs="Times New Roman"/>
          <w:szCs w:val="24"/>
        </w:rPr>
        <w:t xml:space="preserve">Т. Loskutov, “Legal Regulation of The Principle of Proportionality in Criminal Proceedings Under Martial Law,” </w:t>
      </w:r>
      <w:r w:rsidRPr="002E5649">
        <w:rPr>
          <w:rFonts w:ascii="Palatino Linotype" w:hAnsi="Palatino Linotype" w:cs="Times New Roman"/>
          <w:i/>
          <w:iCs/>
          <w:szCs w:val="24"/>
        </w:rPr>
        <w:t>Analytical and Comparative Jurisprudence</w:t>
      </w:r>
      <w:r w:rsidRPr="002E5649">
        <w:rPr>
          <w:rFonts w:ascii="Palatino Linotype" w:hAnsi="Palatino Linotype" w:cs="Times New Roman"/>
          <w:szCs w:val="24"/>
        </w:rPr>
        <w:t>, no. 1 (29 Mei 2023): 524–29, https://doi.org/10.24144/2788-6018.2023.01.91.</w:t>
      </w:r>
      <w:r w:rsidRPr="002E5649">
        <w:rPr>
          <w:rFonts w:ascii="Palatino Linotype" w:hAnsi="Palatino Linotype"/>
        </w:rPr>
        <w:fldChar w:fldCharType="end"/>
      </w:r>
    </w:p>
  </w:footnote>
  <w:footnote w:id="15">
    <w:p w14:paraId="2A28B87A" w14:textId="77777777" w:rsidR="00491144" w:rsidRPr="002E5649" w:rsidRDefault="00491144" w:rsidP="00491144">
      <w:pPr>
        <w:pStyle w:val="FootnoteText"/>
        <w:ind w:left="284" w:hanging="284"/>
        <w:jc w:val="both"/>
        <w:rPr>
          <w:rFonts w:ascii="Palatino Linotype" w:hAnsi="Palatino Linotype"/>
        </w:rPr>
      </w:pPr>
      <w:r w:rsidRPr="002E5649">
        <w:rPr>
          <w:rStyle w:val="FootnoteReference"/>
          <w:rFonts w:ascii="Palatino Linotype" w:hAnsi="Palatino Linotype"/>
        </w:rPr>
        <w:footnoteRef/>
      </w:r>
      <w:r w:rsidRPr="002E5649">
        <w:rPr>
          <w:rFonts w:ascii="Palatino Linotype" w:hAnsi="Palatino Linotype"/>
        </w:rPr>
        <w:t xml:space="preserve"> </w:t>
      </w:r>
      <w:r>
        <w:rPr>
          <w:rFonts w:ascii="Palatino Linotype" w:hAnsi="Palatino Linotype"/>
        </w:rPr>
        <w:tab/>
      </w:r>
      <w:r w:rsidRPr="002E5649">
        <w:rPr>
          <w:rFonts w:ascii="Palatino Linotype" w:hAnsi="Palatino Linotype"/>
        </w:rPr>
        <w:fldChar w:fldCharType="begin"/>
      </w:r>
      <w:r w:rsidRPr="002E5649">
        <w:rPr>
          <w:rFonts w:ascii="Palatino Linotype" w:hAnsi="Palatino Linotype"/>
        </w:rPr>
        <w:instrText xml:space="preserve"> ADDIN ZOTERO_ITEM CSL_CITATION {"citationID":"RzK9nKOI","properties":{"formattedCitation":"Agus Raharjo dkk., \\uc0\\u8220{}The Legal Policy of Criminal Justice Bureaucracy Cybercrime,\\uc0\\u8221{} {\\i{}BESTUUR} 10, no. 2 (9 Desember 2022): 105, https://doi.org/10.20961/bestuur.v10i2.64498.","plainCitation":"Agus Raharjo dkk., “The Legal Policy of Criminal Justice Bureaucracy Cybercrime,” BESTUUR 10, no. 2 (9 Desember 2022): 105, https://doi.org/10.20961/bestuur.v10i2.64498.","noteIndex":15},"citationItems":[{"id":978,"uris":["http://zotero.org/users/15177137/items/VZ47W4KM"],"itemData":{"id":978,"type":"article-journal","abstract":"&lt;div&gt;&lt;table cellspacing=\"0\" cellpadding=\"0\" align=\"left\"&gt;&lt;tbody&gt;&lt;tr&gt;&lt;td align=\"left\" valign=\"top\"&gt;&lt;p class=\"AbstractText\"&gt;Cybercrime has resulted in astronomical losses for the business community. However, the reactive policy model must be more effective at preventing cybercrime, and the due process model is also inappropriate for combating cybercrime with a high level of speed and mobility. This study is normative legal research employing a conceptual strategy and case studies. The results indicate that the reactive model must be improved in order to prevent cybercrime. The model of due process is not appropriate for deterring cybercrime with a high degree of speed and mobility. The preventative law enforcement strategy is effective, but it requires a high level of law enforcement capability to detect and disable cybercrime, which is something that few Indonesian law enforcement officials possess. Prevention based on the user, which places responsibility on internet users, is fine for individuals but not for businesses. Based on collaboration between corporations, universities, civic society, and non-governmental groups, the collaborative model synthesizes the aforementioned paradigms. Because they are based on plans or roadmaps created by internet stakeholders, regulations, technical aspects, and law enforcement may be effectively implemented and developed.&lt;/p&gt;&lt;/td&gt;&lt;/tr&gt;&lt;/tbody&gt;&lt;/table&gt;&lt;/div&gt;","container-title":"BESTUUR","DOI":"10.20961/bestuur.v10i2.64498","ISSN":"2722-4708, 2302-3783","issue":"2","journalAbbreviation":"BESTUUR","license":"http://creativecommons.org/licenses/by/4.0","page":"105","source":"DOI.org (Crossref)","title":"The Legal Policy of Criminal Justice Bureaucracy Cybercrime","volume":"10","author":[{"family":"Raharjo","given":"Agus"},{"family":"Bintoro","given":"Rahadi Wasi"},{"family":"Tri Utami","given":"Nurani Ajeng"},{"family":"Suzuki","given":"Masahiro"}],"issued":{"date-parts":[["2022",12,9]]}}}],"schema":"https://github.com/citation-style-language/schema/raw/master/csl-citation.json"} </w:instrText>
      </w:r>
      <w:r w:rsidRPr="002E5649">
        <w:rPr>
          <w:rFonts w:ascii="Palatino Linotype" w:hAnsi="Palatino Linotype"/>
        </w:rPr>
        <w:fldChar w:fldCharType="separate"/>
      </w:r>
      <w:r w:rsidRPr="002E5649">
        <w:rPr>
          <w:rFonts w:ascii="Palatino Linotype" w:hAnsi="Palatino Linotype" w:cs="Times New Roman"/>
          <w:szCs w:val="24"/>
        </w:rPr>
        <w:t xml:space="preserve">Agus Raharjo dkk., “The Legal Policy of Criminal Justice Bureaucracy Cybercrime,” </w:t>
      </w:r>
      <w:r w:rsidRPr="002E5649">
        <w:rPr>
          <w:rFonts w:ascii="Palatino Linotype" w:hAnsi="Palatino Linotype" w:cs="Times New Roman"/>
          <w:i/>
          <w:iCs/>
          <w:szCs w:val="24"/>
        </w:rPr>
        <w:t>BESTUUR</w:t>
      </w:r>
      <w:r w:rsidRPr="002E5649">
        <w:rPr>
          <w:rFonts w:ascii="Palatino Linotype" w:hAnsi="Palatino Linotype" w:cs="Times New Roman"/>
          <w:szCs w:val="24"/>
        </w:rPr>
        <w:t xml:space="preserve"> 10, no. 2 (9 Desember 2022): 105, https://doi.org/10.20961/bestuur.v10i2.64498.</w:t>
      </w:r>
      <w:r w:rsidRPr="002E5649">
        <w:rPr>
          <w:rFonts w:ascii="Palatino Linotype" w:hAnsi="Palatino Linotype"/>
        </w:rPr>
        <w:fldChar w:fldCharType="end"/>
      </w:r>
    </w:p>
  </w:footnote>
  <w:footnote w:id="16">
    <w:p w14:paraId="7739F8F5" w14:textId="77777777" w:rsidR="00491144" w:rsidRPr="002E5649" w:rsidRDefault="00491144" w:rsidP="00491144">
      <w:pPr>
        <w:pStyle w:val="FootnoteText"/>
        <w:ind w:left="284" w:hanging="284"/>
        <w:jc w:val="both"/>
        <w:rPr>
          <w:rFonts w:ascii="Palatino Linotype" w:hAnsi="Palatino Linotype"/>
        </w:rPr>
      </w:pPr>
      <w:r w:rsidRPr="002E5649">
        <w:rPr>
          <w:rStyle w:val="FootnoteReference"/>
          <w:rFonts w:ascii="Palatino Linotype" w:hAnsi="Palatino Linotype"/>
        </w:rPr>
        <w:footnoteRef/>
      </w:r>
      <w:r w:rsidRPr="002E5649">
        <w:rPr>
          <w:rFonts w:ascii="Palatino Linotype" w:hAnsi="Palatino Linotype"/>
        </w:rPr>
        <w:t xml:space="preserve"> </w:t>
      </w:r>
      <w:r>
        <w:rPr>
          <w:rFonts w:ascii="Palatino Linotype" w:hAnsi="Palatino Linotype"/>
        </w:rPr>
        <w:tab/>
      </w:r>
      <w:r w:rsidRPr="002E5649">
        <w:rPr>
          <w:rFonts w:ascii="Palatino Linotype" w:hAnsi="Palatino Linotype"/>
        </w:rPr>
        <w:fldChar w:fldCharType="begin"/>
      </w:r>
      <w:r w:rsidRPr="002E5649">
        <w:rPr>
          <w:rFonts w:ascii="Palatino Linotype" w:hAnsi="Palatino Linotype"/>
        </w:rPr>
        <w:instrText xml:space="preserve"> ADDIN ZOTERO_ITEM CSL_CITATION {"citationID":"aZhh7mfL","properties":{"formattedCitation":"Sahata Manalu, \\uc0\\u8220{}Analisis Yuridis Tindakan Diskresi Kepolisian Pada Tahap Penyidikan,\\uc0\\u8221{} {\\i{}Fiat Iustitia\\uc0\\u8239{}: Jurnal Hukum}, 24 September 2020, 109\\uc0\\u8211{}25, https://doi.org/10.54367/fiat.v1i1.913.","plainCitation":"Sahata Manalu, “Analisis Yuridis Tindakan Diskresi Kepolisian Pada Tahap Penyidikan,” Fiat Iustitia</w:instrText>
      </w:r>
      <w:r w:rsidRPr="002E5649">
        <w:rPr>
          <w:rFonts w:ascii="Times New Roman" w:hAnsi="Times New Roman" w:cs="Times New Roman"/>
        </w:rPr>
        <w:instrText> </w:instrText>
      </w:r>
      <w:r w:rsidRPr="002E5649">
        <w:rPr>
          <w:rFonts w:ascii="Palatino Linotype" w:hAnsi="Palatino Linotype"/>
        </w:rPr>
        <w:instrText xml:space="preserve">: Jurnal Hukum, 24 September 2020, 109–25, https://doi.org/10.54367/fiat.v1i1.913.","noteIndex":16},"citationItems":[{"id":921,"uris":["http://zotero.org/users/15177137/items/IRQSFTTA"],"itemData":{"id":921,"type":"article-journal","abstract":"In carrying out its professional duties, the National Police has the authority of discretion that can be carried out in certain circumstances. Discretion is an authority given by law to law enforcement officers, especially the police to act in special situations in accordance with the judgment and conscience of the agency or the officer himself. This research formula is: 1). How to implement police discretion at the investigation stage; and 2). How far the effectiveness of the implementation of police discretion at the investigation stage. This research is a normative legal research, which uses secondary legal material as the main data. From the results of this study concluded that 1) The use of police discretion in stopping investigations, it appears that there is authority in certain cases or circumstances to make a decision whether to take action or not if a crime occurs and there are factors that influence the discretion of the police in stopping investigations between Other legal factors; law enforcement factors; community factors; infrastructure factors; and legal cultural factors; 2. The effective implementation of discretion must be carried out with caution by improving the quality of human resources in the field of law enforcement as well as the power or authority that is carried out based on law based on considerations and beliefs and emphasizes more on moral considerations rather than legal considerations and provides real justice by paying attention the risk and benefit side of an action taken","container-title":"Fiat Iustitia : Jurnal Hukum","DOI":"10.54367/fiat.v1i1.913","ISSN":"2745-4088","journalAbbreviation":"FIAT","license":"http://creativecommons.org/licenses/by/4.0","page":"109-125","source":"DOI.org (Crossref)","title":"Analisis Yuridis Tindakan Diskresi Kepolisian Pada Tahap Penyidikan","author":[{"family":"Manalu","given":"Sahata"}],"issued":{"date-parts":[["2020",9,24]]}}}],"schema":"https://github.com/citation-style-language/schema/raw/master/csl-citation.json"} </w:instrText>
      </w:r>
      <w:r w:rsidRPr="002E5649">
        <w:rPr>
          <w:rFonts w:ascii="Palatino Linotype" w:hAnsi="Palatino Linotype"/>
        </w:rPr>
        <w:fldChar w:fldCharType="separate"/>
      </w:r>
      <w:r w:rsidRPr="002E5649">
        <w:rPr>
          <w:rFonts w:ascii="Palatino Linotype" w:hAnsi="Palatino Linotype" w:cs="Times New Roman"/>
          <w:szCs w:val="24"/>
        </w:rPr>
        <w:t xml:space="preserve">Sahata Manalu, “Analisis Yuridis Tindakan Diskresi Kepolisian Pada Tahap Penyidikan,” </w:t>
      </w:r>
      <w:r w:rsidRPr="002E5649">
        <w:rPr>
          <w:rFonts w:ascii="Palatino Linotype" w:hAnsi="Palatino Linotype" w:cs="Times New Roman"/>
          <w:i/>
          <w:iCs/>
          <w:szCs w:val="24"/>
        </w:rPr>
        <w:t>Fiat Iustitia</w:t>
      </w:r>
      <w:r w:rsidRPr="002E5649">
        <w:rPr>
          <w:rFonts w:ascii="Times New Roman" w:hAnsi="Times New Roman" w:cs="Times New Roman"/>
          <w:i/>
          <w:iCs/>
          <w:szCs w:val="24"/>
        </w:rPr>
        <w:t> </w:t>
      </w:r>
      <w:r w:rsidRPr="002E5649">
        <w:rPr>
          <w:rFonts w:ascii="Palatino Linotype" w:hAnsi="Palatino Linotype" w:cs="Times New Roman"/>
          <w:i/>
          <w:iCs/>
          <w:szCs w:val="24"/>
        </w:rPr>
        <w:t>: Jurnal Hukum</w:t>
      </w:r>
      <w:r w:rsidRPr="002E5649">
        <w:rPr>
          <w:rFonts w:ascii="Palatino Linotype" w:hAnsi="Palatino Linotype" w:cs="Times New Roman"/>
          <w:szCs w:val="24"/>
        </w:rPr>
        <w:t>, 24 September 2020, 109–25, https://doi.org/10.54367/fiat.v1i1.913.</w:t>
      </w:r>
      <w:r w:rsidRPr="002E5649">
        <w:rPr>
          <w:rFonts w:ascii="Palatino Linotype" w:hAnsi="Palatino Linotype"/>
        </w:rPr>
        <w:fldChar w:fldCharType="end"/>
      </w:r>
    </w:p>
  </w:footnote>
  <w:footnote w:id="17">
    <w:p w14:paraId="0610CAA4" w14:textId="77777777" w:rsidR="00491144" w:rsidRPr="002E5649" w:rsidRDefault="00491144" w:rsidP="00491144">
      <w:pPr>
        <w:pStyle w:val="FootnoteText"/>
        <w:ind w:left="284" w:hanging="284"/>
        <w:jc w:val="both"/>
        <w:rPr>
          <w:rFonts w:ascii="Palatino Linotype" w:hAnsi="Palatino Linotype"/>
        </w:rPr>
      </w:pPr>
      <w:r w:rsidRPr="002E5649">
        <w:rPr>
          <w:rStyle w:val="FootnoteReference"/>
          <w:rFonts w:ascii="Palatino Linotype" w:hAnsi="Palatino Linotype"/>
        </w:rPr>
        <w:footnoteRef/>
      </w:r>
      <w:r w:rsidRPr="002E5649">
        <w:rPr>
          <w:rFonts w:ascii="Palatino Linotype" w:hAnsi="Palatino Linotype"/>
        </w:rPr>
        <w:t xml:space="preserve"> </w:t>
      </w:r>
      <w:r>
        <w:rPr>
          <w:rFonts w:ascii="Palatino Linotype" w:hAnsi="Palatino Linotype"/>
        </w:rPr>
        <w:tab/>
      </w:r>
      <w:r w:rsidRPr="002E5649">
        <w:rPr>
          <w:rFonts w:ascii="Palatino Linotype" w:hAnsi="Palatino Linotype"/>
        </w:rPr>
        <w:fldChar w:fldCharType="begin"/>
      </w:r>
      <w:r w:rsidRPr="002E5649">
        <w:rPr>
          <w:rFonts w:ascii="Palatino Linotype" w:hAnsi="Palatino Linotype"/>
        </w:rPr>
        <w:instrText xml:space="preserve"> ADDIN ZOTERO_ITEM CSL_CITATION {"citationID":"1x5oJBoO","properties":{"formattedCitation":"Siti Kunarti dan Kartono, \\uc0\\u8220{}Discretion as Freedom of Action in Administering Governance,\\uc0\\u8221{} ed. oleh A. Raharjo dan T. Sudrajat, {\\i{}SHS Web of Conferences} 54 (2018): 03018, https://doi.org/10.1051/shsconf/20185403018.","plainCitation":"Siti Kunarti dan Kartono, “Discretion as Freedom of Action in Administering Governance,” ed. oleh A. Raharjo dan T. Sudrajat, SHS Web of Conferences 54 (2018): 03018, https://doi.org/10.1051/shsconf/20185403018.","noteIndex":17},"citationItems":[{"id":462,"uris":["http://zotero.org/users/15177137/items/Z64ZHGM7"],"itemData":{"id":462,"type":"article-journal","abstract":"The concept of discretion in public administration basically brings significant positive energy when viewed in the perspective of virtue for the morality-based governance (law). Government as the holder of discretion power holds an important power, yet not for itself. In this way, in exercising discretion, government not only may take actions out of the specific prescription in the law, but also may take actions contradicting the law for common good. Such actions are justifiable as long as they are intended for public interest and public good; not for the sake of itself. Such action cannot be blamed within public administration, as long as the purpose is in accordance with the purpose of the state’s constitution for common good and prosperity.","container-title":"SHS Web of Conferences","DOI":"10.1051/shsconf/20185403018","ISSN":"2261-2424","journalAbbreviation":"SHS Web Conf.","license":"http://creativecommons.org/licenses/by/4.0","page":"03018","source":"DOI.org (Crossref)","title":"Discretion as Freedom of Action in Administering Governance","volume":"54","author":[{"family":"Kunarti","given":"Siti"},{"literal":"Kartono"}],"editor":[{"family":"Raharjo","given":"A."},{"family":"Sudrajat","given":"T."}],"issued":{"date-parts":[["2018"]]}}}],"schema":"https://github.com/citation-style-language/schema/raw/master/csl-citation.json"} </w:instrText>
      </w:r>
      <w:r w:rsidRPr="002E5649">
        <w:rPr>
          <w:rFonts w:ascii="Palatino Linotype" w:hAnsi="Palatino Linotype"/>
        </w:rPr>
        <w:fldChar w:fldCharType="separate"/>
      </w:r>
      <w:r w:rsidRPr="002E5649">
        <w:rPr>
          <w:rFonts w:ascii="Palatino Linotype" w:hAnsi="Palatino Linotype" w:cs="Times New Roman"/>
          <w:szCs w:val="24"/>
        </w:rPr>
        <w:t xml:space="preserve">Siti Kunarti dan Kartono, “Discretion as Freedom of Action in Administering Governance,” ed. oleh A. Raharjo dan T. Sudrajat, </w:t>
      </w:r>
      <w:r w:rsidRPr="002E5649">
        <w:rPr>
          <w:rFonts w:ascii="Palatino Linotype" w:hAnsi="Palatino Linotype" w:cs="Times New Roman"/>
          <w:i/>
          <w:iCs/>
          <w:szCs w:val="24"/>
        </w:rPr>
        <w:t>SHS Web of Conferences</w:t>
      </w:r>
      <w:r w:rsidRPr="002E5649">
        <w:rPr>
          <w:rFonts w:ascii="Palatino Linotype" w:hAnsi="Palatino Linotype" w:cs="Times New Roman"/>
          <w:szCs w:val="24"/>
        </w:rPr>
        <w:t xml:space="preserve"> 54 (2018): 03018, https://doi.org/10.1051/shsconf/20185403018.</w:t>
      </w:r>
      <w:r w:rsidRPr="002E5649">
        <w:rPr>
          <w:rFonts w:ascii="Palatino Linotype" w:hAnsi="Palatino Linotype"/>
        </w:rPr>
        <w:fldChar w:fldCharType="end"/>
      </w:r>
    </w:p>
  </w:footnote>
  <w:footnote w:id="18">
    <w:p w14:paraId="4D3A9DF7" w14:textId="77777777" w:rsidR="00491144" w:rsidRPr="002E5649" w:rsidRDefault="00491144" w:rsidP="00491144">
      <w:pPr>
        <w:pStyle w:val="FootnoteText"/>
        <w:ind w:left="284" w:hanging="284"/>
        <w:jc w:val="both"/>
        <w:rPr>
          <w:rFonts w:ascii="Palatino Linotype" w:hAnsi="Palatino Linotype"/>
        </w:rPr>
      </w:pPr>
      <w:r w:rsidRPr="002E5649">
        <w:rPr>
          <w:rStyle w:val="FootnoteReference"/>
          <w:rFonts w:ascii="Palatino Linotype" w:hAnsi="Palatino Linotype"/>
        </w:rPr>
        <w:footnoteRef/>
      </w:r>
      <w:r w:rsidRPr="002E5649">
        <w:rPr>
          <w:rFonts w:ascii="Palatino Linotype" w:hAnsi="Palatino Linotype"/>
        </w:rPr>
        <w:t xml:space="preserve"> </w:t>
      </w:r>
      <w:r>
        <w:rPr>
          <w:rFonts w:ascii="Palatino Linotype" w:hAnsi="Palatino Linotype"/>
        </w:rPr>
        <w:tab/>
      </w:r>
      <w:r w:rsidRPr="002E5649">
        <w:rPr>
          <w:rFonts w:ascii="Palatino Linotype" w:hAnsi="Palatino Linotype"/>
        </w:rPr>
        <w:fldChar w:fldCharType="begin"/>
      </w:r>
      <w:r w:rsidRPr="002E5649">
        <w:rPr>
          <w:rFonts w:ascii="Palatino Linotype" w:hAnsi="Palatino Linotype"/>
        </w:rPr>
        <w:instrText xml:space="preserve"> ADDIN ZOTERO_ITEM CSL_CITATION {"citationID":"o0kOBrSG","properties":{"formattedCitation":"Saimir Fekolli, Bledar Biti, dan Francesk Ganaj, \\uc0\\u8220{}Analysis of the Substantive and Procedural Elements of the Principle of Legality,\\uc0\\u8221{} {\\i{}European Scientific Journal ESJ} 15, no. 5 (28 Februari 2019), https://doi.org/10.19044/esj.2019.v15n5p254.","plainCitation":"Saimir Fekolli, Bledar Biti, dan Francesk Ganaj, “Analysis of the Substantive and Procedural Elements of the Principle of Legality,” European Scientific Journal ESJ 15, no. 5 (28 Februari 2019), https://doi.org/10.19044/esj.2019.v15n5p254.","noteIndex":18},"citationItems":[{"id":980,"uris":["http://zotero.org/users/15177137/items/XYZIDY89"],"itemData":{"id":980,"type":"article-journal","container-title":"European Scientific Journal ESJ","DOI":"10.19044/esj.2019.v15n5p254","ISSN":"18577881, 18577431","issue":"5","journalAbbreviation":"ESJ","source":"DOI.org (Crossref)","title":"Analysis of the Substantive and Procedural Elements of the Principle of Legality","URL":"http://eujournal.org/index.php/esj/article/view/11796/11240","volume":"15","author":[{"family":"Fekolli","given":"Saimir"},{"family":"Biti","given":"Bledar"},{"family":"Ganaj","given":"Francesk"}],"accessed":{"date-parts":[["2024",11,19]]},"issued":{"date-parts":[["2019",2,28]]}}}],"schema":"https://github.com/citation-style-language/schema/raw/master/csl-citation.json"} </w:instrText>
      </w:r>
      <w:r w:rsidRPr="002E5649">
        <w:rPr>
          <w:rFonts w:ascii="Palatino Linotype" w:hAnsi="Palatino Linotype"/>
        </w:rPr>
        <w:fldChar w:fldCharType="separate"/>
      </w:r>
      <w:r w:rsidRPr="002E5649">
        <w:rPr>
          <w:rFonts w:ascii="Palatino Linotype" w:hAnsi="Palatino Linotype" w:cs="Times New Roman"/>
          <w:szCs w:val="24"/>
        </w:rPr>
        <w:t xml:space="preserve">Saimir Fekolli, Bledar Biti, dan Francesk Ganaj, “Analysis of the Substantive and Procedural Elements of the Principle of Legality,” </w:t>
      </w:r>
      <w:r w:rsidRPr="002E5649">
        <w:rPr>
          <w:rFonts w:ascii="Palatino Linotype" w:hAnsi="Palatino Linotype" w:cs="Times New Roman"/>
          <w:i/>
          <w:iCs/>
          <w:szCs w:val="24"/>
        </w:rPr>
        <w:t>European Scientific Journal ESJ</w:t>
      </w:r>
      <w:r w:rsidRPr="002E5649">
        <w:rPr>
          <w:rFonts w:ascii="Palatino Linotype" w:hAnsi="Palatino Linotype" w:cs="Times New Roman"/>
          <w:szCs w:val="24"/>
        </w:rPr>
        <w:t xml:space="preserve"> 15, no. 5 (28 Februari 2019), https://doi.org/10.19044/esj.2019.v15n5p254.</w:t>
      </w:r>
      <w:r w:rsidRPr="002E5649">
        <w:rPr>
          <w:rFonts w:ascii="Palatino Linotype" w:hAnsi="Palatino Linotype"/>
        </w:rPr>
        <w:fldChar w:fldCharType="end"/>
      </w:r>
    </w:p>
  </w:footnote>
  <w:footnote w:id="19">
    <w:p w14:paraId="5CCAE2E6" w14:textId="77777777" w:rsidR="00491144" w:rsidRPr="002E5649" w:rsidRDefault="00491144" w:rsidP="00491144">
      <w:pPr>
        <w:pStyle w:val="FootnoteText"/>
        <w:ind w:left="284" w:hanging="284"/>
        <w:jc w:val="both"/>
        <w:rPr>
          <w:rFonts w:ascii="Palatino Linotype" w:hAnsi="Palatino Linotype"/>
        </w:rPr>
      </w:pPr>
      <w:r w:rsidRPr="002E5649">
        <w:rPr>
          <w:rStyle w:val="FootnoteReference"/>
          <w:rFonts w:ascii="Palatino Linotype" w:hAnsi="Palatino Linotype"/>
        </w:rPr>
        <w:footnoteRef/>
      </w:r>
      <w:r w:rsidRPr="002E5649">
        <w:rPr>
          <w:rFonts w:ascii="Palatino Linotype" w:hAnsi="Palatino Linotype"/>
        </w:rPr>
        <w:t xml:space="preserve"> </w:t>
      </w:r>
      <w:r>
        <w:rPr>
          <w:rFonts w:ascii="Palatino Linotype" w:hAnsi="Palatino Linotype"/>
        </w:rPr>
        <w:tab/>
      </w:r>
      <w:r w:rsidRPr="002E5649">
        <w:rPr>
          <w:rFonts w:ascii="Palatino Linotype" w:hAnsi="Palatino Linotype"/>
        </w:rPr>
        <w:fldChar w:fldCharType="begin"/>
      </w:r>
      <w:r w:rsidRPr="002E5649">
        <w:rPr>
          <w:rFonts w:ascii="Palatino Linotype" w:hAnsi="Palatino Linotype"/>
        </w:rPr>
        <w:instrText xml:space="preserve"> ADDIN ZOTERO_ITEM CSL_CITATION {"citationID":"zCFyvmbz","properties":{"formattedCitation":"Gustavo Matarazzo dkk., \\uc0\\u8220{}Organizational Conditions for Evidence-Based Policing: A Proposal from The International Literature,\\uc0\\u8221{} {\\i{}Cadernos EBAPE.BR} 20, no. 6 (November 2022): 919\\uc0\\u8211{}30, https://doi.org/10.1590/1679-395120220013x.","plainCitation":"Gustavo Matarazzo dkk., “Organizational Conditions for Evidence-Based Policing: A Proposal from The International Literature,” Cadernos EBAPE.BR 20, no. 6 (November 2022): 919–30, https://doi.org/10.1590/1679-395120220013x.","noteIndex":19},"citationItems":[{"id":982,"uris":["http://zotero.org/users/15177137/items/HN88ZZWE"],"itemData":{"id":982,"type":"article-journal","abstract":"Abstract Many areas of study, particularly the field of public administration, have demonstrated how shared evidence has gained relevance in academic research. Against this backdrop, police organizations - responsible for sustaining the political order and being the body with legitimacy to use force - are characterized by supporting their decision-making processes in traditions and conventions. Faced with the various problems of legitimacy, which result in trust issues with its different audiences, the notion of evidence-based policing (EBP) has gained notoriety. Although Brazil has traditions in the field of public security studies, this debate is incipient. In this sense, this theoretical essay aims to reflect on the organizational conditions necessary for implementing EBP based on international experiences. We present a history of EBP and discuss a matrix that enables its practical application. We propose a framework regarding implementation requirements based on four fields: assessment, leadership, technology, and networks. Finally, we consider the need to centralize intelligence activities in the decision-making contexts of these organizations to establish professionalism that takes place through planning actions based on the use of science as ballast for organizations of police agencies.\n          , \n            Resumo O embasamento em evidências compartilhadas é um movimento que tem ganhado força nas mais diversas áreas, em especial no campo da administração pública. Pertencentes a esse campo, as organizações policiais, responsáveis pela sustentação da ordem política e detentoras da legitimidade para o uso da força, caracterizam-se por sustentar seus processos decisórios em tradições e convenções. Diante dos diversos problemas de legitimidade que elas têm encontrado, que resultam em questões de confiança dos diferentes públicos com os quais se relacionam, a noção de Policiamento Baseado em Evidências (PBE) tem ganhado notoriedade. Muito embora o Brasil apresente tradições no campo de estudos da segurança pública, nota-se a incipiência no debate assinalado. Nesse sentido, o objetivo central deste ensaio teórico foi refletir sobre as condições organizacionais necessárias para a implementação do PBE, com base nas experiências internacionais. Para tanto, apresentamos um histórico do PBE, bem como discutimos uma matriz que possibilita a sua aplicação prática. Propomos um quadro a respeito das exigências à implementação fundamentado em quatro campos: avaliação, liderança, tecnologia e redes de contatos. Finalmente, consideramos a necessidade de centralização das atividades de inteligência nos contextos de tomada de decisão dessas organizações, a fim de constituir um profissionalismo que se dê por meio de ações de planejamento fundamentadas no uso da ciência como lastro para a organização das agências policiais.\n          , \n            Resumen La fundamentación en la evidencia compartida es un movimiento que ha cobrado fuerza en los más diversos ámbitos, especialmente en el de la administración pública. Pertenecientes a este campo, las organizaciones policiales, encargadas de mantener el orden político y legalmente autorizadas para el uso de la fuerza, se caracterizan por sustentar sus procesos decisorios en tradiciones y convenciones. Frente a los diversos problemas de legitimidad con los que se han encontrado, que derivan en problemas de confianza de los diferentes públicos con los que se relacionan, la noción de policía basada en evidencia (PBE) ha ganado notoriedad. Aunque Brasil tiene tradición en el campo de los estudios de seguridad pública, se nota que el debate aún es incipiente. En este sentido, el objetivo central de este ensayo teórico fue reflexionar sobre las condiciones organizativas necesarias para la implementación de la PBE, a partir de experiencias internacionales. Para ello, presentamos una reseña histórica de la PBE, así como discutimos una matriz que permite su aplicación práctica. Proponemos un marco de requisitos de implementación basado en cuatro campos: evaluación, liderazgo, tecnología y redes de contactos. Finalmente, consideramos la necesidad de centralizar las actividades de inteligencia en los contextos de toma de decisiones de estas organizaciones, con el fin de establecer un profesionalismo que se lleve a cabo mediante acciones de planificación basadas en el uso de la ciencia como respaldo para la organización de los cuerpos policiales.","container-title":"Cadernos EBAPE.BR","DOI":"10.1590/1679-395120220013x","ISSN":"1679-3951","issue":"6","journalAbbreviation":"Cad. EBAPE.BR","license":"http://creativecommons.org/licenses/by/4.0/","page":"919-930","source":"DOI.org (Crossref)","title":"Organizational Conditions for Evidence-Based Policing: A Proposal from The International Literature","title-short":"Organizational conditions for evidence-based policing","volume":"20","author":[{"family":"Matarazzo","given":"Gustavo"},{"family":"Alcadipani","given":"Rafael"},{"family":"Fernandes","given":"Alan"},{"family":"Thomazi","given":"Maurício De"}],"issued":{"date-parts":[["2022",11]]}}}],"schema":"https://github.com/citation-style-language/schema/raw/master/csl-citation.json"} </w:instrText>
      </w:r>
      <w:r w:rsidRPr="002E5649">
        <w:rPr>
          <w:rFonts w:ascii="Palatino Linotype" w:hAnsi="Palatino Linotype"/>
        </w:rPr>
        <w:fldChar w:fldCharType="separate"/>
      </w:r>
      <w:r w:rsidRPr="002E5649">
        <w:rPr>
          <w:rFonts w:ascii="Palatino Linotype" w:hAnsi="Palatino Linotype" w:cs="Times New Roman"/>
          <w:szCs w:val="24"/>
        </w:rPr>
        <w:t xml:space="preserve">Gustavo Matarazzo dkk., “Organizational Conditions for Evidence-Based Policing: A Proposal from The International Literature,” </w:t>
      </w:r>
      <w:r w:rsidRPr="002E5649">
        <w:rPr>
          <w:rFonts w:ascii="Palatino Linotype" w:hAnsi="Palatino Linotype" w:cs="Times New Roman"/>
          <w:i/>
          <w:iCs/>
          <w:szCs w:val="24"/>
        </w:rPr>
        <w:t>Cadernos EBAPE.BR</w:t>
      </w:r>
      <w:r w:rsidRPr="002E5649">
        <w:rPr>
          <w:rFonts w:ascii="Palatino Linotype" w:hAnsi="Palatino Linotype" w:cs="Times New Roman"/>
          <w:szCs w:val="24"/>
        </w:rPr>
        <w:t xml:space="preserve"> 20, no. 6 (November 2022): 919–30, https://doi.org/10.1590/1679-395120220013x.</w:t>
      </w:r>
      <w:r w:rsidRPr="002E5649">
        <w:rPr>
          <w:rFonts w:ascii="Palatino Linotype" w:hAnsi="Palatino Linotype"/>
        </w:rPr>
        <w:fldChar w:fldCharType="end"/>
      </w:r>
    </w:p>
  </w:footnote>
  <w:footnote w:id="20">
    <w:p w14:paraId="6E6F670C" w14:textId="77777777" w:rsidR="00491144" w:rsidRPr="002E5649" w:rsidRDefault="00491144" w:rsidP="00491144">
      <w:pPr>
        <w:pStyle w:val="FootnoteText"/>
        <w:ind w:left="284" w:hanging="284"/>
        <w:jc w:val="both"/>
        <w:rPr>
          <w:rFonts w:ascii="Palatino Linotype" w:hAnsi="Palatino Linotype"/>
        </w:rPr>
      </w:pPr>
      <w:r w:rsidRPr="002E5649">
        <w:rPr>
          <w:rStyle w:val="FootnoteReference"/>
          <w:rFonts w:ascii="Palatino Linotype" w:hAnsi="Palatino Linotype"/>
        </w:rPr>
        <w:footnoteRef/>
      </w:r>
      <w:r w:rsidRPr="002E5649">
        <w:rPr>
          <w:rFonts w:ascii="Palatino Linotype" w:hAnsi="Palatino Linotype"/>
        </w:rPr>
        <w:t xml:space="preserve"> </w:t>
      </w:r>
      <w:r>
        <w:rPr>
          <w:rFonts w:ascii="Palatino Linotype" w:hAnsi="Palatino Linotype"/>
        </w:rPr>
        <w:tab/>
      </w:r>
      <w:r w:rsidRPr="002E5649">
        <w:rPr>
          <w:rFonts w:ascii="Palatino Linotype" w:hAnsi="Palatino Linotype"/>
        </w:rPr>
        <w:fldChar w:fldCharType="begin"/>
      </w:r>
      <w:r w:rsidRPr="002E5649">
        <w:rPr>
          <w:rFonts w:ascii="Palatino Linotype" w:hAnsi="Palatino Linotype"/>
        </w:rPr>
        <w:instrText xml:space="preserve"> ADDIN ZOTERO_ITEM CSL_CITATION {"citationID":"yX2HQLL6","properties":{"formattedCitation":"Om Prakash Gautam, \\uc0\\u8220{}Concept of Good Faith in Domestic Laws \\uc0\\u8211{} To Debrief the Common Understanding,\\uc0\\u8221{} {\\i{}SSRN Electronic Journal}, 2020, https://doi.org/10.2139/ssrn.3558349.","plainCitation":"Om Prakash Gautam, “Concept of Good Faith in Domestic Laws – To Debrief the Common Understanding,” SSRN Electronic Journal, 2020, https://doi.org/10.2139/ssrn.3558349.","noteIndex":20},"citationItems":[{"id":984,"uris":["http://zotero.org/users/15177137/items/SVTAE44P"],"itemData":{"id":984,"type":"article-journal","container-title":"SSRN Electronic Journal","DOI":"10.2139/ssrn.3558349","ISSN":"1556-5068","journalAbbreviation":"SSRN Journal","language":"en","source":"DOI.org (Crossref)","title":"Concept of Good Faith in Domestic Laws – To Debrief the Common Understanding","URL":"https://www.ssrn.com/abstract=3558349","author":[{"family":"Gautam","given":"Om Prakash"}],"accessed":{"date-parts":[["2024",11,19]]},"issued":{"date-parts":[["2020"]]}}}],"schema":"https://github.com/citation-style-language/schema/raw/master/csl-citation.json"} </w:instrText>
      </w:r>
      <w:r w:rsidRPr="002E5649">
        <w:rPr>
          <w:rFonts w:ascii="Palatino Linotype" w:hAnsi="Palatino Linotype"/>
        </w:rPr>
        <w:fldChar w:fldCharType="separate"/>
      </w:r>
      <w:r w:rsidRPr="002E5649">
        <w:rPr>
          <w:rFonts w:ascii="Palatino Linotype" w:hAnsi="Palatino Linotype" w:cs="Times New Roman"/>
          <w:szCs w:val="24"/>
        </w:rPr>
        <w:t xml:space="preserve">Om Prakash Gautam, “Concept of Good Faith in Domestic Laws – To Debrief the Common Understanding,” </w:t>
      </w:r>
      <w:r w:rsidRPr="002E5649">
        <w:rPr>
          <w:rFonts w:ascii="Palatino Linotype" w:hAnsi="Palatino Linotype" w:cs="Times New Roman"/>
          <w:i/>
          <w:iCs/>
          <w:szCs w:val="24"/>
        </w:rPr>
        <w:t>SSRN Electronic Journal</w:t>
      </w:r>
      <w:r w:rsidRPr="002E5649">
        <w:rPr>
          <w:rFonts w:ascii="Palatino Linotype" w:hAnsi="Palatino Linotype" w:cs="Times New Roman"/>
          <w:szCs w:val="24"/>
        </w:rPr>
        <w:t>, 2020, https://doi.org/10.2139/ssrn.3558349.</w:t>
      </w:r>
      <w:r w:rsidRPr="002E5649">
        <w:rPr>
          <w:rFonts w:ascii="Palatino Linotype" w:hAnsi="Palatino Linotype"/>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2028F" w14:textId="77777777" w:rsidR="001775C2" w:rsidRDefault="006567F4">
    <w:pPr>
      <w:pBdr>
        <w:top w:val="nil"/>
        <w:left w:val="nil"/>
        <w:bottom w:val="nil"/>
        <w:right w:val="nil"/>
        <w:between w:val="nil"/>
      </w:pBdr>
      <w:tabs>
        <w:tab w:val="center" w:pos="4513"/>
        <w:tab w:val="right" w:pos="9026"/>
      </w:tabs>
      <w:spacing w:after="0" w:line="240" w:lineRule="auto"/>
      <w:jc w:val="right"/>
      <w:rPr>
        <w:color w:val="000000"/>
      </w:rPr>
    </w:pPr>
    <w:r>
      <w:rPr>
        <w:noProof/>
        <w:lang w:val="id-ID" w:eastAsia="id-ID"/>
      </w:rPr>
      <mc:AlternateContent>
        <mc:Choice Requires="wps">
          <w:drawing>
            <wp:anchor distT="0" distB="0" distL="114300" distR="114300" simplePos="0" relativeHeight="251659264" behindDoc="0" locked="0" layoutInCell="1" hidden="0" allowOverlap="1" wp14:anchorId="3A40AD9C" wp14:editId="5E510559">
              <wp:simplePos x="0" y="0"/>
              <wp:positionH relativeFrom="column">
                <wp:posOffset>622300</wp:posOffset>
              </wp:positionH>
              <wp:positionV relativeFrom="paragraph">
                <wp:posOffset>0</wp:posOffset>
              </wp:positionV>
              <wp:extent cx="4255135" cy="339725"/>
              <wp:effectExtent l="0" t="0" r="0" b="0"/>
              <wp:wrapNone/>
              <wp:docPr id="276" name="Rectangle 276"/>
              <wp:cNvGraphicFramePr/>
              <a:graphic xmlns:a="http://schemas.openxmlformats.org/drawingml/2006/main">
                <a:graphicData uri="http://schemas.microsoft.com/office/word/2010/wordprocessingShape">
                  <wps:wsp>
                    <wps:cNvSpPr/>
                    <wps:spPr>
                      <a:xfrm>
                        <a:off x="3237483" y="3629188"/>
                        <a:ext cx="4217035" cy="301625"/>
                      </a:xfrm>
                      <a:prstGeom prst="rect">
                        <a:avLst/>
                      </a:prstGeom>
                      <a:solidFill>
                        <a:srgbClr val="FFFFFF"/>
                      </a:solidFill>
                      <a:ln>
                        <a:noFill/>
                      </a:ln>
                    </wps:spPr>
                    <wps:txbx>
                      <w:txbxContent>
                        <w:p w14:paraId="42D11ADD" w14:textId="77777777" w:rsidR="001775C2" w:rsidRDefault="006567F4">
                          <w:pPr>
                            <w:spacing w:after="0" w:line="240" w:lineRule="auto"/>
                            <w:jc w:val="center"/>
                            <w:textDirection w:val="btLr"/>
                          </w:pPr>
                          <w:r>
                            <w:rPr>
                              <w:rFonts w:ascii="Arial" w:eastAsia="Arial" w:hAnsi="Arial" w:cs="Arial"/>
                              <w:color w:val="000000"/>
                            </w:rPr>
                            <w:t>Available online at: https://journal.unpas.ac.id/index.php/litigasi</w:t>
                          </w:r>
                        </w:p>
                      </w:txbxContent>
                    </wps:txbx>
                    <wps:bodyPr spcFirstLastPara="1" wrap="square" lIns="91425" tIns="45700" rIns="91425" bIns="45700" anchor="t" anchorCtr="0">
                      <a:noAutofit/>
                    </wps:bodyPr>
                  </wps:wsp>
                </a:graphicData>
              </a:graphic>
            </wp:anchor>
          </w:drawing>
        </mc:Choice>
        <mc:Fallback>
          <w:pict>
            <v:rect id="Rectangle 276" o:spid="_x0000_s1026" style="position:absolute;left:0;text-align:left;margin-left:49pt;margin-top:0;width:335.05pt;height: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" stroked="f">
              <v:textbox inset="2.53958mm,1.2694mm,2.53958mm,1.2694mm">
                <w:txbxContent>
                  <w:p w14:paraId="42D11ADD" w14:textId="77777777" w:rsidR="001775C2" w:rsidRDefault="006567F4">
                    <w:pPr>
                      <w:spacing w:after="0" w:line="240" w:lineRule="auto"/>
                      <w:jc w:val="center"/>
                      <w:textDirection w:val="btLr"/>
                    </w:pPr>
                    <w:r>
                      <w:rPr>
                        <w:rFonts w:ascii="Arial" w:eastAsia="Arial" w:hAnsi="Arial" w:cs="Arial"/>
                        <w:color w:val="000000"/>
                      </w:rPr>
                      <w:t>Available online at: https://journal.unpas.ac.id/index.php/litigasi</w:t>
                    </w:r>
                  </w:p>
                </w:txbxContent>
              </v:textbox>
            </v:rect>
          </w:pict>
        </mc:Fallback>
      </mc:AlternateContent>
    </w:r>
  </w:p>
  <w:p w14:paraId="6029071B" w14:textId="77777777" w:rsidR="001775C2" w:rsidRDefault="001775C2">
    <w:pPr>
      <w:pBdr>
        <w:top w:val="nil"/>
        <w:left w:val="nil"/>
        <w:bottom w:val="nil"/>
        <w:right w:val="nil"/>
        <w:between w:val="nil"/>
      </w:pBdr>
      <w:tabs>
        <w:tab w:val="center" w:pos="4513"/>
        <w:tab w:val="right" w:pos="9026"/>
      </w:tabs>
      <w:spacing w:after="0" w:line="240" w:lineRule="auto"/>
      <w:jc w:val="right"/>
      <w:rPr>
        <w:color w:val="000000"/>
      </w:rPr>
    </w:pPr>
  </w:p>
  <w:p w14:paraId="21028AE0" w14:textId="77777777" w:rsidR="001775C2" w:rsidRDefault="006567F4">
    <w:pPr>
      <w:pBdr>
        <w:top w:val="nil"/>
        <w:left w:val="nil"/>
        <w:bottom w:val="nil"/>
        <w:right w:val="nil"/>
        <w:between w:val="nil"/>
      </w:pBdr>
      <w:tabs>
        <w:tab w:val="center" w:pos="4513"/>
        <w:tab w:val="right" w:pos="9026"/>
      </w:tabs>
      <w:spacing w:after="0" w:line="240" w:lineRule="auto"/>
      <w:jc w:val="center"/>
      <w:rPr>
        <w:color w:val="000000"/>
      </w:rPr>
    </w:pPr>
    <w:r>
      <w:rPr>
        <w:color w:val="000000"/>
      </w:rPr>
      <w:t>JURNAL LITIGASI (e-Journal), Vol. 24 (1) April, 2023, p.40-63</w:t>
    </w:r>
  </w:p>
  <w:p w14:paraId="799674B6" w14:textId="77777777" w:rsidR="001775C2" w:rsidRDefault="006567F4">
    <w:pPr>
      <w:pBdr>
        <w:top w:val="nil"/>
        <w:left w:val="nil"/>
        <w:bottom w:val="nil"/>
        <w:right w:val="nil"/>
        <w:between w:val="nil"/>
      </w:pBdr>
      <w:tabs>
        <w:tab w:val="center" w:pos="4513"/>
        <w:tab w:val="right" w:pos="9026"/>
      </w:tabs>
      <w:spacing w:after="0" w:line="240" w:lineRule="auto"/>
      <w:jc w:val="center"/>
      <w:rPr>
        <w:color w:val="0000FF"/>
        <w:u w:val="single"/>
      </w:rPr>
    </w:pPr>
    <w:r>
      <w:rPr>
        <w:b/>
        <w:color w:val="000000"/>
        <w:highlight w:val="white"/>
      </w:rPr>
      <w:t>DOI: </w:t>
    </w:r>
    <w:r>
      <w:rPr>
        <w:color w:val="000000"/>
      </w:rPr>
      <w:t>http://dx.doi.org/10.23969/litigasi.v24i1.7232</w:t>
    </w:r>
  </w:p>
  <w:p w14:paraId="1C0852F2" w14:textId="77777777" w:rsidR="001775C2" w:rsidRDefault="001775C2"/>
  <w:p w14:paraId="0662C5E4" w14:textId="77777777" w:rsidR="001775C2" w:rsidRDefault="001775C2"/>
  <w:p w14:paraId="164E633E" w14:textId="77777777" w:rsidR="001775C2" w:rsidRDefault="001775C2"/>
  <w:p w14:paraId="584209D4" w14:textId="77777777" w:rsidR="001775C2" w:rsidRDefault="001775C2"/>
  <w:p w14:paraId="787FEEB7" w14:textId="77777777" w:rsidR="001775C2" w:rsidRDefault="001775C2"/>
  <w:p w14:paraId="5EF5E77A" w14:textId="77777777" w:rsidR="001775C2" w:rsidRDefault="001775C2"/>
  <w:p w14:paraId="1ABE1D0C" w14:textId="77777777" w:rsidR="001775C2" w:rsidRDefault="001775C2"/>
  <w:p w14:paraId="0A6D1427" w14:textId="77777777" w:rsidR="001775C2" w:rsidRDefault="001775C2"/>
  <w:p w14:paraId="15AAD7E4" w14:textId="77777777" w:rsidR="001775C2" w:rsidRDefault="001775C2"/>
  <w:p w14:paraId="5628F063" w14:textId="77777777" w:rsidR="001775C2" w:rsidRDefault="001775C2"/>
  <w:p w14:paraId="7B9AE665" w14:textId="77777777" w:rsidR="001775C2" w:rsidRDefault="001775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FC225" w14:textId="77777777" w:rsidR="001775C2" w:rsidRDefault="001775C2">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i/>
        <w:color w:val="0000FF"/>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40DB" w14:textId="77777777" w:rsidR="001775C2" w:rsidRDefault="001775C2">
    <w:pPr>
      <w:rPr>
        <w:rFonts w:ascii="Book Antiqua" w:eastAsia="Book Antiqua" w:hAnsi="Book Antiqua" w:cs="Book Antiqua"/>
        <w:b/>
        <w:color w:val="000000"/>
      </w:rPr>
    </w:pPr>
  </w:p>
  <w:p w14:paraId="2D37F7FD" w14:textId="77777777" w:rsidR="001775C2" w:rsidRDefault="001775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3ECF"/>
    <w:multiLevelType w:val="multilevel"/>
    <w:tmpl w:val="6B9CA83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56C06"/>
    <w:multiLevelType w:val="multilevel"/>
    <w:tmpl w:val="F4B21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3236AE"/>
    <w:multiLevelType w:val="multilevel"/>
    <w:tmpl w:val="EA86DD0C"/>
    <w:lvl w:ilvl="0">
      <w:start w:val="1"/>
      <w:numFmt w:val="upperLetter"/>
      <w:lvlText w:val="%1."/>
      <w:lvlJc w:val="left"/>
      <w:pPr>
        <w:ind w:left="927" w:hanging="360"/>
      </w:pPr>
      <w:rPr>
        <w:rFonts w:ascii="Palatino Linotype" w:hAnsi="Palatino Linotype" w:hint="default"/>
        <w:b/>
        <w:bCs/>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26FB20B3"/>
    <w:multiLevelType w:val="multilevel"/>
    <w:tmpl w:val="7B96CD1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5D2269"/>
    <w:multiLevelType w:val="multilevel"/>
    <w:tmpl w:val="92F8B5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902D5F"/>
    <w:multiLevelType w:val="multilevel"/>
    <w:tmpl w:val="92F8B5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8B4B4A"/>
    <w:multiLevelType w:val="multilevel"/>
    <w:tmpl w:val="86CA86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9A0065"/>
    <w:multiLevelType w:val="multilevel"/>
    <w:tmpl w:val="0AD275B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DC322B"/>
    <w:multiLevelType w:val="multilevel"/>
    <w:tmpl w:val="92F8B5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AB1805"/>
    <w:multiLevelType w:val="multilevel"/>
    <w:tmpl w:val="B38452A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4B4C7F"/>
    <w:multiLevelType w:val="multilevel"/>
    <w:tmpl w:val="04ACA57C"/>
    <w:lvl w:ilvl="0">
      <w:start w:val="1"/>
      <w:numFmt w:val="upperRoman"/>
      <w:lvlText w:val="%1."/>
      <w:lvlJc w:val="left"/>
      <w:pPr>
        <w:ind w:left="1080" w:hanging="720"/>
      </w:pPr>
      <w:rPr>
        <w:rFonts w:ascii="Palatino Linotype" w:hAnsi="Palatino Linotype"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6241238"/>
    <w:multiLevelType w:val="hybridMultilevel"/>
    <w:tmpl w:val="407C3FE6"/>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nsid w:val="7C4C4218"/>
    <w:multiLevelType w:val="hybridMultilevel"/>
    <w:tmpl w:val="A0D828F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0"/>
  </w:num>
  <w:num w:numId="2">
    <w:abstractNumId w:val="2"/>
  </w:num>
  <w:num w:numId="3">
    <w:abstractNumId w:val="12"/>
  </w:num>
  <w:num w:numId="4">
    <w:abstractNumId w:val="0"/>
  </w:num>
  <w:num w:numId="5">
    <w:abstractNumId w:val="9"/>
  </w:num>
  <w:num w:numId="6">
    <w:abstractNumId w:val="7"/>
  </w:num>
  <w:num w:numId="7">
    <w:abstractNumId w:val="6"/>
  </w:num>
  <w:num w:numId="8">
    <w:abstractNumId w:val="4"/>
  </w:num>
  <w:num w:numId="9">
    <w:abstractNumId w:val="5"/>
  </w:num>
  <w:num w:numId="10">
    <w:abstractNumId w:val="8"/>
  </w:num>
  <w:num w:numId="11">
    <w:abstractNumId w:val="11"/>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144"/>
    <w:rsid w:val="000B65CD"/>
    <w:rsid w:val="000E262A"/>
    <w:rsid w:val="001775C2"/>
    <w:rsid w:val="00206BD5"/>
    <w:rsid w:val="0037648F"/>
    <w:rsid w:val="00384D19"/>
    <w:rsid w:val="00476B72"/>
    <w:rsid w:val="00491144"/>
    <w:rsid w:val="00564AFB"/>
    <w:rsid w:val="005A301E"/>
    <w:rsid w:val="00640C02"/>
    <w:rsid w:val="006567F4"/>
    <w:rsid w:val="00661C82"/>
    <w:rsid w:val="009A4DB2"/>
    <w:rsid w:val="00A75578"/>
    <w:rsid w:val="00B710BD"/>
    <w:rsid w:val="00BC7B4B"/>
    <w:rsid w:val="00D12E06"/>
    <w:rsid w:val="00F83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144"/>
    <w:pPr>
      <w:spacing w:after="200" w:line="276"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4911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11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11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11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11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11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1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1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1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144"/>
    <w:rPr>
      <w:rFonts w:asciiTheme="majorHAnsi" w:eastAsiaTheme="majorEastAsia" w:hAnsiTheme="majorHAnsi" w:cstheme="majorBidi"/>
      <w:color w:val="2F5496" w:themeColor="accent1" w:themeShade="BF"/>
      <w:sz w:val="40"/>
      <w:szCs w:val="40"/>
      <w:lang w:val="id-ID"/>
    </w:rPr>
  </w:style>
  <w:style w:type="character" w:customStyle="1" w:styleId="Heading2Char">
    <w:name w:val="Heading 2 Char"/>
    <w:basedOn w:val="DefaultParagraphFont"/>
    <w:link w:val="Heading2"/>
    <w:uiPriority w:val="9"/>
    <w:semiHidden/>
    <w:rsid w:val="00491144"/>
    <w:rPr>
      <w:rFonts w:asciiTheme="majorHAnsi" w:eastAsiaTheme="majorEastAsia" w:hAnsiTheme="majorHAnsi" w:cstheme="majorBidi"/>
      <w:color w:val="2F5496" w:themeColor="accent1" w:themeShade="BF"/>
      <w:sz w:val="32"/>
      <w:szCs w:val="32"/>
      <w:lang w:val="id-ID"/>
    </w:rPr>
  </w:style>
  <w:style w:type="character" w:customStyle="1" w:styleId="Heading3Char">
    <w:name w:val="Heading 3 Char"/>
    <w:basedOn w:val="DefaultParagraphFont"/>
    <w:link w:val="Heading3"/>
    <w:uiPriority w:val="9"/>
    <w:semiHidden/>
    <w:rsid w:val="00491144"/>
    <w:rPr>
      <w:rFonts w:eastAsiaTheme="majorEastAsia" w:cstheme="majorBidi"/>
      <w:color w:val="2F5496" w:themeColor="accent1" w:themeShade="BF"/>
      <w:sz w:val="28"/>
      <w:szCs w:val="28"/>
      <w:lang w:val="id-ID"/>
    </w:rPr>
  </w:style>
  <w:style w:type="character" w:customStyle="1" w:styleId="Heading4Char">
    <w:name w:val="Heading 4 Char"/>
    <w:basedOn w:val="DefaultParagraphFont"/>
    <w:link w:val="Heading4"/>
    <w:uiPriority w:val="9"/>
    <w:semiHidden/>
    <w:rsid w:val="00491144"/>
    <w:rPr>
      <w:rFonts w:eastAsiaTheme="majorEastAsia"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491144"/>
    <w:rPr>
      <w:rFonts w:eastAsiaTheme="majorEastAsia" w:cstheme="majorBidi"/>
      <w:color w:val="2F5496" w:themeColor="accent1" w:themeShade="BF"/>
      <w:lang w:val="id-ID"/>
    </w:rPr>
  </w:style>
  <w:style w:type="character" w:customStyle="1" w:styleId="Heading6Char">
    <w:name w:val="Heading 6 Char"/>
    <w:basedOn w:val="DefaultParagraphFont"/>
    <w:link w:val="Heading6"/>
    <w:uiPriority w:val="9"/>
    <w:semiHidden/>
    <w:rsid w:val="00491144"/>
    <w:rPr>
      <w:rFonts w:eastAsiaTheme="majorEastAsia" w:cstheme="majorBidi"/>
      <w:i/>
      <w:iCs/>
      <w:color w:val="595959" w:themeColor="text1" w:themeTint="A6"/>
      <w:lang w:val="id-ID"/>
    </w:rPr>
  </w:style>
  <w:style w:type="character" w:customStyle="1" w:styleId="Heading7Char">
    <w:name w:val="Heading 7 Char"/>
    <w:basedOn w:val="DefaultParagraphFont"/>
    <w:link w:val="Heading7"/>
    <w:uiPriority w:val="9"/>
    <w:semiHidden/>
    <w:rsid w:val="00491144"/>
    <w:rPr>
      <w:rFonts w:eastAsiaTheme="majorEastAsia" w:cstheme="majorBidi"/>
      <w:color w:val="595959" w:themeColor="text1" w:themeTint="A6"/>
      <w:lang w:val="id-ID"/>
    </w:rPr>
  </w:style>
  <w:style w:type="character" w:customStyle="1" w:styleId="Heading8Char">
    <w:name w:val="Heading 8 Char"/>
    <w:basedOn w:val="DefaultParagraphFont"/>
    <w:link w:val="Heading8"/>
    <w:uiPriority w:val="9"/>
    <w:semiHidden/>
    <w:rsid w:val="00491144"/>
    <w:rPr>
      <w:rFonts w:eastAsiaTheme="majorEastAsia" w:cstheme="majorBidi"/>
      <w:i/>
      <w:iCs/>
      <w:color w:val="272727" w:themeColor="text1" w:themeTint="D8"/>
      <w:lang w:val="id-ID"/>
    </w:rPr>
  </w:style>
  <w:style w:type="character" w:customStyle="1" w:styleId="Heading9Char">
    <w:name w:val="Heading 9 Char"/>
    <w:basedOn w:val="DefaultParagraphFont"/>
    <w:link w:val="Heading9"/>
    <w:uiPriority w:val="9"/>
    <w:semiHidden/>
    <w:rsid w:val="00491144"/>
    <w:rPr>
      <w:rFonts w:eastAsiaTheme="majorEastAsia" w:cstheme="majorBidi"/>
      <w:color w:val="272727" w:themeColor="text1" w:themeTint="D8"/>
      <w:lang w:val="id-ID"/>
    </w:rPr>
  </w:style>
  <w:style w:type="paragraph" w:styleId="Title">
    <w:name w:val="Title"/>
    <w:basedOn w:val="Normal"/>
    <w:next w:val="Normal"/>
    <w:link w:val="TitleChar"/>
    <w:uiPriority w:val="10"/>
    <w:qFormat/>
    <w:rsid w:val="00491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144"/>
    <w:rPr>
      <w:rFonts w:asciiTheme="majorHAnsi" w:eastAsiaTheme="majorEastAsia" w:hAnsiTheme="majorHAnsi" w:cstheme="majorBidi"/>
      <w:spacing w:val="-10"/>
      <w:kern w:val="28"/>
      <w:sz w:val="56"/>
      <w:szCs w:val="56"/>
      <w:lang w:val="id-ID"/>
    </w:rPr>
  </w:style>
  <w:style w:type="paragraph" w:styleId="Subtitle">
    <w:name w:val="Subtitle"/>
    <w:basedOn w:val="Normal"/>
    <w:next w:val="Normal"/>
    <w:link w:val="SubtitleChar"/>
    <w:uiPriority w:val="11"/>
    <w:qFormat/>
    <w:rsid w:val="004911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144"/>
    <w:rPr>
      <w:rFonts w:eastAsiaTheme="majorEastAsia" w:cstheme="majorBidi"/>
      <w:color w:val="595959" w:themeColor="text1" w:themeTint="A6"/>
      <w:spacing w:val="15"/>
      <w:sz w:val="28"/>
      <w:szCs w:val="28"/>
      <w:lang w:val="id-ID"/>
    </w:rPr>
  </w:style>
  <w:style w:type="paragraph" w:styleId="Quote">
    <w:name w:val="Quote"/>
    <w:basedOn w:val="Normal"/>
    <w:next w:val="Normal"/>
    <w:link w:val="QuoteChar"/>
    <w:uiPriority w:val="29"/>
    <w:qFormat/>
    <w:rsid w:val="00491144"/>
    <w:pPr>
      <w:spacing w:before="160"/>
      <w:jc w:val="center"/>
    </w:pPr>
    <w:rPr>
      <w:i/>
      <w:iCs/>
      <w:color w:val="404040" w:themeColor="text1" w:themeTint="BF"/>
    </w:rPr>
  </w:style>
  <w:style w:type="character" w:customStyle="1" w:styleId="QuoteChar">
    <w:name w:val="Quote Char"/>
    <w:basedOn w:val="DefaultParagraphFont"/>
    <w:link w:val="Quote"/>
    <w:uiPriority w:val="29"/>
    <w:rsid w:val="00491144"/>
    <w:rPr>
      <w:i/>
      <w:iCs/>
      <w:color w:val="404040" w:themeColor="text1" w:themeTint="BF"/>
      <w:lang w:val="id-ID"/>
    </w:rPr>
  </w:style>
  <w:style w:type="paragraph" w:styleId="ListParagraph">
    <w:name w:val="List Paragraph"/>
    <w:basedOn w:val="Normal"/>
    <w:link w:val="ListParagraphChar"/>
    <w:uiPriority w:val="34"/>
    <w:qFormat/>
    <w:rsid w:val="00491144"/>
    <w:pPr>
      <w:ind w:left="720"/>
      <w:contextualSpacing/>
    </w:pPr>
  </w:style>
  <w:style w:type="character" w:styleId="IntenseEmphasis">
    <w:name w:val="Intense Emphasis"/>
    <w:basedOn w:val="DefaultParagraphFont"/>
    <w:uiPriority w:val="21"/>
    <w:qFormat/>
    <w:rsid w:val="00491144"/>
    <w:rPr>
      <w:i/>
      <w:iCs/>
      <w:color w:val="2F5496" w:themeColor="accent1" w:themeShade="BF"/>
    </w:rPr>
  </w:style>
  <w:style w:type="paragraph" w:styleId="IntenseQuote">
    <w:name w:val="Intense Quote"/>
    <w:basedOn w:val="Normal"/>
    <w:next w:val="Normal"/>
    <w:link w:val="IntenseQuoteChar"/>
    <w:uiPriority w:val="30"/>
    <w:qFormat/>
    <w:rsid w:val="00491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1144"/>
    <w:rPr>
      <w:i/>
      <w:iCs/>
      <w:color w:val="2F5496" w:themeColor="accent1" w:themeShade="BF"/>
      <w:lang w:val="id-ID"/>
    </w:rPr>
  </w:style>
  <w:style w:type="character" w:styleId="IntenseReference">
    <w:name w:val="Intense Reference"/>
    <w:basedOn w:val="DefaultParagraphFont"/>
    <w:uiPriority w:val="32"/>
    <w:qFormat/>
    <w:rsid w:val="00491144"/>
    <w:rPr>
      <w:b/>
      <w:bCs/>
      <w:smallCaps/>
      <w:color w:val="2F5496" w:themeColor="accent1" w:themeShade="BF"/>
      <w:spacing w:val="5"/>
    </w:rPr>
  </w:style>
  <w:style w:type="character" w:styleId="Hyperlink">
    <w:name w:val="Hyperlink"/>
    <w:basedOn w:val="DefaultParagraphFont"/>
    <w:uiPriority w:val="99"/>
    <w:unhideWhenUsed/>
    <w:rsid w:val="00491144"/>
    <w:rPr>
      <w:color w:val="0563C1" w:themeColor="hyperlink"/>
      <w:u w:val="single"/>
    </w:rPr>
  </w:style>
  <w:style w:type="paragraph" w:styleId="Bibliography">
    <w:name w:val="Bibliography"/>
    <w:basedOn w:val="Normal"/>
    <w:next w:val="Normal"/>
    <w:link w:val="BibliographyChar"/>
    <w:uiPriority w:val="37"/>
    <w:unhideWhenUsed/>
    <w:rsid w:val="00491144"/>
    <w:pPr>
      <w:spacing w:after="0" w:line="480" w:lineRule="auto"/>
      <w:ind w:left="720" w:hanging="720"/>
    </w:pPr>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491144"/>
    <w:rPr>
      <w:vertAlign w:val="superscript"/>
    </w:rPr>
  </w:style>
  <w:style w:type="paragraph" w:styleId="FootnoteText">
    <w:name w:val="footnote text"/>
    <w:basedOn w:val="Normal"/>
    <w:link w:val="FootnoteTextChar"/>
    <w:uiPriority w:val="99"/>
    <w:rsid w:val="00491144"/>
    <w:pPr>
      <w:spacing w:after="0" w:line="240" w:lineRule="auto"/>
    </w:pPr>
    <w:rPr>
      <w:rFonts w:cs="SimSun"/>
      <w:sz w:val="20"/>
      <w:szCs w:val="20"/>
      <w:lang w:val="id-ID"/>
    </w:rPr>
  </w:style>
  <w:style w:type="character" w:customStyle="1" w:styleId="FootnoteTextChar">
    <w:name w:val="Footnote Text Char"/>
    <w:basedOn w:val="DefaultParagraphFont"/>
    <w:link w:val="FootnoteText"/>
    <w:uiPriority w:val="99"/>
    <w:qFormat/>
    <w:rsid w:val="00491144"/>
    <w:rPr>
      <w:rFonts w:ascii="Calibri" w:eastAsia="Calibri" w:hAnsi="Calibri" w:cs="SimSun"/>
      <w:kern w:val="0"/>
      <w:sz w:val="20"/>
      <w:szCs w:val="20"/>
      <w:lang w:val="id-ID"/>
      <w14:ligatures w14:val="none"/>
    </w:rPr>
  </w:style>
  <w:style w:type="character" w:customStyle="1" w:styleId="ListParagraphChar">
    <w:name w:val="List Paragraph Char"/>
    <w:basedOn w:val="DefaultParagraphFont"/>
    <w:link w:val="ListParagraph"/>
    <w:uiPriority w:val="34"/>
    <w:rsid w:val="00491144"/>
    <w:rPr>
      <w:lang w:val="id-ID"/>
    </w:rPr>
  </w:style>
  <w:style w:type="character" w:customStyle="1" w:styleId="BibliographyChar">
    <w:name w:val="Bibliography Char"/>
    <w:basedOn w:val="DefaultParagraphFont"/>
    <w:link w:val="Bibliography"/>
    <w:uiPriority w:val="37"/>
    <w:rsid w:val="00491144"/>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8306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F830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144"/>
    <w:pPr>
      <w:spacing w:after="200" w:line="276"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4911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11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11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11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11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11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1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1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1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144"/>
    <w:rPr>
      <w:rFonts w:asciiTheme="majorHAnsi" w:eastAsiaTheme="majorEastAsia" w:hAnsiTheme="majorHAnsi" w:cstheme="majorBidi"/>
      <w:color w:val="2F5496" w:themeColor="accent1" w:themeShade="BF"/>
      <w:sz w:val="40"/>
      <w:szCs w:val="40"/>
      <w:lang w:val="id-ID"/>
    </w:rPr>
  </w:style>
  <w:style w:type="character" w:customStyle="1" w:styleId="Heading2Char">
    <w:name w:val="Heading 2 Char"/>
    <w:basedOn w:val="DefaultParagraphFont"/>
    <w:link w:val="Heading2"/>
    <w:uiPriority w:val="9"/>
    <w:semiHidden/>
    <w:rsid w:val="00491144"/>
    <w:rPr>
      <w:rFonts w:asciiTheme="majorHAnsi" w:eastAsiaTheme="majorEastAsia" w:hAnsiTheme="majorHAnsi" w:cstheme="majorBidi"/>
      <w:color w:val="2F5496" w:themeColor="accent1" w:themeShade="BF"/>
      <w:sz w:val="32"/>
      <w:szCs w:val="32"/>
      <w:lang w:val="id-ID"/>
    </w:rPr>
  </w:style>
  <w:style w:type="character" w:customStyle="1" w:styleId="Heading3Char">
    <w:name w:val="Heading 3 Char"/>
    <w:basedOn w:val="DefaultParagraphFont"/>
    <w:link w:val="Heading3"/>
    <w:uiPriority w:val="9"/>
    <w:semiHidden/>
    <w:rsid w:val="00491144"/>
    <w:rPr>
      <w:rFonts w:eastAsiaTheme="majorEastAsia" w:cstheme="majorBidi"/>
      <w:color w:val="2F5496" w:themeColor="accent1" w:themeShade="BF"/>
      <w:sz w:val="28"/>
      <w:szCs w:val="28"/>
      <w:lang w:val="id-ID"/>
    </w:rPr>
  </w:style>
  <w:style w:type="character" w:customStyle="1" w:styleId="Heading4Char">
    <w:name w:val="Heading 4 Char"/>
    <w:basedOn w:val="DefaultParagraphFont"/>
    <w:link w:val="Heading4"/>
    <w:uiPriority w:val="9"/>
    <w:semiHidden/>
    <w:rsid w:val="00491144"/>
    <w:rPr>
      <w:rFonts w:eastAsiaTheme="majorEastAsia"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491144"/>
    <w:rPr>
      <w:rFonts w:eastAsiaTheme="majorEastAsia" w:cstheme="majorBidi"/>
      <w:color w:val="2F5496" w:themeColor="accent1" w:themeShade="BF"/>
      <w:lang w:val="id-ID"/>
    </w:rPr>
  </w:style>
  <w:style w:type="character" w:customStyle="1" w:styleId="Heading6Char">
    <w:name w:val="Heading 6 Char"/>
    <w:basedOn w:val="DefaultParagraphFont"/>
    <w:link w:val="Heading6"/>
    <w:uiPriority w:val="9"/>
    <w:semiHidden/>
    <w:rsid w:val="00491144"/>
    <w:rPr>
      <w:rFonts w:eastAsiaTheme="majorEastAsia" w:cstheme="majorBidi"/>
      <w:i/>
      <w:iCs/>
      <w:color w:val="595959" w:themeColor="text1" w:themeTint="A6"/>
      <w:lang w:val="id-ID"/>
    </w:rPr>
  </w:style>
  <w:style w:type="character" w:customStyle="1" w:styleId="Heading7Char">
    <w:name w:val="Heading 7 Char"/>
    <w:basedOn w:val="DefaultParagraphFont"/>
    <w:link w:val="Heading7"/>
    <w:uiPriority w:val="9"/>
    <w:semiHidden/>
    <w:rsid w:val="00491144"/>
    <w:rPr>
      <w:rFonts w:eastAsiaTheme="majorEastAsia" w:cstheme="majorBidi"/>
      <w:color w:val="595959" w:themeColor="text1" w:themeTint="A6"/>
      <w:lang w:val="id-ID"/>
    </w:rPr>
  </w:style>
  <w:style w:type="character" w:customStyle="1" w:styleId="Heading8Char">
    <w:name w:val="Heading 8 Char"/>
    <w:basedOn w:val="DefaultParagraphFont"/>
    <w:link w:val="Heading8"/>
    <w:uiPriority w:val="9"/>
    <w:semiHidden/>
    <w:rsid w:val="00491144"/>
    <w:rPr>
      <w:rFonts w:eastAsiaTheme="majorEastAsia" w:cstheme="majorBidi"/>
      <w:i/>
      <w:iCs/>
      <w:color w:val="272727" w:themeColor="text1" w:themeTint="D8"/>
      <w:lang w:val="id-ID"/>
    </w:rPr>
  </w:style>
  <w:style w:type="character" w:customStyle="1" w:styleId="Heading9Char">
    <w:name w:val="Heading 9 Char"/>
    <w:basedOn w:val="DefaultParagraphFont"/>
    <w:link w:val="Heading9"/>
    <w:uiPriority w:val="9"/>
    <w:semiHidden/>
    <w:rsid w:val="00491144"/>
    <w:rPr>
      <w:rFonts w:eastAsiaTheme="majorEastAsia" w:cstheme="majorBidi"/>
      <w:color w:val="272727" w:themeColor="text1" w:themeTint="D8"/>
      <w:lang w:val="id-ID"/>
    </w:rPr>
  </w:style>
  <w:style w:type="paragraph" w:styleId="Title">
    <w:name w:val="Title"/>
    <w:basedOn w:val="Normal"/>
    <w:next w:val="Normal"/>
    <w:link w:val="TitleChar"/>
    <w:uiPriority w:val="10"/>
    <w:qFormat/>
    <w:rsid w:val="00491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144"/>
    <w:rPr>
      <w:rFonts w:asciiTheme="majorHAnsi" w:eastAsiaTheme="majorEastAsia" w:hAnsiTheme="majorHAnsi" w:cstheme="majorBidi"/>
      <w:spacing w:val="-10"/>
      <w:kern w:val="28"/>
      <w:sz w:val="56"/>
      <w:szCs w:val="56"/>
      <w:lang w:val="id-ID"/>
    </w:rPr>
  </w:style>
  <w:style w:type="paragraph" w:styleId="Subtitle">
    <w:name w:val="Subtitle"/>
    <w:basedOn w:val="Normal"/>
    <w:next w:val="Normal"/>
    <w:link w:val="SubtitleChar"/>
    <w:uiPriority w:val="11"/>
    <w:qFormat/>
    <w:rsid w:val="004911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144"/>
    <w:rPr>
      <w:rFonts w:eastAsiaTheme="majorEastAsia" w:cstheme="majorBidi"/>
      <w:color w:val="595959" w:themeColor="text1" w:themeTint="A6"/>
      <w:spacing w:val="15"/>
      <w:sz w:val="28"/>
      <w:szCs w:val="28"/>
      <w:lang w:val="id-ID"/>
    </w:rPr>
  </w:style>
  <w:style w:type="paragraph" w:styleId="Quote">
    <w:name w:val="Quote"/>
    <w:basedOn w:val="Normal"/>
    <w:next w:val="Normal"/>
    <w:link w:val="QuoteChar"/>
    <w:uiPriority w:val="29"/>
    <w:qFormat/>
    <w:rsid w:val="00491144"/>
    <w:pPr>
      <w:spacing w:before="160"/>
      <w:jc w:val="center"/>
    </w:pPr>
    <w:rPr>
      <w:i/>
      <w:iCs/>
      <w:color w:val="404040" w:themeColor="text1" w:themeTint="BF"/>
    </w:rPr>
  </w:style>
  <w:style w:type="character" w:customStyle="1" w:styleId="QuoteChar">
    <w:name w:val="Quote Char"/>
    <w:basedOn w:val="DefaultParagraphFont"/>
    <w:link w:val="Quote"/>
    <w:uiPriority w:val="29"/>
    <w:rsid w:val="00491144"/>
    <w:rPr>
      <w:i/>
      <w:iCs/>
      <w:color w:val="404040" w:themeColor="text1" w:themeTint="BF"/>
      <w:lang w:val="id-ID"/>
    </w:rPr>
  </w:style>
  <w:style w:type="paragraph" w:styleId="ListParagraph">
    <w:name w:val="List Paragraph"/>
    <w:basedOn w:val="Normal"/>
    <w:link w:val="ListParagraphChar"/>
    <w:uiPriority w:val="34"/>
    <w:qFormat/>
    <w:rsid w:val="00491144"/>
    <w:pPr>
      <w:ind w:left="720"/>
      <w:contextualSpacing/>
    </w:pPr>
  </w:style>
  <w:style w:type="character" w:styleId="IntenseEmphasis">
    <w:name w:val="Intense Emphasis"/>
    <w:basedOn w:val="DefaultParagraphFont"/>
    <w:uiPriority w:val="21"/>
    <w:qFormat/>
    <w:rsid w:val="00491144"/>
    <w:rPr>
      <w:i/>
      <w:iCs/>
      <w:color w:val="2F5496" w:themeColor="accent1" w:themeShade="BF"/>
    </w:rPr>
  </w:style>
  <w:style w:type="paragraph" w:styleId="IntenseQuote">
    <w:name w:val="Intense Quote"/>
    <w:basedOn w:val="Normal"/>
    <w:next w:val="Normal"/>
    <w:link w:val="IntenseQuoteChar"/>
    <w:uiPriority w:val="30"/>
    <w:qFormat/>
    <w:rsid w:val="00491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1144"/>
    <w:rPr>
      <w:i/>
      <w:iCs/>
      <w:color w:val="2F5496" w:themeColor="accent1" w:themeShade="BF"/>
      <w:lang w:val="id-ID"/>
    </w:rPr>
  </w:style>
  <w:style w:type="character" w:styleId="IntenseReference">
    <w:name w:val="Intense Reference"/>
    <w:basedOn w:val="DefaultParagraphFont"/>
    <w:uiPriority w:val="32"/>
    <w:qFormat/>
    <w:rsid w:val="00491144"/>
    <w:rPr>
      <w:b/>
      <w:bCs/>
      <w:smallCaps/>
      <w:color w:val="2F5496" w:themeColor="accent1" w:themeShade="BF"/>
      <w:spacing w:val="5"/>
    </w:rPr>
  </w:style>
  <w:style w:type="character" w:styleId="Hyperlink">
    <w:name w:val="Hyperlink"/>
    <w:basedOn w:val="DefaultParagraphFont"/>
    <w:uiPriority w:val="99"/>
    <w:unhideWhenUsed/>
    <w:rsid w:val="00491144"/>
    <w:rPr>
      <w:color w:val="0563C1" w:themeColor="hyperlink"/>
      <w:u w:val="single"/>
    </w:rPr>
  </w:style>
  <w:style w:type="paragraph" w:styleId="Bibliography">
    <w:name w:val="Bibliography"/>
    <w:basedOn w:val="Normal"/>
    <w:next w:val="Normal"/>
    <w:link w:val="BibliographyChar"/>
    <w:uiPriority w:val="37"/>
    <w:unhideWhenUsed/>
    <w:rsid w:val="00491144"/>
    <w:pPr>
      <w:spacing w:after="0" w:line="480" w:lineRule="auto"/>
      <w:ind w:left="720" w:hanging="720"/>
    </w:pPr>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491144"/>
    <w:rPr>
      <w:vertAlign w:val="superscript"/>
    </w:rPr>
  </w:style>
  <w:style w:type="paragraph" w:styleId="FootnoteText">
    <w:name w:val="footnote text"/>
    <w:basedOn w:val="Normal"/>
    <w:link w:val="FootnoteTextChar"/>
    <w:uiPriority w:val="99"/>
    <w:rsid w:val="00491144"/>
    <w:pPr>
      <w:spacing w:after="0" w:line="240" w:lineRule="auto"/>
    </w:pPr>
    <w:rPr>
      <w:rFonts w:cs="SimSun"/>
      <w:sz w:val="20"/>
      <w:szCs w:val="20"/>
      <w:lang w:val="id-ID"/>
    </w:rPr>
  </w:style>
  <w:style w:type="character" w:customStyle="1" w:styleId="FootnoteTextChar">
    <w:name w:val="Footnote Text Char"/>
    <w:basedOn w:val="DefaultParagraphFont"/>
    <w:link w:val="FootnoteText"/>
    <w:uiPriority w:val="99"/>
    <w:qFormat/>
    <w:rsid w:val="00491144"/>
    <w:rPr>
      <w:rFonts w:ascii="Calibri" w:eastAsia="Calibri" w:hAnsi="Calibri" w:cs="SimSun"/>
      <w:kern w:val="0"/>
      <w:sz w:val="20"/>
      <w:szCs w:val="20"/>
      <w:lang w:val="id-ID"/>
      <w14:ligatures w14:val="none"/>
    </w:rPr>
  </w:style>
  <w:style w:type="character" w:customStyle="1" w:styleId="ListParagraphChar">
    <w:name w:val="List Paragraph Char"/>
    <w:basedOn w:val="DefaultParagraphFont"/>
    <w:link w:val="ListParagraph"/>
    <w:uiPriority w:val="34"/>
    <w:rsid w:val="00491144"/>
    <w:rPr>
      <w:lang w:val="id-ID"/>
    </w:rPr>
  </w:style>
  <w:style w:type="character" w:customStyle="1" w:styleId="BibliographyChar">
    <w:name w:val="Bibliography Char"/>
    <w:basedOn w:val="DefaultParagraphFont"/>
    <w:link w:val="Bibliography"/>
    <w:uiPriority w:val="37"/>
    <w:rsid w:val="00491144"/>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8306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F830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epudinasep250370@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5924</Words>
  <Characters>33770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Windows User</cp:lastModifiedBy>
  <cp:revision>11</cp:revision>
  <dcterms:created xsi:type="dcterms:W3CDTF">2025-02-05T12:08:00Z</dcterms:created>
  <dcterms:modified xsi:type="dcterms:W3CDTF">2025-02-12T02:24:00Z</dcterms:modified>
</cp:coreProperties>
</file>