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0B78" w14:textId="527A3495" w:rsidR="00FA13E8" w:rsidRDefault="00742D8A" w:rsidP="001D72B5">
      <w:pPr>
        <w:spacing w:after="0"/>
        <w:jc w:val="center"/>
      </w:pPr>
      <w:bookmarkStart w:id="0" w:name="_GoBack"/>
      <w:r>
        <w:t>Determinants Of Stock Prices And The Implications For Company Value With Moderation Of Company Size</w:t>
      </w:r>
      <w:r w:rsidR="001455FF">
        <w:t xml:space="preserve"> </w:t>
      </w:r>
      <w:r>
        <w:t>(Empirical Study on Companies Listed in LQ Index 45)</w:t>
      </w:r>
    </w:p>
    <w:bookmarkEnd w:id="0"/>
    <w:p w14:paraId="64E31EFC" w14:textId="77777777" w:rsidR="00FA13E8" w:rsidRDefault="00FA13E8" w:rsidP="001D72B5">
      <w:pPr>
        <w:spacing w:after="0"/>
        <w:jc w:val="center"/>
      </w:pPr>
    </w:p>
    <w:p w14:paraId="6714CD59" w14:textId="1D73F594" w:rsidR="00FA13E8" w:rsidRDefault="00FA13E8" w:rsidP="001D72B5">
      <w:pPr>
        <w:spacing w:after="0" w:line="240" w:lineRule="auto"/>
        <w:jc w:val="center"/>
        <w:rPr>
          <w:rFonts w:ascii="Times New Roman" w:eastAsia="Times New Roman" w:hAnsi="Times New Roman" w:cs="Times New Roman"/>
          <w:bCs/>
          <w:sz w:val="24"/>
          <w:szCs w:val="24"/>
          <w:vertAlign w:val="superscript"/>
        </w:rPr>
      </w:pPr>
      <w:bookmarkStart w:id="1" w:name="_Hlk178631751"/>
      <w:r w:rsidRPr="00FA13E8">
        <w:rPr>
          <w:rFonts w:ascii="Times New Roman" w:eastAsia="Times New Roman" w:hAnsi="Times New Roman" w:cs="Times New Roman"/>
          <w:bCs/>
          <w:sz w:val="24"/>
          <w:szCs w:val="24"/>
        </w:rPr>
        <w:t>Widya Intan Sari</w:t>
      </w:r>
      <w:r w:rsidR="00742D8A">
        <w:rPr>
          <w:rFonts w:ascii="Times New Roman" w:eastAsia="Times New Roman" w:hAnsi="Times New Roman" w:cs="Times New Roman"/>
          <w:bCs/>
          <w:sz w:val="24"/>
          <w:szCs w:val="24"/>
          <w:vertAlign w:val="superscript"/>
        </w:rPr>
        <w:t>1</w:t>
      </w:r>
      <w:r w:rsidR="00B65761">
        <w:rPr>
          <w:rFonts w:ascii="Times New Roman" w:eastAsia="Times New Roman" w:hAnsi="Times New Roman" w:cs="Times New Roman"/>
          <w:bCs/>
          <w:sz w:val="24"/>
          <w:szCs w:val="24"/>
          <w:vertAlign w:val="superscript"/>
        </w:rPr>
        <w:t>*</w:t>
      </w:r>
      <w:r w:rsidRPr="00FA13E8">
        <w:rPr>
          <w:rFonts w:ascii="Times New Roman" w:eastAsia="Times New Roman" w:hAnsi="Times New Roman" w:cs="Times New Roman"/>
          <w:bCs/>
          <w:sz w:val="24"/>
          <w:szCs w:val="24"/>
        </w:rPr>
        <w:t>, Jaja Suteja</w:t>
      </w:r>
      <w:r w:rsidR="00742D8A">
        <w:rPr>
          <w:rFonts w:ascii="Times New Roman" w:eastAsia="Times New Roman" w:hAnsi="Times New Roman" w:cs="Times New Roman"/>
          <w:bCs/>
          <w:sz w:val="24"/>
          <w:szCs w:val="24"/>
          <w:vertAlign w:val="superscript"/>
        </w:rPr>
        <w:t>2</w:t>
      </w:r>
      <w:r w:rsidRPr="00FA13E8">
        <w:rPr>
          <w:rFonts w:ascii="Times New Roman" w:eastAsia="Times New Roman" w:hAnsi="Times New Roman" w:cs="Times New Roman"/>
          <w:bCs/>
          <w:sz w:val="24"/>
          <w:szCs w:val="24"/>
        </w:rPr>
        <w:t>, Mokhamad Anwar</w:t>
      </w:r>
      <w:r w:rsidR="00742D8A">
        <w:rPr>
          <w:rFonts w:ascii="Times New Roman" w:eastAsia="Times New Roman" w:hAnsi="Times New Roman" w:cs="Times New Roman"/>
          <w:bCs/>
          <w:sz w:val="24"/>
          <w:szCs w:val="24"/>
          <w:vertAlign w:val="superscript"/>
        </w:rPr>
        <w:t>3</w:t>
      </w:r>
    </w:p>
    <w:p w14:paraId="64F53741" w14:textId="5847F193" w:rsidR="00742D8A" w:rsidRDefault="00742D8A" w:rsidP="001D72B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w:t>
      </w:r>
      <w:r w:rsidR="00B65761">
        <w:rPr>
          <w:rFonts w:ascii="Times New Roman" w:eastAsia="Times New Roman" w:hAnsi="Times New Roman" w:cs="Times New Roman"/>
          <w:bCs/>
          <w:sz w:val="24"/>
          <w:szCs w:val="24"/>
        </w:rPr>
        <w:t>Fakultas Ekonomi dan Bisnis, Universitas Pamulang</w:t>
      </w:r>
    </w:p>
    <w:p w14:paraId="61576945" w14:textId="7929EE68" w:rsidR="00B65761" w:rsidRDefault="00B65761" w:rsidP="001D72B5">
      <w:pPr>
        <w:spacing w:after="0" w:line="240" w:lineRule="auto"/>
        <w:jc w:val="center"/>
        <w:rPr>
          <w:rFonts w:ascii="Times New Roman" w:eastAsia="Times New Roman" w:hAnsi="Times New Roman" w:cs="Times New Roman"/>
          <w:bCs/>
          <w:sz w:val="24"/>
          <w:szCs w:val="24"/>
        </w:rPr>
      </w:pPr>
      <w:r w:rsidRPr="00B65761">
        <w:rPr>
          <w:rFonts w:ascii="Times New Roman" w:eastAsia="Times New Roman" w:hAnsi="Times New Roman" w:cs="Times New Roman"/>
          <w:bCs/>
          <w:sz w:val="24"/>
          <w:szCs w:val="24"/>
          <w:vertAlign w:val="superscript"/>
        </w:rPr>
        <w:t>2</w:t>
      </w:r>
      <w:r w:rsidRPr="00B65761">
        <w:rPr>
          <w:rFonts w:ascii="Times New Roman" w:eastAsia="Times New Roman" w:hAnsi="Times New Roman" w:cs="Times New Roman"/>
          <w:bCs/>
          <w:sz w:val="24"/>
          <w:szCs w:val="24"/>
        </w:rPr>
        <w:t>Faculty of Economics, Universitas Pasundan</w:t>
      </w:r>
    </w:p>
    <w:p w14:paraId="228515DC" w14:textId="58AC0949" w:rsidR="001455FF" w:rsidRPr="001455FF" w:rsidRDefault="001455FF" w:rsidP="001D72B5">
      <w:pPr>
        <w:spacing w:after="0" w:line="240" w:lineRule="auto"/>
        <w:jc w:val="center"/>
        <w:rPr>
          <w:rFonts w:ascii="Times New Roman" w:eastAsia="Times New Roman" w:hAnsi="Times New Roman" w:cs="Times New Roman"/>
          <w:bCs/>
          <w:sz w:val="24"/>
          <w:szCs w:val="24"/>
          <w:lang w:val="en-ID"/>
        </w:rPr>
      </w:pPr>
      <w:r w:rsidRPr="001455FF">
        <w:rPr>
          <w:rFonts w:ascii="Times New Roman" w:eastAsia="Times New Roman" w:hAnsi="Times New Roman" w:cs="Times New Roman"/>
          <w:bCs/>
          <w:sz w:val="24"/>
          <w:szCs w:val="24"/>
          <w:vertAlign w:val="superscript"/>
          <w:lang w:val="en-ID"/>
        </w:rPr>
        <w:t>3</w:t>
      </w:r>
      <w:r w:rsidRPr="001455FF">
        <w:rPr>
          <w:rFonts w:ascii="Times New Roman" w:eastAsia="Times New Roman" w:hAnsi="Times New Roman" w:cs="Times New Roman"/>
          <w:bCs/>
          <w:sz w:val="24"/>
          <w:szCs w:val="24"/>
          <w:lang w:val="en-ID"/>
        </w:rPr>
        <w:t xml:space="preserve">Fakultas </w:t>
      </w:r>
      <w:proofErr w:type="spellStart"/>
      <w:r w:rsidRPr="001455FF">
        <w:rPr>
          <w:rFonts w:ascii="Times New Roman" w:eastAsia="Times New Roman" w:hAnsi="Times New Roman" w:cs="Times New Roman"/>
          <w:bCs/>
          <w:sz w:val="24"/>
          <w:szCs w:val="24"/>
          <w:lang w:val="en-ID"/>
        </w:rPr>
        <w:t>Ekonomi</w:t>
      </w:r>
      <w:proofErr w:type="spellEnd"/>
      <w:r w:rsidRPr="001455FF">
        <w:rPr>
          <w:rFonts w:ascii="Times New Roman" w:eastAsia="Times New Roman" w:hAnsi="Times New Roman" w:cs="Times New Roman"/>
          <w:bCs/>
          <w:sz w:val="24"/>
          <w:szCs w:val="24"/>
          <w:lang w:val="en-ID"/>
        </w:rPr>
        <w:t xml:space="preserve"> &amp; </w:t>
      </w:r>
      <w:proofErr w:type="spellStart"/>
      <w:r w:rsidRPr="001455FF">
        <w:rPr>
          <w:rFonts w:ascii="Times New Roman" w:eastAsia="Times New Roman" w:hAnsi="Times New Roman" w:cs="Times New Roman"/>
          <w:bCs/>
          <w:sz w:val="24"/>
          <w:szCs w:val="24"/>
          <w:lang w:val="en-ID"/>
        </w:rPr>
        <w:t>Bisnis</w:t>
      </w:r>
      <w:proofErr w:type="spellEnd"/>
      <w:r>
        <w:rPr>
          <w:rFonts w:ascii="Times New Roman" w:eastAsia="Times New Roman" w:hAnsi="Times New Roman" w:cs="Times New Roman"/>
          <w:bCs/>
          <w:sz w:val="24"/>
          <w:szCs w:val="24"/>
          <w:lang w:val="en-ID"/>
        </w:rPr>
        <w:t xml:space="preserve">, </w:t>
      </w:r>
      <w:proofErr w:type="spellStart"/>
      <w:r w:rsidRPr="001455FF">
        <w:rPr>
          <w:rFonts w:ascii="Times New Roman" w:eastAsia="Times New Roman" w:hAnsi="Times New Roman" w:cs="Times New Roman"/>
          <w:bCs/>
          <w:sz w:val="24"/>
          <w:szCs w:val="24"/>
          <w:lang w:val="en-ID"/>
        </w:rPr>
        <w:t>Universitas</w:t>
      </w:r>
      <w:proofErr w:type="spellEnd"/>
      <w:r w:rsidRPr="001455FF">
        <w:rPr>
          <w:rFonts w:ascii="Times New Roman" w:eastAsia="Times New Roman" w:hAnsi="Times New Roman" w:cs="Times New Roman"/>
          <w:bCs/>
          <w:sz w:val="24"/>
          <w:szCs w:val="24"/>
          <w:lang w:val="en-ID"/>
        </w:rPr>
        <w:t xml:space="preserve"> </w:t>
      </w:r>
      <w:proofErr w:type="spellStart"/>
      <w:r w:rsidRPr="001455FF">
        <w:rPr>
          <w:rFonts w:ascii="Times New Roman" w:eastAsia="Times New Roman" w:hAnsi="Times New Roman" w:cs="Times New Roman"/>
          <w:bCs/>
          <w:sz w:val="24"/>
          <w:szCs w:val="24"/>
          <w:lang w:val="en-ID"/>
        </w:rPr>
        <w:t>Padjadjaran</w:t>
      </w:r>
      <w:proofErr w:type="spellEnd"/>
    </w:p>
    <w:p w14:paraId="0E999F9B" w14:textId="77777777" w:rsidR="001455FF" w:rsidRPr="00B65761" w:rsidRDefault="001455FF" w:rsidP="001D72B5">
      <w:pPr>
        <w:spacing w:after="0" w:line="240" w:lineRule="auto"/>
        <w:jc w:val="center"/>
        <w:rPr>
          <w:rFonts w:ascii="Times New Roman" w:eastAsia="Times New Roman" w:hAnsi="Times New Roman" w:cs="Times New Roman"/>
          <w:bCs/>
          <w:sz w:val="24"/>
          <w:szCs w:val="24"/>
        </w:rPr>
      </w:pPr>
    </w:p>
    <w:p w14:paraId="0EEEF54D" w14:textId="56D2E44D" w:rsidR="00FA13E8" w:rsidRDefault="00FA13E8" w:rsidP="001D72B5">
      <w:pPr>
        <w:spacing w:after="0" w:line="240" w:lineRule="auto"/>
        <w:jc w:val="center"/>
        <w:rPr>
          <w:rFonts w:ascii="Times New Roman" w:eastAsia="Times New Roman" w:hAnsi="Times New Roman" w:cs="Times New Roman"/>
          <w:bCs/>
          <w:sz w:val="24"/>
          <w:szCs w:val="24"/>
        </w:rPr>
      </w:pPr>
      <w:r w:rsidRPr="003E2DDF">
        <w:rPr>
          <w:rFonts w:ascii="Times New Roman" w:eastAsia="Times New Roman" w:hAnsi="Times New Roman" w:cs="Times New Roman"/>
          <w:bCs/>
          <w:sz w:val="24"/>
          <w:szCs w:val="24"/>
        </w:rPr>
        <w:t xml:space="preserve">Email </w:t>
      </w:r>
      <w:r w:rsidR="00B65761">
        <w:rPr>
          <w:rFonts w:ascii="Times New Roman" w:eastAsia="Times New Roman" w:hAnsi="Times New Roman" w:cs="Times New Roman"/>
          <w:bCs/>
          <w:sz w:val="24"/>
          <w:szCs w:val="24"/>
        </w:rPr>
        <w:t xml:space="preserve">Correspondence </w:t>
      </w:r>
      <w:r w:rsidRPr="003E2DDF">
        <w:rPr>
          <w:rFonts w:ascii="Times New Roman" w:eastAsia="Times New Roman" w:hAnsi="Times New Roman" w:cs="Times New Roman"/>
          <w:bCs/>
          <w:sz w:val="24"/>
          <w:szCs w:val="24"/>
        </w:rPr>
        <w:t xml:space="preserve">: </w:t>
      </w:r>
      <w:r w:rsidR="00CB18FA">
        <w:fldChar w:fldCharType="begin"/>
      </w:r>
      <w:r w:rsidR="00CB18FA">
        <w:instrText xml:space="preserve"> HYPERLINK "mailto:dosen02451@unpam.ac.id" </w:instrText>
      </w:r>
      <w:r w:rsidR="00CB18FA">
        <w:fldChar w:fldCharType="separate"/>
      </w:r>
      <w:r w:rsidRPr="007C63FD">
        <w:rPr>
          <w:rStyle w:val="Hyperlink"/>
        </w:rPr>
        <w:t>dosen02451@unpam.ac.id</w:t>
      </w:r>
      <w:r w:rsidR="00CB18FA">
        <w:rPr>
          <w:rStyle w:val="Hyperlink"/>
        </w:rPr>
        <w:fldChar w:fldCharType="end"/>
      </w:r>
      <w:r>
        <w:t xml:space="preserve"> </w:t>
      </w:r>
    </w:p>
    <w:p w14:paraId="00453ADB" w14:textId="77777777" w:rsidR="00FA13E8" w:rsidRDefault="00FA13E8" w:rsidP="001D72B5">
      <w:pPr>
        <w:spacing w:after="0" w:line="240" w:lineRule="auto"/>
        <w:jc w:val="center"/>
        <w:rPr>
          <w:rFonts w:ascii="Times New Roman" w:eastAsia="Times New Roman" w:hAnsi="Times New Roman" w:cs="Times New Roman"/>
          <w:bCs/>
          <w:sz w:val="24"/>
          <w:szCs w:val="24"/>
        </w:rPr>
      </w:pPr>
    </w:p>
    <w:p w14:paraId="7AEF99A7" w14:textId="77777777" w:rsidR="00FA13E8" w:rsidRDefault="00FA13E8" w:rsidP="001D72B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ABSTRACT</w:t>
      </w:r>
    </w:p>
    <w:p w14:paraId="3EF4B067" w14:textId="7A239C7A" w:rsidR="009C7385" w:rsidRPr="009C7385" w:rsidRDefault="001455FF" w:rsidP="001D72B5">
      <w:pPr>
        <w:spacing w:after="0" w:line="240" w:lineRule="auto"/>
        <w:jc w:val="both"/>
        <w:rPr>
          <w:lang w:val="en-ID"/>
        </w:rPr>
      </w:pPr>
      <w:r w:rsidRPr="00D00970">
        <w:rPr>
          <w:rStyle w:val="y2iqfc"/>
          <w:rFonts w:ascii="Arial" w:hAnsi="Arial" w:cs="Arial"/>
          <w:i/>
          <w:iCs/>
          <w:color w:val="1F1F1F"/>
          <w:lang w:val="en"/>
        </w:rPr>
        <w:t xml:space="preserve">This research is aimed at finding out the determinants of share prices, namely </w:t>
      </w:r>
      <w:r w:rsidRPr="002D7F05">
        <w:rPr>
          <w:rStyle w:val="y2iqfc"/>
          <w:rFonts w:ascii="Arial" w:hAnsi="Arial" w:cs="Arial"/>
          <w:i/>
          <w:iCs/>
          <w:color w:val="1F1F1F"/>
          <w:lang w:val="en"/>
        </w:rPr>
        <w:t xml:space="preserve">Return </w:t>
      </w:r>
      <w:proofErr w:type="gramStart"/>
      <w:r w:rsidRPr="002D7F05">
        <w:rPr>
          <w:rStyle w:val="y2iqfc"/>
          <w:rFonts w:ascii="Arial" w:hAnsi="Arial" w:cs="Arial"/>
          <w:i/>
          <w:iCs/>
          <w:color w:val="1F1F1F"/>
          <w:lang w:val="en"/>
        </w:rPr>
        <w:t>On</w:t>
      </w:r>
      <w:proofErr w:type="gramEnd"/>
      <w:r w:rsidRPr="002D7F05">
        <w:rPr>
          <w:rStyle w:val="y2iqfc"/>
          <w:rFonts w:ascii="Arial" w:hAnsi="Arial" w:cs="Arial"/>
          <w:i/>
          <w:iCs/>
          <w:color w:val="1F1F1F"/>
          <w:lang w:val="en"/>
        </w:rPr>
        <w:t xml:space="preserve"> Asset</w:t>
      </w:r>
      <w:r w:rsidRPr="00D00970">
        <w:rPr>
          <w:rStyle w:val="y2iqfc"/>
          <w:rFonts w:ascii="Arial" w:hAnsi="Arial" w:cs="Arial"/>
          <w:i/>
          <w:iCs/>
          <w:color w:val="1F1F1F"/>
          <w:lang w:val="en"/>
        </w:rPr>
        <w:t xml:space="preserve">s (ROA), </w:t>
      </w:r>
      <w:r w:rsidRPr="002D7F05">
        <w:rPr>
          <w:rStyle w:val="y2iqfc"/>
          <w:rFonts w:ascii="Arial" w:hAnsi="Arial" w:cs="Arial"/>
          <w:i/>
          <w:iCs/>
          <w:color w:val="1F1F1F"/>
          <w:lang w:val="en"/>
        </w:rPr>
        <w:t>Net Profit Margin</w:t>
      </w:r>
      <w:r w:rsidRPr="00D00970">
        <w:rPr>
          <w:rStyle w:val="y2iqfc"/>
          <w:rFonts w:ascii="Arial" w:hAnsi="Arial" w:cs="Arial"/>
          <w:i/>
          <w:iCs/>
          <w:color w:val="1F1F1F"/>
          <w:lang w:val="en"/>
        </w:rPr>
        <w:t xml:space="preserve"> (NPM), </w:t>
      </w:r>
      <w:r w:rsidRPr="002D7F05">
        <w:rPr>
          <w:rStyle w:val="y2iqfc"/>
          <w:rFonts w:ascii="Arial" w:hAnsi="Arial" w:cs="Arial"/>
          <w:i/>
          <w:iCs/>
          <w:color w:val="1F1F1F"/>
          <w:lang w:val="en"/>
        </w:rPr>
        <w:t>Earning Per Share</w:t>
      </w:r>
      <w:r w:rsidRPr="00D00970">
        <w:rPr>
          <w:rStyle w:val="y2iqfc"/>
          <w:rFonts w:ascii="Arial" w:hAnsi="Arial" w:cs="Arial"/>
          <w:i/>
          <w:iCs/>
          <w:color w:val="1F1F1F"/>
          <w:lang w:val="en"/>
        </w:rPr>
        <w:t xml:space="preserve"> (EPS), Economic Growth, Exchange Rates and Inflation and their implications for company value which is moderated by company size (Study Empirical on Companies Listed on the LQ 45 Index).</w:t>
      </w:r>
      <w:r>
        <w:rPr>
          <w:rFonts w:ascii="Arial" w:hAnsi="Arial" w:cs="Arial"/>
          <w:i/>
          <w:iCs/>
        </w:rPr>
        <w:t xml:space="preserve"> </w:t>
      </w:r>
      <w:r w:rsidRPr="00D00970">
        <w:rPr>
          <w:rStyle w:val="y2iqfc"/>
          <w:rFonts w:ascii="Arial" w:hAnsi="Arial" w:cs="Arial"/>
          <w:i/>
          <w:iCs/>
          <w:color w:val="1F1F1F"/>
          <w:lang w:val="en"/>
        </w:rPr>
        <w:t xml:space="preserve">The method used is panel data regression using the </w:t>
      </w:r>
      <w:proofErr w:type="spellStart"/>
      <w:r w:rsidRPr="00D00970">
        <w:rPr>
          <w:rStyle w:val="y2iqfc"/>
          <w:rFonts w:ascii="Arial" w:hAnsi="Arial" w:cs="Arial"/>
          <w:i/>
          <w:iCs/>
          <w:color w:val="1F1F1F"/>
          <w:lang w:val="en"/>
        </w:rPr>
        <w:t>Eviews</w:t>
      </w:r>
      <w:proofErr w:type="spellEnd"/>
      <w:r w:rsidRPr="00D00970">
        <w:rPr>
          <w:rStyle w:val="y2iqfc"/>
          <w:rFonts w:ascii="Arial" w:hAnsi="Arial" w:cs="Arial"/>
          <w:i/>
          <w:iCs/>
          <w:color w:val="1F1F1F"/>
          <w:lang w:val="en"/>
        </w:rPr>
        <w:t xml:space="preserve"> program. Using a target population of 45 companies and a sample of 22 companies listed on the LQ 45 Index.</w:t>
      </w:r>
      <w:r>
        <w:rPr>
          <w:rFonts w:ascii="Arial" w:hAnsi="Arial" w:cs="Arial"/>
          <w:i/>
          <w:iCs/>
        </w:rPr>
        <w:t xml:space="preserve"> </w:t>
      </w:r>
      <w:r w:rsidRPr="002D7F05">
        <w:rPr>
          <w:rStyle w:val="y2iqfc"/>
          <w:rFonts w:ascii="Arial" w:hAnsi="Arial" w:cs="Arial"/>
          <w:i/>
          <w:iCs/>
          <w:color w:val="1F1F1F"/>
          <w:lang w:val="en"/>
        </w:rPr>
        <w:t>Return On Asset</w:t>
      </w:r>
      <w:r w:rsidRPr="00D00970">
        <w:rPr>
          <w:rStyle w:val="y2iqfc"/>
          <w:rFonts w:ascii="Arial" w:hAnsi="Arial" w:cs="Arial"/>
          <w:i/>
          <w:iCs/>
          <w:color w:val="1F1F1F"/>
          <w:lang w:val="en"/>
        </w:rPr>
        <w:t xml:space="preserve">s (ROA), </w:t>
      </w:r>
      <w:r w:rsidRPr="002D7F05">
        <w:rPr>
          <w:rStyle w:val="y2iqfc"/>
          <w:rFonts w:ascii="Arial" w:hAnsi="Arial" w:cs="Arial"/>
          <w:i/>
          <w:iCs/>
          <w:color w:val="1F1F1F"/>
          <w:lang w:val="en"/>
        </w:rPr>
        <w:t>Net Profit Margin</w:t>
      </w:r>
      <w:r w:rsidRPr="00D00970">
        <w:rPr>
          <w:rStyle w:val="y2iqfc"/>
          <w:rFonts w:ascii="Arial" w:hAnsi="Arial" w:cs="Arial"/>
          <w:i/>
          <w:iCs/>
          <w:color w:val="1F1F1F"/>
          <w:lang w:val="en"/>
        </w:rPr>
        <w:t xml:space="preserve"> (NPM), </w:t>
      </w:r>
      <w:r w:rsidRPr="002D7F05">
        <w:rPr>
          <w:rStyle w:val="y2iqfc"/>
          <w:rFonts w:ascii="Arial" w:hAnsi="Arial" w:cs="Arial"/>
          <w:i/>
          <w:iCs/>
          <w:color w:val="1F1F1F"/>
          <w:lang w:val="en"/>
        </w:rPr>
        <w:t>Earning Per Share</w:t>
      </w:r>
      <w:r w:rsidRPr="00D00970">
        <w:rPr>
          <w:rStyle w:val="y2iqfc"/>
          <w:rFonts w:ascii="Arial" w:hAnsi="Arial" w:cs="Arial"/>
          <w:i/>
          <w:iCs/>
          <w:color w:val="1F1F1F"/>
          <w:lang w:val="en"/>
        </w:rPr>
        <w:t xml:space="preserve"> (EPS), Economic Growth, Exchange Rates and Inflation affect share prices respectively by 3.98%, 1.685%, 69.46%, 0.896</w:t>
      </w:r>
      <w:proofErr w:type="gramStart"/>
      <w:r w:rsidRPr="00D00970">
        <w:rPr>
          <w:rStyle w:val="y2iqfc"/>
          <w:rFonts w:ascii="Arial" w:hAnsi="Arial" w:cs="Arial"/>
          <w:i/>
          <w:iCs/>
          <w:color w:val="1F1F1F"/>
          <w:lang w:val="en"/>
        </w:rPr>
        <w:t>% ,</w:t>
      </w:r>
      <w:proofErr w:type="gramEnd"/>
      <w:r w:rsidRPr="00D00970">
        <w:rPr>
          <w:rStyle w:val="y2iqfc"/>
          <w:rFonts w:ascii="Arial" w:hAnsi="Arial" w:cs="Arial"/>
          <w:i/>
          <w:iCs/>
          <w:color w:val="1F1F1F"/>
          <w:lang w:val="en"/>
        </w:rPr>
        <w:t xml:space="preserve"> 1.1368%, 0.44%. Together, </w:t>
      </w:r>
      <w:r w:rsidRPr="002D7F05">
        <w:rPr>
          <w:rStyle w:val="y2iqfc"/>
          <w:rFonts w:ascii="Arial" w:hAnsi="Arial" w:cs="Arial"/>
          <w:i/>
          <w:iCs/>
          <w:color w:val="1F1F1F"/>
          <w:lang w:val="en"/>
        </w:rPr>
        <w:t xml:space="preserve">Return </w:t>
      </w:r>
      <w:proofErr w:type="gramStart"/>
      <w:r w:rsidRPr="002D7F05">
        <w:rPr>
          <w:rStyle w:val="y2iqfc"/>
          <w:rFonts w:ascii="Arial" w:hAnsi="Arial" w:cs="Arial"/>
          <w:i/>
          <w:iCs/>
          <w:color w:val="1F1F1F"/>
          <w:lang w:val="en"/>
        </w:rPr>
        <w:t>On</w:t>
      </w:r>
      <w:proofErr w:type="gramEnd"/>
      <w:r w:rsidRPr="002D7F05">
        <w:rPr>
          <w:rStyle w:val="y2iqfc"/>
          <w:rFonts w:ascii="Arial" w:hAnsi="Arial" w:cs="Arial"/>
          <w:i/>
          <w:iCs/>
          <w:color w:val="1F1F1F"/>
          <w:lang w:val="en"/>
        </w:rPr>
        <w:t xml:space="preserve"> Asset</w:t>
      </w:r>
      <w:r w:rsidRPr="00D00970">
        <w:rPr>
          <w:rStyle w:val="y2iqfc"/>
          <w:rFonts w:ascii="Arial" w:hAnsi="Arial" w:cs="Arial"/>
          <w:i/>
          <w:iCs/>
          <w:color w:val="1F1F1F"/>
          <w:lang w:val="en"/>
        </w:rPr>
        <w:t xml:space="preserve">s (ROA), </w:t>
      </w:r>
      <w:r w:rsidRPr="002D7F05">
        <w:rPr>
          <w:rStyle w:val="y2iqfc"/>
          <w:rFonts w:ascii="Arial" w:hAnsi="Arial" w:cs="Arial"/>
          <w:i/>
          <w:iCs/>
          <w:color w:val="1F1F1F"/>
          <w:lang w:val="en"/>
        </w:rPr>
        <w:t>Net Profit Margin</w:t>
      </w:r>
      <w:r w:rsidRPr="00D00970">
        <w:rPr>
          <w:rStyle w:val="y2iqfc"/>
          <w:rFonts w:ascii="Arial" w:hAnsi="Arial" w:cs="Arial"/>
          <w:i/>
          <w:iCs/>
          <w:color w:val="1F1F1F"/>
          <w:lang w:val="en"/>
        </w:rPr>
        <w:t xml:space="preserve"> (NPM), </w:t>
      </w:r>
      <w:r w:rsidRPr="002D7F05">
        <w:rPr>
          <w:rStyle w:val="y2iqfc"/>
          <w:rFonts w:ascii="Arial" w:hAnsi="Arial" w:cs="Arial"/>
          <w:i/>
          <w:iCs/>
          <w:color w:val="1F1F1F"/>
          <w:lang w:val="en"/>
        </w:rPr>
        <w:t>Earning Per Share</w:t>
      </w:r>
      <w:r w:rsidRPr="00D00970">
        <w:rPr>
          <w:rStyle w:val="y2iqfc"/>
          <w:rFonts w:ascii="Arial" w:hAnsi="Arial" w:cs="Arial"/>
          <w:i/>
          <w:iCs/>
          <w:color w:val="1F1F1F"/>
          <w:lang w:val="en"/>
        </w:rPr>
        <w:t xml:space="preserve"> (EPS), Economic Growth, Exchange Rates and Inflation affect share prices by 72.59%. Of the six variables, </w:t>
      </w:r>
      <w:r w:rsidRPr="002D7F05">
        <w:rPr>
          <w:rStyle w:val="y2iqfc"/>
          <w:rFonts w:ascii="Arial" w:hAnsi="Arial" w:cs="Arial"/>
          <w:i/>
          <w:iCs/>
          <w:color w:val="1F1F1F"/>
          <w:lang w:val="en"/>
        </w:rPr>
        <w:t xml:space="preserve">Earning </w:t>
      </w:r>
      <w:proofErr w:type="gramStart"/>
      <w:r w:rsidRPr="002D7F05">
        <w:rPr>
          <w:rStyle w:val="y2iqfc"/>
          <w:rFonts w:ascii="Arial" w:hAnsi="Arial" w:cs="Arial"/>
          <w:i/>
          <w:iCs/>
          <w:color w:val="1F1F1F"/>
          <w:lang w:val="en"/>
        </w:rPr>
        <w:t>Per</w:t>
      </w:r>
      <w:proofErr w:type="gramEnd"/>
      <w:r w:rsidRPr="002D7F05">
        <w:rPr>
          <w:rStyle w:val="y2iqfc"/>
          <w:rFonts w:ascii="Arial" w:hAnsi="Arial" w:cs="Arial"/>
          <w:i/>
          <w:iCs/>
          <w:color w:val="1F1F1F"/>
          <w:lang w:val="en"/>
        </w:rPr>
        <w:t xml:space="preserve"> Share</w:t>
      </w:r>
      <w:r w:rsidRPr="00D00970">
        <w:rPr>
          <w:rStyle w:val="y2iqfc"/>
          <w:rFonts w:ascii="Arial" w:hAnsi="Arial" w:cs="Arial"/>
          <w:i/>
          <w:iCs/>
          <w:color w:val="1F1F1F"/>
          <w:lang w:val="en"/>
        </w:rPr>
        <w:t xml:space="preserve"> has a more dominant influence on share prices. This research also concluded that share prices have an effect on company value by 79.91%. The influence of share prices on company value through company size is 82.74%, meaning that company size can moderate share prices on company value.</w:t>
      </w:r>
    </w:p>
    <w:p w14:paraId="2C6682DC" w14:textId="161D58C0" w:rsidR="00FA13E8" w:rsidRDefault="00FA13E8" w:rsidP="001D72B5">
      <w:pPr>
        <w:spacing w:after="0" w:line="240" w:lineRule="auto"/>
        <w:jc w:val="both"/>
        <w:rPr>
          <w:lang w:val="en-ID"/>
        </w:rPr>
      </w:pPr>
      <w:r w:rsidRPr="00FF26DB">
        <w:rPr>
          <w:lang w:val="en-ID"/>
        </w:rPr>
        <w:t xml:space="preserve">Keywords: </w:t>
      </w:r>
      <w:r w:rsidR="001455FF" w:rsidRPr="002D7F05">
        <w:rPr>
          <w:rStyle w:val="y2iqfc"/>
          <w:rFonts w:ascii="Arial" w:hAnsi="Arial" w:cs="Arial"/>
          <w:i/>
          <w:iCs/>
          <w:color w:val="1F1F1F"/>
          <w:lang w:val="en"/>
        </w:rPr>
        <w:t>Return On Asset</w:t>
      </w:r>
      <w:r w:rsidR="001455FF" w:rsidRPr="00D00970">
        <w:rPr>
          <w:rStyle w:val="y2iqfc"/>
          <w:rFonts w:ascii="Arial" w:hAnsi="Arial" w:cs="Arial"/>
          <w:i/>
          <w:iCs/>
          <w:color w:val="1F1F1F"/>
          <w:lang w:val="en"/>
        </w:rPr>
        <w:t xml:space="preserve">s (ROA), </w:t>
      </w:r>
      <w:r w:rsidR="001455FF" w:rsidRPr="002D7F05">
        <w:rPr>
          <w:rStyle w:val="y2iqfc"/>
          <w:rFonts w:ascii="Arial" w:hAnsi="Arial" w:cs="Arial"/>
          <w:i/>
          <w:iCs/>
          <w:color w:val="1F1F1F"/>
          <w:lang w:val="en"/>
        </w:rPr>
        <w:t>Net Profit Margin</w:t>
      </w:r>
      <w:r w:rsidR="001455FF" w:rsidRPr="00D00970">
        <w:rPr>
          <w:rStyle w:val="y2iqfc"/>
          <w:rFonts w:ascii="Arial" w:hAnsi="Arial" w:cs="Arial"/>
          <w:i/>
          <w:iCs/>
          <w:color w:val="1F1F1F"/>
          <w:lang w:val="en"/>
        </w:rPr>
        <w:t xml:space="preserve"> (NPM), </w:t>
      </w:r>
      <w:r w:rsidR="001455FF" w:rsidRPr="002D7F05">
        <w:rPr>
          <w:rStyle w:val="y2iqfc"/>
          <w:rFonts w:ascii="Arial" w:hAnsi="Arial" w:cs="Arial"/>
          <w:i/>
          <w:iCs/>
          <w:color w:val="1F1F1F"/>
          <w:lang w:val="en"/>
        </w:rPr>
        <w:t>Earning Per Share</w:t>
      </w:r>
      <w:r w:rsidR="001455FF" w:rsidRPr="00D00970">
        <w:rPr>
          <w:rStyle w:val="y2iqfc"/>
          <w:rFonts w:ascii="Arial" w:hAnsi="Arial" w:cs="Arial"/>
          <w:i/>
          <w:iCs/>
          <w:color w:val="1F1F1F"/>
          <w:lang w:val="en"/>
        </w:rPr>
        <w:t xml:space="preserve"> (EPS), Economic Growth, Exchange Rates, Inflation, Share Prices, Company Value and Company Size.</w:t>
      </w:r>
    </w:p>
    <w:p w14:paraId="73B70131" w14:textId="77777777" w:rsidR="00FA13E8" w:rsidRPr="00FF26DB" w:rsidRDefault="00FA13E8" w:rsidP="001D72B5">
      <w:pPr>
        <w:spacing w:after="0" w:line="240" w:lineRule="auto"/>
        <w:jc w:val="both"/>
        <w:rPr>
          <w:lang w:val="en-ID"/>
        </w:rPr>
      </w:pPr>
    </w:p>
    <w:p w14:paraId="4EB5BBBF" w14:textId="77777777" w:rsidR="00FA13E8" w:rsidRDefault="00FA13E8" w:rsidP="001D72B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w:t>
      </w:r>
    </w:p>
    <w:p w14:paraId="50B6B6D9" w14:textId="77777777" w:rsidR="0092354B" w:rsidRPr="0092354B" w:rsidRDefault="0092354B" w:rsidP="001D72B5">
      <w:pPr>
        <w:spacing w:after="0" w:line="240" w:lineRule="auto"/>
        <w:ind w:firstLine="720"/>
        <w:jc w:val="both"/>
        <w:rPr>
          <w:lang w:val="en-ID"/>
        </w:rPr>
      </w:pPr>
      <w:r w:rsidRPr="0092354B">
        <w:rPr>
          <w:lang w:val="en-ID"/>
        </w:rPr>
        <w:t>In the current era of global integration, investment has become a crucial necessity, serving as a means to secure the future by anticipating unforeseen events through careful financial planning. People invest not only to prepare for future needs but also to mitigate uncertainties such as financial limitations, health conditions, economic downturns, and inflation (</w:t>
      </w:r>
      <w:proofErr w:type="spellStart"/>
      <w:r w:rsidRPr="0092354B">
        <w:rPr>
          <w:lang w:val="en-ID"/>
        </w:rPr>
        <w:t>Samsuar</w:t>
      </w:r>
      <w:proofErr w:type="spellEnd"/>
      <w:r w:rsidRPr="0092354B">
        <w:rPr>
          <w:lang w:val="en-ID"/>
        </w:rPr>
        <w:t xml:space="preserve"> &amp; </w:t>
      </w:r>
      <w:proofErr w:type="spellStart"/>
      <w:r w:rsidRPr="0092354B">
        <w:rPr>
          <w:lang w:val="en-ID"/>
        </w:rPr>
        <w:t>Akramunnas</w:t>
      </w:r>
      <w:proofErr w:type="spellEnd"/>
      <w:r w:rsidRPr="0092354B">
        <w:rPr>
          <w:lang w:val="en-ID"/>
        </w:rPr>
        <w:t>, 2017). Among various investment options, financial investment has gained popularity due to its accessibility and liquidity, allowing investors to withdraw funds at any time. The capital market, as a key platform for financial investment, facilitates transactions that help businesses raise long-term capital by issuing securities.</w:t>
      </w:r>
    </w:p>
    <w:p w14:paraId="0C917495" w14:textId="77777777" w:rsidR="0092354B" w:rsidRPr="0092354B" w:rsidRDefault="0092354B" w:rsidP="001D72B5">
      <w:pPr>
        <w:spacing w:after="0" w:line="240" w:lineRule="auto"/>
        <w:ind w:firstLine="720"/>
        <w:jc w:val="both"/>
        <w:rPr>
          <w:lang w:val="en-ID"/>
        </w:rPr>
      </w:pPr>
      <w:r w:rsidRPr="0092354B">
        <w:rPr>
          <w:lang w:val="en-ID"/>
        </w:rPr>
        <w:t xml:space="preserve">The capital market plays a vital role in a country’s economic growth by </w:t>
      </w:r>
      <w:proofErr w:type="spellStart"/>
      <w:r w:rsidRPr="0092354B">
        <w:rPr>
          <w:lang w:val="en-ID"/>
        </w:rPr>
        <w:t>channeling</w:t>
      </w:r>
      <w:proofErr w:type="spellEnd"/>
      <w:r w:rsidRPr="0092354B">
        <w:rPr>
          <w:lang w:val="en-ID"/>
        </w:rPr>
        <w:t xml:space="preserve"> funds from investors to businesses in need of financing. According to Indonesian Capital Market Law No. 8 of 1995, the capital market encompasses activities related to public offerings, securities trading, and entities associated with securities issuance. It serves as a financial intermediary, enabling efficient fund allocation between lenders and borrowers. Companies utilize the capital market to meet their long-term funding needs through instruments such as stocks, bonds, mutual funds, warrants, and options.</w:t>
      </w:r>
    </w:p>
    <w:p w14:paraId="43323220" w14:textId="77777777" w:rsidR="0092354B" w:rsidRDefault="0092354B" w:rsidP="001D72B5">
      <w:pPr>
        <w:spacing w:after="0" w:line="240" w:lineRule="auto"/>
        <w:ind w:firstLine="720"/>
        <w:jc w:val="both"/>
        <w:rPr>
          <w:lang w:val="en-ID"/>
        </w:rPr>
      </w:pPr>
      <w:r w:rsidRPr="0092354B">
        <w:rPr>
          <w:lang w:val="en-ID"/>
        </w:rPr>
        <w:t xml:space="preserve">Regulated by the Financial Services Authority (OJK) under Regulation No. 3/POJK.04/2021, the capital market consists of key institutions, including the Stock Exchange, Clearing and Guarantee Institution, Central Securities Depository, and Securities Trading Intermediaries. These entities ensure the smooth operation of capital market activities by providing infrastructure for securities trading, clearing, settlement, and safekeeping. As </w:t>
      </w:r>
      <w:proofErr w:type="spellStart"/>
      <w:r w:rsidRPr="0092354B">
        <w:rPr>
          <w:lang w:val="en-ID"/>
        </w:rPr>
        <w:t>Sukmawati</w:t>
      </w:r>
      <w:proofErr w:type="spellEnd"/>
      <w:r w:rsidRPr="0092354B">
        <w:rPr>
          <w:lang w:val="en-ID"/>
        </w:rPr>
        <w:t xml:space="preserve"> </w:t>
      </w:r>
      <w:proofErr w:type="spellStart"/>
      <w:r w:rsidRPr="0092354B">
        <w:rPr>
          <w:lang w:val="en-ID"/>
        </w:rPr>
        <w:t>Sukamulja</w:t>
      </w:r>
      <w:proofErr w:type="spellEnd"/>
      <w:r w:rsidRPr="0092354B">
        <w:rPr>
          <w:lang w:val="en-ID"/>
        </w:rPr>
        <w:t xml:space="preserve"> (2021) states, the capital market acts as a meeting point between investors with surplus funds and corporations or institutions in need of </w:t>
      </w:r>
      <w:r w:rsidRPr="0092354B">
        <w:rPr>
          <w:lang w:val="en-ID"/>
        </w:rPr>
        <w:lastRenderedPageBreak/>
        <w:t>financing. In essence, it serves as a critical financial ecosystem that fosters investment, economic growth, and business development.</w:t>
      </w:r>
    </w:p>
    <w:p w14:paraId="3A44B9C7" w14:textId="77777777" w:rsidR="00224CFB" w:rsidRPr="00224CFB" w:rsidRDefault="00224CFB" w:rsidP="001D72B5">
      <w:pPr>
        <w:spacing w:after="0" w:line="240" w:lineRule="auto"/>
        <w:ind w:firstLine="720"/>
        <w:jc w:val="both"/>
        <w:rPr>
          <w:lang w:val="en-ID"/>
        </w:rPr>
      </w:pPr>
      <w:r w:rsidRPr="00224CFB">
        <w:rPr>
          <w:lang w:val="en-ID"/>
        </w:rPr>
        <w:t xml:space="preserve">Data from KSEI indicates a consistent increase in the number of capital market investors over the years. </w:t>
      </w:r>
      <w:proofErr w:type="gramStart"/>
      <w:r w:rsidRPr="00224CFB">
        <w:rPr>
          <w:lang w:val="en-ID"/>
        </w:rPr>
        <w:t>Between 2020 and 2021, investor growth surged by 92.99%, followed by a 33.53% increase from 2021 to 2022.</w:t>
      </w:r>
      <w:proofErr w:type="gramEnd"/>
      <w:r w:rsidRPr="00224CFB">
        <w:rPr>
          <w:lang w:val="en-ID"/>
        </w:rPr>
        <w:t xml:space="preserve"> Although the rate of increase slowed in 2022, the number of investors continued to rise, reaching 12 million in 2024. This trend highlights the growing public interest in investment, which plays a crucial role in driving economic growth. However, despite the rising number of investors, capital market literacy in Indonesia has declined.</w:t>
      </w:r>
    </w:p>
    <w:p w14:paraId="7997D092" w14:textId="77777777" w:rsidR="00224CFB" w:rsidRPr="00224CFB" w:rsidRDefault="00224CFB" w:rsidP="001D72B5">
      <w:pPr>
        <w:spacing w:after="0" w:line="240" w:lineRule="auto"/>
        <w:ind w:firstLine="720"/>
        <w:jc w:val="both"/>
        <w:rPr>
          <w:lang w:val="en-ID"/>
        </w:rPr>
      </w:pPr>
      <w:r w:rsidRPr="00224CFB">
        <w:rPr>
          <w:lang w:val="en-ID"/>
        </w:rPr>
        <w:t>While the Indonesia Stock Exchange (BEI) initially set a target of 14 million investors in 2023, the actual figure by July 2023 stood at 11.4 million. Meanwhile, capital market literacy decreased from 4.92% to 4.11%, even as financial inclusion rose from 1.55% to 5.19%. According to BEI Research Division Head Verdi (2023), this trend suggests that although more people are investing, their understanding of the capital market remains limited (</w:t>
      </w:r>
      <w:hyperlink r:id="rId6" w:tgtFrame="_new" w:history="1">
        <w:r w:rsidRPr="00224CFB">
          <w:rPr>
            <w:rStyle w:val="Hyperlink"/>
            <w:i/>
            <w:iCs/>
            <w:lang w:val="en-ID"/>
          </w:rPr>
          <w:t>www.cnbcindonesia.com</w:t>
        </w:r>
      </w:hyperlink>
      <w:r w:rsidRPr="00224CFB">
        <w:rPr>
          <w:lang w:val="en-ID"/>
        </w:rPr>
        <w:t>). This knowledge gap poses a challenge, as informed investment decisions are crucial for market stability and investor protection.</w:t>
      </w:r>
    </w:p>
    <w:p w14:paraId="5029639B" w14:textId="77777777" w:rsidR="00224CFB" w:rsidRPr="00224CFB" w:rsidRDefault="00224CFB" w:rsidP="001D72B5">
      <w:pPr>
        <w:spacing w:after="0" w:line="240" w:lineRule="auto"/>
        <w:ind w:firstLine="720"/>
        <w:jc w:val="both"/>
        <w:rPr>
          <w:lang w:val="en-ID"/>
        </w:rPr>
      </w:pPr>
      <w:r w:rsidRPr="00224CFB">
        <w:rPr>
          <w:lang w:val="en-ID"/>
        </w:rPr>
        <w:t xml:space="preserve">For publicly traded companies, corporate value is primarily reflected in stock prices, which serve as an indicator of shareholder wealth. In the short term, companies focus on maximizing profits by utilizing their resources efficiently, while in the long term, they aim to enhance shareholder prosperity by increasing firm value. A high corporate value signals financial stability, attracting investors and lenders alike. As </w:t>
      </w:r>
      <w:proofErr w:type="spellStart"/>
      <w:r w:rsidRPr="00224CFB">
        <w:rPr>
          <w:lang w:val="en-ID"/>
        </w:rPr>
        <w:t>Dedi</w:t>
      </w:r>
      <w:proofErr w:type="spellEnd"/>
      <w:r w:rsidRPr="00224CFB">
        <w:rPr>
          <w:lang w:val="en-ID"/>
        </w:rPr>
        <w:t xml:space="preserve"> </w:t>
      </w:r>
      <w:proofErr w:type="spellStart"/>
      <w:r w:rsidRPr="00224CFB">
        <w:rPr>
          <w:lang w:val="en-ID"/>
        </w:rPr>
        <w:t>Rosidi</w:t>
      </w:r>
      <w:proofErr w:type="spellEnd"/>
      <w:r w:rsidRPr="00224CFB">
        <w:rPr>
          <w:lang w:val="en-ID"/>
        </w:rPr>
        <w:t xml:space="preserve"> (2018) explains, investors perceive rising stock prices as a sign of strong company performance, encouraging further investment, while creditors view it as an assurance of the company’s ability to repay debts, reducing financial risk.</w:t>
      </w:r>
    </w:p>
    <w:p w14:paraId="1AD4311D" w14:textId="77777777" w:rsidR="00224CFB" w:rsidRPr="00224CFB" w:rsidRDefault="00224CFB" w:rsidP="001D72B5">
      <w:pPr>
        <w:spacing w:after="0" w:line="240" w:lineRule="auto"/>
        <w:ind w:firstLine="720"/>
        <w:jc w:val="both"/>
        <w:rPr>
          <w:lang w:val="en-ID"/>
        </w:rPr>
      </w:pPr>
      <w:r w:rsidRPr="00224CFB">
        <w:rPr>
          <w:lang w:val="en-ID"/>
        </w:rPr>
        <w:t>The Stock Price Index serves as a summary of the simultaneous and complex influences of various factors, particularly those related to a country's economic conditions. Investors need to understand the information embedded in the Stock Price Index to make informed investment decisions in the capital market. The Indonesia Stock Exchange currently has 11 types of stock indices, with the LQ45 Index being a key focus in this study. The LQ45 Index measures the performance of 45 highly liquid stocks with large market capitalizations, supported by strong company fundamentals (</w:t>
      </w:r>
      <w:proofErr w:type="spellStart"/>
      <w:r w:rsidRPr="00224CFB">
        <w:rPr>
          <w:lang w:val="en-ID"/>
        </w:rPr>
        <w:t>Sukmawati</w:t>
      </w:r>
      <w:proofErr w:type="spellEnd"/>
      <w:r w:rsidRPr="00224CFB">
        <w:rPr>
          <w:lang w:val="en-ID"/>
        </w:rPr>
        <w:t xml:space="preserve"> </w:t>
      </w:r>
      <w:proofErr w:type="spellStart"/>
      <w:r w:rsidRPr="00224CFB">
        <w:rPr>
          <w:lang w:val="en-ID"/>
        </w:rPr>
        <w:t>Sukamulja</w:t>
      </w:r>
      <w:proofErr w:type="spellEnd"/>
      <w:r w:rsidRPr="00224CFB">
        <w:rPr>
          <w:lang w:val="en-ID"/>
        </w:rPr>
        <w:t>, 2021:244).</w:t>
      </w:r>
    </w:p>
    <w:p w14:paraId="596CD749" w14:textId="77777777" w:rsidR="00224CFB" w:rsidRPr="00224CFB" w:rsidRDefault="00224CFB" w:rsidP="001D72B5">
      <w:pPr>
        <w:spacing w:after="0" w:line="240" w:lineRule="auto"/>
        <w:ind w:firstLine="720"/>
        <w:jc w:val="both"/>
        <w:rPr>
          <w:lang w:val="en-ID"/>
        </w:rPr>
      </w:pPr>
      <w:r w:rsidRPr="00224CFB">
        <w:rPr>
          <w:lang w:val="en-ID"/>
        </w:rPr>
        <w:t>A company’s value is often reflected in its stock price. Tobin’s Q is a market ratio used to compare a company’s market value, as reflected in the financial market, with its book value or asset replacement cost (</w:t>
      </w:r>
      <w:proofErr w:type="spellStart"/>
      <w:r w:rsidRPr="00224CFB">
        <w:rPr>
          <w:lang w:val="en-ID"/>
        </w:rPr>
        <w:t>Sianturi</w:t>
      </w:r>
      <w:proofErr w:type="spellEnd"/>
      <w:r w:rsidRPr="00224CFB">
        <w:rPr>
          <w:lang w:val="en-ID"/>
        </w:rPr>
        <w:t>, 2015). A higher Tobin’s Q indicates that investors perceive the company as having greater value compared to the capital it has invested. Maximizing corporate value is essential, as it directly aligns with enhancing shareholder wealth, which is the primary objective of a business.</w:t>
      </w:r>
    </w:p>
    <w:p w14:paraId="3F8BFCBD" w14:textId="77777777" w:rsidR="00224CFB" w:rsidRPr="00224CFB" w:rsidRDefault="00224CFB" w:rsidP="001D72B5">
      <w:pPr>
        <w:spacing w:after="0" w:line="240" w:lineRule="auto"/>
        <w:ind w:firstLine="720"/>
        <w:jc w:val="both"/>
        <w:rPr>
          <w:lang w:val="en-ID"/>
        </w:rPr>
      </w:pPr>
      <w:r w:rsidRPr="00224CFB">
        <w:rPr>
          <w:lang w:val="en-ID"/>
        </w:rPr>
        <w:t>Despite fluctuations in corporate performance each year, companies continuously strive to improve their value. While challenges may arise, firms consistently work towards enhancing their market position, demonstrating their ability to sustain and increase corporate value over time. This commitment to value creation strengthens investor confidence and supports long-term business growth.</w:t>
      </w:r>
    </w:p>
    <w:p w14:paraId="3399F2D3" w14:textId="1EF3234C" w:rsidR="0092354B" w:rsidRDefault="00224CFB" w:rsidP="001D72B5">
      <w:pPr>
        <w:spacing w:after="0" w:line="240" w:lineRule="auto"/>
        <w:ind w:firstLine="720"/>
        <w:jc w:val="center"/>
        <w:rPr>
          <w:lang w:val="en-ID"/>
        </w:rPr>
      </w:pPr>
      <w:r>
        <w:rPr>
          <w:noProof/>
          <w:lang w:eastAsia="id-ID"/>
        </w:rPr>
        <w:drawing>
          <wp:inline distT="0" distB="0" distL="0" distR="0" wp14:anchorId="2CA70172" wp14:editId="2B15F08C">
            <wp:extent cx="3384645" cy="2034537"/>
            <wp:effectExtent l="0" t="0" r="6350" b="4445"/>
            <wp:docPr id="116839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465" cy="2038636"/>
                    </a:xfrm>
                    <a:prstGeom prst="rect">
                      <a:avLst/>
                    </a:prstGeom>
                    <a:noFill/>
                  </pic:spPr>
                </pic:pic>
              </a:graphicData>
            </a:graphic>
          </wp:inline>
        </w:drawing>
      </w:r>
    </w:p>
    <w:p w14:paraId="11A98055" w14:textId="517321EF" w:rsidR="00224CFB" w:rsidRDefault="00224CFB" w:rsidP="001D72B5">
      <w:pPr>
        <w:spacing w:after="0" w:line="240" w:lineRule="auto"/>
        <w:ind w:firstLine="720"/>
        <w:jc w:val="center"/>
        <w:rPr>
          <w:lang w:val="en-ID"/>
        </w:rPr>
      </w:pPr>
      <w:proofErr w:type="gramStart"/>
      <w:r>
        <w:rPr>
          <w:lang w:val="en-ID"/>
        </w:rPr>
        <w:lastRenderedPageBreak/>
        <w:t>Figure 1.</w:t>
      </w:r>
      <w:proofErr w:type="gramEnd"/>
      <w:r>
        <w:rPr>
          <w:lang w:val="en-ID"/>
        </w:rPr>
        <w:t xml:space="preserve"> </w:t>
      </w:r>
      <w:r w:rsidRPr="00224CFB">
        <w:rPr>
          <w:lang w:val="en-ID"/>
        </w:rPr>
        <w:t>Company Value Data</w:t>
      </w:r>
    </w:p>
    <w:p w14:paraId="49EE329B" w14:textId="77777777" w:rsidR="00224CFB" w:rsidRDefault="00224CFB" w:rsidP="001D72B5">
      <w:pPr>
        <w:spacing w:after="0" w:line="240" w:lineRule="auto"/>
        <w:ind w:firstLine="720"/>
        <w:jc w:val="both"/>
        <w:rPr>
          <w:lang w:val="en-ID"/>
        </w:rPr>
      </w:pPr>
    </w:p>
    <w:p w14:paraId="490654C1" w14:textId="6646D25B" w:rsidR="00224CFB" w:rsidRPr="00224CFB" w:rsidRDefault="00224CFB" w:rsidP="001D72B5">
      <w:pPr>
        <w:spacing w:after="0" w:line="240" w:lineRule="auto"/>
        <w:ind w:firstLine="720"/>
        <w:jc w:val="both"/>
        <w:rPr>
          <w:lang w:val="en-ID"/>
        </w:rPr>
      </w:pPr>
      <w:r w:rsidRPr="00224CFB">
        <w:rPr>
          <w:lang w:val="en-ID"/>
        </w:rPr>
        <w:t xml:space="preserve">Data from </w:t>
      </w:r>
      <w:r>
        <w:rPr>
          <w:lang w:val="en-ID"/>
        </w:rPr>
        <w:t>Figure 1</w:t>
      </w:r>
      <w:r w:rsidRPr="00224CFB">
        <w:rPr>
          <w:lang w:val="en-ID"/>
        </w:rPr>
        <w:t xml:space="preserve"> indicates that the corporate value of companies listed in the LQ45 Index has experienced fluctuations, as measured by Tobin’s Q. This ratio defines corporate value based on both tangible and intangible assets and serves as an indicator of a company's efficiency in utilizing its resources. A higher Tobin’s Q signifies greater market confidence and potential long-term success, as it reflects increased investor prosperity. Tobin’s Q is calculated by summing the market value of equity (outstanding shares multiplied by the closing price) and total debt, then dividing by total assets. Research by </w:t>
      </w:r>
      <w:proofErr w:type="spellStart"/>
      <w:r w:rsidRPr="00224CFB">
        <w:rPr>
          <w:lang w:val="en-ID"/>
        </w:rPr>
        <w:t>Harefan</w:t>
      </w:r>
      <w:proofErr w:type="spellEnd"/>
      <w:r w:rsidRPr="00224CFB">
        <w:rPr>
          <w:lang w:val="en-ID"/>
        </w:rPr>
        <w:t xml:space="preserve"> </w:t>
      </w:r>
      <w:proofErr w:type="spellStart"/>
      <w:r w:rsidRPr="00224CFB">
        <w:rPr>
          <w:lang w:val="en-ID"/>
        </w:rPr>
        <w:t>Arief</w:t>
      </w:r>
      <w:proofErr w:type="spellEnd"/>
      <w:r w:rsidRPr="00224CFB">
        <w:rPr>
          <w:lang w:val="en-ID"/>
        </w:rPr>
        <w:t xml:space="preserve"> (2020) suggests that Tobin’s Q significantly influences stock prices.</w:t>
      </w:r>
    </w:p>
    <w:p w14:paraId="12EE48C2" w14:textId="77777777" w:rsidR="00224CFB" w:rsidRPr="00224CFB" w:rsidRDefault="00224CFB" w:rsidP="001D72B5">
      <w:pPr>
        <w:spacing w:after="0" w:line="240" w:lineRule="auto"/>
        <w:ind w:firstLine="720"/>
        <w:jc w:val="both"/>
        <w:rPr>
          <w:lang w:val="en-ID"/>
        </w:rPr>
      </w:pPr>
      <w:r w:rsidRPr="00224CFB">
        <w:rPr>
          <w:lang w:val="en-ID"/>
        </w:rPr>
        <w:t xml:space="preserve">Corporate value is closely linked to stock prices, which are influenced by supply and demand dynamics in the capital market. Share prices fluctuate based on market participants' perceptions, where higher demand drives prices up, while excess supply causes them to decline (Deni </w:t>
      </w:r>
      <w:proofErr w:type="spellStart"/>
      <w:r w:rsidRPr="00224CFB">
        <w:rPr>
          <w:lang w:val="en-ID"/>
        </w:rPr>
        <w:t>Kurnia</w:t>
      </w:r>
      <w:proofErr w:type="spellEnd"/>
      <w:r w:rsidRPr="00224CFB">
        <w:rPr>
          <w:lang w:val="en-ID"/>
        </w:rPr>
        <w:t>, 2019). Companies aiming to maximize corporate value must focus on optimizing shareholder wealth, as the stock price reflects investor confidence and overall company performance.</w:t>
      </w:r>
    </w:p>
    <w:p w14:paraId="5A69E961" w14:textId="77777777" w:rsidR="00224CFB" w:rsidRDefault="00224CFB" w:rsidP="001D72B5">
      <w:pPr>
        <w:spacing w:after="0" w:line="240" w:lineRule="auto"/>
        <w:ind w:firstLine="720"/>
        <w:jc w:val="both"/>
        <w:rPr>
          <w:lang w:val="en-ID"/>
        </w:rPr>
      </w:pPr>
      <w:r w:rsidRPr="00224CFB">
        <w:rPr>
          <w:lang w:val="en-ID"/>
        </w:rPr>
        <w:t>Beyond market mechanisms, stock prices are also influenced by a company’s financial performance. In capital markets, strong corporate performance is typically rewarded with rising stock prices, as investors anticipate higher returns. When a company demonstrates consistent growth, investor interest increases, leading to higher demand for its shares and, consequently, a rise in stock value. Conversely, declining company performance can reduce investor confidence, resulting in decreased stock prices.</w:t>
      </w:r>
    </w:p>
    <w:p w14:paraId="17BEF9D0" w14:textId="77777777" w:rsidR="00435686" w:rsidRPr="00435686" w:rsidRDefault="00435686" w:rsidP="001D72B5">
      <w:pPr>
        <w:spacing w:after="0" w:line="240" w:lineRule="auto"/>
        <w:ind w:firstLine="720"/>
        <w:jc w:val="both"/>
        <w:rPr>
          <w:lang w:val="en-ID"/>
        </w:rPr>
      </w:pPr>
      <w:r w:rsidRPr="00435686">
        <w:rPr>
          <w:lang w:val="en-ID"/>
        </w:rPr>
        <w:t>Field observations indicate that stock prices of companies listed in the LQ45 Index fluctuate due to both internal and external factors. Investors closely monitor these price movements, as stock prices are a key indicator of corporate value (</w:t>
      </w:r>
      <w:proofErr w:type="spellStart"/>
      <w:r w:rsidRPr="00435686">
        <w:rPr>
          <w:lang w:val="en-ID"/>
        </w:rPr>
        <w:t>Hanifah</w:t>
      </w:r>
      <w:proofErr w:type="spellEnd"/>
      <w:r w:rsidRPr="00435686">
        <w:rPr>
          <w:lang w:val="en-ID"/>
        </w:rPr>
        <w:t xml:space="preserve"> &amp; </w:t>
      </w:r>
      <w:proofErr w:type="spellStart"/>
      <w:r w:rsidRPr="00435686">
        <w:rPr>
          <w:lang w:val="en-ID"/>
        </w:rPr>
        <w:t>Khafid</w:t>
      </w:r>
      <w:proofErr w:type="spellEnd"/>
      <w:r w:rsidRPr="00435686">
        <w:rPr>
          <w:lang w:val="en-ID"/>
        </w:rPr>
        <w:t xml:space="preserve">, 2016). Research by </w:t>
      </w:r>
      <w:proofErr w:type="spellStart"/>
      <w:r w:rsidRPr="00435686">
        <w:rPr>
          <w:lang w:val="en-ID"/>
        </w:rPr>
        <w:t>Mangeta</w:t>
      </w:r>
      <w:proofErr w:type="spellEnd"/>
      <w:r w:rsidRPr="00435686">
        <w:rPr>
          <w:lang w:val="en-ID"/>
        </w:rPr>
        <w:t xml:space="preserve"> et al. (2019) confirms that higher stock prices enhance a company’s perceived value among investors, while lower stock prices may indicate financial instability. Similarly, findings by Susi </w:t>
      </w:r>
      <w:proofErr w:type="spellStart"/>
      <w:r w:rsidRPr="00435686">
        <w:rPr>
          <w:lang w:val="en-ID"/>
        </w:rPr>
        <w:t>Rosmawati</w:t>
      </w:r>
      <w:proofErr w:type="spellEnd"/>
      <w:r w:rsidRPr="00435686">
        <w:rPr>
          <w:lang w:val="en-ID"/>
        </w:rPr>
        <w:t xml:space="preserve"> &amp; Fatwa </w:t>
      </w:r>
      <w:proofErr w:type="spellStart"/>
      <w:r w:rsidRPr="00435686">
        <w:rPr>
          <w:lang w:val="en-ID"/>
        </w:rPr>
        <w:t>Rubiar</w:t>
      </w:r>
      <w:proofErr w:type="spellEnd"/>
      <w:r w:rsidRPr="00435686">
        <w:rPr>
          <w:lang w:val="en-ID"/>
        </w:rPr>
        <w:t xml:space="preserve"> (2023) highlight a significant positive relationship between stock prices and corporate value, reinforcing the importance of maintaining a strong market position.</w:t>
      </w:r>
    </w:p>
    <w:p w14:paraId="69D2D34A" w14:textId="350F4C80" w:rsidR="00435686" w:rsidRPr="00435686" w:rsidRDefault="00435686" w:rsidP="001D72B5">
      <w:pPr>
        <w:spacing w:after="0" w:line="240" w:lineRule="auto"/>
        <w:ind w:firstLine="720"/>
        <w:jc w:val="both"/>
        <w:rPr>
          <w:lang w:val="en-ID"/>
        </w:rPr>
      </w:pPr>
      <w:r w:rsidRPr="00435686">
        <w:rPr>
          <w:lang w:val="en-ID"/>
        </w:rPr>
        <w:t xml:space="preserve">Company size also plays a crucial role in influencing corporate value. </w:t>
      </w:r>
      <w:proofErr w:type="spellStart"/>
      <w:r w:rsidRPr="00435686">
        <w:rPr>
          <w:lang w:val="en-ID"/>
        </w:rPr>
        <w:t>Jogiyanto</w:t>
      </w:r>
      <w:proofErr w:type="spellEnd"/>
      <w:r w:rsidRPr="00435686">
        <w:rPr>
          <w:lang w:val="en-ID"/>
        </w:rPr>
        <w:t xml:space="preserve"> (2013:282) defines company size as a scale that classifies businesses based on various financial metrics such as total assets, market capitalization, and log size. Larger companies have greater access to both internal and external funding sources, enabling them to sustain operations and expand their market presence. Consequently, firms with substantial resources are more resilient to economic fluctuations and better positioned to generate long-term value.</w:t>
      </w:r>
      <w:r>
        <w:rPr>
          <w:lang w:val="en-ID"/>
        </w:rPr>
        <w:t xml:space="preserve"> </w:t>
      </w:r>
      <w:r w:rsidRPr="00435686">
        <w:rPr>
          <w:lang w:val="en-ID"/>
        </w:rPr>
        <w:t>Furthermore, company size directly impacts investor confidence. Well-established corporations with significant total assets tend to attract more investors, as they are perceived as stable and capable of sustaining growth. Larger firms also benefit from greater market visibility, making it easier for investors to access relevant financial information. This transparency enhances trust, ultimately contributing to higher corporate value and increased investment potential.</w:t>
      </w:r>
    </w:p>
    <w:p w14:paraId="086B1A17" w14:textId="77777777" w:rsidR="00224CFB" w:rsidRPr="0092354B" w:rsidRDefault="00224CFB" w:rsidP="001D72B5">
      <w:pPr>
        <w:spacing w:after="0" w:line="240" w:lineRule="auto"/>
        <w:ind w:firstLine="720"/>
        <w:jc w:val="both"/>
        <w:rPr>
          <w:lang w:val="en-ID"/>
        </w:rPr>
      </w:pPr>
    </w:p>
    <w:p w14:paraId="094D1A9F" w14:textId="201F41FC" w:rsidR="0092354B" w:rsidRDefault="00435686" w:rsidP="001D72B5">
      <w:pPr>
        <w:spacing w:after="0"/>
        <w:jc w:val="center"/>
      </w:pPr>
      <w:r>
        <w:rPr>
          <w:noProof/>
          <w:lang w:eastAsia="id-ID"/>
        </w:rPr>
        <w:drawing>
          <wp:inline distT="0" distB="0" distL="0" distR="0" wp14:anchorId="518C8640" wp14:editId="16BFB1A6">
            <wp:extent cx="3246719" cy="1951629"/>
            <wp:effectExtent l="0" t="0" r="0" b="0"/>
            <wp:docPr id="1668478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4599" cy="1956366"/>
                    </a:xfrm>
                    <a:prstGeom prst="rect">
                      <a:avLst/>
                    </a:prstGeom>
                    <a:noFill/>
                  </pic:spPr>
                </pic:pic>
              </a:graphicData>
            </a:graphic>
          </wp:inline>
        </w:drawing>
      </w:r>
    </w:p>
    <w:p w14:paraId="65E43E94" w14:textId="4F025D2C" w:rsidR="00435686" w:rsidRDefault="00435686" w:rsidP="001D72B5">
      <w:pPr>
        <w:spacing w:after="0" w:line="240" w:lineRule="auto"/>
        <w:ind w:firstLine="720"/>
        <w:jc w:val="center"/>
        <w:rPr>
          <w:lang w:val="en-ID"/>
        </w:rPr>
      </w:pPr>
      <w:proofErr w:type="gramStart"/>
      <w:r>
        <w:rPr>
          <w:lang w:val="en-ID"/>
        </w:rPr>
        <w:t>Figure 2.</w:t>
      </w:r>
      <w:proofErr w:type="gramEnd"/>
      <w:r>
        <w:rPr>
          <w:lang w:val="en-ID"/>
        </w:rPr>
        <w:t xml:space="preserve"> </w:t>
      </w:r>
      <w:r w:rsidRPr="00435686">
        <w:rPr>
          <w:lang w:val="en-ID"/>
        </w:rPr>
        <w:t>Company Size Data</w:t>
      </w:r>
    </w:p>
    <w:p w14:paraId="7EE032A8" w14:textId="77777777" w:rsidR="00435686" w:rsidRDefault="00435686" w:rsidP="001D72B5">
      <w:pPr>
        <w:spacing w:after="0"/>
        <w:jc w:val="center"/>
      </w:pPr>
    </w:p>
    <w:p w14:paraId="5E35684A" w14:textId="77777777" w:rsidR="00435686" w:rsidRPr="00435686" w:rsidRDefault="00435686" w:rsidP="001D72B5">
      <w:pPr>
        <w:spacing w:after="0"/>
        <w:ind w:firstLine="567"/>
        <w:jc w:val="both"/>
        <w:rPr>
          <w:lang w:val="en-ID"/>
        </w:rPr>
      </w:pPr>
      <w:r w:rsidRPr="00435686">
        <w:rPr>
          <w:lang w:val="en-ID"/>
        </w:rPr>
        <w:t>Over the past few years, the size of companies listed in the LQ45 Index has fluctuated. Company size is a classification metric that can be determined using various indicators, including total assets, log size, and market capitalization. Additionally, it can be measured through total sales, average asset turnover, and the company’s total assets over time. Larger companies tend to gain greater public recognition, making it easier for investors to access relevant information, thereby enhancing corporate value. Firms with substantial total assets often attract more investors due to their perceived stability and growth potential.</w:t>
      </w:r>
    </w:p>
    <w:p w14:paraId="41EECB3B" w14:textId="77777777" w:rsidR="00435686" w:rsidRPr="00435686" w:rsidRDefault="00435686" w:rsidP="001D72B5">
      <w:pPr>
        <w:spacing w:after="0"/>
        <w:ind w:firstLine="567"/>
        <w:jc w:val="both"/>
        <w:rPr>
          <w:lang w:val="en-ID"/>
        </w:rPr>
      </w:pPr>
      <w:r w:rsidRPr="00435686">
        <w:rPr>
          <w:lang w:val="en-ID"/>
        </w:rPr>
        <w:t>Company size also reflects a firm’s financial management capabilities. Larger corporations typically have greater experience in managing funding structures and require significant capital to sustain operational activities (</w:t>
      </w:r>
      <w:proofErr w:type="spellStart"/>
      <w:r w:rsidRPr="00435686">
        <w:rPr>
          <w:lang w:val="en-ID"/>
        </w:rPr>
        <w:t>Gitman</w:t>
      </w:r>
      <w:proofErr w:type="spellEnd"/>
      <w:r w:rsidRPr="00435686">
        <w:rPr>
          <w:lang w:val="en-ID"/>
        </w:rPr>
        <w:t>, 2016:16). These firms are better positioned to secure financing, both internally and externally, to support business expansion and maintain market competitiveness. Investors often view large companies as more reliable and financially stable, increasing their willingness to invest in such firms.</w:t>
      </w:r>
    </w:p>
    <w:p w14:paraId="00F762F1" w14:textId="77777777" w:rsidR="00435686" w:rsidRDefault="00435686" w:rsidP="001D72B5">
      <w:pPr>
        <w:spacing w:after="0"/>
        <w:ind w:firstLine="567"/>
        <w:jc w:val="both"/>
        <w:rPr>
          <w:lang w:val="en-ID"/>
        </w:rPr>
      </w:pPr>
      <w:r w:rsidRPr="00435686">
        <w:rPr>
          <w:lang w:val="en-ID"/>
        </w:rPr>
        <w:t xml:space="preserve">According to </w:t>
      </w:r>
      <w:proofErr w:type="spellStart"/>
      <w:r w:rsidRPr="00435686">
        <w:rPr>
          <w:lang w:val="en-ID"/>
        </w:rPr>
        <w:t>Gitman</w:t>
      </w:r>
      <w:proofErr w:type="spellEnd"/>
      <w:r w:rsidRPr="00435686">
        <w:rPr>
          <w:lang w:val="en-ID"/>
        </w:rPr>
        <w:t xml:space="preserve"> (2016:17), company size is commonly measured using total assets, which are converted into natural logarithms (Ln) for analytical purposes. Research by </w:t>
      </w:r>
      <w:proofErr w:type="spellStart"/>
      <w:r w:rsidRPr="00435686">
        <w:rPr>
          <w:lang w:val="en-ID"/>
        </w:rPr>
        <w:t>Putu</w:t>
      </w:r>
      <w:proofErr w:type="spellEnd"/>
      <w:r w:rsidRPr="00435686">
        <w:rPr>
          <w:lang w:val="en-ID"/>
        </w:rPr>
        <w:t xml:space="preserve"> </w:t>
      </w:r>
      <w:proofErr w:type="spellStart"/>
      <w:r w:rsidRPr="00435686">
        <w:rPr>
          <w:lang w:val="en-ID"/>
        </w:rPr>
        <w:t>Mikhy</w:t>
      </w:r>
      <w:proofErr w:type="spellEnd"/>
      <w:r w:rsidRPr="00435686">
        <w:rPr>
          <w:lang w:val="en-ID"/>
        </w:rPr>
        <w:t xml:space="preserve"> </w:t>
      </w:r>
      <w:proofErr w:type="spellStart"/>
      <w:r w:rsidRPr="00435686">
        <w:rPr>
          <w:lang w:val="en-ID"/>
        </w:rPr>
        <w:t>Novari</w:t>
      </w:r>
      <w:proofErr w:type="spellEnd"/>
      <w:r w:rsidRPr="00435686">
        <w:rPr>
          <w:lang w:val="en-ID"/>
        </w:rPr>
        <w:t xml:space="preserve"> (2016) indicates that company size has a significant positive impact on corporate value. This finding suggests that as a company </w:t>
      </w:r>
      <w:proofErr w:type="gramStart"/>
      <w:r w:rsidRPr="00435686">
        <w:rPr>
          <w:lang w:val="en-ID"/>
        </w:rPr>
        <w:t>grows,</w:t>
      </w:r>
      <w:proofErr w:type="gramEnd"/>
      <w:r w:rsidRPr="00435686">
        <w:rPr>
          <w:lang w:val="en-ID"/>
        </w:rPr>
        <w:t xml:space="preserve"> its value in the eyes of investors also increases, reinforcing the importance of efficient asset management and financial transparency in maintaining market confidence.</w:t>
      </w:r>
    </w:p>
    <w:p w14:paraId="4E4EA9FB" w14:textId="77777777" w:rsidR="00435686" w:rsidRDefault="00435686" w:rsidP="001D72B5">
      <w:pPr>
        <w:spacing w:after="0"/>
        <w:ind w:firstLine="567"/>
        <w:jc w:val="both"/>
        <w:rPr>
          <w:lang w:val="en-ID"/>
        </w:rPr>
      </w:pPr>
      <w:r w:rsidRPr="00435686">
        <w:rPr>
          <w:lang w:val="en-ID"/>
        </w:rPr>
        <w:t>Inflation levels fluctuated between 2013 and 2022, with a sharp increase in 2013 and 2014, reaching 8%. Several factors contribute to rising inflation, which in turn affects stock prices. When production costs increase at a higher rate than the prices companies can charge, profitability declines. Reduced profits discourage investors from investing in affected companies, leading to a drop in stock prices. According to Indonesia’s Ministry of Finance Regulation No. 101/PMK.010/2021, inflation targets are determined based on the Consumer Price Index (CPI) and are published annually by the Central Statistics Agency. The regulation sets inflation targets as specific figures with a tolerance range (point with deviation) to manage economic stability.</w:t>
      </w:r>
    </w:p>
    <w:p w14:paraId="3668A58D" w14:textId="13BDAE6E" w:rsidR="00435686" w:rsidRDefault="00435686" w:rsidP="001D72B5">
      <w:pPr>
        <w:spacing w:after="0"/>
        <w:ind w:firstLine="567"/>
        <w:jc w:val="center"/>
        <w:rPr>
          <w:lang w:val="en-ID"/>
        </w:rPr>
      </w:pPr>
      <w:r>
        <w:rPr>
          <w:noProof/>
          <w:lang w:eastAsia="id-ID"/>
        </w:rPr>
        <w:drawing>
          <wp:inline distT="0" distB="0" distL="0" distR="0" wp14:anchorId="40D41313" wp14:editId="66A28DD8">
            <wp:extent cx="3248167" cy="1960853"/>
            <wp:effectExtent l="0" t="0" r="0" b="1905"/>
            <wp:docPr id="6740243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99" cy="1962744"/>
                    </a:xfrm>
                    <a:prstGeom prst="rect">
                      <a:avLst/>
                    </a:prstGeom>
                    <a:noFill/>
                  </pic:spPr>
                </pic:pic>
              </a:graphicData>
            </a:graphic>
          </wp:inline>
        </w:drawing>
      </w:r>
    </w:p>
    <w:p w14:paraId="7D899E9B" w14:textId="00ADA334" w:rsidR="00435686" w:rsidRPr="00435686" w:rsidRDefault="00435686" w:rsidP="001D72B5">
      <w:pPr>
        <w:spacing w:after="0"/>
        <w:ind w:firstLine="567"/>
        <w:jc w:val="center"/>
        <w:rPr>
          <w:lang w:val="en-ID"/>
        </w:rPr>
      </w:pPr>
      <w:proofErr w:type="gramStart"/>
      <w:r>
        <w:rPr>
          <w:lang w:val="en-ID"/>
        </w:rPr>
        <w:t>Figure 3.</w:t>
      </w:r>
      <w:proofErr w:type="gramEnd"/>
      <w:r>
        <w:rPr>
          <w:lang w:val="en-ID"/>
        </w:rPr>
        <w:t xml:space="preserve"> </w:t>
      </w:r>
      <w:r w:rsidRPr="00435686">
        <w:rPr>
          <w:lang w:val="en-ID"/>
        </w:rPr>
        <w:t>Inflation Chart in Indonesia Period 2012-2021</w:t>
      </w:r>
    </w:p>
    <w:p w14:paraId="3ADBD8A7" w14:textId="77777777" w:rsidR="00435686" w:rsidRDefault="00435686" w:rsidP="001D72B5">
      <w:pPr>
        <w:spacing w:after="0"/>
        <w:ind w:firstLine="567"/>
        <w:jc w:val="both"/>
        <w:rPr>
          <w:lang w:val="en-ID"/>
        </w:rPr>
      </w:pPr>
      <w:r w:rsidRPr="00435686">
        <w:rPr>
          <w:lang w:val="en-ID"/>
        </w:rPr>
        <w:t xml:space="preserve">Inflation, as a broad-based increase in the prices of goods and services, also influences stock market movements. Research by </w:t>
      </w:r>
      <w:proofErr w:type="spellStart"/>
      <w:r w:rsidRPr="00435686">
        <w:rPr>
          <w:lang w:val="en-ID"/>
        </w:rPr>
        <w:t>Yoopi</w:t>
      </w:r>
      <w:proofErr w:type="spellEnd"/>
      <w:r w:rsidRPr="00435686">
        <w:rPr>
          <w:lang w:val="en-ID"/>
        </w:rPr>
        <w:t xml:space="preserve"> (2012:121) suggests that inflation has a positive correlation with stock prices—when inflation rises, stock prices tend to increase, and when inflation declines, stock prices also decrease. This relationship is further supported by the findings of M. </w:t>
      </w:r>
      <w:proofErr w:type="spellStart"/>
      <w:r w:rsidRPr="00435686">
        <w:rPr>
          <w:lang w:val="en-ID"/>
        </w:rPr>
        <w:t>Subhan</w:t>
      </w:r>
      <w:proofErr w:type="spellEnd"/>
      <w:r w:rsidRPr="00435686">
        <w:rPr>
          <w:lang w:val="en-ID"/>
        </w:rPr>
        <w:t xml:space="preserve"> et al. (2023), which confirm that inflation significantly impacts stock prices. These studies highlight the importance of monitoring inflation trends for investors, as fluctuations in inflation can directly affect market performance and investment decisions.</w:t>
      </w:r>
    </w:p>
    <w:p w14:paraId="310AC901" w14:textId="77777777" w:rsidR="00F72524" w:rsidRDefault="00F72524" w:rsidP="001D72B5">
      <w:pPr>
        <w:spacing w:after="0"/>
        <w:ind w:firstLine="567"/>
        <w:jc w:val="both"/>
        <w:rPr>
          <w:lang w:val="en-ID"/>
        </w:rPr>
      </w:pPr>
      <w:r w:rsidRPr="00F72524">
        <w:rPr>
          <w:lang w:val="en-ID"/>
        </w:rPr>
        <w:lastRenderedPageBreak/>
        <w:t>The exchange rate of the Rupiah against the US Dollar has experienced fluctuations over the past decade, generally showing an upward trend. Bank Indonesia actively monitors foreign exchange transactions through the Foreign Exchange Transaction Monitoring System (SISMONTAVAR), as regulated in Bank Indonesia Regulation No. 23/5/PBI/2012. This system enables real-time supervision of currency transactions between domestic and international banks, as well as between banks and non-bank entities. The exchange rate is determined by the supply and demand dynamics in the foreign exchange market, making it a critical factor for capital market participants, particularly in Indonesia. Given its influence on transaction costs, exchange rate fluctuations can significantly impact stock market returns.</w:t>
      </w:r>
    </w:p>
    <w:p w14:paraId="4DCC8104" w14:textId="2783C501" w:rsidR="00F72524" w:rsidRDefault="00F72524" w:rsidP="001D72B5">
      <w:pPr>
        <w:spacing w:after="0"/>
        <w:ind w:firstLine="567"/>
        <w:jc w:val="center"/>
        <w:rPr>
          <w:lang w:val="en-ID"/>
        </w:rPr>
      </w:pPr>
      <w:r>
        <w:rPr>
          <w:noProof/>
          <w:lang w:eastAsia="id-ID"/>
        </w:rPr>
        <w:drawing>
          <wp:inline distT="0" distB="0" distL="0" distR="0" wp14:anchorId="59B88CF6" wp14:editId="5A16E647">
            <wp:extent cx="3732662" cy="2206659"/>
            <wp:effectExtent l="0" t="0" r="1270" b="3175"/>
            <wp:docPr id="6505778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4278" cy="2207614"/>
                    </a:xfrm>
                    <a:prstGeom prst="rect">
                      <a:avLst/>
                    </a:prstGeom>
                    <a:noFill/>
                  </pic:spPr>
                </pic:pic>
              </a:graphicData>
            </a:graphic>
          </wp:inline>
        </w:drawing>
      </w:r>
    </w:p>
    <w:p w14:paraId="2D1276E1" w14:textId="25B89351" w:rsidR="00F72524" w:rsidRPr="00F72524" w:rsidRDefault="00F72524" w:rsidP="001D72B5">
      <w:pPr>
        <w:spacing w:after="0"/>
        <w:ind w:firstLine="567"/>
        <w:jc w:val="center"/>
        <w:rPr>
          <w:lang w:val="en-ID"/>
        </w:rPr>
      </w:pPr>
      <w:proofErr w:type="gramStart"/>
      <w:r>
        <w:rPr>
          <w:lang w:val="en-ID"/>
        </w:rPr>
        <w:t>Figure 4.</w:t>
      </w:r>
      <w:proofErr w:type="gramEnd"/>
      <w:r>
        <w:rPr>
          <w:lang w:val="en-ID"/>
        </w:rPr>
        <w:t xml:space="preserve"> </w:t>
      </w:r>
      <w:r w:rsidRPr="00F72524">
        <w:rPr>
          <w:lang w:val="en-ID"/>
        </w:rPr>
        <w:t xml:space="preserve">Rupiah Exchange Rate </w:t>
      </w:r>
      <w:proofErr w:type="gramStart"/>
      <w:r w:rsidRPr="00F72524">
        <w:rPr>
          <w:lang w:val="en-ID"/>
        </w:rPr>
        <w:t>Against</w:t>
      </w:r>
      <w:proofErr w:type="gramEnd"/>
      <w:r w:rsidRPr="00F72524">
        <w:rPr>
          <w:lang w:val="en-ID"/>
        </w:rPr>
        <w:t xml:space="preserve"> USD</w:t>
      </w:r>
    </w:p>
    <w:p w14:paraId="05CDE67C" w14:textId="77777777" w:rsidR="00F72524" w:rsidRPr="00F72524" w:rsidRDefault="00F72524" w:rsidP="001D72B5">
      <w:pPr>
        <w:spacing w:after="0"/>
        <w:ind w:firstLine="567"/>
        <w:jc w:val="both"/>
        <w:rPr>
          <w:lang w:val="en-ID"/>
        </w:rPr>
      </w:pPr>
      <w:r w:rsidRPr="00F72524">
        <w:rPr>
          <w:lang w:val="en-ID"/>
        </w:rPr>
        <w:t>A depreciating Rupiah can have adverse effects on stock prices, especially for publicly listed companies with foreign debt obligations (</w:t>
      </w:r>
      <w:proofErr w:type="spellStart"/>
      <w:r w:rsidRPr="00F72524">
        <w:rPr>
          <w:lang w:val="en-ID"/>
        </w:rPr>
        <w:t>Cahya</w:t>
      </w:r>
      <w:proofErr w:type="spellEnd"/>
      <w:r w:rsidRPr="00F72524">
        <w:rPr>
          <w:lang w:val="en-ID"/>
        </w:rPr>
        <w:t xml:space="preserve"> et al., 2015). According to </w:t>
      </w:r>
      <w:proofErr w:type="spellStart"/>
      <w:r w:rsidRPr="00F72524">
        <w:rPr>
          <w:lang w:val="en-ID"/>
        </w:rPr>
        <w:t>Bodie</w:t>
      </w:r>
      <w:proofErr w:type="spellEnd"/>
      <w:r w:rsidRPr="00F72524">
        <w:rPr>
          <w:lang w:val="en-ID"/>
        </w:rPr>
        <w:t xml:space="preserve"> et al. (2007), key macroeconomic factors such as interest rates, inflation, and exchange rates directly impact stock price movements. When the Rupiah weakens, it signals potential economic instability, leading to declining stock indices (</w:t>
      </w:r>
      <w:proofErr w:type="spellStart"/>
      <w:r w:rsidRPr="00F72524">
        <w:rPr>
          <w:lang w:val="en-ID"/>
        </w:rPr>
        <w:t>Ang</w:t>
      </w:r>
      <w:proofErr w:type="spellEnd"/>
      <w:r w:rsidRPr="00F72524">
        <w:rPr>
          <w:lang w:val="en-ID"/>
        </w:rPr>
        <w:t>, 1997). Investors often interpret currency depreciation as a negative indicator, which may result in reduced market confidence and lower stock valuations.</w:t>
      </w:r>
    </w:p>
    <w:p w14:paraId="470FE296" w14:textId="77777777" w:rsidR="00F72524" w:rsidRDefault="00F72524" w:rsidP="001D72B5">
      <w:pPr>
        <w:spacing w:after="0"/>
        <w:ind w:firstLine="567"/>
        <w:jc w:val="both"/>
        <w:rPr>
          <w:lang w:val="en-ID"/>
        </w:rPr>
      </w:pPr>
      <w:r w:rsidRPr="00F72524">
        <w:rPr>
          <w:lang w:val="en-ID"/>
        </w:rPr>
        <w:t>Exchange rate movements are among the most closely watched variables by investors, as they directly affect short-term capital gains (</w:t>
      </w:r>
      <w:proofErr w:type="spellStart"/>
      <w:r w:rsidRPr="00F72524">
        <w:rPr>
          <w:lang w:val="en-ID"/>
        </w:rPr>
        <w:t>Nurhakim</w:t>
      </w:r>
      <w:proofErr w:type="spellEnd"/>
      <w:r w:rsidRPr="00F72524">
        <w:rPr>
          <w:lang w:val="en-ID"/>
        </w:rPr>
        <w:t xml:space="preserve">, 2010). Research by </w:t>
      </w:r>
      <w:proofErr w:type="spellStart"/>
      <w:r w:rsidRPr="00F72524">
        <w:rPr>
          <w:lang w:val="en-ID"/>
        </w:rPr>
        <w:t>Khaerunnida</w:t>
      </w:r>
      <w:proofErr w:type="spellEnd"/>
      <w:r w:rsidRPr="00F72524">
        <w:rPr>
          <w:lang w:val="en-ID"/>
        </w:rPr>
        <w:t xml:space="preserve"> (2017) indicates that exchange rate fluctuations have a significant negative effect on stock prices, implying that currency depreciation tends to lower stock values. However, studies by Ni </w:t>
      </w:r>
      <w:proofErr w:type="spellStart"/>
      <w:r w:rsidRPr="00F72524">
        <w:rPr>
          <w:lang w:val="en-ID"/>
        </w:rPr>
        <w:t>Putu</w:t>
      </w:r>
      <w:proofErr w:type="spellEnd"/>
      <w:r w:rsidRPr="00F72524">
        <w:rPr>
          <w:lang w:val="en-ID"/>
        </w:rPr>
        <w:t xml:space="preserve"> </w:t>
      </w:r>
      <w:proofErr w:type="spellStart"/>
      <w:r w:rsidRPr="00F72524">
        <w:rPr>
          <w:lang w:val="en-ID"/>
        </w:rPr>
        <w:t>Juniantari</w:t>
      </w:r>
      <w:proofErr w:type="spellEnd"/>
      <w:r w:rsidRPr="00F72524">
        <w:rPr>
          <w:lang w:val="en-ID"/>
        </w:rPr>
        <w:t xml:space="preserve"> (2023) and Serena </w:t>
      </w:r>
      <w:proofErr w:type="spellStart"/>
      <w:r w:rsidRPr="00F72524">
        <w:rPr>
          <w:lang w:val="en-ID"/>
        </w:rPr>
        <w:t>Sela</w:t>
      </w:r>
      <w:proofErr w:type="spellEnd"/>
      <w:r w:rsidRPr="00F72524">
        <w:rPr>
          <w:lang w:val="en-ID"/>
        </w:rPr>
        <w:t xml:space="preserve"> </w:t>
      </w:r>
      <w:proofErr w:type="spellStart"/>
      <w:r w:rsidRPr="00F72524">
        <w:rPr>
          <w:lang w:val="en-ID"/>
        </w:rPr>
        <w:t>Sebo</w:t>
      </w:r>
      <w:proofErr w:type="spellEnd"/>
      <w:r w:rsidRPr="00F72524">
        <w:rPr>
          <w:lang w:val="en-ID"/>
        </w:rPr>
        <w:t xml:space="preserve"> (2020) suggest a negative but statistically insignificant relationship. These findings underscore the importance of exchange rate stability in maintaining investor confidence and overall market performance.</w:t>
      </w:r>
    </w:p>
    <w:p w14:paraId="199F22B2" w14:textId="5BE4834E" w:rsidR="00A441D7" w:rsidRDefault="00A441D7" w:rsidP="001D72B5">
      <w:pPr>
        <w:spacing w:after="0"/>
        <w:ind w:firstLine="567"/>
        <w:jc w:val="both"/>
        <w:rPr>
          <w:lang w:val="en-ID"/>
        </w:rPr>
      </w:pPr>
      <w:proofErr w:type="gramStart"/>
      <w:r w:rsidRPr="00435686">
        <w:rPr>
          <w:lang w:val="en-ID"/>
        </w:rPr>
        <w:t>Field observations</w:t>
      </w:r>
      <w:r w:rsidRPr="00A441D7">
        <w:rPr>
          <w:lang w:val="en-ID"/>
        </w:rPr>
        <w:t xml:space="preserve"> indicates</w:t>
      </w:r>
      <w:proofErr w:type="gramEnd"/>
      <w:r w:rsidRPr="00A441D7">
        <w:rPr>
          <w:lang w:val="en-ID"/>
        </w:rPr>
        <w:t xml:space="preserve"> that economic growth has fluctuated over time, with a significant decline during the COVID-19 pandemic, which led to widespread corporate bankruptcies. The drop in consumer demand resulted in lower stock prices, highlighting the direct relationship between economic growth and investment levels. A strong economy enhances national income, allowing more individuals to allocate surplus funds for savings or investment in financial securities traded in the capital market (</w:t>
      </w:r>
      <w:proofErr w:type="spellStart"/>
      <w:r w:rsidRPr="00A441D7">
        <w:rPr>
          <w:lang w:val="en-ID"/>
        </w:rPr>
        <w:t>Masta</w:t>
      </w:r>
      <w:proofErr w:type="spellEnd"/>
      <w:r w:rsidRPr="00A441D7">
        <w:rPr>
          <w:lang w:val="en-ID"/>
        </w:rPr>
        <w:t xml:space="preserve"> </w:t>
      </w:r>
      <w:proofErr w:type="spellStart"/>
      <w:r w:rsidRPr="00A441D7">
        <w:rPr>
          <w:lang w:val="en-ID"/>
        </w:rPr>
        <w:t>Sembiring</w:t>
      </w:r>
      <w:proofErr w:type="spellEnd"/>
      <w:r w:rsidRPr="00A441D7">
        <w:rPr>
          <w:lang w:val="en-ID"/>
        </w:rPr>
        <w:t>, 2017). As economic conditions improve, increased production of goods and services drives corporate profitability, leading to higher stock prices.</w:t>
      </w:r>
    </w:p>
    <w:p w14:paraId="124A45DD" w14:textId="5F75FEB2" w:rsidR="00A441D7" w:rsidRDefault="00A441D7" w:rsidP="001D72B5">
      <w:pPr>
        <w:spacing w:after="0"/>
        <w:ind w:firstLine="567"/>
        <w:jc w:val="center"/>
        <w:rPr>
          <w:lang w:val="en-ID"/>
        </w:rPr>
      </w:pPr>
      <w:r>
        <w:rPr>
          <w:noProof/>
          <w:lang w:eastAsia="id-ID"/>
        </w:rPr>
        <w:lastRenderedPageBreak/>
        <w:drawing>
          <wp:inline distT="0" distB="0" distL="0" distR="0" wp14:anchorId="575EA819" wp14:editId="38B9117F">
            <wp:extent cx="3554083" cy="2136388"/>
            <wp:effectExtent l="0" t="0" r="8890" b="0"/>
            <wp:docPr id="8783640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7111" cy="2138208"/>
                    </a:xfrm>
                    <a:prstGeom prst="rect">
                      <a:avLst/>
                    </a:prstGeom>
                    <a:noFill/>
                  </pic:spPr>
                </pic:pic>
              </a:graphicData>
            </a:graphic>
          </wp:inline>
        </w:drawing>
      </w:r>
    </w:p>
    <w:p w14:paraId="498A84AB" w14:textId="77527B9B" w:rsidR="00A441D7" w:rsidRPr="00A441D7" w:rsidRDefault="00A441D7" w:rsidP="001D72B5">
      <w:pPr>
        <w:spacing w:after="0"/>
        <w:ind w:firstLine="567"/>
        <w:jc w:val="center"/>
        <w:rPr>
          <w:lang w:val="en-ID"/>
        </w:rPr>
      </w:pPr>
      <w:proofErr w:type="gramStart"/>
      <w:r>
        <w:rPr>
          <w:lang w:val="en-ID"/>
        </w:rPr>
        <w:t>Figure 5.</w:t>
      </w:r>
      <w:proofErr w:type="gramEnd"/>
      <w:r>
        <w:rPr>
          <w:lang w:val="en-ID"/>
        </w:rPr>
        <w:t xml:space="preserve"> </w:t>
      </w:r>
      <w:r w:rsidRPr="00A441D7">
        <w:rPr>
          <w:lang w:val="en-ID"/>
        </w:rPr>
        <w:t>Economic growth</w:t>
      </w:r>
    </w:p>
    <w:p w14:paraId="4CB69A31" w14:textId="2B0B89A5" w:rsidR="00A441D7" w:rsidRDefault="00A441D7" w:rsidP="001D72B5">
      <w:pPr>
        <w:spacing w:after="0"/>
        <w:ind w:firstLine="567"/>
        <w:jc w:val="both"/>
        <w:rPr>
          <w:lang w:val="en-ID"/>
        </w:rPr>
      </w:pPr>
      <w:r w:rsidRPr="00A441D7">
        <w:rPr>
          <w:lang w:val="en-ID"/>
        </w:rPr>
        <w:t>Economic growth and investment exhibit a positive correlation. A growing economy encourages higher levels of savings, which in turn boosts investment activity. When businesses expand and generate higher profits, investor confidence increases, leading to greater stock market participation. Higher economic growth signals better investment prospects, attracting both domestic and international investors (</w:t>
      </w:r>
      <w:proofErr w:type="spellStart"/>
      <w:r w:rsidRPr="00A441D7">
        <w:rPr>
          <w:lang w:val="en-ID"/>
        </w:rPr>
        <w:t>Safaruddin</w:t>
      </w:r>
      <w:proofErr w:type="spellEnd"/>
      <w:r w:rsidRPr="00A441D7">
        <w:rPr>
          <w:lang w:val="en-ID"/>
        </w:rPr>
        <w:t xml:space="preserve"> et al., 2019). This dynamic reinforces the importance of maintaining a stable and growing economy to support long-term investment trends.</w:t>
      </w:r>
      <w:r>
        <w:rPr>
          <w:lang w:val="en-ID"/>
        </w:rPr>
        <w:t xml:space="preserve"> </w:t>
      </w:r>
      <w:r w:rsidRPr="00A441D7">
        <w:rPr>
          <w:lang w:val="en-ID"/>
        </w:rPr>
        <w:t xml:space="preserve">Research by </w:t>
      </w:r>
      <w:proofErr w:type="spellStart"/>
      <w:r w:rsidRPr="00A441D7">
        <w:rPr>
          <w:lang w:val="en-ID"/>
        </w:rPr>
        <w:t>Safaruddin</w:t>
      </w:r>
      <w:proofErr w:type="spellEnd"/>
      <w:r w:rsidRPr="00A441D7">
        <w:rPr>
          <w:lang w:val="en-ID"/>
        </w:rPr>
        <w:t xml:space="preserve"> et al. (2019) further emphasizes that economic growth influences investor activity in the capital market. Similarly, </w:t>
      </w:r>
      <w:proofErr w:type="spellStart"/>
      <w:r w:rsidRPr="00A441D7">
        <w:rPr>
          <w:lang w:val="en-ID"/>
        </w:rPr>
        <w:t>Anggreni</w:t>
      </w:r>
      <w:proofErr w:type="spellEnd"/>
      <w:r w:rsidRPr="00A441D7">
        <w:rPr>
          <w:lang w:val="en-ID"/>
        </w:rPr>
        <w:t xml:space="preserve"> &amp; </w:t>
      </w:r>
      <w:proofErr w:type="spellStart"/>
      <w:r w:rsidRPr="00A441D7">
        <w:rPr>
          <w:lang w:val="en-ID"/>
        </w:rPr>
        <w:t>Purnamawati</w:t>
      </w:r>
      <w:proofErr w:type="spellEnd"/>
      <w:r w:rsidRPr="00A441D7">
        <w:rPr>
          <w:lang w:val="en-ID"/>
        </w:rPr>
        <w:t xml:space="preserve"> (2017) found that economic expansion positively impacts stock price performance. As economic growth strengthens, investment flows into capital markets increase, stimulating stock price appreciation. This underscores the crucial role of macroeconomic stability in fostering a </w:t>
      </w:r>
      <w:proofErr w:type="gramStart"/>
      <w:r w:rsidRPr="00A441D7">
        <w:rPr>
          <w:lang w:val="en-ID"/>
        </w:rPr>
        <w:t>conducive</w:t>
      </w:r>
      <w:proofErr w:type="gramEnd"/>
      <w:r w:rsidRPr="00A441D7">
        <w:rPr>
          <w:lang w:val="en-ID"/>
        </w:rPr>
        <w:t xml:space="preserve"> investment environment and enhancing corporate financial performance.</w:t>
      </w:r>
    </w:p>
    <w:p w14:paraId="4946E980" w14:textId="6F941841" w:rsidR="00A441D7" w:rsidRDefault="00A441D7" w:rsidP="001D72B5">
      <w:pPr>
        <w:spacing w:after="0"/>
        <w:ind w:firstLine="567"/>
        <w:jc w:val="both"/>
        <w:rPr>
          <w:lang w:val="en-ID"/>
        </w:rPr>
      </w:pPr>
      <w:r w:rsidRPr="00A441D7">
        <w:rPr>
          <w:lang w:val="en-ID"/>
        </w:rPr>
        <w:t>Field data indicates that Return on Assets (ROA) for companies listed in the LQ45 Index has fluctuated over the past decade, with a significant decline during the pandemic. ROA reflects a company's ability to generate profits from its assets after accounting for financing costs. A higher ROA indicates that the company effectively utilizes its assets to generate profits, while a lower or negative ROA suggests inefficiencies, leading to financial losses. Since ROA varies across industries, it is best evaluated over time within the same company or compared to similar firms in the industry to assess financial performance accurately.</w:t>
      </w:r>
      <w:r>
        <w:rPr>
          <w:lang w:val="en-ID"/>
        </w:rPr>
        <w:t xml:space="preserve"> </w:t>
      </w:r>
      <w:r w:rsidRPr="00A441D7">
        <w:rPr>
          <w:lang w:val="en-ID"/>
        </w:rPr>
        <w:t>ROA serves as a key metric in evaluating a company’s efficiency in utilizing its assets to generate earnings. This ratio measures the return on investment derived from a company’s total assets. A higher ROA signifies strong profitability, making the company more attractive to investors. As investor confidence grows, the demand for company shares increases, ultimately driving up stock prices (Brigham &amp; Houston, 2010).</w:t>
      </w:r>
      <w:r>
        <w:rPr>
          <w:lang w:val="en-ID"/>
        </w:rPr>
        <w:t xml:space="preserve"> </w:t>
      </w:r>
      <w:r w:rsidRPr="00A441D7">
        <w:rPr>
          <w:lang w:val="en-ID"/>
        </w:rPr>
        <w:t xml:space="preserve">Research by Ni </w:t>
      </w:r>
      <w:proofErr w:type="spellStart"/>
      <w:r w:rsidRPr="00A441D7">
        <w:rPr>
          <w:lang w:val="en-ID"/>
        </w:rPr>
        <w:t>Komang</w:t>
      </w:r>
      <w:proofErr w:type="spellEnd"/>
      <w:r w:rsidRPr="00A441D7">
        <w:rPr>
          <w:lang w:val="en-ID"/>
        </w:rPr>
        <w:t xml:space="preserve"> Santi Ani (2019) confirms that ROA has a significant impact on stock prices, reinforcing its role as a critical factor in investment decision-making. Investors consider a company's ROA to assess its financial health and future growth potential. As profitability improves, stock prices tend to rise, making companies with higher ROA more appealing in the capital market.</w:t>
      </w:r>
    </w:p>
    <w:p w14:paraId="41D2CEAF" w14:textId="4B923A6A" w:rsidR="001D72B5" w:rsidRPr="001D72B5" w:rsidRDefault="001D72B5" w:rsidP="001D72B5">
      <w:pPr>
        <w:spacing w:after="0"/>
        <w:ind w:firstLine="567"/>
        <w:jc w:val="both"/>
        <w:rPr>
          <w:lang w:val="en-ID"/>
        </w:rPr>
      </w:pPr>
      <w:r w:rsidRPr="001D72B5">
        <w:rPr>
          <w:lang w:val="en-ID"/>
        </w:rPr>
        <w:t>Field data reveals that Net Profit Margin (NPM) for companies listed in the LQ45 Index has fluctuated over the past decade, with a significant decline during the pandemic. NPM measures a company's profitability in relation to its sales revenue, representing the net income after deducting all expenses and taxes. A higher NPM indicates that a company efficiently generates profits from its sales, reflecting strong financial performance (</w:t>
      </w:r>
      <w:proofErr w:type="spellStart"/>
      <w:r w:rsidRPr="001D72B5">
        <w:rPr>
          <w:lang w:val="en-ID"/>
        </w:rPr>
        <w:t>Enduardus</w:t>
      </w:r>
      <w:proofErr w:type="spellEnd"/>
      <w:r w:rsidRPr="001D72B5">
        <w:rPr>
          <w:lang w:val="en-ID"/>
        </w:rPr>
        <w:t xml:space="preserve"> </w:t>
      </w:r>
      <w:proofErr w:type="spellStart"/>
      <w:r w:rsidRPr="001D72B5">
        <w:rPr>
          <w:lang w:val="en-ID"/>
        </w:rPr>
        <w:t>Tandelin</w:t>
      </w:r>
      <w:proofErr w:type="spellEnd"/>
      <w:r w:rsidRPr="001D72B5">
        <w:rPr>
          <w:lang w:val="en-ID"/>
        </w:rPr>
        <w:t>, 2017). A high NPM suggests a well-performing company capable of producing substantial profits, making it an attractive option for investors.</w:t>
      </w:r>
      <w:r>
        <w:rPr>
          <w:lang w:val="en-ID"/>
        </w:rPr>
        <w:t xml:space="preserve"> </w:t>
      </w:r>
      <w:r w:rsidRPr="001D72B5">
        <w:rPr>
          <w:lang w:val="en-ID"/>
        </w:rPr>
        <w:t xml:space="preserve">To maintain and enhance profitability, company owners must focus on increasing sales, as higher revenue leads to greater net profits. </w:t>
      </w:r>
      <w:proofErr w:type="gramStart"/>
      <w:r w:rsidRPr="001D72B5">
        <w:rPr>
          <w:lang w:val="en-ID"/>
        </w:rPr>
        <w:t xml:space="preserve">A rising NPM </w:t>
      </w:r>
      <w:proofErr w:type="spellStart"/>
      <w:r w:rsidRPr="001D72B5">
        <w:rPr>
          <w:lang w:val="en-ID"/>
        </w:rPr>
        <w:t>ratio</w:t>
      </w:r>
      <w:proofErr w:type="spellEnd"/>
      <w:r w:rsidRPr="001D72B5">
        <w:rPr>
          <w:lang w:val="en-ID"/>
        </w:rPr>
        <w:t xml:space="preserve"> signals that a company operates </w:t>
      </w:r>
      <w:r w:rsidRPr="001D72B5">
        <w:rPr>
          <w:lang w:val="en-ID"/>
        </w:rPr>
        <w:lastRenderedPageBreak/>
        <w:t>efficiently, generating significant net income through its sales activities.</w:t>
      </w:r>
      <w:proofErr w:type="gramEnd"/>
      <w:r w:rsidRPr="001D72B5">
        <w:rPr>
          <w:lang w:val="en-ID"/>
        </w:rPr>
        <w:t xml:space="preserve"> Investors consider NPM when making investment decisions, as companies with strong profitability are more likely to attract investor interest. Increased investor confidence leads to greater demand for company shares, subsequently driving up stock prices (</w:t>
      </w:r>
      <w:proofErr w:type="spellStart"/>
      <w:r w:rsidRPr="001D72B5">
        <w:rPr>
          <w:lang w:val="en-ID"/>
        </w:rPr>
        <w:t>Chairunisa</w:t>
      </w:r>
      <w:proofErr w:type="spellEnd"/>
      <w:r w:rsidRPr="001D72B5">
        <w:rPr>
          <w:lang w:val="en-ID"/>
        </w:rPr>
        <w:t xml:space="preserve"> </w:t>
      </w:r>
      <w:proofErr w:type="spellStart"/>
      <w:r w:rsidRPr="001D72B5">
        <w:rPr>
          <w:lang w:val="en-ID"/>
        </w:rPr>
        <w:t>Mawarni</w:t>
      </w:r>
      <w:proofErr w:type="spellEnd"/>
      <w:r w:rsidRPr="001D72B5">
        <w:rPr>
          <w:lang w:val="en-ID"/>
        </w:rPr>
        <w:t xml:space="preserve"> </w:t>
      </w:r>
      <w:proofErr w:type="spellStart"/>
      <w:r w:rsidRPr="001D72B5">
        <w:rPr>
          <w:lang w:val="en-ID"/>
        </w:rPr>
        <w:t>Putri</w:t>
      </w:r>
      <w:proofErr w:type="spellEnd"/>
      <w:r w:rsidRPr="001D72B5">
        <w:rPr>
          <w:lang w:val="en-ID"/>
        </w:rPr>
        <w:t>, 2013).</w:t>
      </w:r>
    </w:p>
    <w:p w14:paraId="4F4FD7F4" w14:textId="77777777" w:rsidR="001D72B5" w:rsidRDefault="001D72B5" w:rsidP="001D72B5">
      <w:pPr>
        <w:spacing w:after="0"/>
        <w:ind w:firstLine="567"/>
        <w:jc w:val="both"/>
        <w:rPr>
          <w:lang w:val="en-ID"/>
        </w:rPr>
      </w:pPr>
      <w:r w:rsidRPr="001D72B5">
        <w:rPr>
          <w:lang w:val="en-ID"/>
        </w:rPr>
        <w:t xml:space="preserve">Research by </w:t>
      </w:r>
      <w:proofErr w:type="spellStart"/>
      <w:r w:rsidRPr="001D72B5">
        <w:rPr>
          <w:lang w:val="en-ID"/>
        </w:rPr>
        <w:t>Eny</w:t>
      </w:r>
      <w:proofErr w:type="spellEnd"/>
      <w:r w:rsidRPr="001D72B5">
        <w:rPr>
          <w:lang w:val="en-ID"/>
        </w:rPr>
        <w:t xml:space="preserve"> </w:t>
      </w:r>
      <w:proofErr w:type="spellStart"/>
      <w:r w:rsidRPr="001D72B5">
        <w:rPr>
          <w:lang w:val="en-ID"/>
        </w:rPr>
        <w:t>Purwaningsih</w:t>
      </w:r>
      <w:proofErr w:type="spellEnd"/>
      <w:r w:rsidRPr="001D72B5">
        <w:rPr>
          <w:lang w:val="en-ID"/>
        </w:rPr>
        <w:t xml:space="preserve"> (2022) confirms that NPM has a significant positive impact on stock prices. As net profit margins improve, investor interest grows, leading to increased stock market activity. This relationship highlights the importance of maintaining strong profitability levels, as companies with higher NPM tend to experience rising stock values, reinforcing the connection between financial performance and market attractiveness.</w:t>
      </w:r>
    </w:p>
    <w:p w14:paraId="2B2ED3A5" w14:textId="77777777" w:rsidR="0037705D" w:rsidRPr="0037705D" w:rsidRDefault="0037705D" w:rsidP="0037705D">
      <w:pPr>
        <w:spacing w:after="0"/>
        <w:ind w:firstLine="567"/>
        <w:jc w:val="both"/>
        <w:rPr>
          <w:lang w:val="en-ID"/>
        </w:rPr>
      </w:pPr>
      <w:r w:rsidRPr="0037705D">
        <w:rPr>
          <w:lang w:val="en-ID"/>
        </w:rPr>
        <w:t xml:space="preserve">Field data indicates that Earnings </w:t>
      </w:r>
      <w:proofErr w:type="gramStart"/>
      <w:r w:rsidRPr="0037705D">
        <w:rPr>
          <w:lang w:val="en-ID"/>
        </w:rPr>
        <w:t>Per</w:t>
      </w:r>
      <w:proofErr w:type="gramEnd"/>
      <w:r w:rsidRPr="0037705D">
        <w:rPr>
          <w:lang w:val="en-ID"/>
        </w:rPr>
        <w:t xml:space="preserve"> Share (EPS) for companies listed in the LQ45 Index has fluctuated over the past decade, with a significant decline during the pandemic. EPS represents the net income earned per share of common stock, reflecting a company's ability to generate returns for shareholders. Typically, EPS influences stock prices, as a higher EPS signals strong financial performance, attracting investor interest (Budi </w:t>
      </w:r>
      <w:proofErr w:type="spellStart"/>
      <w:r w:rsidRPr="0037705D">
        <w:rPr>
          <w:lang w:val="en-ID"/>
        </w:rPr>
        <w:t>Rahardjo</w:t>
      </w:r>
      <w:proofErr w:type="spellEnd"/>
      <w:r w:rsidRPr="0037705D">
        <w:rPr>
          <w:lang w:val="en-ID"/>
        </w:rPr>
        <w:t>, 2009). When EPS increases, the market perceives it as a positive signal, leading to higher demand for shares and an eventual rise in stock prices.</w:t>
      </w:r>
    </w:p>
    <w:p w14:paraId="3E7A214E" w14:textId="77777777" w:rsidR="0037705D" w:rsidRPr="0037705D" w:rsidRDefault="0037705D" w:rsidP="0037705D">
      <w:pPr>
        <w:spacing w:after="0"/>
        <w:ind w:firstLine="567"/>
        <w:jc w:val="both"/>
        <w:rPr>
          <w:lang w:val="en-ID"/>
        </w:rPr>
      </w:pPr>
      <w:r w:rsidRPr="0037705D">
        <w:rPr>
          <w:lang w:val="en-ID"/>
        </w:rPr>
        <w:t>EPS serves as a key indicator of a company's ability to generate net profits per share, directly affecting stock market valuation (</w:t>
      </w:r>
      <w:proofErr w:type="spellStart"/>
      <w:r w:rsidRPr="0037705D">
        <w:rPr>
          <w:lang w:val="en-ID"/>
        </w:rPr>
        <w:t>Sugeng</w:t>
      </w:r>
      <w:proofErr w:type="spellEnd"/>
      <w:r w:rsidRPr="0037705D">
        <w:rPr>
          <w:lang w:val="en-ID"/>
        </w:rPr>
        <w:t xml:space="preserve">, 2017:260). Investors closely monitor EPS growth as it reflects a firm’s profitability and financial health. Research by </w:t>
      </w:r>
      <w:proofErr w:type="spellStart"/>
      <w:r w:rsidRPr="0037705D">
        <w:rPr>
          <w:lang w:val="en-ID"/>
        </w:rPr>
        <w:t>Puspita</w:t>
      </w:r>
      <w:proofErr w:type="spellEnd"/>
      <w:r w:rsidRPr="0037705D">
        <w:rPr>
          <w:lang w:val="en-ID"/>
        </w:rPr>
        <w:t xml:space="preserve"> Sari </w:t>
      </w:r>
      <w:proofErr w:type="spellStart"/>
      <w:r w:rsidRPr="0037705D">
        <w:rPr>
          <w:lang w:val="en-ID"/>
        </w:rPr>
        <w:t>Wijaya</w:t>
      </w:r>
      <w:proofErr w:type="spellEnd"/>
      <w:r w:rsidRPr="0037705D">
        <w:rPr>
          <w:lang w:val="en-ID"/>
        </w:rPr>
        <w:t xml:space="preserve"> (2023) confirms that EPS has a significant positive effect on stock prices, reinforcing its role in investment decision-making. Companies with higher EPS are generally more attractive to investors, as they indicate strong earnings potential and contribute to sustained stock price growth.</w:t>
      </w:r>
    </w:p>
    <w:p w14:paraId="20DA7A66" w14:textId="77777777" w:rsidR="0037705D" w:rsidRDefault="0037705D" w:rsidP="001D72B5">
      <w:pPr>
        <w:spacing w:after="0"/>
        <w:ind w:firstLine="567"/>
        <w:jc w:val="both"/>
        <w:rPr>
          <w:lang w:val="en-ID"/>
        </w:rPr>
      </w:pPr>
    </w:p>
    <w:p w14:paraId="35493F33" w14:textId="77777777" w:rsidR="00435686" w:rsidRDefault="00435686" w:rsidP="001D72B5">
      <w:pPr>
        <w:spacing w:after="0"/>
        <w:jc w:val="center"/>
      </w:pPr>
    </w:p>
    <w:p w14:paraId="29DCC770" w14:textId="77777777" w:rsidR="00FA13E8" w:rsidRDefault="00FA13E8" w:rsidP="001D72B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METHODS</w:t>
      </w:r>
    </w:p>
    <w:p w14:paraId="364C4F58" w14:textId="77777777" w:rsidR="00FA13E8" w:rsidRPr="00FA13E8" w:rsidRDefault="00FA13E8" w:rsidP="001D72B5">
      <w:pPr>
        <w:spacing w:after="0" w:line="240" w:lineRule="auto"/>
        <w:ind w:firstLine="720"/>
        <w:jc w:val="both"/>
        <w:rPr>
          <w:lang w:val="en-ID"/>
        </w:rPr>
      </w:pPr>
      <w:r w:rsidRPr="00FA13E8">
        <w:rPr>
          <w:lang w:val="en-ID"/>
        </w:rPr>
        <w:t xml:space="preserve">This research employs a descriptive and </w:t>
      </w:r>
      <w:proofErr w:type="spellStart"/>
      <w:r w:rsidRPr="00FA13E8">
        <w:rPr>
          <w:lang w:val="en-ID"/>
        </w:rPr>
        <w:t>verificative</w:t>
      </w:r>
      <w:proofErr w:type="spellEnd"/>
      <w:r w:rsidRPr="00FA13E8">
        <w:rPr>
          <w:lang w:val="en-ID"/>
        </w:rPr>
        <w:t xml:space="preserve"> approach to understand the factors affecting stock prices and company value. Descriptive research is used to explain the conditions of variables such as ROA, NPM, EPS, economic growth, exchange rates, and inflation. Meanwhile, </w:t>
      </w:r>
      <w:proofErr w:type="spellStart"/>
      <w:r w:rsidRPr="00FA13E8">
        <w:rPr>
          <w:lang w:val="en-ID"/>
        </w:rPr>
        <w:t>verificative</w:t>
      </w:r>
      <w:proofErr w:type="spellEnd"/>
      <w:r w:rsidRPr="00FA13E8">
        <w:rPr>
          <w:lang w:val="en-ID"/>
        </w:rPr>
        <w:t xml:space="preserve"> research, according to </w:t>
      </w:r>
      <w:proofErr w:type="spellStart"/>
      <w:r w:rsidRPr="00FA13E8">
        <w:rPr>
          <w:lang w:val="en-ID"/>
        </w:rPr>
        <w:t>Sugiyono</w:t>
      </w:r>
      <w:proofErr w:type="spellEnd"/>
      <w:r w:rsidRPr="00FA13E8">
        <w:rPr>
          <w:lang w:val="en-ID"/>
        </w:rPr>
        <w:t xml:space="preserve"> (2017), is used to test hypotheses derived from descriptive findings through statistical analysis to determine whether the hypotheses should be accepted or rejected. In this study, the </w:t>
      </w:r>
      <w:proofErr w:type="spellStart"/>
      <w:r w:rsidRPr="00FA13E8">
        <w:rPr>
          <w:lang w:val="en-ID"/>
        </w:rPr>
        <w:t>verificative</w:t>
      </w:r>
      <w:proofErr w:type="spellEnd"/>
      <w:r w:rsidRPr="00FA13E8">
        <w:rPr>
          <w:lang w:val="en-ID"/>
        </w:rPr>
        <w:t xml:space="preserve"> method is used to explore the relationships and impacts between multiple variables, including ROA, NPM, EPS, economic growth, exchange rates, inflation, and stock prices, both simultaneously and partially, as well as their influence on company value.</w:t>
      </w:r>
    </w:p>
    <w:p w14:paraId="38A494D9" w14:textId="4661A752" w:rsidR="00FA13E8" w:rsidRPr="00FA13E8" w:rsidRDefault="00FA13E8" w:rsidP="0037705D">
      <w:pPr>
        <w:spacing w:after="0" w:line="240" w:lineRule="auto"/>
        <w:ind w:firstLine="720"/>
        <w:jc w:val="both"/>
        <w:rPr>
          <w:lang w:val="en-ID"/>
        </w:rPr>
      </w:pPr>
      <w:r w:rsidRPr="00FA13E8">
        <w:rPr>
          <w:lang w:val="en-ID"/>
        </w:rPr>
        <w:t xml:space="preserve">The research spans from January 2023, starting with the proposal stage, continuing through field data collection, and concluding with the final report by the end of 2023. The process includes preparation stages such as proposal </w:t>
      </w:r>
      <w:proofErr w:type="spellStart"/>
      <w:r w:rsidRPr="00FA13E8">
        <w:rPr>
          <w:lang w:val="en-ID"/>
        </w:rPr>
        <w:t>defenses</w:t>
      </w:r>
      <w:proofErr w:type="spellEnd"/>
      <w:r w:rsidRPr="00FA13E8">
        <w:rPr>
          <w:lang w:val="en-ID"/>
        </w:rPr>
        <w:t>, field research, revisions, and final examination sessions.</w:t>
      </w:r>
      <w:r w:rsidR="0037705D">
        <w:rPr>
          <w:lang w:val="en-ID"/>
        </w:rPr>
        <w:t xml:space="preserve"> </w:t>
      </w:r>
      <w:r w:rsidRPr="00FA13E8">
        <w:rPr>
          <w:lang w:val="en-ID"/>
        </w:rPr>
        <w:t>Data for this study is sourced from official websites: the Indonesia Stock Exchange (IDX), Bank Indonesia (BI), and the Central Bureau of Statistics (BPS). The IDX provides financial reports, BI offers data on exchange rates and inflation, while BPS supplies information on economic growth.</w:t>
      </w:r>
    </w:p>
    <w:p w14:paraId="1CEF1F9A" w14:textId="77777777" w:rsidR="00FA13E8" w:rsidRPr="00FA13E8" w:rsidRDefault="00FA13E8" w:rsidP="001D72B5">
      <w:pPr>
        <w:spacing w:after="0" w:line="240" w:lineRule="auto"/>
        <w:ind w:firstLine="720"/>
        <w:jc w:val="both"/>
        <w:rPr>
          <w:lang w:val="en-ID"/>
        </w:rPr>
      </w:pPr>
      <w:r w:rsidRPr="00FA13E8">
        <w:rPr>
          <w:lang w:val="en-ID"/>
        </w:rPr>
        <w:t xml:space="preserve">The research design follows a structured approach, including the following steps: conducting preliminary studies on the variables, reviewing relevant theories and previous research, defining the research problem and objectives, formulating hypotheses, selecting suitable research methods and analytical tools, and collecting and </w:t>
      </w:r>
      <w:proofErr w:type="spellStart"/>
      <w:r w:rsidRPr="00FA13E8">
        <w:rPr>
          <w:lang w:val="en-ID"/>
        </w:rPr>
        <w:t>analyzing</w:t>
      </w:r>
      <w:proofErr w:type="spellEnd"/>
      <w:r w:rsidRPr="00FA13E8">
        <w:rPr>
          <w:lang w:val="en-ID"/>
        </w:rPr>
        <w:t xml:space="preserve"> data. The study concludes with hypothesis testing, discussions, and recommendations based on the research problem.</w:t>
      </w:r>
    </w:p>
    <w:p w14:paraId="254ED12F" w14:textId="77777777" w:rsidR="00FA13E8" w:rsidRDefault="00FA13E8" w:rsidP="001D72B5">
      <w:pPr>
        <w:spacing w:after="0" w:line="240" w:lineRule="auto"/>
        <w:jc w:val="center"/>
        <w:rPr>
          <w:rFonts w:ascii="Times New Roman" w:eastAsia="Times New Roman" w:hAnsi="Times New Roman" w:cs="Times New Roman"/>
          <w:bCs/>
          <w:sz w:val="24"/>
          <w:szCs w:val="24"/>
        </w:rPr>
      </w:pPr>
    </w:p>
    <w:p w14:paraId="5BBBBF2E" w14:textId="77777777" w:rsidR="00FA13E8" w:rsidRPr="00DB25B6" w:rsidRDefault="00FA13E8" w:rsidP="001D72B5">
      <w:pPr>
        <w:spacing w:after="0" w:line="240" w:lineRule="auto"/>
        <w:jc w:val="center"/>
        <w:rPr>
          <w:rFonts w:ascii="Times New Roman" w:eastAsia="Times New Roman" w:hAnsi="Times New Roman" w:cs="Times New Roman"/>
          <w:b/>
          <w:sz w:val="24"/>
          <w:szCs w:val="24"/>
        </w:rPr>
      </w:pPr>
      <w:r w:rsidRPr="00DB25B6">
        <w:rPr>
          <w:rFonts w:ascii="Times New Roman" w:eastAsia="Times New Roman" w:hAnsi="Times New Roman" w:cs="Times New Roman"/>
          <w:b/>
          <w:sz w:val="24"/>
          <w:szCs w:val="24"/>
        </w:rPr>
        <w:t>RESULT AND DISCUSSION</w:t>
      </w:r>
    </w:p>
    <w:p w14:paraId="4CA23003" w14:textId="77777777" w:rsidR="00FA13E8" w:rsidRPr="00BB5E76" w:rsidRDefault="00FA13E8" w:rsidP="001D72B5">
      <w:pPr>
        <w:spacing w:after="0" w:line="240" w:lineRule="auto"/>
        <w:jc w:val="both"/>
        <w:rPr>
          <w:rFonts w:ascii="Times New Roman" w:eastAsia="Times New Roman" w:hAnsi="Times New Roman" w:cs="Times New Roman"/>
          <w:b/>
          <w:sz w:val="24"/>
          <w:szCs w:val="24"/>
        </w:rPr>
      </w:pPr>
      <w:r w:rsidRPr="00BB5E76">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sidRPr="00BB5E76">
        <w:rPr>
          <w:rFonts w:ascii="Times New Roman" w:eastAsia="Times New Roman" w:hAnsi="Times New Roman" w:cs="Times New Roman"/>
          <w:b/>
          <w:sz w:val="24"/>
          <w:szCs w:val="24"/>
        </w:rPr>
        <w:t>Descriptive Statistics</w:t>
      </w:r>
    </w:p>
    <w:p w14:paraId="79CEE7B2" w14:textId="77777777" w:rsidR="00CF38CC" w:rsidRDefault="00CF38CC" w:rsidP="001D72B5">
      <w:pPr>
        <w:spacing w:after="0" w:line="240" w:lineRule="auto"/>
        <w:ind w:firstLine="720"/>
        <w:jc w:val="both"/>
        <w:rPr>
          <w:lang w:val="en-ID"/>
        </w:rPr>
      </w:pPr>
      <w:r w:rsidRPr="00CF38CC">
        <w:rPr>
          <w:lang w:val="en-ID"/>
        </w:rPr>
        <w:lastRenderedPageBreak/>
        <w:t>This analysis describes each variable independently, without comparing or linking one variable to another. Descriptive analysis is used to answer the research problem formulated earlier, examining variables such as Return On Asset (ROA), Net Profit Margin (NPM), Earnings Per Share (EPS), economic growth, exchange rates, inflation, stock prices, company value, and company size for companies listed in the LQ 45 Index from 2013 to 2022. All data for these variables were derived from financial reports of the companies from 2013 to 2022.</w:t>
      </w:r>
    </w:p>
    <w:p w14:paraId="189CAE38" w14:textId="746F39E0" w:rsidR="00CF38CC" w:rsidRPr="00CF38CC" w:rsidRDefault="00CF38CC" w:rsidP="0037705D">
      <w:pPr>
        <w:spacing w:after="0" w:line="240" w:lineRule="auto"/>
        <w:ind w:firstLine="720"/>
        <w:jc w:val="both"/>
        <w:rPr>
          <w:lang w:val="en-ID"/>
        </w:rPr>
      </w:pPr>
      <w:r w:rsidRPr="00CF38CC">
        <w:rPr>
          <w:lang w:val="en-ID"/>
        </w:rPr>
        <w:t>Return on Asset (ROA) measures how efficiently a company's assets generate profit. The average ROA for companies in the LQ 45 Index showed variations over the years, with the highest value recorded in 2013 at 10.61%, and the lowest in 2020 at 6.41%. The highest ROA for individual companies was achieved by Unilever Indonesia (UNVR) consistently, while the lowest was seen in Bank Tabungan Negara (BBTN) in various years.</w:t>
      </w:r>
      <w:r w:rsidR="0037705D">
        <w:rPr>
          <w:lang w:val="en-ID"/>
        </w:rPr>
        <w:t xml:space="preserve"> </w:t>
      </w:r>
      <w:r w:rsidRPr="00CF38CC">
        <w:rPr>
          <w:lang w:val="en-ID"/>
        </w:rPr>
        <w:t>Net Profit Margin (NPM), used to measure a company's profitability relative to its revenue, also fluctuated over the years. The highest NPM was 46.59% in 2022, seen in Bank Central Asia (BBCA), while the lowest was recorded in 2020, with a significant drop due to the pandemic. The average NPM was 18.95% in 2013, which decreased over the years but improved by 2022.</w:t>
      </w:r>
    </w:p>
    <w:p w14:paraId="6923F022" w14:textId="7310B81D" w:rsidR="00CF38CC" w:rsidRPr="00CF38CC" w:rsidRDefault="00CF38CC" w:rsidP="0037705D">
      <w:pPr>
        <w:spacing w:after="0" w:line="240" w:lineRule="auto"/>
        <w:ind w:firstLine="720"/>
        <w:jc w:val="both"/>
        <w:rPr>
          <w:lang w:val="en-ID"/>
        </w:rPr>
      </w:pPr>
      <w:r w:rsidRPr="00CF38CC">
        <w:rPr>
          <w:lang w:val="en-ID"/>
        </w:rPr>
        <w:t xml:space="preserve">Earnings </w:t>
      </w:r>
      <w:proofErr w:type="gramStart"/>
      <w:r w:rsidRPr="00CF38CC">
        <w:rPr>
          <w:lang w:val="en-ID"/>
        </w:rPr>
        <w:t>Per</w:t>
      </w:r>
      <w:proofErr w:type="gramEnd"/>
      <w:r w:rsidRPr="00CF38CC">
        <w:rPr>
          <w:lang w:val="en-ID"/>
        </w:rPr>
        <w:t xml:space="preserve"> Share (EPS), a key indicator for investors, represents the profit available to shareholders. EPS varied greatly, with the highest recorded by </w:t>
      </w:r>
      <w:proofErr w:type="spellStart"/>
      <w:r w:rsidRPr="00CF38CC">
        <w:rPr>
          <w:lang w:val="en-ID"/>
        </w:rPr>
        <w:t>Gudang</w:t>
      </w:r>
      <w:proofErr w:type="spellEnd"/>
      <w:r w:rsidRPr="00CF38CC">
        <w:rPr>
          <w:lang w:val="en-ID"/>
        </w:rPr>
        <w:t xml:space="preserve"> </w:t>
      </w:r>
      <w:proofErr w:type="spellStart"/>
      <w:r w:rsidRPr="00CF38CC">
        <w:rPr>
          <w:lang w:val="en-ID"/>
        </w:rPr>
        <w:t>Garam</w:t>
      </w:r>
      <w:proofErr w:type="spellEnd"/>
      <w:r w:rsidRPr="00CF38CC">
        <w:rPr>
          <w:lang w:val="en-ID"/>
        </w:rPr>
        <w:t xml:space="preserve"> (GGRM) in 2013 at 2250 and the lowest at Kalbe </w:t>
      </w:r>
      <w:proofErr w:type="spellStart"/>
      <w:r w:rsidRPr="00CF38CC">
        <w:rPr>
          <w:lang w:val="en-ID"/>
        </w:rPr>
        <w:t>Farma</w:t>
      </w:r>
      <w:proofErr w:type="spellEnd"/>
      <w:r w:rsidRPr="00CF38CC">
        <w:rPr>
          <w:lang w:val="en-ID"/>
        </w:rPr>
        <w:t xml:space="preserve"> (KLBF) in 2013 with only 41. The average EPS was 547.80 in 2013, steadily increasing to 732.61 by 2022.</w:t>
      </w:r>
      <w:r w:rsidR="0037705D">
        <w:rPr>
          <w:lang w:val="en-ID"/>
        </w:rPr>
        <w:t xml:space="preserve"> </w:t>
      </w:r>
      <w:r w:rsidRPr="00CF38CC">
        <w:rPr>
          <w:lang w:val="en-ID"/>
        </w:rPr>
        <w:t>Economic growth in Indonesia showed fluctuations, with an average growth rate of 4.70% from 2013 to 2022. The highest growth occurred in 2013 at 5.78%, while the lowest was in 2020 due to the pandemic, with a significant contraction to 2.07%. Growth picked up again in 2021, reaching 3.70%.</w:t>
      </w:r>
    </w:p>
    <w:p w14:paraId="7CA917F1" w14:textId="77777777" w:rsidR="0037705D" w:rsidRDefault="00CF38CC" w:rsidP="0037705D">
      <w:pPr>
        <w:spacing w:after="0" w:line="240" w:lineRule="auto"/>
        <w:ind w:firstLine="720"/>
        <w:jc w:val="both"/>
        <w:rPr>
          <w:lang w:val="en-ID"/>
        </w:rPr>
      </w:pPr>
      <w:r w:rsidRPr="00CF38CC">
        <w:rPr>
          <w:lang w:val="en-ID"/>
        </w:rPr>
        <w:t>Exchange rates also showed a general upward trend from 2013 to 2022, with a significant increase in 2022 reaching 15,592 IDR per USD. This rise was attributed to various economic pressures, including increased imports and external debts.</w:t>
      </w:r>
      <w:r w:rsidR="0037705D">
        <w:rPr>
          <w:lang w:val="en-ID"/>
        </w:rPr>
        <w:t xml:space="preserve"> </w:t>
      </w:r>
      <w:r w:rsidRPr="00CF38CC">
        <w:rPr>
          <w:lang w:val="en-ID"/>
        </w:rPr>
        <w:t>Inflation in Indonesia was volatile, with an average rate of 4.16% over the period. Inflation was highest in 2013 at 8.38% and lowest in 2020 at 1.68%. In 2022, inflation rose to 5.51%, driven by global price increases in energy and food.</w:t>
      </w:r>
      <w:r w:rsidR="0037705D">
        <w:rPr>
          <w:lang w:val="en-ID"/>
        </w:rPr>
        <w:t xml:space="preserve"> </w:t>
      </w:r>
      <w:r w:rsidRPr="00CF38CC">
        <w:rPr>
          <w:lang w:val="en-ID"/>
        </w:rPr>
        <w:t xml:space="preserve">Stock prices of LQ 45 companies also varied, with the highest average stock price recorded in 2017 at IDR 13,614.8. </w:t>
      </w:r>
    </w:p>
    <w:p w14:paraId="7DBE3E74" w14:textId="45DAF9AC" w:rsidR="00CF38CC" w:rsidRPr="00CF38CC" w:rsidRDefault="00CF38CC" w:rsidP="0037705D">
      <w:pPr>
        <w:spacing w:after="0" w:line="240" w:lineRule="auto"/>
        <w:ind w:firstLine="720"/>
        <w:jc w:val="both"/>
        <w:rPr>
          <w:lang w:val="en-ID"/>
        </w:rPr>
      </w:pPr>
      <w:r w:rsidRPr="00CF38CC">
        <w:rPr>
          <w:lang w:val="en-ID"/>
        </w:rPr>
        <w:t>The stock market faced significant drops in 2020 but recovered by 2022, when the average stock price increased to IDR 6,701.8.</w:t>
      </w:r>
      <w:r w:rsidR="0037705D">
        <w:rPr>
          <w:lang w:val="en-ID"/>
        </w:rPr>
        <w:t xml:space="preserve"> </w:t>
      </w:r>
      <w:r w:rsidRPr="00CF38CC">
        <w:rPr>
          <w:lang w:val="en-ID"/>
        </w:rPr>
        <w:t>Company value, measured using Tobin’s Q ratio, fluctuated across the years. The highest company value was recorded in 2017, with Unilever Indonesia (UNVR) having the highest value of 113.52. In contrast, companies like Adaro Energy (ADRO) had the lowest value, particularly in 2015 with a ratio of 0.64. The average company value declined after 2017 but showed recovery in later years.</w:t>
      </w:r>
      <w:r w:rsidR="0037705D">
        <w:rPr>
          <w:lang w:val="en-ID"/>
        </w:rPr>
        <w:t xml:space="preserve"> </w:t>
      </w:r>
      <w:r w:rsidRPr="00CF38CC">
        <w:rPr>
          <w:lang w:val="en-ID"/>
        </w:rPr>
        <w:t xml:space="preserve">Company size, defined by total assets or market capitalization, remained stable across the years. The average size increased slightly from 30.41 in 2013 to 31.24 in 2022, with the largest companies being Bank </w:t>
      </w:r>
      <w:proofErr w:type="spellStart"/>
      <w:r w:rsidRPr="00CF38CC">
        <w:rPr>
          <w:lang w:val="en-ID"/>
        </w:rPr>
        <w:t>Mandiri</w:t>
      </w:r>
      <w:proofErr w:type="spellEnd"/>
      <w:r w:rsidRPr="00CF38CC">
        <w:rPr>
          <w:lang w:val="en-ID"/>
        </w:rPr>
        <w:t xml:space="preserve"> (BMRI) and Bank Rakyat Indonesia (BBRI).</w:t>
      </w:r>
    </w:p>
    <w:p w14:paraId="647EB593" w14:textId="77777777" w:rsidR="00FA13E8" w:rsidRDefault="00FA13E8" w:rsidP="001D72B5">
      <w:pPr>
        <w:spacing w:after="0" w:line="240" w:lineRule="auto"/>
        <w:jc w:val="both"/>
        <w:rPr>
          <w:lang w:val="en-ID"/>
        </w:rPr>
      </w:pPr>
    </w:p>
    <w:p w14:paraId="7BC8287C" w14:textId="77777777" w:rsidR="00EA4DC2" w:rsidRDefault="00FA13E8" w:rsidP="00EA4DC2">
      <w:pPr>
        <w:spacing w:after="0" w:line="240" w:lineRule="auto"/>
        <w:jc w:val="both"/>
        <w:rPr>
          <w:b/>
          <w:bCs/>
          <w:lang w:val="en-ID"/>
        </w:rPr>
      </w:pPr>
      <w:r>
        <w:rPr>
          <w:b/>
          <w:bCs/>
          <w:lang w:val="en-ID"/>
        </w:rPr>
        <w:t xml:space="preserve">B. </w:t>
      </w:r>
      <w:r w:rsidR="00EA4DC2" w:rsidRPr="00EA4DC2">
        <w:rPr>
          <w:b/>
          <w:bCs/>
          <w:lang w:val="en-ID"/>
        </w:rPr>
        <w:t>Selection of the best models</w:t>
      </w:r>
    </w:p>
    <w:p w14:paraId="48C622B8" w14:textId="77777777" w:rsidR="00EA4DC2" w:rsidRDefault="00EA4DC2" w:rsidP="00EA4DC2">
      <w:pPr>
        <w:spacing w:after="0" w:line="240" w:lineRule="auto"/>
        <w:ind w:firstLine="720"/>
        <w:jc w:val="both"/>
        <w:rPr>
          <w:lang w:val="en-ID"/>
        </w:rPr>
      </w:pPr>
      <w:r w:rsidRPr="00EA4DC2">
        <w:rPr>
          <w:lang w:val="en-ID"/>
        </w:rPr>
        <w:t xml:space="preserve">Panel data regression in this study is conducted using three models: common effect, fixed effect, and random effect. Each model has its own advantages and disadvantages. The choice of model depends on the assumptions used by the researcher and the </w:t>
      </w:r>
      <w:proofErr w:type="spellStart"/>
      <w:r w:rsidRPr="00EA4DC2">
        <w:rPr>
          <w:lang w:val="en-ID"/>
        </w:rPr>
        <w:t>fulfillment</w:t>
      </w:r>
      <w:proofErr w:type="spellEnd"/>
      <w:r w:rsidRPr="00EA4DC2">
        <w:rPr>
          <w:lang w:val="en-ID"/>
        </w:rPr>
        <w:t xml:space="preserve"> of the correct statistical data processing requirements.</w:t>
      </w:r>
    </w:p>
    <w:p w14:paraId="49F431A7" w14:textId="49E28457" w:rsidR="00EA4DC2" w:rsidRDefault="00EA4DC2" w:rsidP="00EA4DC2">
      <w:pPr>
        <w:spacing w:after="0" w:line="240" w:lineRule="auto"/>
        <w:jc w:val="both"/>
        <w:rPr>
          <w:b/>
          <w:bCs/>
          <w:lang w:val="en-ID"/>
        </w:rPr>
      </w:pPr>
      <w:r w:rsidRPr="00EA4DC2">
        <w:rPr>
          <w:b/>
          <w:bCs/>
          <w:lang w:val="en-ID"/>
        </w:rPr>
        <w:t>1. Chow Test</w:t>
      </w:r>
    </w:p>
    <w:p w14:paraId="1270CB17" w14:textId="0A4CF8AF" w:rsidR="00EA4DC2" w:rsidRPr="00EA4DC2" w:rsidRDefault="00EA4DC2" w:rsidP="00EA4DC2">
      <w:pPr>
        <w:spacing w:after="0" w:line="240" w:lineRule="auto"/>
        <w:ind w:firstLine="720"/>
        <w:jc w:val="both"/>
        <w:rPr>
          <w:lang w:val="en-ID"/>
        </w:rPr>
      </w:pPr>
      <w:r w:rsidRPr="00EA4DC2">
        <w:rPr>
          <w:lang w:val="en-ID"/>
        </w:rPr>
        <w:t>This Chow test is conducted to determine the most appropriate common effect or fixed effect model to use in estimating panel data.</w:t>
      </w:r>
    </w:p>
    <w:p w14:paraId="5BB69932" w14:textId="3F124DD8" w:rsidR="00EA4DC2" w:rsidRDefault="00EA4DC2" w:rsidP="00EA4DC2">
      <w:pPr>
        <w:spacing w:after="0" w:line="240" w:lineRule="auto"/>
        <w:jc w:val="center"/>
        <w:rPr>
          <w:b/>
          <w:bCs/>
          <w:lang w:val="en-ID"/>
        </w:rPr>
      </w:pPr>
      <w:proofErr w:type="gramStart"/>
      <w:r>
        <w:rPr>
          <w:b/>
          <w:bCs/>
          <w:lang w:val="en-ID"/>
        </w:rPr>
        <w:t>Table 1.</w:t>
      </w:r>
      <w:proofErr w:type="gramEnd"/>
      <w:r>
        <w:rPr>
          <w:b/>
          <w:bCs/>
          <w:lang w:val="en-ID"/>
        </w:rPr>
        <w:t xml:space="preserve"> Chow Test Result</w:t>
      </w:r>
    </w:p>
    <w:p w14:paraId="04572FAB" w14:textId="682D86E0" w:rsidR="00EA4DC2" w:rsidRPr="00EA4DC2" w:rsidRDefault="00EA4DC2" w:rsidP="00EA4DC2">
      <w:pPr>
        <w:spacing w:after="0" w:line="240" w:lineRule="auto"/>
        <w:jc w:val="center"/>
        <w:rPr>
          <w:b/>
          <w:bCs/>
          <w:lang w:val="en-ID"/>
        </w:rPr>
      </w:pPr>
      <w:r>
        <w:rPr>
          <w:noProof/>
          <w:lang w:eastAsia="id-ID"/>
        </w:rPr>
        <w:lastRenderedPageBreak/>
        <w:drawing>
          <wp:inline distT="0" distB="0" distL="0" distR="0" wp14:anchorId="359C2282" wp14:editId="41E4949E">
            <wp:extent cx="5036820" cy="16236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6820" cy="1623695"/>
                    </a:xfrm>
                    <a:prstGeom prst="rect">
                      <a:avLst/>
                    </a:prstGeom>
                  </pic:spPr>
                </pic:pic>
              </a:graphicData>
            </a:graphic>
          </wp:inline>
        </w:drawing>
      </w:r>
    </w:p>
    <w:p w14:paraId="6BF61ECA" w14:textId="742EC87A" w:rsidR="00EA4DC2" w:rsidRDefault="00EA4DC2" w:rsidP="001D72B5">
      <w:pPr>
        <w:spacing w:after="0" w:line="240" w:lineRule="auto"/>
        <w:jc w:val="both"/>
        <w:rPr>
          <w:b/>
          <w:bCs/>
          <w:lang w:val="en-ID"/>
        </w:rPr>
      </w:pPr>
    </w:p>
    <w:p w14:paraId="2C1EB499" w14:textId="1D757349" w:rsidR="00EA4DC2" w:rsidRPr="00EA4DC2" w:rsidRDefault="00EA4DC2" w:rsidP="00EA4DC2">
      <w:pPr>
        <w:spacing w:after="0" w:line="240" w:lineRule="auto"/>
        <w:ind w:firstLine="720"/>
        <w:jc w:val="both"/>
        <w:rPr>
          <w:lang w:val="en-ID"/>
        </w:rPr>
      </w:pPr>
      <w:r w:rsidRPr="00EA4DC2">
        <w:rPr>
          <w:lang w:val="en-ID"/>
        </w:rPr>
        <w:t xml:space="preserve">Based on </w:t>
      </w:r>
      <w:r>
        <w:rPr>
          <w:lang w:val="en-ID"/>
        </w:rPr>
        <w:t>Table 1</w:t>
      </w:r>
      <w:r w:rsidRPr="00EA4DC2">
        <w:rPr>
          <w:lang w:val="en-ID"/>
        </w:rPr>
        <w:t xml:space="preserve">, it can be seen that the Probability F value is 0.0000 with a significance level of 0.05. Since the Probability F value (0.0000) is less than 0.05, H0 is rejected, indicating that the selected model is the fixed effect model. Since the Chow test determines the fixed effect model, further testing using the </w:t>
      </w:r>
      <w:proofErr w:type="spellStart"/>
      <w:r w:rsidRPr="00EA4DC2">
        <w:rPr>
          <w:lang w:val="en-ID"/>
        </w:rPr>
        <w:t>Hausman</w:t>
      </w:r>
      <w:proofErr w:type="spellEnd"/>
      <w:r w:rsidRPr="00EA4DC2">
        <w:rPr>
          <w:lang w:val="en-ID"/>
        </w:rPr>
        <w:t xml:space="preserve"> test is needed to determine whether the appropriate model is the fixed effect model or the random effect model.</w:t>
      </w:r>
    </w:p>
    <w:p w14:paraId="7218A9E5" w14:textId="7157E676" w:rsidR="007F4D5F" w:rsidRDefault="007F4D5F" w:rsidP="007F4D5F">
      <w:pPr>
        <w:spacing w:after="0" w:line="240" w:lineRule="auto"/>
        <w:jc w:val="center"/>
        <w:rPr>
          <w:b/>
          <w:bCs/>
          <w:lang w:val="en-ID"/>
        </w:rPr>
      </w:pPr>
    </w:p>
    <w:p w14:paraId="620C9718" w14:textId="77777777" w:rsidR="007F4D5F" w:rsidRDefault="007F4D5F" w:rsidP="001D72B5">
      <w:pPr>
        <w:spacing w:after="0" w:line="240" w:lineRule="auto"/>
        <w:jc w:val="both"/>
        <w:rPr>
          <w:b/>
          <w:bCs/>
          <w:lang w:val="en-ID"/>
        </w:rPr>
      </w:pPr>
    </w:p>
    <w:p w14:paraId="18E00CE6" w14:textId="17E2731A" w:rsidR="00EA4DC2" w:rsidRDefault="00EA4DC2" w:rsidP="001D72B5">
      <w:pPr>
        <w:spacing w:after="0" w:line="240" w:lineRule="auto"/>
        <w:jc w:val="both"/>
        <w:rPr>
          <w:b/>
          <w:bCs/>
          <w:lang w:val="en-ID"/>
        </w:rPr>
      </w:pPr>
      <w:r>
        <w:rPr>
          <w:b/>
          <w:bCs/>
          <w:lang w:val="en-ID"/>
        </w:rPr>
        <w:t xml:space="preserve">2. </w:t>
      </w:r>
      <w:proofErr w:type="spellStart"/>
      <w:r w:rsidRPr="00EA4DC2">
        <w:rPr>
          <w:b/>
          <w:bCs/>
          <w:lang w:val="en-ID"/>
        </w:rPr>
        <w:t>Hausman</w:t>
      </w:r>
      <w:proofErr w:type="spellEnd"/>
      <w:r w:rsidRPr="00EA4DC2">
        <w:rPr>
          <w:b/>
          <w:bCs/>
          <w:lang w:val="en-ID"/>
        </w:rPr>
        <w:t xml:space="preserve"> test</w:t>
      </w:r>
    </w:p>
    <w:p w14:paraId="73CD20B8" w14:textId="5A6464D5" w:rsidR="007F4D5F" w:rsidRPr="007F4D5F" w:rsidRDefault="007F4D5F" w:rsidP="007F4D5F">
      <w:pPr>
        <w:spacing w:after="0" w:line="240" w:lineRule="auto"/>
        <w:ind w:firstLine="720"/>
        <w:jc w:val="both"/>
        <w:rPr>
          <w:lang w:val="en-ID"/>
        </w:rPr>
      </w:pPr>
      <w:r w:rsidRPr="007F4D5F">
        <w:rPr>
          <w:lang w:val="en-ID"/>
        </w:rPr>
        <w:t xml:space="preserve">The </w:t>
      </w:r>
      <w:proofErr w:type="spellStart"/>
      <w:r w:rsidRPr="007F4D5F">
        <w:rPr>
          <w:lang w:val="en-ID"/>
        </w:rPr>
        <w:t>Hausman</w:t>
      </w:r>
      <w:proofErr w:type="spellEnd"/>
      <w:r w:rsidRPr="007F4D5F">
        <w:rPr>
          <w:lang w:val="en-ID"/>
        </w:rPr>
        <w:t xml:space="preserve"> test is conducted to test whether the data is </w:t>
      </w:r>
      <w:proofErr w:type="spellStart"/>
      <w:r w:rsidRPr="007F4D5F">
        <w:rPr>
          <w:lang w:val="en-ID"/>
        </w:rPr>
        <w:t>analyzed</w:t>
      </w:r>
      <w:proofErr w:type="spellEnd"/>
      <w:r w:rsidRPr="007F4D5F">
        <w:rPr>
          <w:lang w:val="en-ID"/>
        </w:rPr>
        <w:t xml:space="preserve"> using fixed effects or random effects.</w:t>
      </w:r>
    </w:p>
    <w:p w14:paraId="3735D42E" w14:textId="38F1000A" w:rsidR="007F4D5F" w:rsidRDefault="007F4D5F" w:rsidP="007F4D5F">
      <w:pPr>
        <w:spacing w:after="0" w:line="240" w:lineRule="auto"/>
        <w:jc w:val="center"/>
        <w:rPr>
          <w:b/>
          <w:bCs/>
          <w:lang w:val="en-ID"/>
        </w:rPr>
      </w:pPr>
      <w:proofErr w:type="gramStart"/>
      <w:r>
        <w:rPr>
          <w:b/>
          <w:bCs/>
          <w:lang w:val="en-ID"/>
        </w:rPr>
        <w:t>Table 2.</w:t>
      </w:r>
      <w:proofErr w:type="gramEnd"/>
      <w:r>
        <w:rPr>
          <w:b/>
          <w:bCs/>
          <w:lang w:val="en-ID"/>
        </w:rPr>
        <w:t xml:space="preserve"> </w:t>
      </w:r>
      <w:proofErr w:type="spellStart"/>
      <w:r w:rsidRPr="00EA4DC2">
        <w:rPr>
          <w:b/>
          <w:bCs/>
          <w:lang w:val="en-ID"/>
        </w:rPr>
        <w:t>Hausman</w:t>
      </w:r>
      <w:proofErr w:type="spellEnd"/>
      <w:r w:rsidRPr="00EA4DC2">
        <w:rPr>
          <w:b/>
          <w:bCs/>
          <w:lang w:val="en-ID"/>
        </w:rPr>
        <w:t xml:space="preserve"> Test</w:t>
      </w:r>
      <w:r>
        <w:rPr>
          <w:b/>
          <w:bCs/>
          <w:lang w:val="en-ID"/>
        </w:rPr>
        <w:t xml:space="preserve"> Result</w:t>
      </w:r>
    </w:p>
    <w:p w14:paraId="27350779" w14:textId="7794C5F0" w:rsidR="00EA4DC2" w:rsidRDefault="007F4D5F" w:rsidP="007F4D5F">
      <w:pPr>
        <w:spacing w:after="0" w:line="240" w:lineRule="auto"/>
        <w:jc w:val="center"/>
        <w:rPr>
          <w:b/>
          <w:bCs/>
          <w:lang w:val="en-ID"/>
        </w:rPr>
      </w:pPr>
      <w:r>
        <w:rPr>
          <w:noProof/>
          <w:lang w:eastAsia="id-ID"/>
        </w:rPr>
        <w:drawing>
          <wp:inline distT="0" distB="0" distL="0" distR="0" wp14:anchorId="217A888B" wp14:editId="74D4F5D0">
            <wp:extent cx="4732020" cy="1440180"/>
            <wp:effectExtent l="0" t="0" r="0" b="7620"/>
            <wp:docPr id="11264" name="Picture 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2020" cy="1440180"/>
                    </a:xfrm>
                    <a:prstGeom prst="rect">
                      <a:avLst/>
                    </a:prstGeom>
                  </pic:spPr>
                </pic:pic>
              </a:graphicData>
            </a:graphic>
          </wp:inline>
        </w:drawing>
      </w:r>
    </w:p>
    <w:p w14:paraId="4B043094" w14:textId="77777777" w:rsidR="00EA4DC2" w:rsidRDefault="00EA4DC2" w:rsidP="001D72B5">
      <w:pPr>
        <w:spacing w:after="0" w:line="240" w:lineRule="auto"/>
        <w:jc w:val="both"/>
        <w:rPr>
          <w:b/>
          <w:bCs/>
          <w:lang w:val="en-ID"/>
        </w:rPr>
      </w:pPr>
    </w:p>
    <w:p w14:paraId="595943FE" w14:textId="24F1CBFF" w:rsidR="007F4D5F" w:rsidRPr="007F4D5F" w:rsidRDefault="007F4D5F" w:rsidP="007F4D5F">
      <w:pPr>
        <w:spacing w:after="0" w:line="240" w:lineRule="auto"/>
        <w:ind w:firstLine="720"/>
        <w:jc w:val="both"/>
        <w:rPr>
          <w:lang w:val="en-ID"/>
        </w:rPr>
      </w:pPr>
      <w:r w:rsidRPr="007F4D5F">
        <w:rPr>
          <w:lang w:val="en-ID"/>
        </w:rPr>
        <w:t>Based on Table 2, it can be seen that the Probability Chi-Square value is 1.0000 with a significance level of 0.05. Since the Probability Chi-Square value (1.0000) is greater than 0.05, H0 is accepted, indicating that the selected model is the random effect model.</w:t>
      </w:r>
      <w:r>
        <w:rPr>
          <w:lang w:val="en-ID"/>
        </w:rPr>
        <w:t xml:space="preserve"> </w:t>
      </w:r>
      <w:r w:rsidRPr="007F4D5F">
        <w:rPr>
          <w:lang w:val="en-ID"/>
        </w:rPr>
        <w:t xml:space="preserve">Since the </w:t>
      </w:r>
      <w:proofErr w:type="spellStart"/>
      <w:r w:rsidRPr="007F4D5F">
        <w:rPr>
          <w:lang w:val="en-ID"/>
        </w:rPr>
        <w:t>Hausman</w:t>
      </w:r>
      <w:proofErr w:type="spellEnd"/>
      <w:r w:rsidRPr="007F4D5F">
        <w:rPr>
          <w:lang w:val="en-ID"/>
        </w:rPr>
        <w:t xml:space="preserve"> test determines the random effect model, further testing using the Lagrange Multiplier test is needed to determine whether the appropriate model is the random effect model or the common effect model.</w:t>
      </w:r>
    </w:p>
    <w:p w14:paraId="66BE593B" w14:textId="77777777" w:rsidR="007F4D5F" w:rsidRDefault="007F4D5F" w:rsidP="001D72B5">
      <w:pPr>
        <w:spacing w:after="0" w:line="240" w:lineRule="auto"/>
        <w:jc w:val="both"/>
        <w:rPr>
          <w:b/>
          <w:bCs/>
          <w:lang w:val="en-ID"/>
        </w:rPr>
      </w:pPr>
    </w:p>
    <w:p w14:paraId="255D2650" w14:textId="203D1AB6" w:rsidR="007F4D5F" w:rsidRDefault="007F4D5F" w:rsidP="001D72B5">
      <w:pPr>
        <w:spacing w:after="0" w:line="240" w:lineRule="auto"/>
        <w:jc w:val="both"/>
        <w:rPr>
          <w:b/>
          <w:bCs/>
          <w:lang w:val="en-ID"/>
        </w:rPr>
      </w:pPr>
      <w:r>
        <w:rPr>
          <w:b/>
          <w:bCs/>
          <w:lang w:val="en-ID"/>
        </w:rPr>
        <w:t xml:space="preserve">3. </w:t>
      </w:r>
      <w:r w:rsidRPr="007F4D5F">
        <w:rPr>
          <w:b/>
          <w:bCs/>
          <w:lang w:val="en-ID"/>
        </w:rPr>
        <w:t>Lagrange Multiplier Test</w:t>
      </w:r>
    </w:p>
    <w:p w14:paraId="7A5EA76C" w14:textId="53498FE9" w:rsidR="00EA4DC2" w:rsidRDefault="007F4D5F" w:rsidP="007F4D5F">
      <w:pPr>
        <w:spacing w:after="0" w:line="240" w:lineRule="auto"/>
        <w:ind w:firstLine="720"/>
        <w:jc w:val="both"/>
        <w:rPr>
          <w:lang w:val="en-ID"/>
        </w:rPr>
      </w:pPr>
      <w:r w:rsidRPr="007F4D5F">
        <w:rPr>
          <w:lang w:val="en-ID"/>
        </w:rPr>
        <w:t xml:space="preserve">This test is conducted to test whether the data is </w:t>
      </w:r>
      <w:proofErr w:type="spellStart"/>
      <w:r w:rsidRPr="007F4D5F">
        <w:rPr>
          <w:lang w:val="en-ID"/>
        </w:rPr>
        <w:t>analyzed</w:t>
      </w:r>
      <w:proofErr w:type="spellEnd"/>
      <w:r w:rsidRPr="007F4D5F">
        <w:rPr>
          <w:lang w:val="en-ID"/>
        </w:rPr>
        <w:t xml:space="preserve"> using common effect or random effect.</w:t>
      </w:r>
    </w:p>
    <w:p w14:paraId="118C1CAF" w14:textId="77777777" w:rsidR="007F4D5F" w:rsidRDefault="007F4D5F" w:rsidP="007F4D5F">
      <w:pPr>
        <w:spacing w:after="0" w:line="240" w:lineRule="auto"/>
        <w:ind w:firstLine="720"/>
        <w:jc w:val="both"/>
        <w:rPr>
          <w:lang w:val="en-ID"/>
        </w:rPr>
      </w:pPr>
    </w:p>
    <w:p w14:paraId="5A5401CD" w14:textId="58CF948B" w:rsidR="007F4D5F" w:rsidRPr="007F4D5F" w:rsidRDefault="007F4D5F" w:rsidP="007F4D5F">
      <w:pPr>
        <w:spacing w:after="0" w:line="240" w:lineRule="auto"/>
        <w:jc w:val="center"/>
        <w:rPr>
          <w:b/>
          <w:bCs/>
          <w:lang w:val="en-ID"/>
        </w:rPr>
      </w:pPr>
      <w:proofErr w:type="gramStart"/>
      <w:r w:rsidRPr="007F4D5F">
        <w:rPr>
          <w:b/>
          <w:bCs/>
          <w:lang w:val="en-ID"/>
        </w:rPr>
        <w:t>Table 3.</w:t>
      </w:r>
      <w:proofErr w:type="gramEnd"/>
      <w:r w:rsidRPr="007F4D5F">
        <w:rPr>
          <w:b/>
          <w:bCs/>
          <w:lang w:val="en-ID"/>
        </w:rPr>
        <w:t xml:space="preserve"> Lagrange Multiplier Test Results Structure I</w:t>
      </w:r>
    </w:p>
    <w:p w14:paraId="596C4AC5" w14:textId="2A7D3D23" w:rsidR="007F4D5F" w:rsidRPr="007F4D5F" w:rsidRDefault="007F4D5F" w:rsidP="007F4D5F">
      <w:pPr>
        <w:spacing w:after="0" w:line="240" w:lineRule="auto"/>
        <w:jc w:val="center"/>
        <w:rPr>
          <w:lang w:val="en-ID"/>
        </w:rPr>
      </w:pPr>
      <w:r>
        <w:rPr>
          <w:noProof/>
          <w:lang w:eastAsia="id-ID"/>
        </w:rPr>
        <w:drawing>
          <wp:inline distT="0" distB="0" distL="0" distR="0" wp14:anchorId="219F2BD4" wp14:editId="27D53D9B">
            <wp:extent cx="4114800" cy="154382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18550" cy="1545235"/>
                    </a:xfrm>
                    <a:prstGeom prst="rect">
                      <a:avLst/>
                    </a:prstGeom>
                  </pic:spPr>
                </pic:pic>
              </a:graphicData>
            </a:graphic>
          </wp:inline>
        </w:drawing>
      </w:r>
    </w:p>
    <w:p w14:paraId="7A21BC78" w14:textId="77777777" w:rsidR="007F4D5F" w:rsidRPr="007F4D5F" w:rsidRDefault="007F4D5F" w:rsidP="007F4D5F">
      <w:pPr>
        <w:spacing w:after="0" w:line="240" w:lineRule="auto"/>
        <w:ind w:firstLine="720"/>
        <w:jc w:val="both"/>
        <w:rPr>
          <w:lang w:val="en-ID"/>
        </w:rPr>
      </w:pPr>
    </w:p>
    <w:p w14:paraId="1F41EB7F" w14:textId="6A01303C" w:rsidR="007F4D5F" w:rsidRPr="007F4D5F" w:rsidRDefault="007F4D5F" w:rsidP="007F4D5F">
      <w:pPr>
        <w:spacing w:after="0" w:line="240" w:lineRule="auto"/>
        <w:ind w:firstLine="720"/>
        <w:jc w:val="both"/>
        <w:rPr>
          <w:lang w:val="en-ID"/>
        </w:rPr>
      </w:pPr>
      <w:r w:rsidRPr="007F4D5F">
        <w:rPr>
          <w:lang w:val="en-ID"/>
        </w:rPr>
        <w:t xml:space="preserve">Based on Table 3, it can be seen that the Probability </w:t>
      </w:r>
      <w:proofErr w:type="spellStart"/>
      <w:r w:rsidRPr="007F4D5F">
        <w:rPr>
          <w:lang w:val="en-ID"/>
        </w:rPr>
        <w:t>Breusch</w:t>
      </w:r>
      <w:proofErr w:type="spellEnd"/>
      <w:r w:rsidRPr="007F4D5F">
        <w:rPr>
          <w:lang w:val="en-ID"/>
        </w:rPr>
        <w:t xml:space="preserve">-Pagan value is 0.0000 with a significance level of 0.05. Since the Probability </w:t>
      </w:r>
      <w:proofErr w:type="spellStart"/>
      <w:r w:rsidRPr="007F4D5F">
        <w:rPr>
          <w:lang w:val="en-ID"/>
        </w:rPr>
        <w:t>Breusch</w:t>
      </w:r>
      <w:proofErr w:type="spellEnd"/>
      <w:r w:rsidRPr="007F4D5F">
        <w:rPr>
          <w:lang w:val="en-ID"/>
        </w:rPr>
        <w:t>-Pagan value (0.0000) is less than 0.05, H0 is rejected, indicating that the selected model is the common effect model.</w:t>
      </w:r>
    </w:p>
    <w:p w14:paraId="37DB719E" w14:textId="77777777" w:rsidR="007F4D5F" w:rsidRDefault="007F4D5F" w:rsidP="001D72B5">
      <w:pPr>
        <w:spacing w:after="0" w:line="240" w:lineRule="auto"/>
        <w:jc w:val="both"/>
        <w:rPr>
          <w:b/>
          <w:bCs/>
          <w:lang w:val="en-ID"/>
        </w:rPr>
      </w:pPr>
    </w:p>
    <w:p w14:paraId="6C08A78F" w14:textId="3EF42926" w:rsidR="00FA13E8" w:rsidRPr="0018232F" w:rsidRDefault="00EA4DC2" w:rsidP="001D72B5">
      <w:pPr>
        <w:spacing w:after="0" w:line="240" w:lineRule="auto"/>
        <w:jc w:val="both"/>
        <w:rPr>
          <w:lang w:val="en-ID"/>
        </w:rPr>
      </w:pPr>
      <w:r>
        <w:rPr>
          <w:b/>
          <w:bCs/>
          <w:lang w:val="en-ID"/>
        </w:rPr>
        <w:t xml:space="preserve">C. </w:t>
      </w:r>
      <w:r w:rsidR="00FA13E8" w:rsidRPr="0018232F">
        <w:rPr>
          <w:b/>
          <w:bCs/>
          <w:lang w:val="en-ID"/>
        </w:rPr>
        <w:t>Classic Assumption Test</w:t>
      </w:r>
    </w:p>
    <w:p w14:paraId="23110D04" w14:textId="77777777" w:rsidR="00FA13E8" w:rsidRDefault="00FA13E8" w:rsidP="001D72B5">
      <w:pPr>
        <w:spacing w:after="0" w:line="240" w:lineRule="auto"/>
        <w:jc w:val="both"/>
        <w:rPr>
          <w:b/>
          <w:bCs/>
          <w:lang w:val="en-ID"/>
        </w:rPr>
      </w:pPr>
      <w:r>
        <w:rPr>
          <w:b/>
          <w:bCs/>
          <w:lang w:val="en-ID"/>
        </w:rPr>
        <w:t xml:space="preserve">1. </w:t>
      </w:r>
      <w:r w:rsidRPr="0018232F">
        <w:rPr>
          <w:b/>
          <w:bCs/>
          <w:lang w:val="en-ID"/>
        </w:rPr>
        <w:t>Normality Test</w:t>
      </w:r>
    </w:p>
    <w:p w14:paraId="3FF9002F" w14:textId="77777777" w:rsidR="00CF38CC" w:rsidRDefault="00CF38CC" w:rsidP="001D72B5">
      <w:pPr>
        <w:spacing w:after="0" w:line="240" w:lineRule="auto"/>
        <w:ind w:firstLine="720"/>
        <w:jc w:val="both"/>
        <w:rPr>
          <w:lang w:val="en-ID"/>
        </w:rPr>
      </w:pPr>
      <w:r w:rsidRPr="00CF38CC">
        <w:rPr>
          <w:lang w:val="en-ID"/>
        </w:rPr>
        <w:t xml:space="preserve">According to </w:t>
      </w:r>
      <w:proofErr w:type="spellStart"/>
      <w:r w:rsidRPr="00CF38CC">
        <w:rPr>
          <w:lang w:val="en-ID"/>
        </w:rPr>
        <w:t>Sugiyono</w:t>
      </w:r>
      <w:proofErr w:type="spellEnd"/>
      <w:r w:rsidRPr="00CF38CC">
        <w:rPr>
          <w:lang w:val="en-ID"/>
        </w:rPr>
        <w:t xml:space="preserve"> (2017:239), normality testing is used to assess whether the</w:t>
      </w:r>
      <w:r w:rsidRPr="00CF38CC">
        <w:rPr>
          <w:rFonts w:ascii="Times New Roman" w:eastAsia="Times New Roman" w:hAnsi="Times New Roman" w:cs="Times New Roman"/>
          <w:b/>
          <w:sz w:val="24"/>
          <w:szCs w:val="24"/>
          <w:lang w:val="en-ID"/>
        </w:rPr>
        <w:t xml:space="preserve"> </w:t>
      </w:r>
      <w:r w:rsidRPr="00CF38CC">
        <w:rPr>
          <w:lang w:val="en-ID"/>
        </w:rPr>
        <w:t>variables being studied are normally distributed. In this study, normality testing aims to examine whether the variables in the panel regression model are normally distributed. A good regression model should have data that is normally distributed or close to normal.</w:t>
      </w:r>
    </w:p>
    <w:p w14:paraId="07622B50" w14:textId="2845A014" w:rsidR="00715306" w:rsidRDefault="00715306" w:rsidP="001D72B5">
      <w:pPr>
        <w:spacing w:after="0" w:line="240" w:lineRule="auto"/>
        <w:ind w:firstLine="720"/>
        <w:jc w:val="both"/>
      </w:pPr>
      <w:r>
        <w:object w:dxaOrig="9577" w:dyaOrig="3793" w14:anchorId="5C244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46.25pt" o:ole="">
            <v:imagedata r:id="rId15" o:title=""/>
          </v:shape>
          <o:OLEObject Type="Embed" ProgID="EViews.Workfile.2" ShapeID="_x0000_i1025" DrawAspect="Content" ObjectID="_1800424668" r:id="rId16"/>
        </w:object>
      </w:r>
    </w:p>
    <w:p w14:paraId="2D60AEAD" w14:textId="56EA8ABA" w:rsidR="00715306" w:rsidRPr="00CF38CC" w:rsidRDefault="00715306" w:rsidP="00715306">
      <w:pPr>
        <w:spacing w:after="0" w:line="240" w:lineRule="auto"/>
        <w:ind w:firstLine="720"/>
        <w:jc w:val="center"/>
        <w:rPr>
          <w:lang w:val="en-ID"/>
        </w:rPr>
      </w:pPr>
      <w:proofErr w:type="gramStart"/>
      <w:r>
        <w:rPr>
          <w:lang w:val="en-ID"/>
        </w:rPr>
        <w:t>Figure 6.</w:t>
      </w:r>
      <w:proofErr w:type="gramEnd"/>
      <w:r>
        <w:rPr>
          <w:lang w:val="en-ID"/>
        </w:rPr>
        <w:t xml:space="preserve"> </w:t>
      </w:r>
      <w:r w:rsidRPr="00715306">
        <w:rPr>
          <w:lang w:val="en-ID"/>
        </w:rPr>
        <w:t>Results of the Initial Model I Structure Normality Test</w:t>
      </w:r>
    </w:p>
    <w:p w14:paraId="4E88D135" w14:textId="77777777" w:rsidR="00CF38CC" w:rsidRDefault="00CF38CC" w:rsidP="001D72B5">
      <w:pPr>
        <w:spacing w:after="0" w:line="240" w:lineRule="auto"/>
        <w:ind w:firstLine="720"/>
        <w:jc w:val="both"/>
        <w:rPr>
          <w:lang w:val="en-ID"/>
        </w:rPr>
      </w:pPr>
      <w:r w:rsidRPr="00CF38CC">
        <w:rPr>
          <w:lang w:val="en-ID"/>
        </w:rPr>
        <w:t>Based on the initial normality test results, the Probability value was 0.000944, which is less than 0.05, indicating that the data is not normally distributed. As a result, data reduction was performed by excluding values above and below the average, reducing the data from 220 observations to 211.</w:t>
      </w:r>
    </w:p>
    <w:p w14:paraId="63A4D770" w14:textId="77777777" w:rsidR="00715306" w:rsidRDefault="00715306" w:rsidP="001D72B5">
      <w:pPr>
        <w:spacing w:after="0" w:line="240" w:lineRule="auto"/>
        <w:ind w:firstLine="720"/>
        <w:jc w:val="both"/>
        <w:rPr>
          <w:lang w:val="en-ID"/>
        </w:rPr>
      </w:pPr>
    </w:p>
    <w:p w14:paraId="3887F71F" w14:textId="77777777" w:rsidR="00715306" w:rsidRDefault="00715306" w:rsidP="001D72B5">
      <w:pPr>
        <w:spacing w:after="0" w:line="240" w:lineRule="auto"/>
        <w:ind w:firstLine="720"/>
        <w:jc w:val="both"/>
        <w:rPr>
          <w:lang w:val="en-ID"/>
        </w:rPr>
      </w:pPr>
    </w:p>
    <w:p w14:paraId="165C0961" w14:textId="465CD9D7" w:rsidR="00715306" w:rsidRDefault="00715306" w:rsidP="001D72B5">
      <w:pPr>
        <w:spacing w:after="0" w:line="240" w:lineRule="auto"/>
        <w:ind w:firstLine="720"/>
        <w:jc w:val="both"/>
        <w:rPr>
          <w:lang w:val="en-ID"/>
        </w:rPr>
      </w:pPr>
      <w:r>
        <w:rPr>
          <w:noProof/>
          <w:lang w:eastAsia="id-ID"/>
        </w:rPr>
        <w:drawing>
          <wp:inline distT="0" distB="0" distL="0" distR="0" wp14:anchorId="731DE6B8" wp14:editId="5D2903F9">
            <wp:extent cx="5041900" cy="23622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0" cy="2362200"/>
                    </a:xfrm>
                    <a:prstGeom prst="rect">
                      <a:avLst/>
                    </a:prstGeom>
                    <a:noFill/>
                    <a:ln>
                      <a:noFill/>
                    </a:ln>
                  </pic:spPr>
                </pic:pic>
              </a:graphicData>
            </a:graphic>
          </wp:inline>
        </w:drawing>
      </w:r>
    </w:p>
    <w:p w14:paraId="6366F5CD" w14:textId="7510FB6F" w:rsidR="00715306" w:rsidRPr="00CF38CC" w:rsidRDefault="00715306" w:rsidP="00715306">
      <w:pPr>
        <w:spacing w:after="0" w:line="240" w:lineRule="auto"/>
        <w:ind w:firstLine="720"/>
        <w:jc w:val="center"/>
        <w:rPr>
          <w:lang w:val="en-ID"/>
        </w:rPr>
      </w:pPr>
      <w:proofErr w:type="gramStart"/>
      <w:r>
        <w:rPr>
          <w:lang w:val="en-ID"/>
        </w:rPr>
        <w:t>Table 7.</w:t>
      </w:r>
      <w:proofErr w:type="gramEnd"/>
      <w:r>
        <w:rPr>
          <w:lang w:val="en-ID"/>
        </w:rPr>
        <w:t xml:space="preserve"> </w:t>
      </w:r>
      <w:r w:rsidRPr="00715306">
        <w:rPr>
          <w:lang w:val="en-ID"/>
        </w:rPr>
        <w:t>Results of the Normality Test of the Final Model I Structure</w:t>
      </w:r>
    </w:p>
    <w:p w14:paraId="6C9EA571" w14:textId="77777777" w:rsidR="00715306" w:rsidRDefault="00715306" w:rsidP="001D72B5">
      <w:pPr>
        <w:spacing w:after="0" w:line="240" w:lineRule="auto"/>
        <w:ind w:firstLine="720"/>
        <w:jc w:val="both"/>
        <w:rPr>
          <w:lang w:val="en-ID"/>
        </w:rPr>
      </w:pPr>
    </w:p>
    <w:p w14:paraId="71CEB8B1" w14:textId="1C1BABE8" w:rsidR="00CF38CC" w:rsidRDefault="00CF38CC" w:rsidP="001D72B5">
      <w:pPr>
        <w:spacing w:after="0" w:line="240" w:lineRule="auto"/>
        <w:ind w:firstLine="720"/>
        <w:jc w:val="both"/>
        <w:rPr>
          <w:lang w:val="en-ID"/>
        </w:rPr>
      </w:pPr>
      <w:r w:rsidRPr="00CF38CC">
        <w:rPr>
          <w:lang w:val="en-ID"/>
        </w:rPr>
        <w:t xml:space="preserve">After the data reduction, the normality test for variables such as Return on Asset (ROA), Net Profit Margin (NPM), Earnings </w:t>
      </w:r>
      <w:proofErr w:type="gramStart"/>
      <w:r w:rsidRPr="00CF38CC">
        <w:rPr>
          <w:lang w:val="en-ID"/>
        </w:rPr>
        <w:t>Per</w:t>
      </w:r>
      <w:proofErr w:type="gramEnd"/>
      <w:r w:rsidRPr="00CF38CC">
        <w:rPr>
          <w:lang w:val="en-ID"/>
        </w:rPr>
        <w:t xml:space="preserve"> Share (EPS), Economic Growth, Exchange Rate, and Inflation against Stock Prices showed a Probability value of 0.725542, which is greater than 0.05, indicating that the data is now normally distributed.</w:t>
      </w:r>
    </w:p>
    <w:p w14:paraId="206C4473" w14:textId="748ABBD4" w:rsidR="00715306" w:rsidRDefault="00715306" w:rsidP="001D72B5">
      <w:pPr>
        <w:spacing w:after="0" w:line="240" w:lineRule="auto"/>
        <w:ind w:firstLine="720"/>
        <w:jc w:val="both"/>
        <w:rPr>
          <w:lang w:val="en-ID"/>
        </w:rPr>
      </w:pPr>
      <w:r>
        <w:rPr>
          <w:noProof/>
          <w:lang w:eastAsia="id-ID"/>
        </w:rPr>
        <w:lastRenderedPageBreak/>
        <w:drawing>
          <wp:inline distT="0" distB="0" distL="0" distR="0" wp14:anchorId="09549BDF" wp14:editId="0DEC6433">
            <wp:extent cx="5041900" cy="220218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0" cy="2202180"/>
                    </a:xfrm>
                    <a:prstGeom prst="rect">
                      <a:avLst/>
                    </a:prstGeom>
                    <a:noFill/>
                    <a:ln>
                      <a:noFill/>
                    </a:ln>
                  </pic:spPr>
                </pic:pic>
              </a:graphicData>
            </a:graphic>
          </wp:inline>
        </w:drawing>
      </w:r>
    </w:p>
    <w:p w14:paraId="74338699" w14:textId="58033735" w:rsidR="00715306" w:rsidRDefault="00715306" w:rsidP="00715306">
      <w:pPr>
        <w:spacing w:after="0" w:line="240" w:lineRule="auto"/>
        <w:ind w:firstLine="720"/>
        <w:jc w:val="center"/>
        <w:rPr>
          <w:lang w:val="en-ID"/>
        </w:rPr>
      </w:pPr>
      <w:proofErr w:type="gramStart"/>
      <w:r>
        <w:rPr>
          <w:lang w:val="en-ID"/>
        </w:rPr>
        <w:t>Figure 8.</w:t>
      </w:r>
      <w:proofErr w:type="gramEnd"/>
      <w:r>
        <w:rPr>
          <w:lang w:val="en-ID"/>
        </w:rPr>
        <w:t xml:space="preserve"> </w:t>
      </w:r>
      <w:r w:rsidRPr="00715306">
        <w:rPr>
          <w:lang w:val="en-ID"/>
        </w:rPr>
        <w:t>Results of Structural Normality Test II</w:t>
      </w:r>
    </w:p>
    <w:p w14:paraId="09BF0575" w14:textId="77777777" w:rsidR="00715306" w:rsidRPr="00CF38CC" w:rsidRDefault="00715306" w:rsidP="00715306">
      <w:pPr>
        <w:spacing w:after="0" w:line="240" w:lineRule="auto"/>
        <w:ind w:firstLine="720"/>
        <w:jc w:val="center"/>
        <w:rPr>
          <w:lang w:val="en-ID"/>
        </w:rPr>
      </w:pPr>
    </w:p>
    <w:p w14:paraId="2290415C" w14:textId="77777777" w:rsidR="00CF38CC" w:rsidRPr="00CF38CC" w:rsidRDefault="00CF38CC" w:rsidP="001D72B5">
      <w:pPr>
        <w:spacing w:after="0" w:line="240" w:lineRule="auto"/>
        <w:ind w:firstLine="720"/>
        <w:jc w:val="both"/>
        <w:rPr>
          <w:lang w:val="en-ID"/>
        </w:rPr>
      </w:pPr>
      <w:r w:rsidRPr="00CF38CC">
        <w:rPr>
          <w:lang w:val="en-ID"/>
        </w:rPr>
        <w:t>Similarly, the normality test for Stock Prices against Company Value, using the Fixed Effect model, yielded a Probability value of 0.050987, which is also greater than 0.05, confirming that the data is normally distributed.</w:t>
      </w:r>
    </w:p>
    <w:p w14:paraId="5D4143DE" w14:textId="77777777" w:rsidR="00FA13E8" w:rsidRDefault="00FA13E8" w:rsidP="001D72B5">
      <w:pPr>
        <w:spacing w:after="0" w:line="240" w:lineRule="auto"/>
        <w:rPr>
          <w:rFonts w:ascii="Times New Roman" w:eastAsia="Times New Roman" w:hAnsi="Times New Roman" w:cs="Times New Roman"/>
          <w:b/>
          <w:sz w:val="24"/>
          <w:szCs w:val="24"/>
        </w:rPr>
      </w:pPr>
    </w:p>
    <w:p w14:paraId="2BD586DF" w14:textId="77777777" w:rsidR="00FA13E8" w:rsidRDefault="00FA13E8" w:rsidP="001D72B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B1516B">
        <w:rPr>
          <w:rFonts w:ascii="Times New Roman" w:eastAsia="Times New Roman" w:hAnsi="Times New Roman" w:cs="Times New Roman"/>
          <w:b/>
          <w:sz w:val="24"/>
          <w:szCs w:val="24"/>
        </w:rPr>
        <w:t>Multicollinearity Test</w:t>
      </w:r>
    </w:p>
    <w:p w14:paraId="0E71F543" w14:textId="77777777" w:rsidR="00715306" w:rsidRDefault="00CF38CC" w:rsidP="001D72B5">
      <w:pPr>
        <w:spacing w:after="0" w:line="240" w:lineRule="auto"/>
        <w:ind w:firstLine="720"/>
        <w:jc w:val="both"/>
        <w:rPr>
          <w:lang w:val="en-ID"/>
        </w:rPr>
      </w:pPr>
      <w:r w:rsidRPr="00CF38CC">
        <w:rPr>
          <w:lang w:val="en-ID"/>
        </w:rPr>
        <w:t>Multicollinearity testing is used to determine if there are any issues between the independent variables in a regression model (</w:t>
      </w:r>
      <w:proofErr w:type="spellStart"/>
      <w:r w:rsidRPr="00CF38CC">
        <w:rPr>
          <w:lang w:val="en-ID"/>
        </w:rPr>
        <w:t>Sugiyono</w:t>
      </w:r>
      <w:proofErr w:type="spellEnd"/>
      <w:r w:rsidRPr="00CF38CC">
        <w:rPr>
          <w:lang w:val="en-ID"/>
        </w:rPr>
        <w:t>, 2019:79).</w:t>
      </w:r>
      <w:r>
        <w:rPr>
          <w:lang w:val="en-ID"/>
        </w:rPr>
        <w:t xml:space="preserve"> </w:t>
      </w:r>
    </w:p>
    <w:p w14:paraId="1A580140" w14:textId="77777777" w:rsidR="00715306" w:rsidRDefault="00715306" w:rsidP="001D72B5">
      <w:pPr>
        <w:spacing w:after="0" w:line="240" w:lineRule="auto"/>
        <w:ind w:firstLine="720"/>
        <w:jc w:val="both"/>
        <w:rPr>
          <w:lang w:val="en-ID"/>
        </w:rPr>
      </w:pPr>
    </w:p>
    <w:p w14:paraId="6F0C57D9" w14:textId="77777777" w:rsidR="00715306" w:rsidRDefault="00715306" w:rsidP="001D72B5">
      <w:pPr>
        <w:spacing w:after="0" w:line="240" w:lineRule="auto"/>
        <w:ind w:firstLine="720"/>
        <w:jc w:val="both"/>
        <w:rPr>
          <w:lang w:val="en-ID"/>
        </w:rPr>
      </w:pPr>
    </w:p>
    <w:p w14:paraId="71B9B104" w14:textId="77777777" w:rsidR="00715306" w:rsidRDefault="00715306" w:rsidP="001D72B5">
      <w:pPr>
        <w:spacing w:after="0" w:line="240" w:lineRule="auto"/>
        <w:ind w:firstLine="720"/>
        <w:jc w:val="both"/>
        <w:rPr>
          <w:lang w:val="en-ID"/>
        </w:rPr>
      </w:pPr>
    </w:p>
    <w:p w14:paraId="657C2A65" w14:textId="77777777" w:rsidR="00715306" w:rsidRDefault="00715306" w:rsidP="001D72B5">
      <w:pPr>
        <w:spacing w:after="0" w:line="240" w:lineRule="auto"/>
        <w:ind w:firstLine="720"/>
        <w:jc w:val="both"/>
        <w:rPr>
          <w:lang w:val="en-ID"/>
        </w:rPr>
      </w:pPr>
    </w:p>
    <w:p w14:paraId="4CFEA463" w14:textId="7C7735F2" w:rsidR="00715306" w:rsidRPr="00B91271" w:rsidRDefault="00715306" w:rsidP="00715306">
      <w:pPr>
        <w:spacing w:after="0" w:line="240" w:lineRule="auto"/>
        <w:jc w:val="center"/>
        <w:rPr>
          <w:b/>
          <w:bCs/>
          <w:lang w:val="en-ID"/>
        </w:rPr>
      </w:pPr>
      <w:proofErr w:type="gramStart"/>
      <w:r w:rsidRPr="00B91271">
        <w:rPr>
          <w:b/>
          <w:bCs/>
          <w:lang w:val="en-ID"/>
        </w:rPr>
        <w:t xml:space="preserve">Table </w:t>
      </w:r>
      <w:r w:rsidR="007F4D5F">
        <w:rPr>
          <w:b/>
          <w:bCs/>
          <w:lang w:val="en-ID"/>
        </w:rPr>
        <w:t>4</w:t>
      </w:r>
      <w:r w:rsidRPr="00B91271">
        <w:rPr>
          <w:b/>
          <w:bCs/>
          <w:lang w:val="en-ID"/>
        </w:rPr>
        <w:t>.</w:t>
      </w:r>
      <w:proofErr w:type="gramEnd"/>
      <w:r w:rsidRPr="00B91271">
        <w:rPr>
          <w:b/>
          <w:bCs/>
          <w:lang w:val="en-ID"/>
        </w:rPr>
        <w:t xml:space="preserve"> Results of Multicollinearity Test of Structure I</w:t>
      </w:r>
    </w:p>
    <w:p w14:paraId="3AD5CD0E" w14:textId="721D8168" w:rsidR="00715306" w:rsidRDefault="00715306" w:rsidP="001D72B5">
      <w:pPr>
        <w:spacing w:after="0" w:line="240" w:lineRule="auto"/>
        <w:ind w:firstLine="720"/>
        <w:jc w:val="both"/>
        <w:rPr>
          <w:lang w:val="en-ID"/>
        </w:rPr>
      </w:pPr>
      <w:r>
        <w:rPr>
          <w:noProof/>
          <w:lang w:eastAsia="id-ID"/>
        </w:rPr>
        <w:drawing>
          <wp:inline distT="0" distB="0" distL="0" distR="0" wp14:anchorId="70FA6724" wp14:editId="5153D3BA">
            <wp:extent cx="4123373" cy="25374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5036" cy="2538483"/>
                    </a:xfrm>
                    <a:prstGeom prst="rect">
                      <a:avLst/>
                    </a:prstGeom>
                    <a:noFill/>
                    <a:ln>
                      <a:noFill/>
                    </a:ln>
                  </pic:spPr>
                </pic:pic>
              </a:graphicData>
            </a:graphic>
          </wp:inline>
        </w:drawing>
      </w:r>
    </w:p>
    <w:p w14:paraId="24AFF58C" w14:textId="77777777" w:rsidR="00715306" w:rsidRDefault="00715306" w:rsidP="001D72B5">
      <w:pPr>
        <w:spacing w:after="0" w:line="240" w:lineRule="auto"/>
        <w:ind w:firstLine="720"/>
        <w:jc w:val="both"/>
        <w:rPr>
          <w:lang w:val="en-ID"/>
        </w:rPr>
      </w:pPr>
    </w:p>
    <w:p w14:paraId="22C9F177" w14:textId="77777777" w:rsidR="00B91271" w:rsidRDefault="00CF38CC" w:rsidP="001D72B5">
      <w:pPr>
        <w:spacing w:after="0" w:line="240" w:lineRule="auto"/>
        <w:ind w:firstLine="720"/>
        <w:jc w:val="both"/>
        <w:rPr>
          <w:lang w:val="en-ID"/>
        </w:rPr>
      </w:pPr>
      <w:r w:rsidRPr="00CF38CC">
        <w:rPr>
          <w:lang w:val="en-ID"/>
        </w:rPr>
        <w:t>For the variables Return on Asset (ROA), Net Profit Margin (NPM), Earnings Per Share (EPS), Economic Growth, Exchange Rate, and Inflation against Stock Prices (Structure I), the Variance Inflation Factor (VIF) for all variables was found to be less than 10, indicating that there are no multicollinearity issues.</w:t>
      </w:r>
    </w:p>
    <w:p w14:paraId="11C8CD3C" w14:textId="77777777" w:rsidR="007F4D5F" w:rsidRDefault="007F4D5F" w:rsidP="00B91271">
      <w:pPr>
        <w:spacing w:after="0" w:line="240" w:lineRule="auto"/>
        <w:jc w:val="center"/>
        <w:rPr>
          <w:b/>
          <w:bCs/>
          <w:lang w:val="en-ID"/>
        </w:rPr>
      </w:pPr>
    </w:p>
    <w:p w14:paraId="52BF36EC" w14:textId="77777777" w:rsidR="007F4D5F" w:rsidRDefault="007F4D5F" w:rsidP="00B91271">
      <w:pPr>
        <w:spacing w:after="0" w:line="240" w:lineRule="auto"/>
        <w:jc w:val="center"/>
        <w:rPr>
          <w:b/>
          <w:bCs/>
          <w:lang w:val="en-ID"/>
        </w:rPr>
      </w:pPr>
    </w:p>
    <w:p w14:paraId="0FCAA5D9" w14:textId="77777777" w:rsidR="007F4D5F" w:rsidRDefault="007F4D5F" w:rsidP="00B91271">
      <w:pPr>
        <w:spacing w:after="0" w:line="240" w:lineRule="auto"/>
        <w:jc w:val="center"/>
        <w:rPr>
          <w:b/>
          <w:bCs/>
          <w:lang w:val="en-ID"/>
        </w:rPr>
      </w:pPr>
    </w:p>
    <w:p w14:paraId="4C66BD05" w14:textId="77777777" w:rsidR="007F4D5F" w:rsidRDefault="007F4D5F" w:rsidP="00B91271">
      <w:pPr>
        <w:spacing w:after="0" w:line="240" w:lineRule="auto"/>
        <w:jc w:val="center"/>
        <w:rPr>
          <w:b/>
          <w:bCs/>
          <w:lang w:val="en-ID"/>
        </w:rPr>
      </w:pPr>
    </w:p>
    <w:p w14:paraId="4CEEB97B" w14:textId="77777777" w:rsidR="007F4D5F" w:rsidRDefault="007F4D5F" w:rsidP="00B91271">
      <w:pPr>
        <w:spacing w:after="0" w:line="240" w:lineRule="auto"/>
        <w:jc w:val="center"/>
        <w:rPr>
          <w:b/>
          <w:bCs/>
          <w:lang w:val="en-ID"/>
        </w:rPr>
      </w:pPr>
    </w:p>
    <w:p w14:paraId="37BBE675" w14:textId="6C3338D6" w:rsidR="00B91271" w:rsidRPr="00B91271" w:rsidRDefault="00B91271" w:rsidP="00B91271">
      <w:pPr>
        <w:spacing w:after="0" w:line="240" w:lineRule="auto"/>
        <w:jc w:val="center"/>
        <w:rPr>
          <w:b/>
          <w:bCs/>
          <w:lang w:val="en-ID"/>
        </w:rPr>
      </w:pPr>
      <w:proofErr w:type="gramStart"/>
      <w:r w:rsidRPr="00B91271">
        <w:rPr>
          <w:b/>
          <w:bCs/>
          <w:lang w:val="en-ID"/>
        </w:rPr>
        <w:lastRenderedPageBreak/>
        <w:t xml:space="preserve">Table </w:t>
      </w:r>
      <w:r w:rsidR="007F4D5F">
        <w:rPr>
          <w:b/>
          <w:bCs/>
          <w:lang w:val="en-ID"/>
        </w:rPr>
        <w:t>5</w:t>
      </w:r>
      <w:r w:rsidRPr="00B91271">
        <w:rPr>
          <w:b/>
          <w:bCs/>
          <w:lang w:val="en-ID"/>
        </w:rPr>
        <w:t>.</w:t>
      </w:r>
      <w:proofErr w:type="gramEnd"/>
      <w:r w:rsidRPr="00B91271">
        <w:rPr>
          <w:b/>
          <w:bCs/>
          <w:lang w:val="en-ID"/>
        </w:rPr>
        <w:t xml:space="preserve"> Results of the Multicollinearity Test of Structure II</w:t>
      </w:r>
    </w:p>
    <w:p w14:paraId="09F19514" w14:textId="514C46B8" w:rsidR="00B91271" w:rsidRDefault="00B91271" w:rsidP="001D72B5">
      <w:pPr>
        <w:spacing w:after="0" w:line="240" w:lineRule="auto"/>
        <w:ind w:firstLine="720"/>
        <w:jc w:val="both"/>
        <w:rPr>
          <w:lang w:val="en-ID"/>
        </w:rPr>
      </w:pPr>
      <w:r>
        <w:rPr>
          <w:noProof/>
          <w:lang w:eastAsia="id-ID"/>
        </w:rPr>
        <w:drawing>
          <wp:inline distT="0" distB="0" distL="0" distR="0" wp14:anchorId="7641F368" wp14:editId="5B23D291">
            <wp:extent cx="4509547" cy="185166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5622" cy="1866473"/>
                    </a:xfrm>
                    <a:prstGeom prst="rect">
                      <a:avLst/>
                    </a:prstGeom>
                    <a:noFill/>
                    <a:ln>
                      <a:noFill/>
                    </a:ln>
                  </pic:spPr>
                </pic:pic>
              </a:graphicData>
            </a:graphic>
          </wp:inline>
        </w:drawing>
      </w:r>
    </w:p>
    <w:p w14:paraId="1B64D5C3" w14:textId="77777777" w:rsidR="00B91271" w:rsidRDefault="00B91271" w:rsidP="001D72B5">
      <w:pPr>
        <w:spacing w:after="0" w:line="240" w:lineRule="auto"/>
        <w:ind w:firstLine="720"/>
        <w:jc w:val="both"/>
        <w:rPr>
          <w:lang w:val="en-ID"/>
        </w:rPr>
      </w:pPr>
    </w:p>
    <w:p w14:paraId="73C1B25A" w14:textId="0B985686" w:rsidR="00FA13E8" w:rsidRDefault="00CF38CC" w:rsidP="001D72B5">
      <w:pPr>
        <w:spacing w:after="0" w:line="240" w:lineRule="auto"/>
        <w:ind w:firstLine="720"/>
        <w:jc w:val="both"/>
        <w:rPr>
          <w:lang w:val="en-ID"/>
        </w:rPr>
      </w:pPr>
      <w:r>
        <w:rPr>
          <w:lang w:val="en-ID"/>
        </w:rPr>
        <w:t xml:space="preserve"> </w:t>
      </w:r>
      <w:r w:rsidRPr="00CF38CC">
        <w:rPr>
          <w:lang w:val="en-ID"/>
        </w:rPr>
        <w:t xml:space="preserve">Similarly, for the relationship between Stock Prices and Company </w:t>
      </w:r>
      <w:proofErr w:type="gramStart"/>
      <w:r w:rsidRPr="00CF38CC">
        <w:rPr>
          <w:lang w:val="en-ID"/>
        </w:rPr>
        <w:t>Value</w:t>
      </w:r>
      <w:proofErr w:type="gramEnd"/>
      <w:r w:rsidRPr="00CF38CC">
        <w:rPr>
          <w:lang w:val="en-ID"/>
        </w:rPr>
        <w:t>, all variables also had VIF values below 10, confirming that there are no multicollinearity issues present.</w:t>
      </w:r>
    </w:p>
    <w:p w14:paraId="68E42805" w14:textId="77777777" w:rsidR="00FA13E8" w:rsidRPr="002E2D0A" w:rsidRDefault="00FA13E8" w:rsidP="001D72B5">
      <w:pPr>
        <w:spacing w:after="0" w:line="240" w:lineRule="auto"/>
        <w:ind w:firstLine="720"/>
        <w:jc w:val="both"/>
        <w:rPr>
          <w:lang w:val="en-ID"/>
        </w:rPr>
      </w:pPr>
    </w:p>
    <w:p w14:paraId="13E03571" w14:textId="38532522" w:rsidR="00FA13E8" w:rsidRDefault="00B103B7" w:rsidP="001D72B5">
      <w:pPr>
        <w:spacing w:after="0" w:line="240" w:lineRule="auto"/>
        <w:jc w:val="both"/>
        <w:rPr>
          <w:b/>
          <w:bCs/>
          <w:lang w:val="en-ID"/>
        </w:rPr>
      </w:pPr>
      <w:r>
        <w:rPr>
          <w:b/>
          <w:bCs/>
          <w:lang w:val="en-ID"/>
        </w:rPr>
        <w:t>3</w:t>
      </w:r>
      <w:r w:rsidR="00FA13E8">
        <w:rPr>
          <w:b/>
          <w:bCs/>
          <w:lang w:val="en-ID"/>
        </w:rPr>
        <w:t xml:space="preserve">. </w:t>
      </w:r>
      <w:r w:rsidR="00FA13E8" w:rsidRPr="002E2D0A">
        <w:rPr>
          <w:b/>
          <w:bCs/>
          <w:lang w:val="en-ID"/>
        </w:rPr>
        <w:t>Heteroscedasticity Test</w:t>
      </w:r>
    </w:p>
    <w:p w14:paraId="367BBFE9" w14:textId="1415403D" w:rsidR="00B91271" w:rsidRPr="00B91271" w:rsidRDefault="00B91271" w:rsidP="00B91271">
      <w:pPr>
        <w:spacing w:after="0" w:line="240" w:lineRule="auto"/>
        <w:ind w:firstLine="720"/>
        <w:jc w:val="both"/>
        <w:rPr>
          <w:lang w:val="en-ID"/>
        </w:rPr>
      </w:pPr>
      <w:r w:rsidRPr="00B91271">
        <w:rPr>
          <w:lang w:val="en-ID"/>
        </w:rPr>
        <w:t xml:space="preserve">The heteroscedasticity test for the variables Return </w:t>
      </w:r>
      <w:proofErr w:type="gramStart"/>
      <w:r w:rsidRPr="00B91271">
        <w:rPr>
          <w:lang w:val="en-ID"/>
        </w:rPr>
        <w:t>On</w:t>
      </w:r>
      <w:proofErr w:type="gramEnd"/>
      <w:r w:rsidRPr="00B91271">
        <w:rPr>
          <w:lang w:val="en-ID"/>
        </w:rPr>
        <w:t xml:space="preserve"> Assets (ROA), Net Profit Margin (NPM), Earnings Per Share (EPS), Economic Growth, Exchange Rate, and Inflation on Stock Prices can be seen in the following image:</w:t>
      </w:r>
    </w:p>
    <w:p w14:paraId="0D400AB4" w14:textId="77777777" w:rsidR="00CF38CC" w:rsidRDefault="00CF38CC" w:rsidP="001D72B5">
      <w:pPr>
        <w:spacing w:after="0" w:line="240" w:lineRule="auto"/>
        <w:jc w:val="both"/>
        <w:rPr>
          <w:b/>
          <w:bCs/>
          <w:lang w:val="en-ID"/>
        </w:rPr>
      </w:pPr>
    </w:p>
    <w:p w14:paraId="4458AA49" w14:textId="35CDCFDF" w:rsidR="00B91271" w:rsidRDefault="00B91271" w:rsidP="00B91271">
      <w:pPr>
        <w:spacing w:after="0" w:line="240" w:lineRule="auto"/>
        <w:jc w:val="center"/>
        <w:rPr>
          <w:b/>
          <w:bCs/>
          <w:lang w:val="en-ID"/>
        </w:rPr>
      </w:pPr>
      <w:r>
        <w:rPr>
          <w:rFonts w:ascii="Times New Roman" w:eastAsia="Times New Roman" w:hAnsi="Times New Roman" w:cs="Times New Roman"/>
          <w:b/>
          <w:sz w:val="24"/>
          <w:szCs w:val="24"/>
        </w:rPr>
        <w:t xml:space="preserve">Table </w:t>
      </w:r>
      <w:r w:rsidR="007F4D5F">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7B2730" w:rsidRPr="007B2730">
        <w:rPr>
          <w:b/>
          <w:bCs/>
          <w:lang w:val="en-ID"/>
        </w:rPr>
        <w:t>Heteroscedasticity Test Results of Structure I</w:t>
      </w:r>
    </w:p>
    <w:p w14:paraId="050189CE" w14:textId="12ABD087" w:rsidR="00FA13E8" w:rsidRPr="00B1516B" w:rsidRDefault="00CF38CC" w:rsidP="001D72B5">
      <w:pPr>
        <w:spacing w:after="0" w:line="240" w:lineRule="auto"/>
        <w:jc w:val="center"/>
        <w:rPr>
          <w:b/>
          <w:bCs/>
          <w:lang w:val="en-ID"/>
        </w:rPr>
      </w:pPr>
      <w:r>
        <w:rPr>
          <w:noProof/>
          <w:lang w:eastAsia="id-ID"/>
        </w:rPr>
        <w:drawing>
          <wp:inline distT="0" distB="0" distL="0" distR="0" wp14:anchorId="3FCFF98A" wp14:editId="28A50032">
            <wp:extent cx="4866174" cy="1173480"/>
            <wp:effectExtent l="0" t="0" r="0" b="7620"/>
            <wp:docPr id="11356" name="Picture 1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71414" cy="1174744"/>
                    </a:xfrm>
                    <a:prstGeom prst="rect">
                      <a:avLst/>
                    </a:prstGeom>
                  </pic:spPr>
                </pic:pic>
              </a:graphicData>
            </a:graphic>
          </wp:inline>
        </w:drawing>
      </w:r>
    </w:p>
    <w:p w14:paraId="39514578" w14:textId="77777777" w:rsidR="00FA13E8" w:rsidRDefault="00FA13E8" w:rsidP="001D72B5">
      <w:pPr>
        <w:spacing w:after="0" w:line="240" w:lineRule="auto"/>
        <w:jc w:val="center"/>
        <w:rPr>
          <w:b/>
          <w:bCs/>
          <w:lang w:val="en-ID"/>
        </w:rPr>
      </w:pPr>
    </w:p>
    <w:p w14:paraId="017BC6DC" w14:textId="0A6F8A13" w:rsidR="00FA13E8" w:rsidRDefault="007B2730" w:rsidP="007B2730">
      <w:pPr>
        <w:spacing w:after="0" w:line="240" w:lineRule="auto"/>
        <w:ind w:firstLine="720"/>
        <w:jc w:val="both"/>
        <w:rPr>
          <w:lang w:val="en-ID"/>
        </w:rPr>
      </w:pPr>
      <w:r w:rsidRPr="007B2730">
        <w:rPr>
          <w:lang w:val="en-ID"/>
        </w:rPr>
        <w:t xml:space="preserve">Based on </w:t>
      </w:r>
      <w:r>
        <w:rPr>
          <w:lang w:val="en-ID"/>
        </w:rPr>
        <w:t>Table 3</w:t>
      </w:r>
      <w:r w:rsidRPr="007B2730">
        <w:rPr>
          <w:lang w:val="en-ID"/>
        </w:rPr>
        <w:t xml:space="preserve"> above, the p-value, represented by the Prob. chi-</w:t>
      </w:r>
      <w:proofErr w:type="gramStart"/>
      <w:r w:rsidRPr="007B2730">
        <w:rPr>
          <w:lang w:val="en-ID"/>
        </w:rPr>
        <w:t>square(</w:t>
      </w:r>
      <w:proofErr w:type="gramEnd"/>
      <w:r w:rsidRPr="007B2730">
        <w:rPr>
          <w:lang w:val="en-ID"/>
        </w:rPr>
        <w:t xml:space="preserve">2) value in </w:t>
      </w:r>
      <w:proofErr w:type="spellStart"/>
      <w:r w:rsidRPr="007B2730">
        <w:rPr>
          <w:lang w:val="en-ID"/>
        </w:rPr>
        <w:t>Obs</w:t>
      </w:r>
      <w:proofErr w:type="spellEnd"/>
      <w:r w:rsidRPr="007B2730">
        <w:rPr>
          <w:lang w:val="en-ID"/>
        </w:rPr>
        <w:t>*R-Squared, is 0.4086. Since the p-value of 0.4086 is greater than 0.05, it indicates that the regression model exhibits homoscedasticity, meaning there is no issue with the assumption of non-heteroscedasticity.</w:t>
      </w:r>
    </w:p>
    <w:p w14:paraId="56E3AB49" w14:textId="794565F6" w:rsidR="007B2730" w:rsidRPr="00EA4DC2" w:rsidRDefault="00EA4DC2" w:rsidP="007B2730">
      <w:pPr>
        <w:spacing w:after="0" w:line="240" w:lineRule="auto"/>
        <w:jc w:val="center"/>
        <w:rPr>
          <w:b/>
          <w:bCs/>
          <w:lang w:val="en-ID"/>
        </w:rPr>
      </w:pPr>
      <w:proofErr w:type="gramStart"/>
      <w:r w:rsidRPr="00EA4DC2">
        <w:rPr>
          <w:b/>
          <w:bCs/>
          <w:lang w:val="en-ID"/>
        </w:rPr>
        <w:t xml:space="preserve">Table </w:t>
      </w:r>
      <w:r w:rsidR="007F4D5F">
        <w:rPr>
          <w:b/>
          <w:bCs/>
          <w:lang w:val="en-ID"/>
        </w:rPr>
        <w:t>7</w:t>
      </w:r>
      <w:r w:rsidRPr="00EA4DC2">
        <w:rPr>
          <w:b/>
          <w:bCs/>
          <w:lang w:val="en-ID"/>
        </w:rPr>
        <w:t>.</w:t>
      </w:r>
      <w:proofErr w:type="gramEnd"/>
      <w:r w:rsidRPr="00EA4DC2">
        <w:rPr>
          <w:b/>
          <w:bCs/>
          <w:lang w:val="en-ID"/>
        </w:rPr>
        <w:t xml:space="preserve"> Results of Heteroscedasticity Test of Structure II</w:t>
      </w:r>
    </w:p>
    <w:p w14:paraId="3CD3C9DF" w14:textId="77777777" w:rsidR="007B2730" w:rsidRDefault="007B2730" w:rsidP="007B2730">
      <w:pPr>
        <w:spacing w:after="0" w:line="240" w:lineRule="auto"/>
        <w:ind w:firstLine="720"/>
        <w:jc w:val="both"/>
        <w:rPr>
          <w:lang w:val="en-ID"/>
        </w:rPr>
      </w:pPr>
    </w:p>
    <w:p w14:paraId="2D802523" w14:textId="0E31A9B1" w:rsidR="007B2730" w:rsidRDefault="007B2730" w:rsidP="007B2730">
      <w:pPr>
        <w:spacing w:after="0" w:line="240" w:lineRule="auto"/>
        <w:jc w:val="center"/>
        <w:rPr>
          <w:lang w:val="en-ID"/>
        </w:rPr>
      </w:pPr>
      <w:r>
        <w:rPr>
          <w:noProof/>
          <w:lang w:eastAsia="id-ID"/>
        </w:rPr>
        <w:drawing>
          <wp:inline distT="0" distB="0" distL="0" distR="0" wp14:anchorId="2247B3D5" wp14:editId="33CAC5A0">
            <wp:extent cx="4734394" cy="1363980"/>
            <wp:effectExtent l="0" t="0" r="9525" b="7620"/>
            <wp:docPr id="11357" name="Picture 1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48361" cy="1368004"/>
                    </a:xfrm>
                    <a:prstGeom prst="rect">
                      <a:avLst/>
                    </a:prstGeom>
                  </pic:spPr>
                </pic:pic>
              </a:graphicData>
            </a:graphic>
          </wp:inline>
        </w:drawing>
      </w:r>
    </w:p>
    <w:p w14:paraId="0F5E27D5" w14:textId="77777777" w:rsidR="007B2730" w:rsidRDefault="007B2730" w:rsidP="007B2730">
      <w:pPr>
        <w:spacing w:after="0" w:line="240" w:lineRule="auto"/>
        <w:ind w:firstLine="720"/>
        <w:jc w:val="both"/>
        <w:rPr>
          <w:lang w:val="en-ID"/>
        </w:rPr>
      </w:pPr>
    </w:p>
    <w:p w14:paraId="66FBE761" w14:textId="24D79020" w:rsidR="00EA4DC2" w:rsidRPr="00EA4DC2" w:rsidRDefault="00EA4DC2" w:rsidP="00EA4DC2">
      <w:pPr>
        <w:spacing w:after="0" w:line="240" w:lineRule="auto"/>
        <w:ind w:firstLine="720"/>
        <w:jc w:val="both"/>
        <w:rPr>
          <w:lang w:val="en-ID"/>
        </w:rPr>
      </w:pPr>
      <w:r w:rsidRPr="00EA4DC2">
        <w:rPr>
          <w:lang w:val="en-ID"/>
        </w:rPr>
        <w:t xml:space="preserve">Based on </w:t>
      </w:r>
      <w:r>
        <w:rPr>
          <w:lang w:val="en-ID"/>
        </w:rPr>
        <w:t>Table 4</w:t>
      </w:r>
      <w:r w:rsidRPr="00EA4DC2">
        <w:rPr>
          <w:lang w:val="en-ID"/>
        </w:rPr>
        <w:t xml:space="preserve"> above, the p-value, represented by the Prob. chi-</w:t>
      </w:r>
      <w:proofErr w:type="gramStart"/>
      <w:r w:rsidRPr="00EA4DC2">
        <w:rPr>
          <w:lang w:val="en-ID"/>
        </w:rPr>
        <w:t>square(</w:t>
      </w:r>
      <w:proofErr w:type="gramEnd"/>
      <w:r w:rsidRPr="00EA4DC2">
        <w:rPr>
          <w:lang w:val="en-ID"/>
        </w:rPr>
        <w:t xml:space="preserve">2) value in </w:t>
      </w:r>
      <w:proofErr w:type="spellStart"/>
      <w:r w:rsidRPr="00EA4DC2">
        <w:rPr>
          <w:lang w:val="en-ID"/>
        </w:rPr>
        <w:t>Obs</w:t>
      </w:r>
      <w:proofErr w:type="spellEnd"/>
      <w:r w:rsidRPr="00EA4DC2">
        <w:rPr>
          <w:lang w:val="en-ID"/>
        </w:rPr>
        <w:t>*R-Squared, is 0.8833. Since the p-value of 0.8833 is greater than 0.05, it indicates that the regression model exhibits homoscedasticity, meaning there is no issue with the assumption of non-heteroscedasticity.</w:t>
      </w:r>
    </w:p>
    <w:p w14:paraId="4632AC5E" w14:textId="77777777" w:rsidR="007B2730" w:rsidRDefault="007B2730" w:rsidP="007B2730">
      <w:pPr>
        <w:spacing w:after="0" w:line="240" w:lineRule="auto"/>
        <w:ind w:firstLine="720"/>
        <w:jc w:val="both"/>
        <w:rPr>
          <w:lang w:val="en-ID"/>
        </w:rPr>
      </w:pPr>
    </w:p>
    <w:p w14:paraId="50AD3E63" w14:textId="77777777" w:rsidR="007B2730" w:rsidRDefault="007B2730" w:rsidP="007B2730">
      <w:pPr>
        <w:spacing w:after="0" w:line="240" w:lineRule="auto"/>
        <w:ind w:firstLine="720"/>
        <w:jc w:val="both"/>
        <w:rPr>
          <w:lang w:val="en-ID"/>
        </w:rPr>
      </w:pPr>
    </w:p>
    <w:p w14:paraId="06573590" w14:textId="67C06C2B" w:rsidR="00EA4DC2" w:rsidRDefault="00EA4DC2" w:rsidP="00EA4DC2">
      <w:pPr>
        <w:spacing w:after="0" w:line="240" w:lineRule="auto"/>
        <w:jc w:val="both"/>
        <w:rPr>
          <w:b/>
          <w:bCs/>
          <w:lang w:val="en-ID"/>
        </w:rPr>
      </w:pPr>
    </w:p>
    <w:p w14:paraId="04888A44" w14:textId="3FB775A1" w:rsidR="00FA13E8" w:rsidRPr="00492524" w:rsidRDefault="00B36CAE" w:rsidP="001D72B5">
      <w:pPr>
        <w:spacing w:after="0" w:line="240" w:lineRule="auto"/>
        <w:jc w:val="both"/>
        <w:rPr>
          <w:b/>
          <w:bCs/>
          <w:lang w:val="en-ID"/>
        </w:rPr>
      </w:pPr>
      <w:r>
        <w:rPr>
          <w:b/>
          <w:bCs/>
          <w:lang w:val="en-ID"/>
        </w:rPr>
        <w:lastRenderedPageBreak/>
        <w:t xml:space="preserve">D. </w:t>
      </w:r>
      <w:r w:rsidR="00FA13E8" w:rsidRPr="00492524">
        <w:rPr>
          <w:b/>
          <w:bCs/>
          <w:lang w:val="en-ID"/>
        </w:rPr>
        <w:t>Multiple Linear Regression Analysis</w:t>
      </w:r>
    </w:p>
    <w:p w14:paraId="5164996F" w14:textId="77777777" w:rsidR="00B103B7" w:rsidRDefault="00B103B7" w:rsidP="001D72B5">
      <w:pPr>
        <w:spacing w:after="0" w:line="240" w:lineRule="auto"/>
        <w:jc w:val="center"/>
        <w:rPr>
          <w:lang w:val="en-ID"/>
        </w:rPr>
      </w:pPr>
    </w:p>
    <w:p w14:paraId="2BDFC98B" w14:textId="0FF27A38" w:rsidR="00FA13E8" w:rsidRDefault="00FA13E8" w:rsidP="001D72B5">
      <w:pPr>
        <w:spacing w:after="0" w:line="240" w:lineRule="auto"/>
        <w:jc w:val="center"/>
        <w:rPr>
          <w:rFonts w:ascii="Times New Roman" w:eastAsia="Times New Roman" w:hAnsi="Times New Roman" w:cs="Times New Roman"/>
          <w:b/>
          <w:sz w:val="24"/>
          <w:szCs w:val="24"/>
          <w:lang w:val="en-ID"/>
        </w:rPr>
      </w:pPr>
      <w:proofErr w:type="gramStart"/>
      <w:r>
        <w:rPr>
          <w:rFonts w:ascii="Times New Roman" w:eastAsia="Times New Roman" w:hAnsi="Times New Roman" w:cs="Times New Roman"/>
          <w:b/>
          <w:sz w:val="24"/>
          <w:szCs w:val="24"/>
          <w:lang w:val="en-ID"/>
        </w:rPr>
        <w:t>Table 4.</w:t>
      </w:r>
      <w:proofErr w:type="gramEnd"/>
      <w:r>
        <w:rPr>
          <w:rFonts w:ascii="Times New Roman" w:eastAsia="Times New Roman" w:hAnsi="Times New Roman" w:cs="Times New Roman"/>
          <w:b/>
          <w:sz w:val="24"/>
          <w:szCs w:val="24"/>
          <w:lang w:val="en-ID"/>
        </w:rPr>
        <w:t xml:space="preserve"> </w:t>
      </w:r>
      <w:r w:rsidR="00451909" w:rsidRPr="00451909">
        <w:rPr>
          <w:rFonts w:ascii="Times New Roman" w:eastAsia="Times New Roman" w:hAnsi="Times New Roman" w:cs="Times New Roman"/>
          <w:b/>
          <w:sz w:val="24"/>
          <w:szCs w:val="24"/>
          <w:lang w:val="en-ID"/>
        </w:rPr>
        <w:t>Multiple Linear Regression Results with Common Effect Model Structure 1</w:t>
      </w:r>
    </w:p>
    <w:tbl>
      <w:tblPr>
        <w:tblW w:w="5000" w:type="pct"/>
        <w:tblCellMar>
          <w:left w:w="0" w:type="dxa"/>
          <w:right w:w="0" w:type="dxa"/>
        </w:tblCellMar>
        <w:tblLook w:val="0000" w:firstRow="0" w:lastRow="0" w:firstColumn="0" w:lastColumn="0" w:noHBand="0" w:noVBand="0"/>
      </w:tblPr>
      <w:tblGrid>
        <w:gridCol w:w="2785"/>
        <w:gridCol w:w="1524"/>
        <w:gridCol w:w="1670"/>
        <w:gridCol w:w="1668"/>
        <w:gridCol w:w="1379"/>
      </w:tblGrid>
      <w:tr w:rsidR="00B103B7" w:rsidRPr="00B103B7" w14:paraId="1A4F507F" w14:textId="77777777" w:rsidTr="00B103B7">
        <w:trPr>
          <w:trHeight w:hRule="exact" w:val="80"/>
        </w:trPr>
        <w:tc>
          <w:tcPr>
            <w:tcW w:w="1543" w:type="pct"/>
            <w:tcBorders>
              <w:top w:val="nil"/>
              <w:left w:val="nil"/>
              <w:bottom w:val="double" w:sz="6" w:space="2" w:color="auto"/>
              <w:right w:val="nil"/>
            </w:tcBorders>
            <w:vAlign w:val="bottom"/>
          </w:tcPr>
          <w:p w14:paraId="634EF279"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double" w:sz="6" w:space="2" w:color="auto"/>
              <w:right w:val="nil"/>
            </w:tcBorders>
            <w:vAlign w:val="bottom"/>
          </w:tcPr>
          <w:p w14:paraId="66B8F887"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double" w:sz="6" w:space="2" w:color="auto"/>
              <w:right w:val="nil"/>
            </w:tcBorders>
            <w:vAlign w:val="bottom"/>
          </w:tcPr>
          <w:p w14:paraId="61233473"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double" w:sz="6" w:space="2" w:color="auto"/>
              <w:right w:val="nil"/>
            </w:tcBorders>
            <w:vAlign w:val="bottom"/>
          </w:tcPr>
          <w:p w14:paraId="1E9FFEB7"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double" w:sz="6" w:space="2" w:color="auto"/>
              <w:right w:val="nil"/>
            </w:tcBorders>
            <w:vAlign w:val="bottom"/>
          </w:tcPr>
          <w:p w14:paraId="7AFB6B46"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56455E06" w14:textId="77777777" w:rsidTr="00B103B7">
        <w:trPr>
          <w:trHeight w:hRule="exact" w:val="120"/>
        </w:trPr>
        <w:tc>
          <w:tcPr>
            <w:tcW w:w="1543" w:type="pct"/>
            <w:tcBorders>
              <w:top w:val="nil"/>
              <w:left w:val="nil"/>
              <w:bottom w:val="nil"/>
              <w:right w:val="nil"/>
            </w:tcBorders>
            <w:vAlign w:val="bottom"/>
          </w:tcPr>
          <w:p w14:paraId="6FCFD98C"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nil"/>
              <w:right w:val="nil"/>
            </w:tcBorders>
            <w:vAlign w:val="bottom"/>
          </w:tcPr>
          <w:p w14:paraId="13D9BFA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nil"/>
              <w:right w:val="nil"/>
            </w:tcBorders>
            <w:vAlign w:val="bottom"/>
          </w:tcPr>
          <w:p w14:paraId="239A43CF"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nil"/>
              <w:right w:val="nil"/>
            </w:tcBorders>
            <w:vAlign w:val="bottom"/>
          </w:tcPr>
          <w:p w14:paraId="70282361"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nil"/>
              <w:right w:val="nil"/>
            </w:tcBorders>
            <w:vAlign w:val="bottom"/>
          </w:tcPr>
          <w:p w14:paraId="4EE22F82"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2D206D36" w14:textId="77777777" w:rsidTr="00B103B7">
        <w:trPr>
          <w:trHeight w:val="201"/>
        </w:trPr>
        <w:tc>
          <w:tcPr>
            <w:tcW w:w="1543" w:type="pct"/>
            <w:tcBorders>
              <w:top w:val="nil"/>
              <w:left w:val="nil"/>
              <w:bottom w:val="nil"/>
              <w:right w:val="nil"/>
            </w:tcBorders>
            <w:vAlign w:val="bottom"/>
          </w:tcPr>
          <w:p w14:paraId="3E34F72D"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Variable</w:t>
            </w:r>
          </w:p>
        </w:tc>
        <w:tc>
          <w:tcPr>
            <w:tcW w:w="844" w:type="pct"/>
            <w:tcBorders>
              <w:top w:val="nil"/>
              <w:left w:val="nil"/>
              <w:bottom w:val="nil"/>
              <w:right w:val="nil"/>
            </w:tcBorders>
            <w:vAlign w:val="bottom"/>
          </w:tcPr>
          <w:p w14:paraId="10FB61E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Coefficient</w:t>
            </w:r>
          </w:p>
        </w:tc>
        <w:tc>
          <w:tcPr>
            <w:tcW w:w="925" w:type="pct"/>
            <w:tcBorders>
              <w:top w:val="nil"/>
              <w:left w:val="nil"/>
              <w:bottom w:val="nil"/>
              <w:right w:val="nil"/>
            </w:tcBorders>
            <w:vAlign w:val="bottom"/>
          </w:tcPr>
          <w:p w14:paraId="16E690C4"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Std. Error</w:t>
            </w:r>
          </w:p>
        </w:tc>
        <w:tc>
          <w:tcPr>
            <w:tcW w:w="924" w:type="pct"/>
            <w:tcBorders>
              <w:top w:val="nil"/>
              <w:left w:val="nil"/>
              <w:bottom w:val="nil"/>
              <w:right w:val="nil"/>
            </w:tcBorders>
            <w:vAlign w:val="bottom"/>
          </w:tcPr>
          <w:p w14:paraId="264C6022"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t-Statistic</w:t>
            </w:r>
          </w:p>
        </w:tc>
        <w:tc>
          <w:tcPr>
            <w:tcW w:w="764" w:type="pct"/>
            <w:tcBorders>
              <w:top w:val="nil"/>
              <w:left w:val="nil"/>
              <w:bottom w:val="nil"/>
              <w:right w:val="nil"/>
            </w:tcBorders>
            <w:vAlign w:val="bottom"/>
          </w:tcPr>
          <w:p w14:paraId="5B10C347"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Prob.  </w:t>
            </w:r>
          </w:p>
        </w:tc>
      </w:tr>
      <w:tr w:rsidR="00B103B7" w:rsidRPr="00B103B7" w14:paraId="1B7F1EBB" w14:textId="77777777" w:rsidTr="00B103B7">
        <w:trPr>
          <w:trHeight w:hRule="exact" w:val="80"/>
        </w:trPr>
        <w:tc>
          <w:tcPr>
            <w:tcW w:w="1543" w:type="pct"/>
            <w:tcBorders>
              <w:top w:val="nil"/>
              <w:left w:val="nil"/>
              <w:bottom w:val="double" w:sz="6" w:space="2" w:color="auto"/>
              <w:right w:val="nil"/>
            </w:tcBorders>
            <w:vAlign w:val="bottom"/>
          </w:tcPr>
          <w:p w14:paraId="500A721B"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double" w:sz="6" w:space="2" w:color="auto"/>
              <w:right w:val="nil"/>
            </w:tcBorders>
            <w:vAlign w:val="bottom"/>
          </w:tcPr>
          <w:p w14:paraId="3BC84635"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double" w:sz="6" w:space="2" w:color="auto"/>
              <w:right w:val="nil"/>
            </w:tcBorders>
            <w:vAlign w:val="bottom"/>
          </w:tcPr>
          <w:p w14:paraId="0D3A3546"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double" w:sz="6" w:space="2" w:color="auto"/>
              <w:right w:val="nil"/>
            </w:tcBorders>
            <w:vAlign w:val="bottom"/>
          </w:tcPr>
          <w:p w14:paraId="0D1A85FD"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double" w:sz="6" w:space="2" w:color="auto"/>
              <w:right w:val="nil"/>
            </w:tcBorders>
            <w:vAlign w:val="bottom"/>
          </w:tcPr>
          <w:p w14:paraId="4D93004B"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31FD095A" w14:textId="77777777" w:rsidTr="00B103B7">
        <w:trPr>
          <w:trHeight w:hRule="exact" w:val="120"/>
        </w:trPr>
        <w:tc>
          <w:tcPr>
            <w:tcW w:w="1543" w:type="pct"/>
            <w:tcBorders>
              <w:top w:val="nil"/>
              <w:left w:val="nil"/>
              <w:bottom w:val="nil"/>
              <w:right w:val="nil"/>
            </w:tcBorders>
            <w:vAlign w:val="bottom"/>
          </w:tcPr>
          <w:p w14:paraId="76CAAB7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nil"/>
              <w:right w:val="nil"/>
            </w:tcBorders>
            <w:vAlign w:val="bottom"/>
          </w:tcPr>
          <w:p w14:paraId="58211BFE"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nil"/>
              <w:right w:val="nil"/>
            </w:tcBorders>
            <w:vAlign w:val="bottom"/>
          </w:tcPr>
          <w:p w14:paraId="093BD3CA"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nil"/>
              <w:right w:val="nil"/>
            </w:tcBorders>
            <w:vAlign w:val="bottom"/>
          </w:tcPr>
          <w:p w14:paraId="5738B12A"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nil"/>
              <w:right w:val="nil"/>
            </w:tcBorders>
            <w:vAlign w:val="bottom"/>
          </w:tcPr>
          <w:p w14:paraId="34F18EB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42D84915" w14:textId="77777777" w:rsidTr="00B103B7">
        <w:trPr>
          <w:trHeight w:val="201"/>
        </w:trPr>
        <w:tc>
          <w:tcPr>
            <w:tcW w:w="1543" w:type="pct"/>
            <w:tcBorders>
              <w:top w:val="nil"/>
              <w:left w:val="nil"/>
              <w:bottom w:val="nil"/>
              <w:right w:val="nil"/>
            </w:tcBorders>
            <w:vAlign w:val="bottom"/>
          </w:tcPr>
          <w:p w14:paraId="535C99BC"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C</w:t>
            </w:r>
          </w:p>
        </w:tc>
        <w:tc>
          <w:tcPr>
            <w:tcW w:w="844" w:type="pct"/>
            <w:tcBorders>
              <w:top w:val="nil"/>
              <w:left w:val="nil"/>
              <w:bottom w:val="nil"/>
              <w:right w:val="nil"/>
            </w:tcBorders>
            <w:vAlign w:val="bottom"/>
          </w:tcPr>
          <w:p w14:paraId="2282AB8C"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21.56326</w:t>
            </w:r>
          </w:p>
        </w:tc>
        <w:tc>
          <w:tcPr>
            <w:tcW w:w="925" w:type="pct"/>
            <w:tcBorders>
              <w:top w:val="nil"/>
              <w:left w:val="nil"/>
              <w:bottom w:val="nil"/>
              <w:right w:val="nil"/>
            </w:tcBorders>
            <w:vAlign w:val="bottom"/>
          </w:tcPr>
          <w:p w14:paraId="09FBE311"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6.777014</w:t>
            </w:r>
          </w:p>
        </w:tc>
        <w:tc>
          <w:tcPr>
            <w:tcW w:w="924" w:type="pct"/>
            <w:tcBorders>
              <w:top w:val="nil"/>
              <w:left w:val="nil"/>
              <w:bottom w:val="nil"/>
              <w:right w:val="nil"/>
            </w:tcBorders>
            <w:vAlign w:val="bottom"/>
          </w:tcPr>
          <w:p w14:paraId="1F42C869"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3.181824</w:t>
            </w:r>
          </w:p>
        </w:tc>
        <w:tc>
          <w:tcPr>
            <w:tcW w:w="764" w:type="pct"/>
            <w:tcBorders>
              <w:top w:val="nil"/>
              <w:left w:val="nil"/>
              <w:bottom w:val="nil"/>
              <w:right w:val="nil"/>
            </w:tcBorders>
            <w:vAlign w:val="bottom"/>
          </w:tcPr>
          <w:p w14:paraId="600F37B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0.0017</w:t>
            </w:r>
          </w:p>
        </w:tc>
      </w:tr>
      <w:tr w:rsidR="00B103B7" w:rsidRPr="00B103B7" w14:paraId="1672B36E" w14:textId="77777777" w:rsidTr="00B103B7">
        <w:trPr>
          <w:trHeight w:val="201"/>
        </w:trPr>
        <w:tc>
          <w:tcPr>
            <w:tcW w:w="1543" w:type="pct"/>
            <w:tcBorders>
              <w:top w:val="nil"/>
              <w:left w:val="nil"/>
              <w:bottom w:val="nil"/>
              <w:right w:val="nil"/>
            </w:tcBorders>
            <w:vAlign w:val="bottom"/>
          </w:tcPr>
          <w:p w14:paraId="7E7884EA"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ln_roa</w:t>
            </w:r>
          </w:p>
        </w:tc>
        <w:tc>
          <w:tcPr>
            <w:tcW w:w="844" w:type="pct"/>
            <w:tcBorders>
              <w:top w:val="nil"/>
              <w:left w:val="nil"/>
              <w:bottom w:val="nil"/>
              <w:right w:val="nil"/>
            </w:tcBorders>
            <w:vAlign w:val="bottom"/>
          </w:tcPr>
          <w:p w14:paraId="7090007D"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1.729149</w:t>
            </w:r>
          </w:p>
        </w:tc>
        <w:tc>
          <w:tcPr>
            <w:tcW w:w="925" w:type="pct"/>
            <w:tcBorders>
              <w:top w:val="nil"/>
              <w:left w:val="nil"/>
              <w:bottom w:val="nil"/>
              <w:right w:val="nil"/>
            </w:tcBorders>
            <w:vAlign w:val="bottom"/>
          </w:tcPr>
          <w:p w14:paraId="5F6FA26F"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0.501156</w:t>
            </w:r>
          </w:p>
        </w:tc>
        <w:tc>
          <w:tcPr>
            <w:tcW w:w="924" w:type="pct"/>
            <w:tcBorders>
              <w:top w:val="nil"/>
              <w:left w:val="nil"/>
              <w:bottom w:val="nil"/>
              <w:right w:val="nil"/>
            </w:tcBorders>
            <w:vAlign w:val="bottom"/>
          </w:tcPr>
          <w:p w14:paraId="58B7733C"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3.450318</w:t>
            </w:r>
          </w:p>
        </w:tc>
        <w:tc>
          <w:tcPr>
            <w:tcW w:w="764" w:type="pct"/>
            <w:tcBorders>
              <w:top w:val="nil"/>
              <w:left w:val="nil"/>
              <w:bottom w:val="nil"/>
              <w:right w:val="nil"/>
            </w:tcBorders>
            <w:vAlign w:val="bottom"/>
          </w:tcPr>
          <w:p w14:paraId="10CCA8C1"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0.0007</w:t>
            </w:r>
          </w:p>
        </w:tc>
      </w:tr>
      <w:tr w:rsidR="00B103B7" w:rsidRPr="00B103B7" w14:paraId="6171AE65" w14:textId="77777777" w:rsidTr="00B103B7">
        <w:trPr>
          <w:trHeight w:val="201"/>
        </w:trPr>
        <w:tc>
          <w:tcPr>
            <w:tcW w:w="1543" w:type="pct"/>
            <w:tcBorders>
              <w:top w:val="nil"/>
              <w:left w:val="nil"/>
              <w:bottom w:val="nil"/>
              <w:right w:val="nil"/>
            </w:tcBorders>
            <w:vAlign w:val="bottom"/>
          </w:tcPr>
          <w:p w14:paraId="495A491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ln_npm</w:t>
            </w:r>
          </w:p>
        </w:tc>
        <w:tc>
          <w:tcPr>
            <w:tcW w:w="844" w:type="pct"/>
            <w:tcBorders>
              <w:top w:val="nil"/>
              <w:left w:val="nil"/>
              <w:bottom w:val="nil"/>
              <w:right w:val="nil"/>
            </w:tcBorders>
            <w:vAlign w:val="bottom"/>
          </w:tcPr>
          <w:p w14:paraId="27B2F829"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1.398592</w:t>
            </w:r>
          </w:p>
        </w:tc>
        <w:tc>
          <w:tcPr>
            <w:tcW w:w="925" w:type="pct"/>
            <w:tcBorders>
              <w:top w:val="nil"/>
              <w:left w:val="nil"/>
              <w:bottom w:val="nil"/>
              <w:right w:val="nil"/>
            </w:tcBorders>
            <w:vAlign w:val="bottom"/>
          </w:tcPr>
          <w:p w14:paraId="17E6F997"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0.397073</w:t>
            </w:r>
          </w:p>
        </w:tc>
        <w:tc>
          <w:tcPr>
            <w:tcW w:w="924" w:type="pct"/>
            <w:tcBorders>
              <w:top w:val="nil"/>
              <w:left w:val="nil"/>
              <w:bottom w:val="nil"/>
              <w:right w:val="nil"/>
            </w:tcBorders>
            <w:vAlign w:val="bottom"/>
          </w:tcPr>
          <w:p w14:paraId="1301CE48"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3.522251</w:t>
            </w:r>
          </w:p>
        </w:tc>
        <w:tc>
          <w:tcPr>
            <w:tcW w:w="764" w:type="pct"/>
            <w:tcBorders>
              <w:top w:val="nil"/>
              <w:left w:val="nil"/>
              <w:bottom w:val="nil"/>
              <w:right w:val="nil"/>
            </w:tcBorders>
            <w:vAlign w:val="bottom"/>
          </w:tcPr>
          <w:p w14:paraId="47534B04"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0.0005</w:t>
            </w:r>
          </w:p>
        </w:tc>
      </w:tr>
      <w:tr w:rsidR="00B103B7" w:rsidRPr="00B103B7" w14:paraId="758A5989" w14:textId="77777777" w:rsidTr="00B103B7">
        <w:trPr>
          <w:trHeight w:val="201"/>
        </w:trPr>
        <w:tc>
          <w:tcPr>
            <w:tcW w:w="1543" w:type="pct"/>
            <w:tcBorders>
              <w:top w:val="nil"/>
              <w:left w:val="nil"/>
              <w:bottom w:val="nil"/>
              <w:right w:val="nil"/>
            </w:tcBorders>
            <w:vAlign w:val="bottom"/>
          </w:tcPr>
          <w:p w14:paraId="613C3FA4"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ln_eps</w:t>
            </w:r>
          </w:p>
        </w:tc>
        <w:tc>
          <w:tcPr>
            <w:tcW w:w="844" w:type="pct"/>
            <w:tcBorders>
              <w:top w:val="nil"/>
              <w:left w:val="nil"/>
              <w:bottom w:val="nil"/>
              <w:right w:val="nil"/>
            </w:tcBorders>
            <w:vAlign w:val="bottom"/>
          </w:tcPr>
          <w:p w14:paraId="5F626672"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0.745843</w:t>
            </w:r>
          </w:p>
        </w:tc>
        <w:tc>
          <w:tcPr>
            <w:tcW w:w="925" w:type="pct"/>
            <w:tcBorders>
              <w:top w:val="nil"/>
              <w:left w:val="nil"/>
              <w:bottom w:val="nil"/>
              <w:right w:val="nil"/>
            </w:tcBorders>
            <w:vAlign w:val="bottom"/>
          </w:tcPr>
          <w:p w14:paraId="5D010485"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0.034750</w:t>
            </w:r>
          </w:p>
        </w:tc>
        <w:tc>
          <w:tcPr>
            <w:tcW w:w="924" w:type="pct"/>
            <w:tcBorders>
              <w:top w:val="nil"/>
              <w:left w:val="nil"/>
              <w:bottom w:val="nil"/>
              <w:right w:val="nil"/>
            </w:tcBorders>
            <w:vAlign w:val="bottom"/>
          </w:tcPr>
          <w:p w14:paraId="0B174BBE"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21.46283</w:t>
            </w:r>
          </w:p>
        </w:tc>
        <w:tc>
          <w:tcPr>
            <w:tcW w:w="764" w:type="pct"/>
            <w:tcBorders>
              <w:top w:val="nil"/>
              <w:left w:val="nil"/>
              <w:bottom w:val="nil"/>
              <w:right w:val="nil"/>
            </w:tcBorders>
            <w:vAlign w:val="bottom"/>
          </w:tcPr>
          <w:p w14:paraId="17C1814E"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0.0000</w:t>
            </w:r>
          </w:p>
        </w:tc>
      </w:tr>
      <w:tr w:rsidR="00B103B7" w:rsidRPr="00B103B7" w14:paraId="0FCC0F88" w14:textId="77777777" w:rsidTr="00B103B7">
        <w:trPr>
          <w:trHeight w:val="201"/>
        </w:trPr>
        <w:tc>
          <w:tcPr>
            <w:tcW w:w="1543" w:type="pct"/>
            <w:tcBorders>
              <w:top w:val="nil"/>
              <w:left w:val="nil"/>
              <w:bottom w:val="nil"/>
              <w:right w:val="nil"/>
            </w:tcBorders>
            <w:vAlign w:val="bottom"/>
          </w:tcPr>
          <w:p w14:paraId="5799D28E"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ln_peko</w:t>
            </w:r>
          </w:p>
        </w:tc>
        <w:tc>
          <w:tcPr>
            <w:tcW w:w="844" w:type="pct"/>
            <w:tcBorders>
              <w:top w:val="nil"/>
              <w:left w:val="nil"/>
              <w:bottom w:val="nil"/>
              <w:right w:val="nil"/>
            </w:tcBorders>
            <w:vAlign w:val="bottom"/>
          </w:tcPr>
          <w:p w14:paraId="432F801B"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1.952065</w:t>
            </w:r>
          </w:p>
        </w:tc>
        <w:tc>
          <w:tcPr>
            <w:tcW w:w="925" w:type="pct"/>
            <w:tcBorders>
              <w:top w:val="nil"/>
              <w:left w:val="nil"/>
              <w:bottom w:val="nil"/>
              <w:right w:val="nil"/>
            </w:tcBorders>
            <w:vAlign w:val="bottom"/>
          </w:tcPr>
          <w:p w14:paraId="10526294"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6.773933</w:t>
            </w:r>
          </w:p>
        </w:tc>
        <w:tc>
          <w:tcPr>
            <w:tcW w:w="924" w:type="pct"/>
            <w:tcBorders>
              <w:top w:val="nil"/>
              <w:left w:val="nil"/>
              <w:bottom w:val="nil"/>
              <w:right w:val="nil"/>
            </w:tcBorders>
            <w:vAlign w:val="bottom"/>
          </w:tcPr>
          <w:p w14:paraId="439C8847"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0.288173</w:t>
            </w:r>
          </w:p>
        </w:tc>
        <w:tc>
          <w:tcPr>
            <w:tcW w:w="764" w:type="pct"/>
            <w:tcBorders>
              <w:top w:val="nil"/>
              <w:left w:val="nil"/>
              <w:bottom w:val="nil"/>
              <w:right w:val="nil"/>
            </w:tcBorders>
            <w:vAlign w:val="bottom"/>
          </w:tcPr>
          <w:p w14:paraId="6724F4B1"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0.7735</w:t>
            </w:r>
          </w:p>
        </w:tc>
      </w:tr>
      <w:tr w:rsidR="00B103B7" w:rsidRPr="00B103B7" w14:paraId="6522C73D" w14:textId="77777777" w:rsidTr="00B103B7">
        <w:trPr>
          <w:trHeight w:val="201"/>
        </w:trPr>
        <w:tc>
          <w:tcPr>
            <w:tcW w:w="1543" w:type="pct"/>
            <w:tcBorders>
              <w:top w:val="nil"/>
              <w:left w:val="nil"/>
              <w:bottom w:val="nil"/>
              <w:right w:val="nil"/>
            </w:tcBorders>
            <w:vAlign w:val="bottom"/>
          </w:tcPr>
          <w:p w14:paraId="227C971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ln_kurs</w:t>
            </w:r>
          </w:p>
        </w:tc>
        <w:tc>
          <w:tcPr>
            <w:tcW w:w="844" w:type="pct"/>
            <w:tcBorders>
              <w:top w:val="nil"/>
              <w:left w:val="nil"/>
              <w:bottom w:val="nil"/>
              <w:right w:val="nil"/>
            </w:tcBorders>
            <w:vAlign w:val="bottom"/>
          </w:tcPr>
          <w:p w14:paraId="20BD4086"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-1.800351</w:t>
            </w:r>
          </w:p>
        </w:tc>
        <w:tc>
          <w:tcPr>
            <w:tcW w:w="925" w:type="pct"/>
            <w:tcBorders>
              <w:top w:val="nil"/>
              <w:left w:val="nil"/>
              <w:bottom w:val="nil"/>
              <w:right w:val="nil"/>
            </w:tcBorders>
            <w:vAlign w:val="bottom"/>
          </w:tcPr>
          <w:p w14:paraId="17610F2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0.710023</w:t>
            </w:r>
          </w:p>
        </w:tc>
        <w:tc>
          <w:tcPr>
            <w:tcW w:w="924" w:type="pct"/>
            <w:tcBorders>
              <w:top w:val="nil"/>
              <w:left w:val="nil"/>
              <w:bottom w:val="nil"/>
              <w:right w:val="nil"/>
            </w:tcBorders>
            <w:vAlign w:val="bottom"/>
          </w:tcPr>
          <w:p w14:paraId="018E0C2E"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-2.535624</w:t>
            </w:r>
          </w:p>
        </w:tc>
        <w:tc>
          <w:tcPr>
            <w:tcW w:w="764" w:type="pct"/>
            <w:tcBorders>
              <w:top w:val="nil"/>
              <w:left w:val="nil"/>
              <w:bottom w:val="nil"/>
              <w:right w:val="nil"/>
            </w:tcBorders>
            <w:vAlign w:val="bottom"/>
          </w:tcPr>
          <w:p w14:paraId="4175F41D"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0.0012</w:t>
            </w:r>
          </w:p>
        </w:tc>
      </w:tr>
      <w:tr w:rsidR="00B103B7" w:rsidRPr="00B103B7" w14:paraId="1F77518B" w14:textId="77777777" w:rsidTr="00B103B7">
        <w:trPr>
          <w:trHeight w:val="201"/>
        </w:trPr>
        <w:tc>
          <w:tcPr>
            <w:tcW w:w="1543" w:type="pct"/>
            <w:tcBorders>
              <w:top w:val="nil"/>
              <w:left w:val="nil"/>
              <w:bottom w:val="nil"/>
              <w:right w:val="nil"/>
            </w:tcBorders>
            <w:vAlign w:val="bottom"/>
          </w:tcPr>
          <w:p w14:paraId="02425824"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r w:rsidRPr="00B103B7">
              <w:rPr>
                <w:rFonts w:ascii="Arial" w:hAnsi="Arial" w:cs="Arial"/>
                <w:color w:val="000000"/>
                <w:sz w:val="18"/>
                <w:szCs w:val="18"/>
              </w:rPr>
              <w:t>ln_inflasi</w:t>
            </w:r>
          </w:p>
        </w:tc>
        <w:tc>
          <w:tcPr>
            <w:tcW w:w="844" w:type="pct"/>
            <w:tcBorders>
              <w:top w:val="nil"/>
              <w:left w:val="nil"/>
              <w:bottom w:val="nil"/>
              <w:right w:val="nil"/>
            </w:tcBorders>
            <w:vAlign w:val="bottom"/>
          </w:tcPr>
          <w:p w14:paraId="463BFC8C"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-2.588726</w:t>
            </w:r>
          </w:p>
        </w:tc>
        <w:tc>
          <w:tcPr>
            <w:tcW w:w="925" w:type="pct"/>
            <w:tcBorders>
              <w:top w:val="nil"/>
              <w:left w:val="nil"/>
              <w:bottom w:val="nil"/>
              <w:right w:val="nil"/>
            </w:tcBorders>
            <w:vAlign w:val="bottom"/>
          </w:tcPr>
          <w:p w14:paraId="06546BCB"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2.655479</w:t>
            </w:r>
          </w:p>
        </w:tc>
        <w:tc>
          <w:tcPr>
            <w:tcW w:w="924" w:type="pct"/>
            <w:tcBorders>
              <w:top w:val="nil"/>
              <w:left w:val="nil"/>
              <w:bottom w:val="nil"/>
              <w:right w:val="nil"/>
            </w:tcBorders>
            <w:vAlign w:val="bottom"/>
          </w:tcPr>
          <w:p w14:paraId="6FB8088F"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-0.974862</w:t>
            </w:r>
          </w:p>
        </w:tc>
        <w:tc>
          <w:tcPr>
            <w:tcW w:w="764" w:type="pct"/>
            <w:tcBorders>
              <w:top w:val="nil"/>
              <w:left w:val="nil"/>
              <w:bottom w:val="nil"/>
              <w:right w:val="nil"/>
            </w:tcBorders>
            <w:vAlign w:val="bottom"/>
          </w:tcPr>
          <w:p w14:paraId="022D5089"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0.3308</w:t>
            </w:r>
          </w:p>
        </w:tc>
      </w:tr>
      <w:tr w:rsidR="00B103B7" w:rsidRPr="00B103B7" w14:paraId="4D08E4A7" w14:textId="77777777" w:rsidTr="00B103B7">
        <w:trPr>
          <w:trHeight w:hRule="exact" w:val="80"/>
        </w:trPr>
        <w:tc>
          <w:tcPr>
            <w:tcW w:w="1543" w:type="pct"/>
            <w:tcBorders>
              <w:top w:val="nil"/>
              <w:left w:val="nil"/>
              <w:bottom w:val="double" w:sz="6" w:space="2" w:color="auto"/>
              <w:right w:val="nil"/>
            </w:tcBorders>
            <w:vAlign w:val="bottom"/>
          </w:tcPr>
          <w:p w14:paraId="3F7FF6B3"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double" w:sz="6" w:space="2" w:color="auto"/>
              <w:right w:val="nil"/>
            </w:tcBorders>
            <w:vAlign w:val="bottom"/>
          </w:tcPr>
          <w:p w14:paraId="2B27FA29"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double" w:sz="6" w:space="2" w:color="auto"/>
              <w:right w:val="nil"/>
            </w:tcBorders>
            <w:vAlign w:val="bottom"/>
          </w:tcPr>
          <w:p w14:paraId="37B4B529"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double" w:sz="6" w:space="2" w:color="auto"/>
              <w:right w:val="nil"/>
            </w:tcBorders>
            <w:vAlign w:val="bottom"/>
          </w:tcPr>
          <w:p w14:paraId="2A96BD90"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double" w:sz="6" w:space="2" w:color="auto"/>
              <w:right w:val="nil"/>
            </w:tcBorders>
            <w:vAlign w:val="bottom"/>
          </w:tcPr>
          <w:p w14:paraId="73F304B7"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1275F186" w14:textId="77777777" w:rsidTr="00B103B7">
        <w:trPr>
          <w:trHeight w:hRule="exact" w:val="120"/>
        </w:trPr>
        <w:tc>
          <w:tcPr>
            <w:tcW w:w="1543" w:type="pct"/>
            <w:tcBorders>
              <w:top w:val="nil"/>
              <w:left w:val="nil"/>
              <w:bottom w:val="nil"/>
              <w:right w:val="nil"/>
            </w:tcBorders>
            <w:vAlign w:val="bottom"/>
          </w:tcPr>
          <w:p w14:paraId="6938C464"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nil"/>
              <w:right w:val="nil"/>
            </w:tcBorders>
            <w:vAlign w:val="bottom"/>
          </w:tcPr>
          <w:p w14:paraId="41D3157B"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nil"/>
              <w:right w:val="nil"/>
            </w:tcBorders>
            <w:vAlign w:val="bottom"/>
          </w:tcPr>
          <w:p w14:paraId="59EBF1C3"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nil"/>
              <w:right w:val="nil"/>
            </w:tcBorders>
            <w:vAlign w:val="bottom"/>
          </w:tcPr>
          <w:p w14:paraId="4BA6BD20"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nil"/>
              <w:right w:val="nil"/>
            </w:tcBorders>
            <w:vAlign w:val="bottom"/>
          </w:tcPr>
          <w:p w14:paraId="56B2550F"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69F26F75" w14:textId="77777777" w:rsidTr="00B103B7">
        <w:trPr>
          <w:trHeight w:val="201"/>
        </w:trPr>
        <w:tc>
          <w:tcPr>
            <w:tcW w:w="1543" w:type="pct"/>
            <w:tcBorders>
              <w:top w:val="nil"/>
              <w:left w:val="nil"/>
              <w:bottom w:val="nil"/>
              <w:right w:val="nil"/>
            </w:tcBorders>
            <w:vAlign w:val="bottom"/>
          </w:tcPr>
          <w:p w14:paraId="51BF69AF"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R-squared</w:t>
            </w:r>
          </w:p>
        </w:tc>
        <w:tc>
          <w:tcPr>
            <w:tcW w:w="844" w:type="pct"/>
            <w:tcBorders>
              <w:top w:val="nil"/>
              <w:left w:val="nil"/>
              <w:bottom w:val="nil"/>
              <w:right w:val="nil"/>
            </w:tcBorders>
            <w:vAlign w:val="bottom"/>
          </w:tcPr>
          <w:p w14:paraId="37464DC5"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0.725923</w:t>
            </w:r>
          </w:p>
        </w:tc>
        <w:tc>
          <w:tcPr>
            <w:tcW w:w="1849" w:type="pct"/>
            <w:gridSpan w:val="2"/>
            <w:tcBorders>
              <w:top w:val="nil"/>
              <w:left w:val="nil"/>
              <w:bottom w:val="nil"/>
              <w:right w:val="nil"/>
            </w:tcBorders>
            <w:vAlign w:val="bottom"/>
          </w:tcPr>
          <w:p w14:paraId="1F224753"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Mean dependent var</w:t>
            </w:r>
          </w:p>
        </w:tc>
        <w:tc>
          <w:tcPr>
            <w:tcW w:w="764" w:type="pct"/>
            <w:tcBorders>
              <w:top w:val="nil"/>
              <w:left w:val="nil"/>
              <w:bottom w:val="nil"/>
              <w:right w:val="nil"/>
            </w:tcBorders>
            <w:vAlign w:val="bottom"/>
          </w:tcPr>
          <w:p w14:paraId="0116FCF2"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8.600008</w:t>
            </w:r>
          </w:p>
        </w:tc>
      </w:tr>
      <w:tr w:rsidR="00B103B7" w:rsidRPr="00B103B7" w14:paraId="7BB2526F" w14:textId="77777777" w:rsidTr="00B103B7">
        <w:trPr>
          <w:trHeight w:val="201"/>
        </w:trPr>
        <w:tc>
          <w:tcPr>
            <w:tcW w:w="1543" w:type="pct"/>
            <w:tcBorders>
              <w:top w:val="nil"/>
              <w:left w:val="nil"/>
              <w:bottom w:val="nil"/>
              <w:right w:val="nil"/>
            </w:tcBorders>
            <w:vAlign w:val="bottom"/>
          </w:tcPr>
          <w:p w14:paraId="14AAC768"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Adjusted R-squared</w:t>
            </w:r>
          </w:p>
        </w:tc>
        <w:tc>
          <w:tcPr>
            <w:tcW w:w="844" w:type="pct"/>
            <w:tcBorders>
              <w:top w:val="nil"/>
              <w:left w:val="nil"/>
              <w:bottom w:val="nil"/>
              <w:right w:val="nil"/>
            </w:tcBorders>
            <w:vAlign w:val="bottom"/>
          </w:tcPr>
          <w:p w14:paraId="76B08EEF"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0.717862</w:t>
            </w:r>
          </w:p>
        </w:tc>
        <w:tc>
          <w:tcPr>
            <w:tcW w:w="1849" w:type="pct"/>
            <w:gridSpan w:val="2"/>
            <w:tcBorders>
              <w:top w:val="nil"/>
              <w:left w:val="nil"/>
              <w:bottom w:val="nil"/>
              <w:right w:val="nil"/>
            </w:tcBorders>
            <w:vAlign w:val="bottom"/>
          </w:tcPr>
          <w:p w14:paraId="6E6862D4"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S.D. dependent var</w:t>
            </w:r>
          </w:p>
        </w:tc>
        <w:tc>
          <w:tcPr>
            <w:tcW w:w="764" w:type="pct"/>
            <w:tcBorders>
              <w:top w:val="nil"/>
              <w:left w:val="nil"/>
              <w:bottom w:val="nil"/>
              <w:right w:val="nil"/>
            </w:tcBorders>
            <w:vAlign w:val="bottom"/>
          </w:tcPr>
          <w:p w14:paraId="35A45088"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1.099137</w:t>
            </w:r>
          </w:p>
        </w:tc>
      </w:tr>
      <w:tr w:rsidR="00B103B7" w:rsidRPr="00B103B7" w14:paraId="24E4120D" w14:textId="77777777" w:rsidTr="00B103B7">
        <w:trPr>
          <w:trHeight w:val="201"/>
        </w:trPr>
        <w:tc>
          <w:tcPr>
            <w:tcW w:w="1543" w:type="pct"/>
            <w:tcBorders>
              <w:top w:val="nil"/>
              <w:left w:val="nil"/>
              <w:bottom w:val="nil"/>
              <w:right w:val="nil"/>
            </w:tcBorders>
            <w:vAlign w:val="bottom"/>
          </w:tcPr>
          <w:p w14:paraId="03117526"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S.E. of regression</w:t>
            </w:r>
          </w:p>
        </w:tc>
        <w:tc>
          <w:tcPr>
            <w:tcW w:w="844" w:type="pct"/>
            <w:tcBorders>
              <w:top w:val="nil"/>
              <w:left w:val="nil"/>
              <w:bottom w:val="nil"/>
              <w:right w:val="nil"/>
            </w:tcBorders>
            <w:vAlign w:val="bottom"/>
          </w:tcPr>
          <w:p w14:paraId="4FC7D9FE"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0.583825</w:t>
            </w:r>
          </w:p>
        </w:tc>
        <w:tc>
          <w:tcPr>
            <w:tcW w:w="1849" w:type="pct"/>
            <w:gridSpan w:val="2"/>
            <w:tcBorders>
              <w:top w:val="nil"/>
              <w:left w:val="nil"/>
              <w:bottom w:val="nil"/>
              <w:right w:val="nil"/>
            </w:tcBorders>
            <w:vAlign w:val="bottom"/>
          </w:tcPr>
          <w:p w14:paraId="4102BF0A"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Akaike info criterion</w:t>
            </w:r>
          </w:p>
        </w:tc>
        <w:tc>
          <w:tcPr>
            <w:tcW w:w="764" w:type="pct"/>
            <w:tcBorders>
              <w:top w:val="nil"/>
              <w:left w:val="nil"/>
              <w:bottom w:val="nil"/>
              <w:right w:val="nil"/>
            </w:tcBorders>
            <w:vAlign w:val="bottom"/>
          </w:tcPr>
          <w:p w14:paraId="2167C457"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1.794181</w:t>
            </w:r>
          </w:p>
        </w:tc>
      </w:tr>
      <w:tr w:rsidR="00B103B7" w:rsidRPr="00B103B7" w14:paraId="0A76905C" w14:textId="77777777" w:rsidTr="00B103B7">
        <w:trPr>
          <w:trHeight w:val="201"/>
        </w:trPr>
        <w:tc>
          <w:tcPr>
            <w:tcW w:w="1543" w:type="pct"/>
            <w:tcBorders>
              <w:top w:val="nil"/>
              <w:left w:val="nil"/>
              <w:bottom w:val="nil"/>
              <w:right w:val="nil"/>
            </w:tcBorders>
            <w:vAlign w:val="bottom"/>
          </w:tcPr>
          <w:p w14:paraId="5C954B65"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Sum squared resid</w:t>
            </w:r>
          </w:p>
        </w:tc>
        <w:tc>
          <w:tcPr>
            <w:tcW w:w="844" w:type="pct"/>
            <w:tcBorders>
              <w:top w:val="nil"/>
              <w:left w:val="nil"/>
              <w:bottom w:val="nil"/>
              <w:right w:val="nil"/>
            </w:tcBorders>
            <w:vAlign w:val="bottom"/>
          </w:tcPr>
          <w:p w14:paraId="667A574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69.53370</w:t>
            </w:r>
          </w:p>
        </w:tc>
        <w:tc>
          <w:tcPr>
            <w:tcW w:w="1849" w:type="pct"/>
            <w:gridSpan w:val="2"/>
            <w:tcBorders>
              <w:top w:val="nil"/>
              <w:left w:val="nil"/>
              <w:bottom w:val="nil"/>
              <w:right w:val="nil"/>
            </w:tcBorders>
            <w:vAlign w:val="bottom"/>
          </w:tcPr>
          <w:p w14:paraId="7E723239"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Schwarz criterion</w:t>
            </w:r>
          </w:p>
        </w:tc>
        <w:tc>
          <w:tcPr>
            <w:tcW w:w="764" w:type="pct"/>
            <w:tcBorders>
              <w:top w:val="nil"/>
              <w:left w:val="nil"/>
              <w:bottom w:val="nil"/>
              <w:right w:val="nil"/>
            </w:tcBorders>
            <w:vAlign w:val="bottom"/>
          </w:tcPr>
          <w:p w14:paraId="7DFDBE32"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1.905380</w:t>
            </w:r>
          </w:p>
        </w:tc>
      </w:tr>
      <w:tr w:rsidR="00B103B7" w:rsidRPr="00B103B7" w14:paraId="34716C94" w14:textId="77777777" w:rsidTr="00B103B7">
        <w:trPr>
          <w:trHeight w:val="201"/>
        </w:trPr>
        <w:tc>
          <w:tcPr>
            <w:tcW w:w="1543" w:type="pct"/>
            <w:tcBorders>
              <w:top w:val="nil"/>
              <w:left w:val="nil"/>
              <w:bottom w:val="nil"/>
              <w:right w:val="nil"/>
            </w:tcBorders>
            <w:vAlign w:val="bottom"/>
          </w:tcPr>
          <w:p w14:paraId="018CC735"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Log likelihood</w:t>
            </w:r>
          </w:p>
        </w:tc>
        <w:tc>
          <w:tcPr>
            <w:tcW w:w="844" w:type="pct"/>
            <w:tcBorders>
              <w:top w:val="nil"/>
              <w:left w:val="nil"/>
              <w:bottom w:val="nil"/>
              <w:right w:val="nil"/>
            </w:tcBorders>
            <w:vAlign w:val="bottom"/>
          </w:tcPr>
          <w:p w14:paraId="10C2EF0F"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-182.2861</w:t>
            </w:r>
          </w:p>
        </w:tc>
        <w:tc>
          <w:tcPr>
            <w:tcW w:w="1849" w:type="pct"/>
            <w:gridSpan w:val="2"/>
            <w:tcBorders>
              <w:top w:val="nil"/>
              <w:left w:val="nil"/>
              <w:bottom w:val="nil"/>
              <w:right w:val="nil"/>
            </w:tcBorders>
            <w:vAlign w:val="bottom"/>
          </w:tcPr>
          <w:p w14:paraId="2159CBC6"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Hannan-Quinn criter.</w:t>
            </w:r>
          </w:p>
        </w:tc>
        <w:tc>
          <w:tcPr>
            <w:tcW w:w="764" w:type="pct"/>
            <w:tcBorders>
              <w:top w:val="nil"/>
              <w:left w:val="nil"/>
              <w:bottom w:val="nil"/>
              <w:right w:val="nil"/>
            </w:tcBorders>
            <w:vAlign w:val="bottom"/>
          </w:tcPr>
          <w:p w14:paraId="0CEB283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1.839130</w:t>
            </w:r>
          </w:p>
        </w:tc>
      </w:tr>
      <w:tr w:rsidR="00B103B7" w:rsidRPr="00B103B7" w14:paraId="07031366" w14:textId="77777777" w:rsidTr="00B103B7">
        <w:trPr>
          <w:trHeight w:val="201"/>
        </w:trPr>
        <w:tc>
          <w:tcPr>
            <w:tcW w:w="1543" w:type="pct"/>
            <w:tcBorders>
              <w:top w:val="nil"/>
              <w:left w:val="nil"/>
              <w:bottom w:val="nil"/>
              <w:right w:val="nil"/>
            </w:tcBorders>
            <w:vAlign w:val="bottom"/>
          </w:tcPr>
          <w:p w14:paraId="7E5F2F42"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F-statistic</w:t>
            </w:r>
          </w:p>
        </w:tc>
        <w:tc>
          <w:tcPr>
            <w:tcW w:w="844" w:type="pct"/>
            <w:tcBorders>
              <w:top w:val="nil"/>
              <w:left w:val="nil"/>
              <w:bottom w:val="nil"/>
              <w:right w:val="nil"/>
            </w:tcBorders>
            <w:vAlign w:val="bottom"/>
          </w:tcPr>
          <w:p w14:paraId="24A4F618"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90.05281</w:t>
            </w:r>
          </w:p>
        </w:tc>
        <w:tc>
          <w:tcPr>
            <w:tcW w:w="1849" w:type="pct"/>
            <w:gridSpan w:val="2"/>
            <w:tcBorders>
              <w:top w:val="nil"/>
              <w:left w:val="nil"/>
              <w:bottom w:val="nil"/>
              <w:right w:val="nil"/>
            </w:tcBorders>
            <w:vAlign w:val="bottom"/>
          </w:tcPr>
          <w:p w14:paraId="6781C35E" w14:textId="77777777" w:rsidR="00B103B7" w:rsidRPr="00B103B7" w:rsidRDefault="00B103B7" w:rsidP="001D72B5">
            <w:pPr>
              <w:autoSpaceDE w:val="0"/>
              <w:autoSpaceDN w:val="0"/>
              <w:adjustRightInd w:val="0"/>
              <w:spacing w:after="0"/>
              <w:ind w:right="20"/>
              <w:rPr>
                <w:rFonts w:ascii="Arial" w:hAnsi="Arial" w:cs="Arial"/>
                <w:color w:val="000000"/>
                <w:sz w:val="18"/>
                <w:szCs w:val="18"/>
              </w:rPr>
            </w:pPr>
            <w:r w:rsidRPr="00B103B7">
              <w:rPr>
                <w:rFonts w:ascii="Arial" w:hAnsi="Arial" w:cs="Arial"/>
                <w:color w:val="000000"/>
                <w:sz w:val="18"/>
                <w:szCs w:val="18"/>
              </w:rPr>
              <w:t>    Durbin-Watson stat</w:t>
            </w:r>
          </w:p>
        </w:tc>
        <w:tc>
          <w:tcPr>
            <w:tcW w:w="764" w:type="pct"/>
            <w:tcBorders>
              <w:top w:val="nil"/>
              <w:left w:val="nil"/>
              <w:bottom w:val="nil"/>
              <w:right w:val="nil"/>
            </w:tcBorders>
            <w:vAlign w:val="bottom"/>
          </w:tcPr>
          <w:p w14:paraId="7830E661"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0.940093</w:t>
            </w:r>
          </w:p>
        </w:tc>
      </w:tr>
      <w:tr w:rsidR="00B103B7" w:rsidRPr="00B103B7" w14:paraId="69E6DCEB" w14:textId="77777777" w:rsidTr="00B103B7">
        <w:trPr>
          <w:trHeight w:val="201"/>
        </w:trPr>
        <w:tc>
          <w:tcPr>
            <w:tcW w:w="1543" w:type="pct"/>
            <w:tcBorders>
              <w:top w:val="nil"/>
              <w:left w:val="nil"/>
              <w:bottom w:val="nil"/>
              <w:right w:val="nil"/>
            </w:tcBorders>
            <w:vAlign w:val="bottom"/>
          </w:tcPr>
          <w:p w14:paraId="1C0BE2C9" w14:textId="77777777" w:rsidR="00B103B7" w:rsidRPr="00B103B7" w:rsidRDefault="00B103B7" w:rsidP="001D72B5">
            <w:pPr>
              <w:autoSpaceDE w:val="0"/>
              <w:autoSpaceDN w:val="0"/>
              <w:adjustRightInd w:val="0"/>
              <w:spacing w:after="0"/>
              <w:rPr>
                <w:rFonts w:ascii="Arial" w:hAnsi="Arial" w:cs="Arial"/>
                <w:color w:val="000000"/>
                <w:sz w:val="18"/>
                <w:szCs w:val="18"/>
              </w:rPr>
            </w:pPr>
            <w:r w:rsidRPr="00B103B7">
              <w:rPr>
                <w:rFonts w:ascii="Arial" w:hAnsi="Arial" w:cs="Arial"/>
                <w:color w:val="000000"/>
                <w:sz w:val="18"/>
                <w:szCs w:val="18"/>
              </w:rPr>
              <w:t>Prob(F-statistic)</w:t>
            </w:r>
          </w:p>
        </w:tc>
        <w:tc>
          <w:tcPr>
            <w:tcW w:w="844" w:type="pct"/>
            <w:tcBorders>
              <w:top w:val="nil"/>
              <w:left w:val="nil"/>
              <w:bottom w:val="nil"/>
              <w:right w:val="nil"/>
            </w:tcBorders>
            <w:vAlign w:val="bottom"/>
          </w:tcPr>
          <w:p w14:paraId="0F07EB60" w14:textId="77777777" w:rsidR="00B103B7" w:rsidRPr="00B103B7" w:rsidRDefault="00B103B7" w:rsidP="001D72B5">
            <w:pPr>
              <w:autoSpaceDE w:val="0"/>
              <w:autoSpaceDN w:val="0"/>
              <w:adjustRightInd w:val="0"/>
              <w:spacing w:after="0"/>
              <w:ind w:right="20"/>
              <w:jc w:val="right"/>
              <w:rPr>
                <w:rFonts w:ascii="Arial" w:hAnsi="Arial" w:cs="Arial"/>
                <w:color w:val="000000"/>
                <w:sz w:val="18"/>
                <w:szCs w:val="18"/>
              </w:rPr>
            </w:pPr>
            <w:r w:rsidRPr="00B103B7">
              <w:rPr>
                <w:rFonts w:ascii="Arial" w:hAnsi="Arial" w:cs="Arial"/>
                <w:color w:val="000000"/>
                <w:sz w:val="18"/>
                <w:szCs w:val="18"/>
              </w:rPr>
              <w:t>0.000000</w:t>
            </w:r>
          </w:p>
        </w:tc>
        <w:tc>
          <w:tcPr>
            <w:tcW w:w="925" w:type="pct"/>
            <w:tcBorders>
              <w:top w:val="nil"/>
              <w:left w:val="nil"/>
              <w:bottom w:val="nil"/>
              <w:right w:val="nil"/>
            </w:tcBorders>
            <w:vAlign w:val="bottom"/>
          </w:tcPr>
          <w:p w14:paraId="3DDD77C0" w14:textId="77777777" w:rsidR="00B103B7" w:rsidRPr="00B103B7" w:rsidRDefault="00B103B7" w:rsidP="001D72B5">
            <w:pPr>
              <w:autoSpaceDE w:val="0"/>
              <w:autoSpaceDN w:val="0"/>
              <w:adjustRightInd w:val="0"/>
              <w:spacing w:after="0"/>
              <w:ind w:right="20"/>
              <w:jc w:val="center"/>
              <w:rPr>
                <w:rFonts w:ascii="Arial" w:hAnsi="Arial" w:cs="Arial"/>
                <w:color w:val="000000"/>
                <w:sz w:val="18"/>
                <w:szCs w:val="18"/>
              </w:rPr>
            </w:pPr>
          </w:p>
        </w:tc>
        <w:tc>
          <w:tcPr>
            <w:tcW w:w="924" w:type="pct"/>
            <w:tcBorders>
              <w:top w:val="nil"/>
              <w:left w:val="nil"/>
              <w:bottom w:val="nil"/>
              <w:right w:val="nil"/>
            </w:tcBorders>
            <w:vAlign w:val="bottom"/>
          </w:tcPr>
          <w:p w14:paraId="7447CB3A" w14:textId="77777777" w:rsidR="00B103B7" w:rsidRPr="00B103B7" w:rsidRDefault="00B103B7" w:rsidP="001D72B5">
            <w:pPr>
              <w:autoSpaceDE w:val="0"/>
              <w:autoSpaceDN w:val="0"/>
              <w:adjustRightInd w:val="0"/>
              <w:spacing w:after="0"/>
              <w:ind w:right="20"/>
              <w:jc w:val="center"/>
              <w:rPr>
                <w:rFonts w:ascii="Arial" w:hAnsi="Arial" w:cs="Arial"/>
                <w:color w:val="000000"/>
                <w:sz w:val="18"/>
                <w:szCs w:val="18"/>
              </w:rPr>
            </w:pPr>
          </w:p>
        </w:tc>
        <w:tc>
          <w:tcPr>
            <w:tcW w:w="764" w:type="pct"/>
            <w:tcBorders>
              <w:top w:val="nil"/>
              <w:left w:val="nil"/>
              <w:bottom w:val="nil"/>
              <w:right w:val="nil"/>
            </w:tcBorders>
            <w:vAlign w:val="bottom"/>
          </w:tcPr>
          <w:p w14:paraId="014C5F0B" w14:textId="77777777" w:rsidR="00B103B7" w:rsidRPr="00B103B7" w:rsidRDefault="00B103B7" w:rsidP="001D72B5">
            <w:pPr>
              <w:autoSpaceDE w:val="0"/>
              <w:autoSpaceDN w:val="0"/>
              <w:adjustRightInd w:val="0"/>
              <w:spacing w:after="0"/>
              <w:ind w:right="20"/>
              <w:jc w:val="center"/>
              <w:rPr>
                <w:rFonts w:ascii="Arial" w:hAnsi="Arial" w:cs="Arial"/>
                <w:color w:val="000000"/>
                <w:sz w:val="18"/>
                <w:szCs w:val="18"/>
              </w:rPr>
            </w:pPr>
          </w:p>
        </w:tc>
      </w:tr>
      <w:tr w:rsidR="00B103B7" w:rsidRPr="00B103B7" w14:paraId="65FB1871" w14:textId="77777777" w:rsidTr="00B103B7">
        <w:trPr>
          <w:trHeight w:hRule="exact" w:val="80"/>
        </w:trPr>
        <w:tc>
          <w:tcPr>
            <w:tcW w:w="1543" w:type="pct"/>
            <w:tcBorders>
              <w:top w:val="nil"/>
              <w:left w:val="nil"/>
              <w:bottom w:val="double" w:sz="6" w:space="0" w:color="auto"/>
              <w:right w:val="nil"/>
            </w:tcBorders>
            <w:vAlign w:val="bottom"/>
          </w:tcPr>
          <w:p w14:paraId="58B61EDA"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double" w:sz="6" w:space="0" w:color="auto"/>
              <w:right w:val="nil"/>
            </w:tcBorders>
            <w:vAlign w:val="bottom"/>
          </w:tcPr>
          <w:p w14:paraId="5DCA83AF"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double" w:sz="6" w:space="0" w:color="auto"/>
              <w:right w:val="nil"/>
            </w:tcBorders>
            <w:vAlign w:val="bottom"/>
          </w:tcPr>
          <w:p w14:paraId="3D2ABF65"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double" w:sz="6" w:space="0" w:color="auto"/>
              <w:right w:val="nil"/>
            </w:tcBorders>
            <w:vAlign w:val="bottom"/>
          </w:tcPr>
          <w:p w14:paraId="2BFD51F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double" w:sz="6" w:space="0" w:color="auto"/>
              <w:right w:val="nil"/>
            </w:tcBorders>
            <w:vAlign w:val="bottom"/>
          </w:tcPr>
          <w:p w14:paraId="303E6D7D"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r w:rsidR="00B103B7" w:rsidRPr="00B103B7" w14:paraId="5C367FB2" w14:textId="77777777" w:rsidTr="00B103B7">
        <w:trPr>
          <w:trHeight w:hRule="exact" w:val="120"/>
        </w:trPr>
        <w:tc>
          <w:tcPr>
            <w:tcW w:w="1543" w:type="pct"/>
            <w:tcBorders>
              <w:top w:val="nil"/>
              <w:left w:val="nil"/>
              <w:bottom w:val="nil"/>
              <w:right w:val="nil"/>
            </w:tcBorders>
            <w:vAlign w:val="bottom"/>
          </w:tcPr>
          <w:p w14:paraId="6CE5A48E"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844" w:type="pct"/>
            <w:tcBorders>
              <w:top w:val="nil"/>
              <w:left w:val="nil"/>
              <w:bottom w:val="nil"/>
              <w:right w:val="nil"/>
            </w:tcBorders>
            <w:vAlign w:val="bottom"/>
          </w:tcPr>
          <w:p w14:paraId="40E6BEF1"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5" w:type="pct"/>
            <w:tcBorders>
              <w:top w:val="nil"/>
              <w:left w:val="nil"/>
              <w:bottom w:val="nil"/>
              <w:right w:val="nil"/>
            </w:tcBorders>
            <w:vAlign w:val="bottom"/>
          </w:tcPr>
          <w:p w14:paraId="6F37F7FE"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924" w:type="pct"/>
            <w:tcBorders>
              <w:top w:val="nil"/>
              <w:left w:val="nil"/>
              <w:bottom w:val="nil"/>
              <w:right w:val="nil"/>
            </w:tcBorders>
            <w:vAlign w:val="bottom"/>
          </w:tcPr>
          <w:p w14:paraId="5131C050"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c>
          <w:tcPr>
            <w:tcW w:w="764" w:type="pct"/>
            <w:tcBorders>
              <w:top w:val="nil"/>
              <w:left w:val="nil"/>
              <w:bottom w:val="nil"/>
              <w:right w:val="nil"/>
            </w:tcBorders>
            <w:vAlign w:val="bottom"/>
          </w:tcPr>
          <w:p w14:paraId="7CAB8C68" w14:textId="77777777" w:rsidR="00B103B7" w:rsidRPr="00B103B7" w:rsidRDefault="00B103B7" w:rsidP="001D72B5">
            <w:pPr>
              <w:autoSpaceDE w:val="0"/>
              <w:autoSpaceDN w:val="0"/>
              <w:adjustRightInd w:val="0"/>
              <w:spacing w:after="0"/>
              <w:jc w:val="center"/>
              <w:rPr>
                <w:rFonts w:ascii="Arial" w:hAnsi="Arial" w:cs="Arial"/>
                <w:color w:val="000000"/>
                <w:sz w:val="18"/>
                <w:szCs w:val="18"/>
              </w:rPr>
            </w:pPr>
          </w:p>
        </w:tc>
      </w:tr>
    </w:tbl>
    <w:p w14:paraId="1DAC4890" w14:textId="77777777" w:rsidR="00FA13E8" w:rsidRDefault="00FA13E8" w:rsidP="001D72B5">
      <w:pPr>
        <w:spacing w:after="0" w:line="240" w:lineRule="auto"/>
        <w:ind w:firstLine="720"/>
        <w:jc w:val="both"/>
        <w:rPr>
          <w:rFonts w:ascii="Times New Roman" w:eastAsia="Times New Roman" w:hAnsi="Times New Roman" w:cs="Times New Roman"/>
          <w:b/>
          <w:sz w:val="24"/>
          <w:szCs w:val="24"/>
          <w:lang w:val="en-ID"/>
        </w:rPr>
      </w:pPr>
    </w:p>
    <w:p w14:paraId="4E7F3186" w14:textId="3A1181FB" w:rsidR="00FA13E8" w:rsidRDefault="007F4D5F" w:rsidP="001D72B5">
      <w:pPr>
        <w:spacing w:after="0" w:line="240" w:lineRule="auto"/>
        <w:ind w:firstLine="720"/>
        <w:jc w:val="both"/>
        <w:rPr>
          <w:lang w:val="en-ID"/>
        </w:rPr>
      </w:pPr>
      <w:r w:rsidRPr="007F4D5F">
        <w:rPr>
          <w:lang w:val="en-ID"/>
        </w:rPr>
        <w:t xml:space="preserve">Based on the data processing results above, the regression results can be seen in </w:t>
      </w:r>
      <w:r>
        <w:rPr>
          <w:lang w:val="en-ID"/>
        </w:rPr>
        <w:t>Table 4</w:t>
      </w:r>
      <w:r w:rsidRPr="007F4D5F">
        <w:rPr>
          <w:lang w:val="en-ID"/>
        </w:rPr>
        <w:t>. The panel data regression equation using the common effect model is as follows:</w:t>
      </w:r>
    </w:p>
    <w:p w14:paraId="3D3639C8" w14:textId="77777777" w:rsidR="007F4D5F" w:rsidRPr="007F4D5F" w:rsidRDefault="007F4D5F" w:rsidP="001D72B5">
      <w:pPr>
        <w:spacing w:after="0" w:line="240" w:lineRule="auto"/>
        <w:ind w:firstLine="720"/>
        <w:jc w:val="both"/>
        <w:rPr>
          <w:lang w:val="en-ID"/>
        </w:rPr>
      </w:pPr>
    </w:p>
    <w:p w14:paraId="4B28C780" w14:textId="77777777" w:rsidR="007F4D5F" w:rsidRPr="003F0E2D" w:rsidRDefault="007F4D5F" w:rsidP="007F4D5F">
      <w:pPr>
        <w:pStyle w:val="NormalWeb"/>
        <w:shd w:val="clear" w:color="auto" w:fill="FFFFFF"/>
        <w:spacing w:before="0" w:beforeAutospacing="0" w:after="0" w:afterAutospacing="0"/>
        <w:ind w:left="1843" w:hanging="1843"/>
        <w:jc w:val="both"/>
        <w:rPr>
          <w:rFonts w:ascii="Arial" w:hAnsi="Arial" w:cs="Arial"/>
        </w:rPr>
      </w:pPr>
      <w:proofErr w:type="spellStart"/>
      <w:r w:rsidRPr="003F0E2D">
        <w:rPr>
          <w:rFonts w:ascii="Arial" w:hAnsi="Arial" w:cs="Arial"/>
        </w:rPr>
        <w:t>ln_hargasaham</w:t>
      </w:r>
      <w:proofErr w:type="spellEnd"/>
      <w:r w:rsidRPr="003F0E2D">
        <w:rPr>
          <w:rFonts w:ascii="Arial" w:hAnsi="Arial" w:cs="Arial"/>
        </w:rPr>
        <w:t xml:space="preserve"> = 2</w:t>
      </w:r>
      <w:r>
        <w:rPr>
          <w:rFonts w:ascii="Arial" w:hAnsi="Arial" w:cs="Arial"/>
        </w:rPr>
        <w:t>1.56326</w:t>
      </w:r>
      <w:r w:rsidRPr="003F0E2D">
        <w:rPr>
          <w:rFonts w:ascii="Arial" w:hAnsi="Arial" w:cs="Arial"/>
        </w:rPr>
        <w:t xml:space="preserve"> + </w:t>
      </w:r>
      <w:r>
        <w:rPr>
          <w:rFonts w:ascii="Arial" w:hAnsi="Arial" w:cs="Arial"/>
        </w:rPr>
        <w:t>1.729149</w:t>
      </w:r>
      <w:r w:rsidRPr="003F0E2D">
        <w:rPr>
          <w:rFonts w:ascii="Arial" w:hAnsi="Arial" w:cs="Arial"/>
          <w:i/>
          <w:iCs/>
        </w:rPr>
        <w:t xml:space="preserve">ln_roa </w:t>
      </w:r>
      <w:r w:rsidRPr="003F0E2D">
        <w:rPr>
          <w:rFonts w:ascii="Arial" w:hAnsi="Arial" w:cs="Arial"/>
        </w:rPr>
        <w:t xml:space="preserve">– </w:t>
      </w:r>
      <w:r>
        <w:rPr>
          <w:rFonts w:ascii="Arial" w:hAnsi="Arial" w:cs="Arial"/>
        </w:rPr>
        <w:t>1.398592</w:t>
      </w:r>
      <w:r w:rsidRPr="003F0E2D">
        <w:rPr>
          <w:rFonts w:ascii="Arial" w:hAnsi="Arial" w:cs="Arial"/>
          <w:i/>
          <w:iCs/>
        </w:rPr>
        <w:t>ln_npm</w:t>
      </w:r>
      <w:r w:rsidRPr="003F0E2D">
        <w:rPr>
          <w:rFonts w:ascii="Arial" w:hAnsi="Arial" w:cs="Arial"/>
        </w:rPr>
        <w:t xml:space="preserve"> + 0.</w:t>
      </w:r>
      <w:r>
        <w:rPr>
          <w:rFonts w:ascii="Arial" w:hAnsi="Arial" w:cs="Arial"/>
        </w:rPr>
        <w:t>745843</w:t>
      </w:r>
      <w:r w:rsidRPr="003F0E2D">
        <w:rPr>
          <w:rFonts w:ascii="Arial" w:hAnsi="Arial" w:cs="Arial"/>
          <w:i/>
          <w:iCs/>
        </w:rPr>
        <w:t>ln_eps</w:t>
      </w:r>
      <w:r w:rsidRPr="003F0E2D">
        <w:rPr>
          <w:rFonts w:ascii="Arial" w:hAnsi="Arial" w:cs="Arial"/>
        </w:rPr>
        <w:t xml:space="preserve"> + </w:t>
      </w:r>
      <w:r>
        <w:rPr>
          <w:rFonts w:ascii="Arial" w:hAnsi="Arial" w:cs="Arial"/>
        </w:rPr>
        <w:t>1.952065</w:t>
      </w:r>
      <w:r w:rsidRPr="003F0E2D">
        <w:rPr>
          <w:rFonts w:ascii="Arial" w:hAnsi="Arial" w:cs="Arial"/>
          <w:i/>
          <w:iCs/>
        </w:rPr>
        <w:t>ln_peko</w:t>
      </w:r>
      <w:r w:rsidRPr="003F0E2D">
        <w:rPr>
          <w:rFonts w:ascii="Arial" w:hAnsi="Arial" w:cs="Arial"/>
        </w:rPr>
        <w:t xml:space="preserve"> – </w:t>
      </w:r>
      <w:r>
        <w:rPr>
          <w:rFonts w:ascii="Arial" w:hAnsi="Arial" w:cs="Arial"/>
        </w:rPr>
        <w:t>1.800351</w:t>
      </w:r>
      <w:r w:rsidRPr="003F0E2D">
        <w:rPr>
          <w:rFonts w:ascii="Arial" w:hAnsi="Arial" w:cs="Arial"/>
          <w:i/>
          <w:iCs/>
        </w:rPr>
        <w:t>ln_kurs</w:t>
      </w:r>
      <w:r w:rsidRPr="003F0E2D">
        <w:rPr>
          <w:rFonts w:ascii="Arial" w:hAnsi="Arial" w:cs="Arial"/>
        </w:rPr>
        <w:t xml:space="preserve"> – </w:t>
      </w:r>
      <w:r>
        <w:rPr>
          <w:rFonts w:ascii="Arial" w:hAnsi="Arial" w:cs="Arial"/>
        </w:rPr>
        <w:t>2.588726</w:t>
      </w:r>
      <w:r w:rsidRPr="003F0E2D">
        <w:rPr>
          <w:rFonts w:ascii="Arial" w:hAnsi="Arial" w:cs="Arial"/>
          <w:i/>
          <w:iCs/>
        </w:rPr>
        <w:t xml:space="preserve"> </w:t>
      </w:r>
      <w:proofErr w:type="spellStart"/>
      <w:r w:rsidRPr="003F0E2D">
        <w:rPr>
          <w:rFonts w:ascii="Arial" w:hAnsi="Arial" w:cs="Arial"/>
          <w:i/>
          <w:iCs/>
        </w:rPr>
        <w:t>ln_inflasi</w:t>
      </w:r>
      <w:proofErr w:type="spellEnd"/>
      <w:r w:rsidRPr="003F0E2D">
        <w:rPr>
          <w:rFonts w:ascii="Arial" w:hAnsi="Arial" w:cs="Arial"/>
        </w:rPr>
        <w:t xml:space="preserve"> + </w:t>
      </w:r>
      <w:r w:rsidRPr="003F0E2D">
        <w:rPr>
          <w:rFonts w:ascii="Arial" w:hAnsi="Arial" w:cs="Arial"/>
          <w:i/>
          <w:position w:val="2"/>
        </w:rPr>
        <w:t>Ɛ</w:t>
      </w:r>
      <w:r w:rsidRPr="003F0E2D">
        <w:rPr>
          <w:rFonts w:ascii="Arial" w:hAnsi="Arial" w:cs="Arial"/>
          <w:i/>
          <w:position w:val="2"/>
          <w:vertAlign w:val="subscript"/>
        </w:rPr>
        <w:t xml:space="preserve">1 </w:t>
      </w:r>
      <w:r w:rsidRPr="003F0E2D">
        <w:rPr>
          <w:rFonts w:ascii="Arial" w:hAnsi="Arial" w:cs="Arial"/>
        </w:rPr>
        <w:t xml:space="preserve"> </w:t>
      </w:r>
    </w:p>
    <w:p w14:paraId="7482AE2C" w14:textId="77777777" w:rsidR="007F4D5F" w:rsidRDefault="007F4D5F">
      <w:pPr>
        <w:spacing w:after="0" w:line="240" w:lineRule="auto"/>
        <w:jc w:val="both"/>
        <w:rPr>
          <w:rFonts w:ascii="Times New Roman" w:eastAsia="Times New Roman" w:hAnsi="Times New Roman" w:cs="Times New Roman"/>
          <w:b/>
          <w:sz w:val="24"/>
          <w:szCs w:val="24"/>
        </w:rPr>
      </w:pPr>
    </w:p>
    <w:p w14:paraId="3A4D44C7" w14:textId="25A355C9" w:rsidR="00451909" w:rsidRPr="00FF26DB" w:rsidRDefault="00451909" w:rsidP="004519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5. </w:t>
      </w:r>
      <w:r w:rsidRPr="00451909">
        <w:rPr>
          <w:rFonts w:ascii="Times New Roman" w:eastAsia="Times New Roman" w:hAnsi="Times New Roman" w:cs="Times New Roman"/>
          <w:b/>
          <w:sz w:val="24"/>
          <w:szCs w:val="24"/>
        </w:rPr>
        <w:t>Simple Linear Regression Results with Fixed Effect Model Structure 2</w:t>
      </w:r>
    </w:p>
    <w:p w14:paraId="6CB846D8" w14:textId="77777777" w:rsidR="007F4D5F" w:rsidRDefault="007F4D5F">
      <w:pPr>
        <w:spacing w:after="0" w:line="240" w:lineRule="auto"/>
        <w:jc w:val="both"/>
        <w:rPr>
          <w:rFonts w:ascii="Times New Roman" w:eastAsia="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783"/>
        <w:gridCol w:w="1524"/>
        <w:gridCol w:w="1672"/>
        <w:gridCol w:w="1670"/>
        <w:gridCol w:w="1377"/>
      </w:tblGrid>
      <w:tr w:rsidR="00451909" w:rsidRPr="00451909" w14:paraId="13766654" w14:textId="77777777" w:rsidTr="00451909">
        <w:trPr>
          <w:trHeight w:val="208"/>
        </w:trPr>
        <w:tc>
          <w:tcPr>
            <w:tcW w:w="3312" w:type="pct"/>
            <w:gridSpan w:val="3"/>
            <w:tcBorders>
              <w:top w:val="nil"/>
              <w:left w:val="nil"/>
              <w:bottom w:val="nil"/>
              <w:right w:val="nil"/>
            </w:tcBorders>
            <w:vAlign w:val="bottom"/>
          </w:tcPr>
          <w:p w14:paraId="4A83BA73"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Dependent Variable: </w:t>
            </w:r>
            <w:proofErr w:type="spellStart"/>
            <w:r w:rsidRPr="00451909">
              <w:rPr>
                <w:rFonts w:ascii="Arial" w:eastAsia="Calibri" w:hAnsi="Arial" w:cs="Arial"/>
                <w:color w:val="000000"/>
                <w:kern w:val="0"/>
                <w:lang w:val="en-US"/>
                <w14:ligatures w14:val="none"/>
              </w:rPr>
              <w:t>ln_nilaiperusahaan</w:t>
            </w:r>
            <w:proofErr w:type="spellEnd"/>
          </w:p>
        </w:tc>
        <w:tc>
          <w:tcPr>
            <w:tcW w:w="925" w:type="pct"/>
            <w:tcBorders>
              <w:top w:val="nil"/>
              <w:left w:val="nil"/>
              <w:bottom w:val="nil"/>
              <w:right w:val="nil"/>
            </w:tcBorders>
            <w:vAlign w:val="bottom"/>
          </w:tcPr>
          <w:p w14:paraId="3A94B3A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75BDF53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7FD5C633" w14:textId="77777777" w:rsidTr="00451909">
        <w:trPr>
          <w:trHeight w:hRule="exact" w:val="82"/>
        </w:trPr>
        <w:tc>
          <w:tcPr>
            <w:tcW w:w="1542" w:type="pct"/>
            <w:tcBorders>
              <w:top w:val="nil"/>
              <w:left w:val="nil"/>
              <w:bottom w:val="double" w:sz="6" w:space="2" w:color="auto"/>
              <w:right w:val="nil"/>
            </w:tcBorders>
            <w:vAlign w:val="bottom"/>
          </w:tcPr>
          <w:p w14:paraId="4040627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010EEAD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345411F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18433FF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66F92A3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3D188E3E" w14:textId="77777777" w:rsidTr="00451909">
        <w:trPr>
          <w:trHeight w:hRule="exact" w:val="124"/>
        </w:trPr>
        <w:tc>
          <w:tcPr>
            <w:tcW w:w="1542" w:type="pct"/>
            <w:tcBorders>
              <w:top w:val="nil"/>
              <w:left w:val="nil"/>
              <w:bottom w:val="nil"/>
              <w:right w:val="nil"/>
            </w:tcBorders>
            <w:vAlign w:val="bottom"/>
          </w:tcPr>
          <w:p w14:paraId="472193D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6E31FFD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0F2FC4CD"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69DB83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5BB1550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77B8AF3" w14:textId="77777777" w:rsidTr="00451909">
        <w:trPr>
          <w:trHeight w:val="208"/>
        </w:trPr>
        <w:tc>
          <w:tcPr>
            <w:tcW w:w="1542" w:type="pct"/>
            <w:tcBorders>
              <w:top w:val="nil"/>
              <w:left w:val="nil"/>
              <w:bottom w:val="nil"/>
              <w:right w:val="nil"/>
            </w:tcBorders>
            <w:vAlign w:val="bottom"/>
          </w:tcPr>
          <w:p w14:paraId="7215B50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Variable</w:t>
            </w:r>
          </w:p>
        </w:tc>
        <w:tc>
          <w:tcPr>
            <w:tcW w:w="844" w:type="pct"/>
            <w:tcBorders>
              <w:top w:val="nil"/>
              <w:left w:val="nil"/>
              <w:bottom w:val="nil"/>
              <w:right w:val="nil"/>
            </w:tcBorders>
            <w:vAlign w:val="bottom"/>
          </w:tcPr>
          <w:p w14:paraId="45CF3CA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Coefficient</w:t>
            </w:r>
          </w:p>
        </w:tc>
        <w:tc>
          <w:tcPr>
            <w:tcW w:w="925" w:type="pct"/>
            <w:tcBorders>
              <w:top w:val="nil"/>
              <w:left w:val="nil"/>
              <w:bottom w:val="nil"/>
              <w:right w:val="nil"/>
            </w:tcBorders>
            <w:vAlign w:val="bottom"/>
          </w:tcPr>
          <w:p w14:paraId="3A562ABB"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Std. Error</w:t>
            </w:r>
          </w:p>
        </w:tc>
        <w:tc>
          <w:tcPr>
            <w:tcW w:w="925" w:type="pct"/>
            <w:tcBorders>
              <w:top w:val="nil"/>
              <w:left w:val="nil"/>
              <w:bottom w:val="nil"/>
              <w:right w:val="nil"/>
            </w:tcBorders>
            <w:vAlign w:val="bottom"/>
          </w:tcPr>
          <w:p w14:paraId="16B228E5"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t-Statistic</w:t>
            </w:r>
          </w:p>
        </w:tc>
        <w:tc>
          <w:tcPr>
            <w:tcW w:w="764" w:type="pct"/>
            <w:tcBorders>
              <w:top w:val="nil"/>
              <w:left w:val="nil"/>
              <w:bottom w:val="nil"/>
              <w:right w:val="nil"/>
            </w:tcBorders>
            <w:vAlign w:val="bottom"/>
          </w:tcPr>
          <w:p w14:paraId="4BD78E51"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Prob.  </w:t>
            </w:r>
          </w:p>
        </w:tc>
      </w:tr>
      <w:tr w:rsidR="00451909" w:rsidRPr="00451909" w14:paraId="3126C2A2" w14:textId="77777777" w:rsidTr="00451909">
        <w:trPr>
          <w:trHeight w:hRule="exact" w:val="82"/>
        </w:trPr>
        <w:tc>
          <w:tcPr>
            <w:tcW w:w="1542" w:type="pct"/>
            <w:tcBorders>
              <w:top w:val="nil"/>
              <w:left w:val="nil"/>
              <w:bottom w:val="double" w:sz="6" w:space="2" w:color="auto"/>
              <w:right w:val="nil"/>
            </w:tcBorders>
            <w:vAlign w:val="bottom"/>
          </w:tcPr>
          <w:p w14:paraId="498E57B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74C8776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4999756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1F3A835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22CD183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3350B871" w14:textId="77777777" w:rsidTr="00451909">
        <w:trPr>
          <w:trHeight w:hRule="exact" w:val="124"/>
        </w:trPr>
        <w:tc>
          <w:tcPr>
            <w:tcW w:w="1542" w:type="pct"/>
            <w:tcBorders>
              <w:top w:val="nil"/>
              <w:left w:val="nil"/>
              <w:bottom w:val="nil"/>
              <w:right w:val="nil"/>
            </w:tcBorders>
            <w:vAlign w:val="bottom"/>
          </w:tcPr>
          <w:p w14:paraId="370593B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6C00F5F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7BEA370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634D663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2B5692F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7BE245A" w14:textId="77777777" w:rsidTr="00451909">
        <w:trPr>
          <w:trHeight w:val="208"/>
        </w:trPr>
        <w:tc>
          <w:tcPr>
            <w:tcW w:w="1542" w:type="pct"/>
            <w:tcBorders>
              <w:top w:val="nil"/>
              <w:left w:val="nil"/>
              <w:bottom w:val="nil"/>
              <w:right w:val="nil"/>
            </w:tcBorders>
            <w:vAlign w:val="bottom"/>
          </w:tcPr>
          <w:p w14:paraId="3AC08F0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w:t>
            </w:r>
          </w:p>
        </w:tc>
        <w:tc>
          <w:tcPr>
            <w:tcW w:w="844" w:type="pct"/>
            <w:tcBorders>
              <w:top w:val="nil"/>
              <w:left w:val="nil"/>
              <w:bottom w:val="nil"/>
              <w:right w:val="nil"/>
            </w:tcBorders>
            <w:vAlign w:val="bottom"/>
          </w:tcPr>
          <w:p w14:paraId="083CFB49"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-87.67144</w:t>
            </w:r>
          </w:p>
        </w:tc>
        <w:tc>
          <w:tcPr>
            <w:tcW w:w="925" w:type="pct"/>
            <w:tcBorders>
              <w:top w:val="nil"/>
              <w:left w:val="nil"/>
              <w:bottom w:val="nil"/>
              <w:right w:val="nil"/>
            </w:tcBorders>
            <w:vAlign w:val="bottom"/>
          </w:tcPr>
          <w:p w14:paraId="2680C1EA"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10.21499</w:t>
            </w:r>
          </w:p>
        </w:tc>
        <w:tc>
          <w:tcPr>
            <w:tcW w:w="925" w:type="pct"/>
            <w:tcBorders>
              <w:top w:val="nil"/>
              <w:left w:val="nil"/>
              <w:bottom w:val="nil"/>
              <w:right w:val="nil"/>
            </w:tcBorders>
            <w:vAlign w:val="bottom"/>
          </w:tcPr>
          <w:p w14:paraId="349BEFCC"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-8.582628</w:t>
            </w:r>
          </w:p>
        </w:tc>
        <w:tc>
          <w:tcPr>
            <w:tcW w:w="764" w:type="pct"/>
            <w:tcBorders>
              <w:top w:val="nil"/>
              <w:left w:val="nil"/>
              <w:bottom w:val="nil"/>
              <w:right w:val="nil"/>
            </w:tcBorders>
            <w:vAlign w:val="bottom"/>
          </w:tcPr>
          <w:p w14:paraId="5D4B2B0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w:t>
            </w:r>
          </w:p>
        </w:tc>
      </w:tr>
      <w:tr w:rsidR="00451909" w:rsidRPr="00451909" w14:paraId="1FBFA6CC" w14:textId="77777777" w:rsidTr="00451909">
        <w:trPr>
          <w:trHeight w:val="208"/>
        </w:trPr>
        <w:tc>
          <w:tcPr>
            <w:tcW w:w="1542" w:type="pct"/>
            <w:tcBorders>
              <w:top w:val="nil"/>
              <w:left w:val="nil"/>
              <w:bottom w:val="nil"/>
              <w:right w:val="nil"/>
            </w:tcBorders>
            <w:vAlign w:val="bottom"/>
          </w:tcPr>
          <w:p w14:paraId="448559C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roofErr w:type="spellStart"/>
            <w:r w:rsidRPr="00451909">
              <w:rPr>
                <w:rFonts w:ascii="Arial" w:eastAsia="Calibri" w:hAnsi="Arial" w:cs="Arial"/>
                <w:color w:val="000000"/>
                <w:kern w:val="0"/>
                <w:lang w:val="en-US"/>
                <w14:ligatures w14:val="none"/>
              </w:rPr>
              <w:t>ln_hargasaham</w:t>
            </w:r>
            <w:proofErr w:type="spellEnd"/>
          </w:p>
        </w:tc>
        <w:tc>
          <w:tcPr>
            <w:tcW w:w="844" w:type="pct"/>
            <w:tcBorders>
              <w:top w:val="nil"/>
              <w:left w:val="nil"/>
              <w:bottom w:val="nil"/>
              <w:right w:val="nil"/>
            </w:tcBorders>
            <w:vAlign w:val="bottom"/>
          </w:tcPr>
          <w:p w14:paraId="4AD0F869"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10.72368</w:t>
            </w:r>
          </w:p>
        </w:tc>
        <w:tc>
          <w:tcPr>
            <w:tcW w:w="925" w:type="pct"/>
            <w:tcBorders>
              <w:top w:val="nil"/>
              <w:left w:val="nil"/>
              <w:bottom w:val="nil"/>
              <w:right w:val="nil"/>
            </w:tcBorders>
            <w:vAlign w:val="bottom"/>
          </w:tcPr>
          <w:p w14:paraId="4DD6AFEE"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1.186456</w:t>
            </w:r>
          </w:p>
        </w:tc>
        <w:tc>
          <w:tcPr>
            <w:tcW w:w="925" w:type="pct"/>
            <w:tcBorders>
              <w:top w:val="nil"/>
              <w:left w:val="nil"/>
              <w:bottom w:val="nil"/>
              <w:right w:val="nil"/>
            </w:tcBorders>
            <w:vAlign w:val="bottom"/>
          </w:tcPr>
          <w:p w14:paraId="40282ADB"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9.038411</w:t>
            </w:r>
          </w:p>
        </w:tc>
        <w:tc>
          <w:tcPr>
            <w:tcW w:w="764" w:type="pct"/>
            <w:tcBorders>
              <w:top w:val="nil"/>
              <w:left w:val="nil"/>
              <w:bottom w:val="nil"/>
              <w:right w:val="nil"/>
            </w:tcBorders>
            <w:vAlign w:val="bottom"/>
          </w:tcPr>
          <w:p w14:paraId="6000F4E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w:t>
            </w:r>
          </w:p>
        </w:tc>
      </w:tr>
      <w:tr w:rsidR="00451909" w:rsidRPr="00451909" w14:paraId="5E65AD28" w14:textId="77777777" w:rsidTr="00451909">
        <w:trPr>
          <w:trHeight w:hRule="exact" w:val="82"/>
        </w:trPr>
        <w:tc>
          <w:tcPr>
            <w:tcW w:w="1542" w:type="pct"/>
            <w:tcBorders>
              <w:top w:val="nil"/>
              <w:left w:val="nil"/>
              <w:bottom w:val="double" w:sz="6" w:space="2" w:color="auto"/>
              <w:right w:val="nil"/>
            </w:tcBorders>
            <w:vAlign w:val="bottom"/>
          </w:tcPr>
          <w:p w14:paraId="166E9D0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2C8AE2D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672E49D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75D4C71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7EE626A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65BD3F47" w14:textId="77777777" w:rsidTr="00451909">
        <w:trPr>
          <w:trHeight w:hRule="exact" w:val="124"/>
        </w:trPr>
        <w:tc>
          <w:tcPr>
            <w:tcW w:w="1542" w:type="pct"/>
            <w:tcBorders>
              <w:top w:val="nil"/>
              <w:left w:val="nil"/>
              <w:bottom w:val="nil"/>
              <w:right w:val="nil"/>
            </w:tcBorders>
            <w:vAlign w:val="bottom"/>
          </w:tcPr>
          <w:p w14:paraId="7DB0C54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018DF8C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E8DFA61"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67CB406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7B7229D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D436296" w14:textId="77777777" w:rsidTr="00451909">
        <w:trPr>
          <w:trHeight w:val="208"/>
        </w:trPr>
        <w:tc>
          <w:tcPr>
            <w:tcW w:w="1542" w:type="pct"/>
            <w:tcBorders>
              <w:top w:val="nil"/>
              <w:left w:val="nil"/>
              <w:bottom w:val="nil"/>
              <w:right w:val="nil"/>
            </w:tcBorders>
            <w:vAlign w:val="bottom"/>
          </w:tcPr>
          <w:p w14:paraId="28317CF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1769" w:type="pct"/>
            <w:gridSpan w:val="2"/>
            <w:tcBorders>
              <w:top w:val="nil"/>
              <w:left w:val="nil"/>
              <w:bottom w:val="nil"/>
              <w:right w:val="nil"/>
            </w:tcBorders>
            <w:vAlign w:val="bottom"/>
          </w:tcPr>
          <w:p w14:paraId="0D9387A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Effects Specification</w:t>
            </w:r>
          </w:p>
        </w:tc>
        <w:tc>
          <w:tcPr>
            <w:tcW w:w="925" w:type="pct"/>
            <w:tcBorders>
              <w:top w:val="nil"/>
              <w:left w:val="nil"/>
              <w:bottom w:val="nil"/>
              <w:right w:val="nil"/>
            </w:tcBorders>
            <w:vAlign w:val="bottom"/>
          </w:tcPr>
          <w:p w14:paraId="6FC760BD"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4ED71B6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3DC8AB6A" w14:textId="77777777" w:rsidTr="00451909">
        <w:trPr>
          <w:trHeight w:hRule="exact" w:val="82"/>
        </w:trPr>
        <w:tc>
          <w:tcPr>
            <w:tcW w:w="1542" w:type="pct"/>
            <w:tcBorders>
              <w:top w:val="nil"/>
              <w:left w:val="nil"/>
              <w:bottom w:val="double" w:sz="6" w:space="2" w:color="auto"/>
              <w:right w:val="nil"/>
            </w:tcBorders>
            <w:vAlign w:val="bottom"/>
          </w:tcPr>
          <w:p w14:paraId="0D29ED5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1C83A63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018D0E0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1B6038A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5569254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0FE2F054" w14:textId="77777777" w:rsidTr="00451909">
        <w:trPr>
          <w:trHeight w:hRule="exact" w:val="124"/>
        </w:trPr>
        <w:tc>
          <w:tcPr>
            <w:tcW w:w="1542" w:type="pct"/>
            <w:tcBorders>
              <w:top w:val="nil"/>
              <w:left w:val="nil"/>
              <w:bottom w:val="nil"/>
              <w:right w:val="nil"/>
            </w:tcBorders>
            <w:vAlign w:val="bottom"/>
          </w:tcPr>
          <w:p w14:paraId="5664D8B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75DB1B8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71BC009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546F156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44947F4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836C1A8" w14:textId="77777777" w:rsidTr="00451909">
        <w:trPr>
          <w:trHeight w:val="208"/>
        </w:trPr>
        <w:tc>
          <w:tcPr>
            <w:tcW w:w="4236" w:type="pct"/>
            <w:gridSpan w:val="4"/>
            <w:tcBorders>
              <w:top w:val="nil"/>
              <w:left w:val="nil"/>
              <w:bottom w:val="nil"/>
              <w:right w:val="nil"/>
            </w:tcBorders>
            <w:vAlign w:val="bottom"/>
          </w:tcPr>
          <w:p w14:paraId="102A88D5"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Cross-section fixed (dummy variables)</w:t>
            </w:r>
          </w:p>
        </w:tc>
        <w:tc>
          <w:tcPr>
            <w:tcW w:w="764" w:type="pct"/>
            <w:tcBorders>
              <w:top w:val="nil"/>
              <w:left w:val="nil"/>
              <w:bottom w:val="nil"/>
              <w:right w:val="nil"/>
            </w:tcBorders>
            <w:vAlign w:val="bottom"/>
          </w:tcPr>
          <w:p w14:paraId="4ACFFD5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72DA6901" w14:textId="77777777" w:rsidTr="00451909">
        <w:trPr>
          <w:trHeight w:hRule="exact" w:val="82"/>
        </w:trPr>
        <w:tc>
          <w:tcPr>
            <w:tcW w:w="1542" w:type="pct"/>
            <w:tcBorders>
              <w:top w:val="nil"/>
              <w:left w:val="nil"/>
              <w:bottom w:val="double" w:sz="6" w:space="2" w:color="auto"/>
              <w:right w:val="nil"/>
            </w:tcBorders>
            <w:vAlign w:val="bottom"/>
          </w:tcPr>
          <w:p w14:paraId="57B015B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193DAC21"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6E012CA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3E19F0A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0431501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4985DAE9" w14:textId="77777777" w:rsidTr="00451909">
        <w:trPr>
          <w:trHeight w:hRule="exact" w:val="124"/>
        </w:trPr>
        <w:tc>
          <w:tcPr>
            <w:tcW w:w="1542" w:type="pct"/>
            <w:tcBorders>
              <w:top w:val="nil"/>
              <w:left w:val="nil"/>
              <w:bottom w:val="nil"/>
              <w:right w:val="nil"/>
            </w:tcBorders>
            <w:vAlign w:val="bottom"/>
          </w:tcPr>
          <w:p w14:paraId="3FFB45B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25AE958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5AA8B1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6AA7F781"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48CF087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5ABE9A4E" w14:textId="77777777" w:rsidTr="00451909">
        <w:trPr>
          <w:trHeight w:val="208"/>
        </w:trPr>
        <w:tc>
          <w:tcPr>
            <w:tcW w:w="1542" w:type="pct"/>
            <w:tcBorders>
              <w:top w:val="nil"/>
              <w:left w:val="nil"/>
              <w:bottom w:val="nil"/>
              <w:right w:val="nil"/>
            </w:tcBorders>
            <w:vAlign w:val="bottom"/>
          </w:tcPr>
          <w:p w14:paraId="2F2BF044"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R-squared</w:t>
            </w:r>
          </w:p>
        </w:tc>
        <w:tc>
          <w:tcPr>
            <w:tcW w:w="844" w:type="pct"/>
            <w:tcBorders>
              <w:top w:val="nil"/>
              <w:left w:val="nil"/>
              <w:bottom w:val="nil"/>
              <w:right w:val="nil"/>
            </w:tcBorders>
            <w:vAlign w:val="bottom"/>
          </w:tcPr>
          <w:p w14:paraId="43AD2F7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0.799168</w:t>
            </w:r>
          </w:p>
        </w:tc>
        <w:tc>
          <w:tcPr>
            <w:tcW w:w="1850" w:type="pct"/>
            <w:gridSpan w:val="2"/>
            <w:tcBorders>
              <w:top w:val="nil"/>
              <w:left w:val="nil"/>
              <w:bottom w:val="nil"/>
              <w:right w:val="nil"/>
            </w:tcBorders>
            <w:vAlign w:val="bottom"/>
          </w:tcPr>
          <w:p w14:paraId="66024B4E"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    Mean dependent </w:t>
            </w:r>
            <w:proofErr w:type="spellStart"/>
            <w:r w:rsidRPr="00451909">
              <w:rPr>
                <w:rFonts w:ascii="Arial" w:eastAsia="Calibri" w:hAnsi="Arial" w:cs="Arial"/>
                <w:color w:val="000000"/>
                <w:kern w:val="0"/>
                <w:lang w:val="en-US"/>
                <w14:ligatures w14:val="none"/>
              </w:rPr>
              <w:t>var</w:t>
            </w:r>
            <w:proofErr w:type="spellEnd"/>
          </w:p>
        </w:tc>
        <w:tc>
          <w:tcPr>
            <w:tcW w:w="764" w:type="pct"/>
            <w:tcBorders>
              <w:top w:val="nil"/>
              <w:left w:val="nil"/>
              <w:bottom w:val="nil"/>
              <w:right w:val="nil"/>
            </w:tcBorders>
            <w:vAlign w:val="bottom"/>
          </w:tcPr>
          <w:p w14:paraId="010FEB32"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4.552269</w:t>
            </w:r>
          </w:p>
        </w:tc>
      </w:tr>
      <w:tr w:rsidR="00451909" w:rsidRPr="00451909" w14:paraId="39A1B287" w14:textId="77777777" w:rsidTr="00451909">
        <w:trPr>
          <w:trHeight w:val="208"/>
        </w:trPr>
        <w:tc>
          <w:tcPr>
            <w:tcW w:w="1542" w:type="pct"/>
            <w:tcBorders>
              <w:top w:val="nil"/>
              <w:left w:val="nil"/>
              <w:bottom w:val="nil"/>
              <w:right w:val="nil"/>
            </w:tcBorders>
            <w:vAlign w:val="bottom"/>
          </w:tcPr>
          <w:p w14:paraId="5D328491"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Adjusted R-squared</w:t>
            </w:r>
          </w:p>
        </w:tc>
        <w:tc>
          <w:tcPr>
            <w:tcW w:w="844" w:type="pct"/>
            <w:tcBorders>
              <w:top w:val="nil"/>
              <w:left w:val="nil"/>
              <w:bottom w:val="nil"/>
              <w:right w:val="nil"/>
            </w:tcBorders>
            <w:vAlign w:val="bottom"/>
          </w:tcPr>
          <w:p w14:paraId="761498F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0.775667</w:t>
            </w:r>
          </w:p>
        </w:tc>
        <w:tc>
          <w:tcPr>
            <w:tcW w:w="1850" w:type="pct"/>
            <w:gridSpan w:val="2"/>
            <w:tcBorders>
              <w:top w:val="nil"/>
              <w:left w:val="nil"/>
              <w:bottom w:val="nil"/>
              <w:right w:val="nil"/>
            </w:tcBorders>
            <w:vAlign w:val="bottom"/>
          </w:tcPr>
          <w:p w14:paraId="0F3E652D"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    S.D. dependent </w:t>
            </w:r>
            <w:proofErr w:type="spellStart"/>
            <w:r w:rsidRPr="00451909">
              <w:rPr>
                <w:rFonts w:ascii="Arial" w:eastAsia="Calibri" w:hAnsi="Arial" w:cs="Arial"/>
                <w:color w:val="000000"/>
                <w:kern w:val="0"/>
                <w:lang w:val="en-US"/>
                <w14:ligatures w14:val="none"/>
              </w:rPr>
              <w:t>var</w:t>
            </w:r>
            <w:proofErr w:type="spellEnd"/>
          </w:p>
        </w:tc>
        <w:tc>
          <w:tcPr>
            <w:tcW w:w="764" w:type="pct"/>
            <w:tcBorders>
              <w:top w:val="nil"/>
              <w:left w:val="nil"/>
              <w:bottom w:val="nil"/>
              <w:right w:val="nil"/>
            </w:tcBorders>
            <w:vAlign w:val="bottom"/>
          </w:tcPr>
          <w:p w14:paraId="67BC309C"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14.83306</w:t>
            </w:r>
          </w:p>
        </w:tc>
      </w:tr>
      <w:tr w:rsidR="00451909" w:rsidRPr="00451909" w14:paraId="5C06FB45" w14:textId="77777777" w:rsidTr="00451909">
        <w:trPr>
          <w:trHeight w:val="208"/>
        </w:trPr>
        <w:tc>
          <w:tcPr>
            <w:tcW w:w="1542" w:type="pct"/>
            <w:tcBorders>
              <w:top w:val="nil"/>
              <w:left w:val="nil"/>
              <w:bottom w:val="nil"/>
              <w:right w:val="nil"/>
            </w:tcBorders>
            <w:vAlign w:val="bottom"/>
          </w:tcPr>
          <w:p w14:paraId="0B4AC76D"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S.E. of regression</w:t>
            </w:r>
          </w:p>
        </w:tc>
        <w:tc>
          <w:tcPr>
            <w:tcW w:w="844" w:type="pct"/>
            <w:tcBorders>
              <w:top w:val="nil"/>
              <w:left w:val="nil"/>
              <w:bottom w:val="nil"/>
              <w:right w:val="nil"/>
            </w:tcBorders>
            <w:vAlign w:val="bottom"/>
          </w:tcPr>
          <w:p w14:paraId="4ED16708"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7.025510</w:t>
            </w:r>
          </w:p>
        </w:tc>
        <w:tc>
          <w:tcPr>
            <w:tcW w:w="1850" w:type="pct"/>
            <w:gridSpan w:val="2"/>
            <w:tcBorders>
              <w:top w:val="nil"/>
              <w:left w:val="nil"/>
              <w:bottom w:val="nil"/>
              <w:right w:val="nil"/>
            </w:tcBorders>
            <w:vAlign w:val="bottom"/>
          </w:tcPr>
          <w:p w14:paraId="526A6DDB"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w:t>
            </w:r>
            <w:proofErr w:type="spellStart"/>
            <w:r w:rsidRPr="00451909">
              <w:rPr>
                <w:rFonts w:ascii="Arial" w:eastAsia="Calibri" w:hAnsi="Arial" w:cs="Arial"/>
                <w:color w:val="000000"/>
                <w:kern w:val="0"/>
                <w:lang w:val="en-US"/>
                <w14:ligatures w14:val="none"/>
              </w:rPr>
              <w:t>Akaike</w:t>
            </w:r>
            <w:proofErr w:type="spellEnd"/>
            <w:r w:rsidRPr="00451909">
              <w:rPr>
                <w:rFonts w:ascii="Arial" w:eastAsia="Calibri" w:hAnsi="Arial" w:cs="Arial"/>
                <w:color w:val="000000"/>
                <w:kern w:val="0"/>
                <w:lang w:val="en-US"/>
                <w14:ligatures w14:val="none"/>
              </w:rPr>
              <w:t xml:space="preserve"> info criterion</w:t>
            </w:r>
          </w:p>
        </w:tc>
        <w:tc>
          <w:tcPr>
            <w:tcW w:w="764" w:type="pct"/>
            <w:tcBorders>
              <w:top w:val="nil"/>
              <w:left w:val="nil"/>
              <w:bottom w:val="nil"/>
              <w:right w:val="nil"/>
            </w:tcBorders>
            <w:vAlign w:val="bottom"/>
          </w:tcPr>
          <w:p w14:paraId="58053D21"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6.839566</w:t>
            </w:r>
          </w:p>
        </w:tc>
      </w:tr>
      <w:tr w:rsidR="00451909" w:rsidRPr="00451909" w14:paraId="3A0AC73A" w14:textId="77777777" w:rsidTr="00451909">
        <w:trPr>
          <w:trHeight w:val="208"/>
        </w:trPr>
        <w:tc>
          <w:tcPr>
            <w:tcW w:w="1542" w:type="pct"/>
            <w:tcBorders>
              <w:top w:val="nil"/>
              <w:left w:val="nil"/>
              <w:bottom w:val="nil"/>
              <w:right w:val="nil"/>
            </w:tcBorders>
            <w:vAlign w:val="bottom"/>
          </w:tcPr>
          <w:p w14:paraId="12E26F92"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Sum squared </w:t>
            </w:r>
            <w:proofErr w:type="spellStart"/>
            <w:r w:rsidRPr="00451909">
              <w:rPr>
                <w:rFonts w:ascii="Arial" w:eastAsia="Calibri" w:hAnsi="Arial" w:cs="Arial"/>
                <w:color w:val="000000"/>
                <w:kern w:val="0"/>
                <w:lang w:val="en-US"/>
                <w14:ligatures w14:val="none"/>
              </w:rPr>
              <w:t>resid</w:t>
            </w:r>
            <w:proofErr w:type="spellEnd"/>
          </w:p>
        </w:tc>
        <w:tc>
          <w:tcPr>
            <w:tcW w:w="844" w:type="pct"/>
            <w:tcBorders>
              <w:top w:val="nil"/>
              <w:left w:val="nil"/>
              <w:bottom w:val="nil"/>
              <w:right w:val="nil"/>
            </w:tcBorders>
            <w:vAlign w:val="bottom"/>
          </w:tcPr>
          <w:p w14:paraId="13DEDDED"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9279.264</w:t>
            </w:r>
          </w:p>
        </w:tc>
        <w:tc>
          <w:tcPr>
            <w:tcW w:w="1850" w:type="pct"/>
            <w:gridSpan w:val="2"/>
            <w:tcBorders>
              <w:top w:val="nil"/>
              <w:left w:val="nil"/>
              <w:bottom w:val="nil"/>
              <w:right w:val="nil"/>
            </w:tcBorders>
            <w:vAlign w:val="bottom"/>
          </w:tcPr>
          <w:p w14:paraId="67F4952D"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Schwarz criterion</w:t>
            </w:r>
          </w:p>
        </w:tc>
        <w:tc>
          <w:tcPr>
            <w:tcW w:w="764" w:type="pct"/>
            <w:tcBorders>
              <w:top w:val="nil"/>
              <w:left w:val="nil"/>
              <w:bottom w:val="nil"/>
              <w:right w:val="nil"/>
            </w:tcBorders>
            <w:vAlign w:val="bottom"/>
          </w:tcPr>
          <w:p w14:paraId="2D0BD583"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7.204934</w:t>
            </w:r>
          </w:p>
        </w:tc>
      </w:tr>
      <w:tr w:rsidR="00451909" w:rsidRPr="00451909" w14:paraId="4B02D851" w14:textId="77777777" w:rsidTr="00451909">
        <w:trPr>
          <w:trHeight w:val="208"/>
        </w:trPr>
        <w:tc>
          <w:tcPr>
            <w:tcW w:w="1542" w:type="pct"/>
            <w:tcBorders>
              <w:top w:val="nil"/>
              <w:left w:val="nil"/>
              <w:bottom w:val="nil"/>
              <w:right w:val="nil"/>
            </w:tcBorders>
            <w:vAlign w:val="bottom"/>
          </w:tcPr>
          <w:p w14:paraId="4A89BE3B"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Log likelihood</w:t>
            </w:r>
          </w:p>
        </w:tc>
        <w:tc>
          <w:tcPr>
            <w:tcW w:w="844" w:type="pct"/>
            <w:tcBorders>
              <w:top w:val="nil"/>
              <w:left w:val="nil"/>
              <w:bottom w:val="nil"/>
              <w:right w:val="nil"/>
            </w:tcBorders>
            <w:vAlign w:val="bottom"/>
          </w:tcPr>
          <w:p w14:paraId="2153C62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-698.5742</w:t>
            </w:r>
          </w:p>
        </w:tc>
        <w:tc>
          <w:tcPr>
            <w:tcW w:w="1850" w:type="pct"/>
            <w:gridSpan w:val="2"/>
            <w:tcBorders>
              <w:top w:val="nil"/>
              <w:left w:val="nil"/>
              <w:bottom w:val="nil"/>
              <w:right w:val="nil"/>
            </w:tcBorders>
            <w:vAlign w:val="bottom"/>
          </w:tcPr>
          <w:p w14:paraId="25E6D05E"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w:t>
            </w:r>
            <w:proofErr w:type="spellStart"/>
            <w:r w:rsidRPr="00451909">
              <w:rPr>
                <w:rFonts w:ascii="Arial" w:eastAsia="Calibri" w:hAnsi="Arial" w:cs="Arial"/>
                <w:color w:val="000000"/>
                <w:kern w:val="0"/>
                <w:lang w:val="en-US"/>
                <w14:ligatures w14:val="none"/>
              </w:rPr>
              <w:t>Hannan</w:t>
            </w:r>
            <w:proofErr w:type="spellEnd"/>
            <w:r w:rsidRPr="00451909">
              <w:rPr>
                <w:rFonts w:ascii="Arial" w:eastAsia="Calibri" w:hAnsi="Arial" w:cs="Arial"/>
                <w:color w:val="000000"/>
                <w:kern w:val="0"/>
                <w:lang w:val="en-US"/>
                <w14:ligatures w14:val="none"/>
              </w:rPr>
              <w:t xml:space="preserve">-Quinn </w:t>
            </w:r>
            <w:proofErr w:type="spellStart"/>
            <w:r w:rsidRPr="00451909">
              <w:rPr>
                <w:rFonts w:ascii="Arial" w:eastAsia="Calibri" w:hAnsi="Arial" w:cs="Arial"/>
                <w:color w:val="000000"/>
                <w:kern w:val="0"/>
                <w:lang w:val="en-US"/>
                <w14:ligatures w14:val="none"/>
              </w:rPr>
              <w:t>criter</w:t>
            </w:r>
            <w:proofErr w:type="spellEnd"/>
            <w:r w:rsidRPr="00451909">
              <w:rPr>
                <w:rFonts w:ascii="Arial" w:eastAsia="Calibri" w:hAnsi="Arial" w:cs="Arial"/>
                <w:color w:val="000000"/>
                <w:kern w:val="0"/>
                <w:lang w:val="en-US"/>
                <w14:ligatures w14:val="none"/>
              </w:rPr>
              <w:t>.</w:t>
            </w:r>
          </w:p>
        </w:tc>
        <w:tc>
          <w:tcPr>
            <w:tcW w:w="764" w:type="pct"/>
            <w:tcBorders>
              <w:top w:val="nil"/>
              <w:left w:val="nil"/>
              <w:bottom w:val="nil"/>
              <w:right w:val="nil"/>
            </w:tcBorders>
            <w:vAlign w:val="bottom"/>
          </w:tcPr>
          <w:p w14:paraId="22D4711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6.987255</w:t>
            </w:r>
          </w:p>
        </w:tc>
      </w:tr>
      <w:tr w:rsidR="00451909" w:rsidRPr="00451909" w14:paraId="27E0B938" w14:textId="77777777" w:rsidTr="00451909">
        <w:trPr>
          <w:trHeight w:val="208"/>
        </w:trPr>
        <w:tc>
          <w:tcPr>
            <w:tcW w:w="1542" w:type="pct"/>
            <w:tcBorders>
              <w:top w:val="nil"/>
              <w:left w:val="nil"/>
              <w:bottom w:val="nil"/>
              <w:right w:val="nil"/>
            </w:tcBorders>
            <w:vAlign w:val="bottom"/>
          </w:tcPr>
          <w:p w14:paraId="47318347"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F-statistic</w:t>
            </w:r>
          </w:p>
        </w:tc>
        <w:tc>
          <w:tcPr>
            <w:tcW w:w="844" w:type="pct"/>
            <w:tcBorders>
              <w:top w:val="nil"/>
              <w:left w:val="nil"/>
              <w:bottom w:val="nil"/>
              <w:right w:val="nil"/>
            </w:tcBorders>
            <w:vAlign w:val="bottom"/>
          </w:tcPr>
          <w:p w14:paraId="51860B31"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34.00484</w:t>
            </w:r>
          </w:p>
        </w:tc>
        <w:tc>
          <w:tcPr>
            <w:tcW w:w="1850" w:type="pct"/>
            <w:gridSpan w:val="2"/>
            <w:tcBorders>
              <w:top w:val="nil"/>
              <w:left w:val="nil"/>
              <w:bottom w:val="nil"/>
              <w:right w:val="nil"/>
            </w:tcBorders>
            <w:vAlign w:val="bottom"/>
          </w:tcPr>
          <w:p w14:paraId="1E682CD2"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Durbin-Watson stat</w:t>
            </w:r>
          </w:p>
        </w:tc>
        <w:tc>
          <w:tcPr>
            <w:tcW w:w="764" w:type="pct"/>
            <w:tcBorders>
              <w:top w:val="nil"/>
              <w:left w:val="nil"/>
              <w:bottom w:val="nil"/>
              <w:right w:val="nil"/>
            </w:tcBorders>
            <w:vAlign w:val="bottom"/>
          </w:tcPr>
          <w:p w14:paraId="1D8C3BD9"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0.627445</w:t>
            </w:r>
          </w:p>
        </w:tc>
      </w:tr>
      <w:tr w:rsidR="00451909" w:rsidRPr="00451909" w14:paraId="611DF3E0" w14:textId="77777777" w:rsidTr="00451909">
        <w:trPr>
          <w:trHeight w:val="208"/>
        </w:trPr>
        <w:tc>
          <w:tcPr>
            <w:tcW w:w="1542" w:type="pct"/>
            <w:tcBorders>
              <w:top w:val="nil"/>
              <w:left w:val="nil"/>
              <w:bottom w:val="nil"/>
              <w:right w:val="nil"/>
            </w:tcBorders>
            <w:vAlign w:val="bottom"/>
          </w:tcPr>
          <w:p w14:paraId="732E5476"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proofErr w:type="spellStart"/>
            <w:r w:rsidRPr="00451909">
              <w:rPr>
                <w:rFonts w:ascii="Arial" w:eastAsia="Calibri" w:hAnsi="Arial" w:cs="Arial"/>
                <w:color w:val="000000"/>
                <w:kern w:val="0"/>
                <w:lang w:val="en-US"/>
                <w14:ligatures w14:val="none"/>
              </w:rPr>
              <w:t>Prob</w:t>
            </w:r>
            <w:proofErr w:type="spellEnd"/>
            <w:r w:rsidRPr="00451909">
              <w:rPr>
                <w:rFonts w:ascii="Arial" w:eastAsia="Calibri" w:hAnsi="Arial" w:cs="Arial"/>
                <w:color w:val="000000"/>
                <w:kern w:val="0"/>
                <w:lang w:val="en-US"/>
                <w14:ligatures w14:val="none"/>
              </w:rPr>
              <w:t>(F-statistic)</w:t>
            </w:r>
          </w:p>
        </w:tc>
        <w:tc>
          <w:tcPr>
            <w:tcW w:w="844" w:type="pct"/>
            <w:tcBorders>
              <w:top w:val="nil"/>
              <w:left w:val="nil"/>
              <w:bottom w:val="nil"/>
              <w:right w:val="nil"/>
            </w:tcBorders>
            <w:vAlign w:val="bottom"/>
          </w:tcPr>
          <w:p w14:paraId="536B18C5"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0.000000</w:t>
            </w:r>
          </w:p>
        </w:tc>
        <w:tc>
          <w:tcPr>
            <w:tcW w:w="925" w:type="pct"/>
            <w:tcBorders>
              <w:top w:val="nil"/>
              <w:left w:val="nil"/>
              <w:bottom w:val="nil"/>
              <w:right w:val="nil"/>
            </w:tcBorders>
            <w:vAlign w:val="bottom"/>
          </w:tcPr>
          <w:p w14:paraId="4EA2189B"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B96C062"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215F53C8"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r>
      <w:tr w:rsidR="00451909" w:rsidRPr="00451909" w14:paraId="465E4A10" w14:textId="77777777" w:rsidTr="00451909">
        <w:trPr>
          <w:trHeight w:hRule="exact" w:val="82"/>
        </w:trPr>
        <w:tc>
          <w:tcPr>
            <w:tcW w:w="1542" w:type="pct"/>
            <w:tcBorders>
              <w:top w:val="nil"/>
              <w:left w:val="nil"/>
              <w:bottom w:val="double" w:sz="6" w:space="0" w:color="auto"/>
              <w:right w:val="nil"/>
            </w:tcBorders>
            <w:vAlign w:val="bottom"/>
          </w:tcPr>
          <w:p w14:paraId="5521B88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0" w:color="auto"/>
              <w:right w:val="nil"/>
            </w:tcBorders>
            <w:vAlign w:val="bottom"/>
          </w:tcPr>
          <w:p w14:paraId="09B02EC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0" w:color="auto"/>
              <w:right w:val="nil"/>
            </w:tcBorders>
            <w:vAlign w:val="bottom"/>
          </w:tcPr>
          <w:p w14:paraId="46FFD3D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0" w:color="auto"/>
              <w:right w:val="nil"/>
            </w:tcBorders>
            <w:vAlign w:val="bottom"/>
          </w:tcPr>
          <w:p w14:paraId="5F6FFFB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0" w:color="auto"/>
              <w:right w:val="nil"/>
            </w:tcBorders>
            <w:vAlign w:val="bottom"/>
          </w:tcPr>
          <w:p w14:paraId="66B1999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7F61FFF3" w14:textId="77777777" w:rsidTr="00451909">
        <w:trPr>
          <w:trHeight w:hRule="exact" w:val="124"/>
        </w:trPr>
        <w:tc>
          <w:tcPr>
            <w:tcW w:w="1542" w:type="pct"/>
            <w:tcBorders>
              <w:top w:val="nil"/>
              <w:left w:val="nil"/>
              <w:bottom w:val="nil"/>
              <w:right w:val="nil"/>
            </w:tcBorders>
            <w:vAlign w:val="bottom"/>
          </w:tcPr>
          <w:p w14:paraId="2A4C2C9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4757827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0334A80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161F197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4220CCE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bl>
    <w:p w14:paraId="3344FCCF" w14:textId="77777777" w:rsidR="00451909" w:rsidRDefault="00451909">
      <w:pPr>
        <w:spacing w:after="0" w:line="240" w:lineRule="auto"/>
        <w:jc w:val="both"/>
        <w:rPr>
          <w:rFonts w:ascii="Times New Roman" w:eastAsia="Times New Roman" w:hAnsi="Times New Roman" w:cs="Times New Roman"/>
          <w:b/>
          <w:sz w:val="24"/>
          <w:szCs w:val="24"/>
        </w:rPr>
      </w:pPr>
    </w:p>
    <w:p w14:paraId="5D630BC0" w14:textId="712EAC8E" w:rsidR="00451909" w:rsidRDefault="00451909" w:rsidP="00451909">
      <w:pPr>
        <w:spacing w:after="0" w:line="240" w:lineRule="auto"/>
        <w:ind w:firstLine="720"/>
        <w:jc w:val="both"/>
        <w:rPr>
          <w:lang w:val="en-ID"/>
        </w:rPr>
      </w:pPr>
      <w:r w:rsidRPr="00451909">
        <w:rPr>
          <w:lang w:val="en-ID"/>
        </w:rPr>
        <w:t>Based on the results</w:t>
      </w:r>
      <w:r>
        <w:rPr>
          <w:lang w:val="en-ID"/>
        </w:rPr>
        <w:t xml:space="preserve"> on Table 5</w:t>
      </w:r>
      <w:r w:rsidRPr="00451909">
        <w:rPr>
          <w:lang w:val="en-ID"/>
        </w:rPr>
        <w:t>, with the form of a simple linear regression equation with a fixed effect model as follows:</w:t>
      </w:r>
    </w:p>
    <w:p w14:paraId="32B5FA8C" w14:textId="77777777" w:rsidR="00451909" w:rsidRPr="00451909" w:rsidRDefault="00451909" w:rsidP="00451909">
      <w:pPr>
        <w:spacing w:after="0" w:line="240" w:lineRule="auto"/>
        <w:ind w:firstLine="720"/>
        <w:jc w:val="both"/>
        <w:rPr>
          <w:lang w:val="en-ID"/>
        </w:rPr>
      </w:pPr>
    </w:p>
    <w:p w14:paraId="198901AF" w14:textId="145EED17" w:rsidR="00451909" w:rsidRPr="009B10D6" w:rsidRDefault="00451909" w:rsidP="00451909">
      <w:pPr>
        <w:spacing w:line="480" w:lineRule="auto"/>
        <w:jc w:val="center"/>
        <w:rPr>
          <w:rFonts w:ascii="Arial" w:hAnsi="Arial" w:cs="Arial"/>
          <w:lang w:val="es-ES"/>
        </w:rPr>
      </w:pPr>
      <w:proofErr w:type="spellStart"/>
      <w:r w:rsidRPr="00830EC2">
        <w:rPr>
          <w:rFonts w:ascii="Arial" w:hAnsi="Arial" w:cs="Arial"/>
          <w:i/>
          <w:iCs/>
          <w:lang w:val="es-ES"/>
        </w:rPr>
        <w:t>ln_nilaiperusahaan</w:t>
      </w:r>
      <w:proofErr w:type="spellEnd"/>
      <w:r>
        <w:rPr>
          <w:rFonts w:ascii="Arial" w:hAnsi="Arial" w:cs="Arial"/>
          <w:lang w:val="es-ES"/>
        </w:rPr>
        <w:t xml:space="preserve"> = -87.67144 + 10.72368</w:t>
      </w:r>
      <w:r w:rsidRPr="00830EC2">
        <w:rPr>
          <w:rFonts w:ascii="Arial" w:hAnsi="Arial" w:cs="Arial"/>
          <w:i/>
          <w:iCs/>
          <w:lang w:val="es-ES"/>
        </w:rPr>
        <w:t>ln_hargasaham</w:t>
      </w:r>
    </w:p>
    <w:p w14:paraId="3148450E" w14:textId="72B2AEBF" w:rsidR="00451909" w:rsidRDefault="00451909" w:rsidP="004519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6. </w:t>
      </w:r>
      <w:r w:rsidRPr="00451909">
        <w:rPr>
          <w:rFonts w:ascii="Times New Roman" w:eastAsia="Times New Roman" w:hAnsi="Times New Roman" w:cs="Times New Roman"/>
          <w:b/>
          <w:sz w:val="24"/>
          <w:szCs w:val="24"/>
        </w:rPr>
        <w:t>Simple Linear Regression Results with Fixed Effect Model Structure 3</w:t>
      </w:r>
    </w:p>
    <w:tbl>
      <w:tblPr>
        <w:tblW w:w="5000" w:type="pct"/>
        <w:jc w:val="center"/>
        <w:tblCellMar>
          <w:left w:w="0" w:type="dxa"/>
          <w:right w:w="0" w:type="dxa"/>
        </w:tblCellMar>
        <w:tblLook w:val="0000" w:firstRow="0" w:lastRow="0" w:firstColumn="0" w:lastColumn="0" w:noHBand="0" w:noVBand="0"/>
      </w:tblPr>
      <w:tblGrid>
        <w:gridCol w:w="2785"/>
        <w:gridCol w:w="1524"/>
        <w:gridCol w:w="1670"/>
        <w:gridCol w:w="1670"/>
        <w:gridCol w:w="1377"/>
      </w:tblGrid>
      <w:tr w:rsidR="00451909" w:rsidRPr="00451909" w14:paraId="34F10F96" w14:textId="77777777" w:rsidTr="00451909">
        <w:trPr>
          <w:trHeight w:val="206"/>
          <w:jc w:val="center"/>
        </w:trPr>
        <w:tc>
          <w:tcPr>
            <w:tcW w:w="3312" w:type="pct"/>
            <w:gridSpan w:val="3"/>
            <w:tcBorders>
              <w:top w:val="nil"/>
              <w:left w:val="nil"/>
              <w:bottom w:val="nil"/>
              <w:right w:val="nil"/>
            </w:tcBorders>
            <w:vAlign w:val="bottom"/>
          </w:tcPr>
          <w:p w14:paraId="3BB91AEC"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Dependent Variable: </w:t>
            </w:r>
            <w:proofErr w:type="spellStart"/>
            <w:r w:rsidRPr="00451909">
              <w:rPr>
                <w:rFonts w:ascii="Arial" w:eastAsia="Calibri" w:hAnsi="Arial" w:cs="Arial"/>
                <w:color w:val="000000"/>
                <w:kern w:val="0"/>
                <w:lang w:val="en-US"/>
                <w14:ligatures w14:val="none"/>
              </w:rPr>
              <w:t>ln_nilaiperusahaan</w:t>
            </w:r>
            <w:proofErr w:type="spellEnd"/>
          </w:p>
        </w:tc>
        <w:tc>
          <w:tcPr>
            <w:tcW w:w="925" w:type="pct"/>
            <w:tcBorders>
              <w:top w:val="nil"/>
              <w:left w:val="nil"/>
              <w:bottom w:val="nil"/>
              <w:right w:val="nil"/>
            </w:tcBorders>
            <w:vAlign w:val="bottom"/>
          </w:tcPr>
          <w:p w14:paraId="474AA33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1563E91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5B9C8EF3" w14:textId="77777777" w:rsidTr="00451909">
        <w:trPr>
          <w:trHeight w:hRule="exact" w:val="81"/>
          <w:jc w:val="center"/>
        </w:trPr>
        <w:tc>
          <w:tcPr>
            <w:tcW w:w="1543" w:type="pct"/>
            <w:tcBorders>
              <w:top w:val="nil"/>
              <w:left w:val="nil"/>
              <w:bottom w:val="double" w:sz="6" w:space="2" w:color="auto"/>
              <w:right w:val="nil"/>
            </w:tcBorders>
            <w:vAlign w:val="bottom"/>
          </w:tcPr>
          <w:p w14:paraId="1EEFC23D"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6EFB625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3CF8AF0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2B603A8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25B2E8E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C14EDDC" w14:textId="77777777" w:rsidTr="00451909">
        <w:trPr>
          <w:trHeight w:hRule="exact" w:val="123"/>
          <w:jc w:val="center"/>
        </w:trPr>
        <w:tc>
          <w:tcPr>
            <w:tcW w:w="1543" w:type="pct"/>
            <w:tcBorders>
              <w:top w:val="nil"/>
              <w:left w:val="nil"/>
              <w:bottom w:val="nil"/>
              <w:right w:val="nil"/>
            </w:tcBorders>
            <w:vAlign w:val="bottom"/>
          </w:tcPr>
          <w:p w14:paraId="2024D54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4015AAF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1A4D118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19A6910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2615C43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1BF6CE11" w14:textId="77777777" w:rsidTr="00451909">
        <w:trPr>
          <w:trHeight w:val="206"/>
          <w:jc w:val="center"/>
        </w:trPr>
        <w:tc>
          <w:tcPr>
            <w:tcW w:w="1543" w:type="pct"/>
            <w:tcBorders>
              <w:top w:val="nil"/>
              <w:left w:val="nil"/>
              <w:bottom w:val="nil"/>
              <w:right w:val="nil"/>
            </w:tcBorders>
            <w:vAlign w:val="bottom"/>
          </w:tcPr>
          <w:p w14:paraId="39F5EB2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Variable</w:t>
            </w:r>
          </w:p>
        </w:tc>
        <w:tc>
          <w:tcPr>
            <w:tcW w:w="844" w:type="pct"/>
            <w:tcBorders>
              <w:top w:val="nil"/>
              <w:left w:val="nil"/>
              <w:bottom w:val="nil"/>
              <w:right w:val="nil"/>
            </w:tcBorders>
            <w:vAlign w:val="bottom"/>
          </w:tcPr>
          <w:p w14:paraId="2A4A6BDE"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Coefficient</w:t>
            </w:r>
          </w:p>
        </w:tc>
        <w:tc>
          <w:tcPr>
            <w:tcW w:w="925" w:type="pct"/>
            <w:tcBorders>
              <w:top w:val="nil"/>
              <w:left w:val="nil"/>
              <w:bottom w:val="nil"/>
              <w:right w:val="nil"/>
            </w:tcBorders>
            <w:vAlign w:val="bottom"/>
          </w:tcPr>
          <w:p w14:paraId="0418E870"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Std. Error</w:t>
            </w:r>
          </w:p>
        </w:tc>
        <w:tc>
          <w:tcPr>
            <w:tcW w:w="925" w:type="pct"/>
            <w:tcBorders>
              <w:top w:val="nil"/>
              <w:left w:val="nil"/>
              <w:bottom w:val="nil"/>
              <w:right w:val="nil"/>
            </w:tcBorders>
            <w:vAlign w:val="bottom"/>
          </w:tcPr>
          <w:p w14:paraId="4A99BA6C"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t-Statistic</w:t>
            </w:r>
          </w:p>
        </w:tc>
        <w:tc>
          <w:tcPr>
            <w:tcW w:w="764" w:type="pct"/>
            <w:tcBorders>
              <w:top w:val="nil"/>
              <w:left w:val="nil"/>
              <w:bottom w:val="nil"/>
              <w:right w:val="nil"/>
            </w:tcBorders>
            <w:vAlign w:val="bottom"/>
          </w:tcPr>
          <w:p w14:paraId="0691A1B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Prob.  </w:t>
            </w:r>
          </w:p>
        </w:tc>
      </w:tr>
      <w:tr w:rsidR="00451909" w:rsidRPr="00451909" w14:paraId="7FAFE11E" w14:textId="77777777" w:rsidTr="00451909">
        <w:trPr>
          <w:trHeight w:hRule="exact" w:val="81"/>
          <w:jc w:val="center"/>
        </w:trPr>
        <w:tc>
          <w:tcPr>
            <w:tcW w:w="1543" w:type="pct"/>
            <w:tcBorders>
              <w:top w:val="nil"/>
              <w:left w:val="nil"/>
              <w:bottom w:val="double" w:sz="6" w:space="2" w:color="auto"/>
              <w:right w:val="nil"/>
            </w:tcBorders>
            <w:vAlign w:val="bottom"/>
          </w:tcPr>
          <w:p w14:paraId="664C260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125CFD0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14636E0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4581BC4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1D206AD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39D6B244" w14:textId="77777777" w:rsidTr="00451909">
        <w:trPr>
          <w:trHeight w:hRule="exact" w:val="123"/>
          <w:jc w:val="center"/>
        </w:trPr>
        <w:tc>
          <w:tcPr>
            <w:tcW w:w="1543" w:type="pct"/>
            <w:tcBorders>
              <w:top w:val="nil"/>
              <w:left w:val="nil"/>
              <w:bottom w:val="nil"/>
              <w:right w:val="nil"/>
            </w:tcBorders>
            <w:vAlign w:val="bottom"/>
          </w:tcPr>
          <w:p w14:paraId="195C376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01C56B4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0DB0E02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5594FB5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4F7AECA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0DDD6D84" w14:textId="77777777" w:rsidTr="00451909">
        <w:trPr>
          <w:trHeight w:val="206"/>
          <w:jc w:val="center"/>
        </w:trPr>
        <w:tc>
          <w:tcPr>
            <w:tcW w:w="1543" w:type="pct"/>
            <w:tcBorders>
              <w:top w:val="nil"/>
              <w:left w:val="nil"/>
              <w:bottom w:val="nil"/>
              <w:right w:val="nil"/>
            </w:tcBorders>
            <w:vAlign w:val="bottom"/>
          </w:tcPr>
          <w:p w14:paraId="7C81B97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w:t>
            </w:r>
          </w:p>
        </w:tc>
        <w:tc>
          <w:tcPr>
            <w:tcW w:w="844" w:type="pct"/>
            <w:tcBorders>
              <w:top w:val="nil"/>
              <w:left w:val="nil"/>
              <w:bottom w:val="nil"/>
              <w:right w:val="nil"/>
            </w:tcBorders>
            <w:vAlign w:val="bottom"/>
          </w:tcPr>
          <w:p w14:paraId="17B5C1A3"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0.676667</w:t>
            </w:r>
          </w:p>
        </w:tc>
        <w:tc>
          <w:tcPr>
            <w:tcW w:w="925" w:type="pct"/>
            <w:tcBorders>
              <w:top w:val="nil"/>
              <w:left w:val="nil"/>
              <w:bottom w:val="nil"/>
              <w:right w:val="nil"/>
            </w:tcBorders>
            <w:vAlign w:val="bottom"/>
          </w:tcPr>
          <w:p w14:paraId="32D239CC"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0.049909</w:t>
            </w:r>
          </w:p>
        </w:tc>
        <w:tc>
          <w:tcPr>
            <w:tcW w:w="925" w:type="pct"/>
            <w:tcBorders>
              <w:top w:val="nil"/>
              <w:left w:val="nil"/>
              <w:bottom w:val="nil"/>
              <w:right w:val="nil"/>
            </w:tcBorders>
            <w:vAlign w:val="bottom"/>
          </w:tcPr>
          <w:p w14:paraId="460007B3"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13.55806</w:t>
            </w:r>
          </w:p>
        </w:tc>
        <w:tc>
          <w:tcPr>
            <w:tcW w:w="764" w:type="pct"/>
            <w:tcBorders>
              <w:top w:val="nil"/>
              <w:left w:val="nil"/>
              <w:bottom w:val="nil"/>
              <w:right w:val="nil"/>
            </w:tcBorders>
            <w:vAlign w:val="bottom"/>
          </w:tcPr>
          <w:p w14:paraId="0A342789"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w:t>
            </w:r>
          </w:p>
        </w:tc>
      </w:tr>
      <w:tr w:rsidR="00451909" w:rsidRPr="00451909" w14:paraId="1D8DFFD1" w14:textId="77777777" w:rsidTr="00451909">
        <w:trPr>
          <w:trHeight w:val="206"/>
          <w:jc w:val="center"/>
        </w:trPr>
        <w:tc>
          <w:tcPr>
            <w:tcW w:w="1543" w:type="pct"/>
            <w:tcBorders>
              <w:top w:val="nil"/>
              <w:left w:val="nil"/>
              <w:bottom w:val="nil"/>
              <w:right w:val="nil"/>
            </w:tcBorders>
            <w:vAlign w:val="bottom"/>
          </w:tcPr>
          <w:p w14:paraId="02BF240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roofErr w:type="spellStart"/>
            <w:r w:rsidRPr="00451909">
              <w:rPr>
                <w:rFonts w:ascii="Arial" w:eastAsia="Calibri" w:hAnsi="Arial" w:cs="Arial"/>
                <w:color w:val="000000"/>
                <w:kern w:val="0"/>
                <w:lang w:val="en-US"/>
                <w14:ligatures w14:val="none"/>
              </w:rPr>
              <w:t>ln_hargasaham</w:t>
            </w:r>
            <w:proofErr w:type="spellEnd"/>
            <w:r w:rsidRPr="00451909">
              <w:rPr>
                <w:rFonts w:ascii="Arial" w:eastAsia="Calibri" w:hAnsi="Arial" w:cs="Arial"/>
                <w:color w:val="000000"/>
                <w:kern w:val="0"/>
                <w:lang w:val="en-US"/>
                <w14:ligatures w14:val="none"/>
              </w:rPr>
              <w:t>*</w:t>
            </w:r>
            <w:proofErr w:type="spellStart"/>
            <w:r w:rsidRPr="00451909">
              <w:rPr>
                <w:rFonts w:ascii="Arial" w:eastAsia="Calibri" w:hAnsi="Arial" w:cs="Arial"/>
                <w:color w:val="000000"/>
                <w:kern w:val="0"/>
                <w:lang w:val="en-US"/>
                <w14:ligatures w14:val="none"/>
              </w:rPr>
              <w:t>ln_m</w:t>
            </w:r>
            <w:proofErr w:type="spellEnd"/>
          </w:p>
        </w:tc>
        <w:tc>
          <w:tcPr>
            <w:tcW w:w="844" w:type="pct"/>
            <w:tcBorders>
              <w:top w:val="nil"/>
              <w:left w:val="nil"/>
              <w:bottom w:val="nil"/>
              <w:right w:val="nil"/>
            </w:tcBorders>
            <w:vAlign w:val="bottom"/>
          </w:tcPr>
          <w:p w14:paraId="79D576BB"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1.25E-06</w:t>
            </w:r>
          </w:p>
        </w:tc>
        <w:tc>
          <w:tcPr>
            <w:tcW w:w="925" w:type="pct"/>
            <w:tcBorders>
              <w:top w:val="nil"/>
              <w:left w:val="nil"/>
              <w:bottom w:val="nil"/>
              <w:right w:val="nil"/>
            </w:tcBorders>
            <w:vAlign w:val="bottom"/>
          </w:tcPr>
          <w:p w14:paraId="0D38D681"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1.66E-07</w:t>
            </w:r>
          </w:p>
        </w:tc>
        <w:tc>
          <w:tcPr>
            <w:tcW w:w="925" w:type="pct"/>
            <w:tcBorders>
              <w:top w:val="nil"/>
              <w:left w:val="nil"/>
              <w:bottom w:val="nil"/>
              <w:right w:val="nil"/>
            </w:tcBorders>
            <w:vAlign w:val="bottom"/>
          </w:tcPr>
          <w:p w14:paraId="5889D2ED"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7.524551</w:t>
            </w:r>
          </w:p>
        </w:tc>
        <w:tc>
          <w:tcPr>
            <w:tcW w:w="764" w:type="pct"/>
            <w:tcBorders>
              <w:top w:val="nil"/>
              <w:left w:val="nil"/>
              <w:bottom w:val="nil"/>
              <w:right w:val="nil"/>
            </w:tcBorders>
            <w:vAlign w:val="bottom"/>
          </w:tcPr>
          <w:p w14:paraId="3A6DB38D"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w:t>
            </w:r>
          </w:p>
        </w:tc>
      </w:tr>
      <w:tr w:rsidR="00451909" w:rsidRPr="00451909" w14:paraId="5991C71E" w14:textId="77777777" w:rsidTr="00451909">
        <w:trPr>
          <w:trHeight w:hRule="exact" w:val="81"/>
          <w:jc w:val="center"/>
        </w:trPr>
        <w:tc>
          <w:tcPr>
            <w:tcW w:w="1543" w:type="pct"/>
            <w:tcBorders>
              <w:top w:val="nil"/>
              <w:left w:val="nil"/>
              <w:bottom w:val="double" w:sz="6" w:space="2" w:color="auto"/>
              <w:right w:val="nil"/>
            </w:tcBorders>
            <w:vAlign w:val="bottom"/>
          </w:tcPr>
          <w:p w14:paraId="6B9BB55D"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4F8992B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6BCE5FE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6742108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6C8230A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7C5AA926" w14:textId="77777777" w:rsidTr="00451909">
        <w:trPr>
          <w:trHeight w:hRule="exact" w:val="123"/>
          <w:jc w:val="center"/>
        </w:trPr>
        <w:tc>
          <w:tcPr>
            <w:tcW w:w="1543" w:type="pct"/>
            <w:tcBorders>
              <w:top w:val="nil"/>
              <w:left w:val="nil"/>
              <w:bottom w:val="nil"/>
              <w:right w:val="nil"/>
            </w:tcBorders>
            <w:vAlign w:val="bottom"/>
          </w:tcPr>
          <w:p w14:paraId="4890B053"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71C9459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518022E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BC7B86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77FB3CD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4D4A17E2" w14:textId="77777777" w:rsidTr="00451909">
        <w:trPr>
          <w:trHeight w:val="206"/>
          <w:jc w:val="center"/>
        </w:trPr>
        <w:tc>
          <w:tcPr>
            <w:tcW w:w="1543" w:type="pct"/>
            <w:tcBorders>
              <w:top w:val="nil"/>
              <w:left w:val="nil"/>
              <w:bottom w:val="nil"/>
              <w:right w:val="nil"/>
            </w:tcBorders>
            <w:vAlign w:val="bottom"/>
          </w:tcPr>
          <w:p w14:paraId="3D17FFE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1769" w:type="pct"/>
            <w:gridSpan w:val="2"/>
            <w:tcBorders>
              <w:top w:val="nil"/>
              <w:left w:val="nil"/>
              <w:bottom w:val="nil"/>
              <w:right w:val="nil"/>
            </w:tcBorders>
            <w:vAlign w:val="bottom"/>
          </w:tcPr>
          <w:p w14:paraId="5CC2214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Effects Specification</w:t>
            </w:r>
          </w:p>
        </w:tc>
        <w:tc>
          <w:tcPr>
            <w:tcW w:w="925" w:type="pct"/>
            <w:tcBorders>
              <w:top w:val="nil"/>
              <w:left w:val="nil"/>
              <w:bottom w:val="nil"/>
              <w:right w:val="nil"/>
            </w:tcBorders>
            <w:vAlign w:val="bottom"/>
          </w:tcPr>
          <w:p w14:paraId="1E8490F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5EBB2A1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48E6C122" w14:textId="77777777" w:rsidTr="00451909">
        <w:trPr>
          <w:trHeight w:hRule="exact" w:val="81"/>
          <w:jc w:val="center"/>
        </w:trPr>
        <w:tc>
          <w:tcPr>
            <w:tcW w:w="1543" w:type="pct"/>
            <w:tcBorders>
              <w:top w:val="nil"/>
              <w:left w:val="nil"/>
              <w:bottom w:val="double" w:sz="6" w:space="2" w:color="auto"/>
              <w:right w:val="nil"/>
            </w:tcBorders>
            <w:vAlign w:val="bottom"/>
          </w:tcPr>
          <w:p w14:paraId="2E83120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7557FAC6"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4B3C626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66981FF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750E83E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7997BC14" w14:textId="77777777" w:rsidTr="00451909">
        <w:trPr>
          <w:trHeight w:hRule="exact" w:val="123"/>
          <w:jc w:val="center"/>
        </w:trPr>
        <w:tc>
          <w:tcPr>
            <w:tcW w:w="1543" w:type="pct"/>
            <w:tcBorders>
              <w:top w:val="nil"/>
              <w:left w:val="nil"/>
              <w:bottom w:val="nil"/>
              <w:right w:val="nil"/>
            </w:tcBorders>
            <w:vAlign w:val="bottom"/>
          </w:tcPr>
          <w:p w14:paraId="578C003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30F0B65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1D8FED3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58C2701"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5CC12AE7"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586A028B" w14:textId="77777777" w:rsidTr="00451909">
        <w:trPr>
          <w:trHeight w:val="206"/>
          <w:jc w:val="center"/>
        </w:trPr>
        <w:tc>
          <w:tcPr>
            <w:tcW w:w="4236" w:type="pct"/>
            <w:gridSpan w:val="4"/>
            <w:tcBorders>
              <w:top w:val="nil"/>
              <w:left w:val="nil"/>
              <w:bottom w:val="nil"/>
              <w:right w:val="nil"/>
            </w:tcBorders>
            <w:vAlign w:val="bottom"/>
          </w:tcPr>
          <w:p w14:paraId="4D173524"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Cross-section fixed (dummy variables)</w:t>
            </w:r>
          </w:p>
        </w:tc>
        <w:tc>
          <w:tcPr>
            <w:tcW w:w="764" w:type="pct"/>
            <w:tcBorders>
              <w:top w:val="nil"/>
              <w:left w:val="nil"/>
              <w:bottom w:val="nil"/>
              <w:right w:val="nil"/>
            </w:tcBorders>
            <w:vAlign w:val="bottom"/>
          </w:tcPr>
          <w:p w14:paraId="0E5E72E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4B9B488B" w14:textId="77777777" w:rsidTr="00451909">
        <w:trPr>
          <w:trHeight w:hRule="exact" w:val="81"/>
          <w:jc w:val="center"/>
        </w:trPr>
        <w:tc>
          <w:tcPr>
            <w:tcW w:w="1543" w:type="pct"/>
            <w:tcBorders>
              <w:top w:val="nil"/>
              <w:left w:val="nil"/>
              <w:bottom w:val="double" w:sz="6" w:space="2" w:color="auto"/>
              <w:right w:val="nil"/>
            </w:tcBorders>
            <w:vAlign w:val="bottom"/>
          </w:tcPr>
          <w:p w14:paraId="75F0826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2" w:color="auto"/>
              <w:right w:val="nil"/>
            </w:tcBorders>
            <w:vAlign w:val="bottom"/>
          </w:tcPr>
          <w:p w14:paraId="26C7CFE9"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5A7FE87F"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2" w:color="auto"/>
              <w:right w:val="nil"/>
            </w:tcBorders>
            <w:vAlign w:val="bottom"/>
          </w:tcPr>
          <w:p w14:paraId="78073B9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2" w:color="auto"/>
              <w:right w:val="nil"/>
            </w:tcBorders>
            <w:vAlign w:val="bottom"/>
          </w:tcPr>
          <w:p w14:paraId="4885AF1A"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2C3CCD4C" w14:textId="77777777" w:rsidTr="00451909">
        <w:trPr>
          <w:trHeight w:hRule="exact" w:val="123"/>
          <w:jc w:val="center"/>
        </w:trPr>
        <w:tc>
          <w:tcPr>
            <w:tcW w:w="1543" w:type="pct"/>
            <w:tcBorders>
              <w:top w:val="nil"/>
              <w:left w:val="nil"/>
              <w:bottom w:val="nil"/>
              <w:right w:val="nil"/>
            </w:tcBorders>
            <w:vAlign w:val="bottom"/>
          </w:tcPr>
          <w:p w14:paraId="1F3ADD0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303D4768"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39E924A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40307D5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1F44C4C0"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6322C7A8" w14:textId="77777777" w:rsidTr="00451909">
        <w:trPr>
          <w:trHeight w:val="206"/>
          <w:jc w:val="center"/>
        </w:trPr>
        <w:tc>
          <w:tcPr>
            <w:tcW w:w="1543" w:type="pct"/>
            <w:tcBorders>
              <w:top w:val="nil"/>
              <w:left w:val="nil"/>
              <w:bottom w:val="nil"/>
              <w:right w:val="nil"/>
            </w:tcBorders>
            <w:vAlign w:val="bottom"/>
          </w:tcPr>
          <w:p w14:paraId="339CA464"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R-squared</w:t>
            </w:r>
          </w:p>
        </w:tc>
        <w:tc>
          <w:tcPr>
            <w:tcW w:w="844" w:type="pct"/>
            <w:tcBorders>
              <w:top w:val="nil"/>
              <w:left w:val="nil"/>
              <w:bottom w:val="nil"/>
              <w:right w:val="nil"/>
            </w:tcBorders>
            <w:vAlign w:val="bottom"/>
          </w:tcPr>
          <w:p w14:paraId="1B5B6A9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0.827447</w:t>
            </w:r>
          </w:p>
        </w:tc>
        <w:tc>
          <w:tcPr>
            <w:tcW w:w="1850" w:type="pct"/>
            <w:gridSpan w:val="2"/>
            <w:tcBorders>
              <w:top w:val="nil"/>
              <w:left w:val="nil"/>
              <w:bottom w:val="nil"/>
              <w:right w:val="nil"/>
            </w:tcBorders>
            <w:vAlign w:val="bottom"/>
          </w:tcPr>
          <w:p w14:paraId="1D160485"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    Mean dependent </w:t>
            </w:r>
            <w:proofErr w:type="spellStart"/>
            <w:r w:rsidRPr="00451909">
              <w:rPr>
                <w:rFonts w:ascii="Arial" w:eastAsia="Calibri" w:hAnsi="Arial" w:cs="Arial"/>
                <w:color w:val="000000"/>
                <w:kern w:val="0"/>
                <w:lang w:val="en-US"/>
                <w14:ligatures w14:val="none"/>
              </w:rPr>
              <w:t>var</w:t>
            </w:r>
            <w:proofErr w:type="spellEnd"/>
          </w:p>
        </w:tc>
        <w:tc>
          <w:tcPr>
            <w:tcW w:w="764" w:type="pct"/>
            <w:tcBorders>
              <w:top w:val="nil"/>
              <w:left w:val="nil"/>
              <w:bottom w:val="nil"/>
              <w:right w:val="nil"/>
            </w:tcBorders>
            <w:vAlign w:val="bottom"/>
          </w:tcPr>
          <w:p w14:paraId="70B822FA"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0.947130</w:t>
            </w:r>
          </w:p>
        </w:tc>
      </w:tr>
      <w:tr w:rsidR="00451909" w:rsidRPr="00451909" w14:paraId="017EE2FF" w14:textId="77777777" w:rsidTr="00451909">
        <w:trPr>
          <w:trHeight w:val="206"/>
          <w:jc w:val="center"/>
        </w:trPr>
        <w:tc>
          <w:tcPr>
            <w:tcW w:w="1543" w:type="pct"/>
            <w:tcBorders>
              <w:top w:val="nil"/>
              <w:left w:val="nil"/>
              <w:bottom w:val="nil"/>
              <w:right w:val="nil"/>
            </w:tcBorders>
            <w:vAlign w:val="bottom"/>
          </w:tcPr>
          <w:p w14:paraId="4852552B"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Adjusted R-squared</w:t>
            </w:r>
          </w:p>
        </w:tc>
        <w:tc>
          <w:tcPr>
            <w:tcW w:w="844" w:type="pct"/>
            <w:tcBorders>
              <w:top w:val="nil"/>
              <w:left w:val="nil"/>
              <w:bottom w:val="nil"/>
              <w:right w:val="nil"/>
            </w:tcBorders>
            <w:vAlign w:val="bottom"/>
          </w:tcPr>
          <w:p w14:paraId="199A23F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0.807255</w:t>
            </w:r>
          </w:p>
        </w:tc>
        <w:tc>
          <w:tcPr>
            <w:tcW w:w="1850" w:type="pct"/>
            <w:gridSpan w:val="2"/>
            <w:tcBorders>
              <w:top w:val="nil"/>
              <w:left w:val="nil"/>
              <w:bottom w:val="nil"/>
              <w:right w:val="nil"/>
            </w:tcBorders>
            <w:vAlign w:val="bottom"/>
          </w:tcPr>
          <w:p w14:paraId="4963AB27"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    S.D. dependent </w:t>
            </w:r>
            <w:proofErr w:type="spellStart"/>
            <w:r w:rsidRPr="00451909">
              <w:rPr>
                <w:rFonts w:ascii="Arial" w:eastAsia="Calibri" w:hAnsi="Arial" w:cs="Arial"/>
                <w:color w:val="000000"/>
                <w:kern w:val="0"/>
                <w:lang w:val="en-US"/>
                <w14:ligatures w14:val="none"/>
              </w:rPr>
              <w:t>var</w:t>
            </w:r>
            <w:proofErr w:type="spellEnd"/>
          </w:p>
        </w:tc>
        <w:tc>
          <w:tcPr>
            <w:tcW w:w="764" w:type="pct"/>
            <w:tcBorders>
              <w:top w:val="nil"/>
              <w:left w:val="nil"/>
              <w:bottom w:val="nil"/>
              <w:right w:val="nil"/>
            </w:tcBorders>
            <w:vAlign w:val="bottom"/>
          </w:tcPr>
          <w:p w14:paraId="0FA9D5E1"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1.145629</w:t>
            </w:r>
          </w:p>
        </w:tc>
      </w:tr>
      <w:tr w:rsidR="00451909" w:rsidRPr="00451909" w14:paraId="602B0F89" w14:textId="77777777" w:rsidTr="00451909">
        <w:trPr>
          <w:trHeight w:val="206"/>
          <w:jc w:val="center"/>
        </w:trPr>
        <w:tc>
          <w:tcPr>
            <w:tcW w:w="1543" w:type="pct"/>
            <w:tcBorders>
              <w:top w:val="nil"/>
              <w:left w:val="nil"/>
              <w:bottom w:val="nil"/>
              <w:right w:val="nil"/>
            </w:tcBorders>
            <w:vAlign w:val="bottom"/>
          </w:tcPr>
          <w:p w14:paraId="7BD70455"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S.E. of regression</w:t>
            </w:r>
          </w:p>
        </w:tc>
        <w:tc>
          <w:tcPr>
            <w:tcW w:w="844" w:type="pct"/>
            <w:tcBorders>
              <w:top w:val="nil"/>
              <w:left w:val="nil"/>
              <w:bottom w:val="nil"/>
              <w:right w:val="nil"/>
            </w:tcBorders>
            <w:vAlign w:val="bottom"/>
          </w:tcPr>
          <w:p w14:paraId="02CE3DD3"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0.502963</w:t>
            </w:r>
          </w:p>
        </w:tc>
        <w:tc>
          <w:tcPr>
            <w:tcW w:w="1850" w:type="pct"/>
            <w:gridSpan w:val="2"/>
            <w:tcBorders>
              <w:top w:val="nil"/>
              <w:left w:val="nil"/>
              <w:bottom w:val="nil"/>
              <w:right w:val="nil"/>
            </w:tcBorders>
            <w:vAlign w:val="bottom"/>
          </w:tcPr>
          <w:p w14:paraId="3D2679EE"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w:t>
            </w:r>
            <w:proofErr w:type="spellStart"/>
            <w:r w:rsidRPr="00451909">
              <w:rPr>
                <w:rFonts w:ascii="Arial" w:eastAsia="Calibri" w:hAnsi="Arial" w:cs="Arial"/>
                <w:color w:val="000000"/>
                <w:kern w:val="0"/>
                <w:lang w:val="en-US"/>
                <w14:ligatures w14:val="none"/>
              </w:rPr>
              <w:t>Akaike</w:t>
            </w:r>
            <w:proofErr w:type="spellEnd"/>
            <w:r w:rsidRPr="00451909">
              <w:rPr>
                <w:rFonts w:ascii="Arial" w:eastAsia="Calibri" w:hAnsi="Arial" w:cs="Arial"/>
                <w:color w:val="000000"/>
                <w:kern w:val="0"/>
                <w:lang w:val="en-US"/>
                <w14:ligatures w14:val="none"/>
              </w:rPr>
              <w:t xml:space="preserve"> info criterion</w:t>
            </w:r>
          </w:p>
        </w:tc>
        <w:tc>
          <w:tcPr>
            <w:tcW w:w="764" w:type="pct"/>
            <w:tcBorders>
              <w:top w:val="nil"/>
              <w:left w:val="nil"/>
              <w:bottom w:val="nil"/>
              <w:right w:val="nil"/>
            </w:tcBorders>
            <w:vAlign w:val="bottom"/>
          </w:tcPr>
          <w:p w14:paraId="082074BC"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1.565992</w:t>
            </w:r>
          </w:p>
        </w:tc>
      </w:tr>
      <w:tr w:rsidR="00451909" w:rsidRPr="00451909" w14:paraId="15CBB768" w14:textId="77777777" w:rsidTr="00451909">
        <w:trPr>
          <w:trHeight w:val="206"/>
          <w:jc w:val="center"/>
        </w:trPr>
        <w:tc>
          <w:tcPr>
            <w:tcW w:w="1543" w:type="pct"/>
            <w:tcBorders>
              <w:top w:val="nil"/>
              <w:left w:val="nil"/>
              <w:bottom w:val="nil"/>
              <w:right w:val="nil"/>
            </w:tcBorders>
            <w:vAlign w:val="bottom"/>
          </w:tcPr>
          <w:p w14:paraId="6EFFE04B"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xml:space="preserve">Sum squared </w:t>
            </w:r>
            <w:proofErr w:type="spellStart"/>
            <w:r w:rsidRPr="00451909">
              <w:rPr>
                <w:rFonts w:ascii="Arial" w:eastAsia="Calibri" w:hAnsi="Arial" w:cs="Arial"/>
                <w:color w:val="000000"/>
                <w:kern w:val="0"/>
                <w:lang w:val="en-US"/>
                <w14:ligatures w14:val="none"/>
              </w:rPr>
              <w:t>resid</w:t>
            </w:r>
            <w:proofErr w:type="spellEnd"/>
          </w:p>
        </w:tc>
        <w:tc>
          <w:tcPr>
            <w:tcW w:w="844" w:type="pct"/>
            <w:tcBorders>
              <w:top w:val="nil"/>
              <w:left w:val="nil"/>
              <w:bottom w:val="nil"/>
              <w:right w:val="nil"/>
            </w:tcBorders>
            <w:vAlign w:val="bottom"/>
          </w:tcPr>
          <w:p w14:paraId="694CA22B"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47.55864</w:t>
            </w:r>
          </w:p>
        </w:tc>
        <w:tc>
          <w:tcPr>
            <w:tcW w:w="1850" w:type="pct"/>
            <w:gridSpan w:val="2"/>
            <w:tcBorders>
              <w:top w:val="nil"/>
              <w:left w:val="nil"/>
              <w:bottom w:val="nil"/>
              <w:right w:val="nil"/>
            </w:tcBorders>
            <w:vAlign w:val="bottom"/>
          </w:tcPr>
          <w:p w14:paraId="3BF62E74"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Schwarz criterion</w:t>
            </w:r>
          </w:p>
        </w:tc>
        <w:tc>
          <w:tcPr>
            <w:tcW w:w="764" w:type="pct"/>
            <w:tcBorders>
              <w:top w:val="nil"/>
              <w:left w:val="nil"/>
              <w:bottom w:val="nil"/>
              <w:right w:val="nil"/>
            </w:tcBorders>
            <w:vAlign w:val="bottom"/>
          </w:tcPr>
          <w:p w14:paraId="6E60E204"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1.931360</w:t>
            </w:r>
          </w:p>
        </w:tc>
      </w:tr>
      <w:tr w:rsidR="00451909" w:rsidRPr="00451909" w14:paraId="11AA9061" w14:textId="77777777" w:rsidTr="00451909">
        <w:trPr>
          <w:trHeight w:val="206"/>
          <w:jc w:val="center"/>
        </w:trPr>
        <w:tc>
          <w:tcPr>
            <w:tcW w:w="1543" w:type="pct"/>
            <w:tcBorders>
              <w:top w:val="nil"/>
              <w:left w:val="nil"/>
              <w:bottom w:val="nil"/>
              <w:right w:val="nil"/>
            </w:tcBorders>
            <w:vAlign w:val="bottom"/>
          </w:tcPr>
          <w:p w14:paraId="4347BF50"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Log likelihood</w:t>
            </w:r>
          </w:p>
        </w:tc>
        <w:tc>
          <w:tcPr>
            <w:tcW w:w="844" w:type="pct"/>
            <w:tcBorders>
              <w:top w:val="nil"/>
              <w:left w:val="nil"/>
              <w:bottom w:val="nil"/>
              <w:right w:val="nil"/>
            </w:tcBorders>
            <w:vAlign w:val="bottom"/>
          </w:tcPr>
          <w:p w14:paraId="3283322F"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-142.2122</w:t>
            </w:r>
          </w:p>
        </w:tc>
        <w:tc>
          <w:tcPr>
            <w:tcW w:w="1850" w:type="pct"/>
            <w:gridSpan w:val="2"/>
            <w:tcBorders>
              <w:top w:val="nil"/>
              <w:left w:val="nil"/>
              <w:bottom w:val="nil"/>
              <w:right w:val="nil"/>
            </w:tcBorders>
            <w:vAlign w:val="bottom"/>
          </w:tcPr>
          <w:p w14:paraId="6E2911E8"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w:t>
            </w:r>
            <w:proofErr w:type="spellStart"/>
            <w:r w:rsidRPr="00451909">
              <w:rPr>
                <w:rFonts w:ascii="Arial" w:eastAsia="Calibri" w:hAnsi="Arial" w:cs="Arial"/>
                <w:color w:val="000000"/>
                <w:kern w:val="0"/>
                <w:lang w:val="en-US"/>
                <w14:ligatures w14:val="none"/>
              </w:rPr>
              <w:t>Hannan</w:t>
            </w:r>
            <w:proofErr w:type="spellEnd"/>
            <w:r w:rsidRPr="00451909">
              <w:rPr>
                <w:rFonts w:ascii="Arial" w:eastAsia="Calibri" w:hAnsi="Arial" w:cs="Arial"/>
                <w:color w:val="000000"/>
                <w:kern w:val="0"/>
                <w:lang w:val="en-US"/>
                <w14:ligatures w14:val="none"/>
              </w:rPr>
              <w:t xml:space="preserve">-Quinn </w:t>
            </w:r>
            <w:proofErr w:type="spellStart"/>
            <w:r w:rsidRPr="00451909">
              <w:rPr>
                <w:rFonts w:ascii="Arial" w:eastAsia="Calibri" w:hAnsi="Arial" w:cs="Arial"/>
                <w:color w:val="000000"/>
                <w:kern w:val="0"/>
                <w:lang w:val="en-US"/>
                <w14:ligatures w14:val="none"/>
              </w:rPr>
              <w:t>criter</w:t>
            </w:r>
            <w:proofErr w:type="spellEnd"/>
            <w:r w:rsidRPr="00451909">
              <w:rPr>
                <w:rFonts w:ascii="Arial" w:eastAsia="Calibri" w:hAnsi="Arial" w:cs="Arial"/>
                <w:color w:val="000000"/>
                <w:kern w:val="0"/>
                <w:lang w:val="en-US"/>
                <w14:ligatures w14:val="none"/>
              </w:rPr>
              <w:t>.</w:t>
            </w:r>
          </w:p>
        </w:tc>
        <w:tc>
          <w:tcPr>
            <w:tcW w:w="764" w:type="pct"/>
            <w:tcBorders>
              <w:top w:val="nil"/>
              <w:left w:val="nil"/>
              <w:bottom w:val="nil"/>
              <w:right w:val="nil"/>
            </w:tcBorders>
            <w:vAlign w:val="bottom"/>
          </w:tcPr>
          <w:p w14:paraId="38A0F382"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1.713681</w:t>
            </w:r>
          </w:p>
        </w:tc>
      </w:tr>
      <w:tr w:rsidR="00451909" w:rsidRPr="00451909" w14:paraId="49282757" w14:textId="77777777" w:rsidTr="00451909">
        <w:trPr>
          <w:trHeight w:val="206"/>
          <w:jc w:val="center"/>
        </w:trPr>
        <w:tc>
          <w:tcPr>
            <w:tcW w:w="1543" w:type="pct"/>
            <w:tcBorders>
              <w:top w:val="nil"/>
              <w:left w:val="nil"/>
              <w:bottom w:val="nil"/>
              <w:right w:val="nil"/>
            </w:tcBorders>
            <w:vAlign w:val="bottom"/>
          </w:tcPr>
          <w:p w14:paraId="57719E05"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F-statistic</w:t>
            </w:r>
          </w:p>
        </w:tc>
        <w:tc>
          <w:tcPr>
            <w:tcW w:w="844" w:type="pct"/>
            <w:tcBorders>
              <w:top w:val="nil"/>
              <w:left w:val="nil"/>
              <w:bottom w:val="nil"/>
              <w:right w:val="nil"/>
            </w:tcBorders>
            <w:vAlign w:val="bottom"/>
          </w:tcPr>
          <w:p w14:paraId="3CC81C47"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40.97827</w:t>
            </w:r>
          </w:p>
        </w:tc>
        <w:tc>
          <w:tcPr>
            <w:tcW w:w="1850" w:type="pct"/>
            <w:gridSpan w:val="2"/>
            <w:tcBorders>
              <w:top w:val="nil"/>
              <w:left w:val="nil"/>
              <w:bottom w:val="nil"/>
              <w:right w:val="nil"/>
            </w:tcBorders>
            <w:vAlign w:val="bottom"/>
          </w:tcPr>
          <w:p w14:paraId="63F1B04C" w14:textId="77777777" w:rsidR="00451909" w:rsidRPr="00451909" w:rsidRDefault="00451909" w:rsidP="00451909">
            <w:pPr>
              <w:autoSpaceDE w:val="0"/>
              <w:autoSpaceDN w:val="0"/>
              <w:adjustRightInd w:val="0"/>
              <w:spacing w:after="0" w:line="240" w:lineRule="auto"/>
              <w:ind w:right="20"/>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    Durbin-Watson stat</w:t>
            </w:r>
          </w:p>
        </w:tc>
        <w:tc>
          <w:tcPr>
            <w:tcW w:w="764" w:type="pct"/>
            <w:tcBorders>
              <w:top w:val="nil"/>
              <w:left w:val="nil"/>
              <w:bottom w:val="nil"/>
              <w:right w:val="nil"/>
            </w:tcBorders>
            <w:vAlign w:val="bottom"/>
          </w:tcPr>
          <w:p w14:paraId="4A055203"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0.549304</w:t>
            </w:r>
          </w:p>
        </w:tc>
      </w:tr>
      <w:tr w:rsidR="00451909" w:rsidRPr="00451909" w14:paraId="2E0E5114" w14:textId="77777777" w:rsidTr="00451909">
        <w:trPr>
          <w:trHeight w:val="206"/>
          <w:jc w:val="center"/>
        </w:trPr>
        <w:tc>
          <w:tcPr>
            <w:tcW w:w="1543" w:type="pct"/>
            <w:tcBorders>
              <w:top w:val="nil"/>
              <w:left w:val="nil"/>
              <w:bottom w:val="nil"/>
              <w:right w:val="nil"/>
            </w:tcBorders>
            <w:vAlign w:val="bottom"/>
          </w:tcPr>
          <w:p w14:paraId="2479FDD0" w14:textId="77777777" w:rsidR="00451909" w:rsidRPr="00451909" w:rsidRDefault="00451909" w:rsidP="00451909">
            <w:pPr>
              <w:autoSpaceDE w:val="0"/>
              <w:autoSpaceDN w:val="0"/>
              <w:adjustRightInd w:val="0"/>
              <w:spacing w:after="0" w:line="240" w:lineRule="auto"/>
              <w:rPr>
                <w:rFonts w:ascii="Arial" w:eastAsia="Calibri" w:hAnsi="Arial" w:cs="Arial"/>
                <w:color w:val="000000"/>
                <w:kern w:val="0"/>
                <w:lang w:val="en-US"/>
                <w14:ligatures w14:val="none"/>
              </w:rPr>
            </w:pPr>
            <w:proofErr w:type="spellStart"/>
            <w:r w:rsidRPr="00451909">
              <w:rPr>
                <w:rFonts w:ascii="Arial" w:eastAsia="Calibri" w:hAnsi="Arial" w:cs="Arial"/>
                <w:color w:val="000000"/>
                <w:kern w:val="0"/>
                <w:lang w:val="en-US"/>
                <w14:ligatures w14:val="none"/>
              </w:rPr>
              <w:t>Prob</w:t>
            </w:r>
            <w:proofErr w:type="spellEnd"/>
            <w:r w:rsidRPr="00451909">
              <w:rPr>
                <w:rFonts w:ascii="Arial" w:eastAsia="Calibri" w:hAnsi="Arial" w:cs="Arial"/>
                <w:color w:val="000000"/>
                <w:kern w:val="0"/>
                <w:lang w:val="en-US"/>
                <w14:ligatures w14:val="none"/>
              </w:rPr>
              <w:t>(F-statistic)</w:t>
            </w:r>
          </w:p>
        </w:tc>
        <w:tc>
          <w:tcPr>
            <w:tcW w:w="844" w:type="pct"/>
            <w:tcBorders>
              <w:top w:val="nil"/>
              <w:left w:val="nil"/>
              <w:bottom w:val="nil"/>
              <w:right w:val="nil"/>
            </w:tcBorders>
            <w:vAlign w:val="bottom"/>
          </w:tcPr>
          <w:p w14:paraId="770AD9CB" w14:textId="77777777" w:rsidR="00451909" w:rsidRPr="00451909" w:rsidRDefault="00451909" w:rsidP="00451909">
            <w:pPr>
              <w:autoSpaceDE w:val="0"/>
              <w:autoSpaceDN w:val="0"/>
              <w:adjustRightInd w:val="0"/>
              <w:spacing w:after="0" w:line="240" w:lineRule="auto"/>
              <w:ind w:right="20"/>
              <w:jc w:val="right"/>
              <w:rPr>
                <w:rFonts w:ascii="Arial" w:eastAsia="Calibri" w:hAnsi="Arial" w:cs="Arial"/>
                <w:color w:val="000000"/>
                <w:kern w:val="0"/>
                <w:lang w:val="en-US"/>
                <w14:ligatures w14:val="none"/>
              </w:rPr>
            </w:pPr>
            <w:r w:rsidRPr="00451909">
              <w:rPr>
                <w:rFonts w:ascii="Arial" w:eastAsia="Calibri" w:hAnsi="Arial" w:cs="Arial"/>
                <w:color w:val="000000"/>
                <w:kern w:val="0"/>
                <w:lang w:val="en-US"/>
                <w14:ligatures w14:val="none"/>
              </w:rPr>
              <w:t>0.000000</w:t>
            </w:r>
          </w:p>
        </w:tc>
        <w:tc>
          <w:tcPr>
            <w:tcW w:w="925" w:type="pct"/>
            <w:tcBorders>
              <w:top w:val="nil"/>
              <w:left w:val="nil"/>
              <w:bottom w:val="nil"/>
              <w:right w:val="nil"/>
            </w:tcBorders>
            <w:vAlign w:val="bottom"/>
          </w:tcPr>
          <w:p w14:paraId="76523AA7"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4BA106E3"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7B9213CB" w14:textId="77777777" w:rsidR="00451909" w:rsidRPr="00451909" w:rsidRDefault="00451909" w:rsidP="00451909">
            <w:pPr>
              <w:autoSpaceDE w:val="0"/>
              <w:autoSpaceDN w:val="0"/>
              <w:adjustRightInd w:val="0"/>
              <w:spacing w:after="0" w:line="240" w:lineRule="auto"/>
              <w:ind w:right="20"/>
              <w:jc w:val="center"/>
              <w:rPr>
                <w:rFonts w:ascii="Arial" w:eastAsia="Calibri" w:hAnsi="Arial" w:cs="Arial"/>
                <w:color w:val="000000"/>
                <w:kern w:val="0"/>
                <w:lang w:val="en-US"/>
                <w14:ligatures w14:val="none"/>
              </w:rPr>
            </w:pPr>
          </w:p>
        </w:tc>
      </w:tr>
      <w:tr w:rsidR="00451909" w:rsidRPr="00451909" w14:paraId="0B825E61" w14:textId="77777777" w:rsidTr="00451909">
        <w:trPr>
          <w:trHeight w:hRule="exact" w:val="81"/>
          <w:jc w:val="center"/>
        </w:trPr>
        <w:tc>
          <w:tcPr>
            <w:tcW w:w="1543" w:type="pct"/>
            <w:tcBorders>
              <w:top w:val="nil"/>
              <w:left w:val="nil"/>
              <w:bottom w:val="double" w:sz="6" w:space="0" w:color="auto"/>
              <w:right w:val="nil"/>
            </w:tcBorders>
            <w:vAlign w:val="bottom"/>
          </w:tcPr>
          <w:p w14:paraId="7649295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double" w:sz="6" w:space="0" w:color="auto"/>
              <w:right w:val="nil"/>
            </w:tcBorders>
            <w:vAlign w:val="bottom"/>
          </w:tcPr>
          <w:p w14:paraId="6FC37D2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0" w:color="auto"/>
              <w:right w:val="nil"/>
            </w:tcBorders>
            <w:vAlign w:val="bottom"/>
          </w:tcPr>
          <w:p w14:paraId="39A4B135"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double" w:sz="6" w:space="0" w:color="auto"/>
              <w:right w:val="nil"/>
            </w:tcBorders>
            <w:vAlign w:val="bottom"/>
          </w:tcPr>
          <w:p w14:paraId="7E2F241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double" w:sz="6" w:space="0" w:color="auto"/>
              <w:right w:val="nil"/>
            </w:tcBorders>
            <w:vAlign w:val="bottom"/>
          </w:tcPr>
          <w:p w14:paraId="71880DB2"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r w:rsidR="00451909" w:rsidRPr="00451909" w14:paraId="46F48E63" w14:textId="77777777" w:rsidTr="00451909">
        <w:trPr>
          <w:trHeight w:hRule="exact" w:val="123"/>
          <w:jc w:val="center"/>
        </w:trPr>
        <w:tc>
          <w:tcPr>
            <w:tcW w:w="1543" w:type="pct"/>
            <w:tcBorders>
              <w:top w:val="nil"/>
              <w:left w:val="nil"/>
              <w:bottom w:val="nil"/>
              <w:right w:val="nil"/>
            </w:tcBorders>
            <w:vAlign w:val="bottom"/>
          </w:tcPr>
          <w:p w14:paraId="236B5454"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844" w:type="pct"/>
            <w:tcBorders>
              <w:top w:val="nil"/>
              <w:left w:val="nil"/>
              <w:bottom w:val="nil"/>
              <w:right w:val="nil"/>
            </w:tcBorders>
            <w:vAlign w:val="bottom"/>
          </w:tcPr>
          <w:p w14:paraId="678EF0FB"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71BFBE8C"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925" w:type="pct"/>
            <w:tcBorders>
              <w:top w:val="nil"/>
              <w:left w:val="nil"/>
              <w:bottom w:val="nil"/>
              <w:right w:val="nil"/>
            </w:tcBorders>
            <w:vAlign w:val="bottom"/>
          </w:tcPr>
          <w:p w14:paraId="63FDFA3E"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c>
          <w:tcPr>
            <w:tcW w:w="764" w:type="pct"/>
            <w:tcBorders>
              <w:top w:val="nil"/>
              <w:left w:val="nil"/>
              <w:bottom w:val="nil"/>
              <w:right w:val="nil"/>
            </w:tcBorders>
            <w:vAlign w:val="bottom"/>
          </w:tcPr>
          <w:p w14:paraId="21760041" w14:textId="77777777" w:rsidR="00451909" w:rsidRPr="00451909" w:rsidRDefault="00451909" w:rsidP="00451909">
            <w:pPr>
              <w:autoSpaceDE w:val="0"/>
              <w:autoSpaceDN w:val="0"/>
              <w:adjustRightInd w:val="0"/>
              <w:spacing w:after="0" w:line="240" w:lineRule="auto"/>
              <w:jc w:val="center"/>
              <w:rPr>
                <w:rFonts w:ascii="Arial" w:eastAsia="Calibri" w:hAnsi="Arial" w:cs="Arial"/>
                <w:color w:val="000000"/>
                <w:kern w:val="0"/>
                <w:lang w:val="en-US"/>
                <w14:ligatures w14:val="none"/>
              </w:rPr>
            </w:pPr>
          </w:p>
        </w:tc>
      </w:tr>
    </w:tbl>
    <w:p w14:paraId="3D372622" w14:textId="77777777" w:rsidR="00451909" w:rsidRPr="00451909" w:rsidRDefault="00451909" w:rsidP="00451909">
      <w:pPr>
        <w:spacing w:after="0" w:line="240" w:lineRule="auto"/>
        <w:ind w:firstLine="720"/>
        <w:jc w:val="both"/>
        <w:rPr>
          <w:lang w:val="en-ID"/>
        </w:rPr>
      </w:pPr>
    </w:p>
    <w:p w14:paraId="3D5E3846" w14:textId="215FEB8B" w:rsidR="00451909" w:rsidRDefault="00451909" w:rsidP="00451909">
      <w:pPr>
        <w:spacing w:after="0" w:line="240" w:lineRule="auto"/>
        <w:ind w:firstLine="720"/>
        <w:jc w:val="both"/>
        <w:rPr>
          <w:lang w:val="en-ID"/>
        </w:rPr>
      </w:pPr>
      <w:r w:rsidRPr="00451909">
        <w:rPr>
          <w:lang w:val="en-ID"/>
        </w:rPr>
        <w:t xml:space="preserve">Based on the results </w:t>
      </w:r>
      <w:proofErr w:type="gramStart"/>
      <w:r w:rsidRPr="00451909">
        <w:rPr>
          <w:lang w:val="en-ID"/>
        </w:rPr>
        <w:t>om</w:t>
      </w:r>
      <w:proofErr w:type="gramEnd"/>
      <w:r w:rsidRPr="00451909">
        <w:rPr>
          <w:lang w:val="en-ID"/>
        </w:rPr>
        <w:t xml:space="preserve"> Table 6, with the form of a simple linear regression equation with a fixed effect model as follows:</w:t>
      </w:r>
    </w:p>
    <w:p w14:paraId="296334F9" w14:textId="77777777" w:rsidR="00451909" w:rsidRPr="00451909" w:rsidRDefault="00451909" w:rsidP="00451909">
      <w:pPr>
        <w:spacing w:after="0" w:line="240" w:lineRule="auto"/>
        <w:ind w:firstLine="720"/>
        <w:jc w:val="both"/>
        <w:rPr>
          <w:lang w:val="en-ID"/>
        </w:rPr>
      </w:pPr>
    </w:p>
    <w:p w14:paraId="40F87B0D" w14:textId="77777777" w:rsidR="00451909" w:rsidRDefault="00451909" w:rsidP="00451909">
      <w:pPr>
        <w:spacing w:line="480" w:lineRule="auto"/>
        <w:jc w:val="center"/>
        <w:rPr>
          <w:rFonts w:ascii="Arial" w:hAnsi="Arial" w:cs="Arial"/>
          <w:i/>
          <w:iCs/>
          <w:lang w:val="es-ES"/>
        </w:rPr>
      </w:pPr>
      <w:proofErr w:type="spellStart"/>
      <w:r w:rsidRPr="00621392">
        <w:rPr>
          <w:rFonts w:ascii="Arial" w:hAnsi="Arial" w:cs="Arial"/>
          <w:i/>
          <w:iCs/>
          <w:lang w:val="es-ES"/>
        </w:rPr>
        <w:t>ln_nilaiperusahaan</w:t>
      </w:r>
      <w:proofErr w:type="spellEnd"/>
      <w:r w:rsidRPr="00621392">
        <w:rPr>
          <w:rFonts w:ascii="Arial" w:hAnsi="Arial" w:cs="Arial"/>
          <w:lang w:val="es-ES"/>
        </w:rPr>
        <w:t xml:space="preserve"> = </w:t>
      </w:r>
      <w:r w:rsidRPr="00621392">
        <w:rPr>
          <w:rFonts w:ascii="Arial" w:hAnsi="Arial" w:cs="Arial"/>
          <w:color w:val="000000"/>
        </w:rPr>
        <w:t>0.676667</w:t>
      </w:r>
      <w:r w:rsidRPr="00621392">
        <w:rPr>
          <w:rFonts w:ascii="Arial" w:hAnsi="Arial" w:cs="Arial"/>
          <w:lang w:val="es-ES"/>
        </w:rPr>
        <w:t xml:space="preserve">+ </w:t>
      </w:r>
      <w:r w:rsidRPr="00621392">
        <w:rPr>
          <w:rFonts w:ascii="Arial" w:hAnsi="Arial" w:cs="Arial"/>
          <w:color w:val="000000"/>
        </w:rPr>
        <w:t>1.25</w:t>
      </w:r>
      <w:proofErr w:type="spellStart"/>
      <w:r w:rsidRPr="00621392">
        <w:rPr>
          <w:rFonts w:ascii="Arial" w:hAnsi="Arial" w:cs="Arial"/>
          <w:i/>
          <w:iCs/>
          <w:lang w:val="es-ES"/>
        </w:rPr>
        <w:t>ln_hargasaham</w:t>
      </w:r>
      <w:proofErr w:type="spellEnd"/>
      <w:r w:rsidRPr="00621392">
        <w:rPr>
          <w:rFonts w:ascii="Arial" w:hAnsi="Arial" w:cs="Arial"/>
          <w:i/>
          <w:iCs/>
          <w:lang w:val="es-ES"/>
        </w:rPr>
        <w:t>*</w:t>
      </w:r>
      <w:proofErr w:type="spellStart"/>
      <w:r w:rsidRPr="00621392">
        <w:rPr>
          <w:rFonts w:ascii="Arial" w:hAnsi="Arial" w:cs="Arial"/>
          <w:i/>
          <w:iCs/>
          <w:lang w:val="es-ES"/>
        </w:rPr>
        <w:t>ln_m</w:t>
      </w:r>
      <w:proofErr w:type="spellEnd"/>
    </w:p>
    <w:p w14:paraId="0B3D0054" w14:textId="78162047" w:rsidR="00B36CAE" w:rsidRPr="00B36CAE" w:rsidRDefault="00B36CAE" w:rsidP="00B36CAE">
      <w:pPr>
        <w:spacing w:after="0" w:line="240" w:lineRule="auto"/>
        <w:ind w:firstLine="720"/>
        <w:jc w:val="both"/>
        <w:rPr>
          <w:lang w:val="en-ID"/>
        </w:rPr>
      </w:pPr>
      <w:r w:rsidRPr="00B36CAE">
        <w:rPr>
          <w:lang w:val="en-ID"/>
        </w:rPr>
        <w:t xml:space="preserve">Based on the results of multiple and simple linear regression analyses, it can be concluded that the selected models provide significant insights into the relationship between the independent and dependent variables. The findings indicate that </w:t>
      </w:r>
      <w:proofErr w:type="gramStart"/>
      <w:r w:rsidRPr="00B36CAE">
        <w:rPr>
          <w:lang w:val="en-ID"/>
        </w:rPr>
        <w:t>Return</w:t>
      </w:r>
      <w:proofErr w:type="gramEnd"/>
      <w:r w:rsidRPr="00B36CAE">
        <w:rPr>
          <w:lang w:val="en-ID"/>
        </w:rPr>
        <w:t xml:space="preserve"> on Assets (ROA), Net Profit Margin (NPM), Earnings Per Share (EPS), Economic Growth, Exchange Rate, and Inflation have varying influences on stock prices. Furthermore, stock prices significantly impact firm value, as demonstrated in the fixed effect models.</w:t>
      </w:r>
      <w:r>
        <w:rPr>
          <w:lang w:val="en-ID"/>
        </w:rPr>
        <w:t xml:space="preserve"> </w:t>
      </w:r>
      <w:r w:rsidRPr="00B36CAE">
        <w:rPr>
          <w:lang w:val="en-ID"/>
        </w:rPr>
        <w:t>These results highlight the importance of financial and macroeconomic factors in determining stock prices and firm value. Future research may explore additional variables or alternative methodologies to enhance the robustness of these findings.</w:t>
      </w:r>
    </w:p>
    <w:p w14:paraId="70120C63" w14:textId="77777777" w:rsidR="00B36CAE" w:rsidRDefault="00B36CAE" w:rsidP="001D72B5">
      <w:pPr>
        <w:spacing w:after="0" w:line="240" w:lineRule="auto"/>
        <w:jc w:val="both"/>
        <w:rPr>
          <w:rFonts w:ascii="Times New Roman" w:eastAsia="Times New Roman" w:hAnsi="Times New Roman" w:cs="Times New Roman"/>
          <w:b/>
          <w:sz w:val="24"/>
          <w:szCs w:val="24"/>
        </w:rPr>
      </w:pPr>
    </w:p>
    <w:p w14:paraId="7452AE02" w14:textId="03E129ED" w:rsidR="00FA13E8" w:rsidRDefault="00FA13E8" w:rsidP="001D72B5">
      <w:pPr>
        <w:spacing w:after="0" w:line="240" w:lineRule="auto"/>
        <w:jc w:val="both"/>
        <w:rPr>
          <w:rFonts w:ascii="Times New Roman" w:eastAsia="Times New Roman" w:hAnsi="Times New Roman" w:cs="Times New Roman"/>
          <w:b/>
          <w:sz w:val="24"/>
          <w:szCs w:val="24"/>
        </w:rPr>
      </w:pPr>
      <w:r w:rsidRPr="00FF26DB">
        <w:rPr>
          <w:rFonts w:ascii="Times New Roman" w:eastAsia="Times New Roman" w:hAnsi="Times New Roman" w:cs="Times New Roman"/>
          <w:b/>
          <w:sz w:val="24"/>
          <w:szCs w:val="24"/>
        </w:rPr>
        <w:t>D. Discussion</w:t>
      </w:r>
    </w:p>
    <w:p w14:paraId="7B5F7DD5" w14:textId="77777777" w:rsidR="00DA793A" w:rsidRDefault="00DA793A" w:rsidP="00DA793A">
      <w:pPr>
        <w:spacing w:after="0" w:line="240" w:lineRule="auto"/>
        <w:ind w:firstLine="567"/>
        <w:jc w:val="both"/>
        <w:rPr>
          <w:lang w:val="en-ID"/>
        </w:rPr>
      </w:pPr>
      <w:r w:rsidRPr="00DA793A">
        <w:rPr>
          <w:lang w:val="en-ID"/>
        </w:rPr>
        <w:t xml:space="preserve">The determinants of stock prices, including Return on Assets (ROA), Net Profit Margin (NPM), Earnings </w:t>
      </w:r>
      <w:proofErr w:type="gramStart"/>
      <w:r w:rsidRPr="00DA793A">
        <w:rPr>
          <w:lang w:val="en-ID"/>
        </w:rPr>
        <w:t>Per</w:t>
      </w:r>
      <w:proofErr w:type="gramEnd"/>
      <w:r w:rsidRPr="00DA793A">
        <w:rPr>
          <w:lang w:val="en-ID"/>
        </w:rPr>
        <w:t xml:space="preserve"> Share (EPS), Economic Growth, Exchange Rates, and Inflation, play a crucial role in explaining stock price movements. According to Agency Theory, management must optimize all these variables to effectively enhance stock prices. A well-managed financial structure and profitability indicators contribute significantly to investor confidence and market valuation.</w:t>
      </w:r>
    </w:p>
    <w:p w14:paraId="196B4227" w14:textId="2F11D20A" w:rsidR="00DA793A" w:rsidRPr="00DA793A" w:rsidRDefault="00DA793A" w:rsidP="00DA793A">
      <w:pPr>
        <w:spacing w:after="0" w:line="240" w:lineRule="auto"/>
        <w:jc w:val="both"/>
        <w:rPr>
          <w:b/>
          <w:bCs/>
          <w:lang w:val="en-ID"/>
        </w:rPr>
      </w:pPr>
      <w:r w:rsidRPr="00DA793A">
        <w:rPr>
          <w:b/>
          <w:bCs/>
          <w:lang w:val="en-ID"/>
        </w:rPr>
        <w:t>1. Return on Assets (ROA) and Stock Prices</w:t>
      </w:r>
    </w:p>
    <w:p w14:paraId="151015A2" w14:textId="42F0147B" w:rsidR="00DA793A" w:rsidRDefault="00DA793A" w:rsidP="00DA793A">
      <w:pPr>
        <w:spacing w:after="0" w:line="240" w:lineRule="auto"/>
        <w:ind w:firstLine="567"/>
        <w:jc w:val="both"/>
        <w:rPr>
          <w:lang w:val="en-ID"/>
        </w:rPr>
      </w:pPr>
      <w:r w:rsidRPr="00DA793A">
        <w:rPr>
          <w:lang w:val="en-ID"/>
        </w:rPr>
        <w:t xml:space="preserve">Statistical analysis indicates that ROA has a positive and significant effect on stock prices. Research by Debbie Christine (2022) supports this finding, demonstrating that higher ROA correlates with increased stock values. </w:t>
      </w:r>
      <w:proofErr w:type="spellStart"/>
      <w:r w:rsidRPr="00DA793A">
        <w:rPr>
          <w:lang w:val="en-ID"/>
        </w:rPr>
        <w:t>Signaling</w:t>
      </w:r>
      <w:proofErr w:type="spellEnd"/>
      <w:r w:rsidRPr="00DA793A">
        <w:rPr>
          <w:lang w:val="en-ID"/>
        </w:rPr>
        <w:t xml:space="preserve"> Theory suggests that companies should provide financial signals to investors through profitability indicators like ROA. A higher ROA reflects efficient asset utilization, attracting investors and increasing stock demand, which in turn raises stock prices. The ability of a firm to generate profits from its assets serves as a positive signal to the market, encouraging further investment (</w:t>
      </w:r>
      <w:proofErr w:type="spellStart"/>
      <w:r w:rsidRPr="00DA793A">
        <w:rPr>
          <w:lang w:val="en-ID"/>
        </w:rPr>
        <w:t>Hery</w:t>
      </w:r>
      <w:proofErr w:type="spellEnd"/>
      <w:r w:rsidRPr="00DA793A">
        <w:rPr>
          <w:lang w:val="en-ID"/>
        </w:rPr>
        <w:t>, 2016).</w:t>
      </w:r>
      <w:r>
        <w:rPr>
          <w:lang w:val="en-ID"/>
        </w:rPr>
        <w:t xml:space="preserve">  </w:t>
      </w:r>
      <w:r w:rsidRPr="00DA793A">
        <w:rPr>
          <w:lang w:val="en-ID"/>
        </w:rPr>
        <w:t xml:space="preserve">From an investor’s perspective, profitability growth is a key indicator in assessing a company’s future prospects. </w:t>
      </w:r>
      <w:proofErr w:type="spellStart"/>
      <w:r w:rsidRPr="00DA793A">
        <w:rPr>
          <w:lang w:val="en-ID"/>
        </w:rPr>
        <w:t>Tandelilin</w:t>
      </w:r>
      <w:proofErr w:type="spellEnd"/>
      <w:r w:rsidRPr="00DA793A">
        <w:rPr>
          <w:lang w:val="en-ID"/>
        </w:rPr>
        <w:t xml:space="preserve"> (2010:240) highlights ROA and NPM as critical profitability measures that influence stock price fluctuations. The greater a company’s ability to generate profits, the more attractive it becomes to investors. Increased investor demand for </w:t>
      </w:r>
      <w:r w:rsidRPr="00DA793A">
        <w:rPr>
          <w:lang w:val="en-ID"/>
        </w:rPr>
        <w:lastRenderedPageBreak/>
        <w:t>shares subsequently drives up stock prices, reinforcing the connection between profitability and market performance (Brigham &amp; Houston, 2010).</w:t>
      </w:r>
    </w:p>
    <w:p w14:paraId="560CA459" w14:textId="77777777" w:rsidR="00DA793A" w:rsidRPr="00DA793A" w:rsidRDefault="00DA793A" w:rsidP="00DA793A">
      <w:pPr>
        <w:spacing w:after="0" w:line="240" w:lineRule="auto"/>
        <w:ind w:firstLine="567"/>
        <w:jc w:val="both"/>
        <w:rPr>
          <w:lang w:val="en-ID"/>
        </w:rPr>
      </w:pPr>
    </w:p>
    <w:p w14:paraId="2ABE95A2" w14:textId="77777777" w:rsidR="00DA793A" w:rsidRPr="00DA793A" w:rsidRDefault="00DA793A" w:rsidP="00DA793A">
      <w:pPr>
        <w:spacing w:after="0" w:line="240" w:lineRule="auto"/>
        <w:jc w:val="both"/>
        <w:rPr>
          <w:b/>
          <w:bCs/>
          <w:lang w:val="en-ID"/>
        </w:rPr>
      </w:pPr>
      <w:r w:rsidRPr="00DA793A">
        <w:rPr>
          <w:b/>
          <w:bCs/>
          <w:lang w:val="en-ID"/>
        </w:rPr>
        <w:t>2. Net Profit Margin (NPM) and Stock Prices</w:t>
      </w:r>
    </w:p>
    <w:p w14:paraId="7E793B54" w14:textId="18195943" w:rsidR="00DA793A" w:rsidRDefault="00DA793A" w:rsidP="00DA793A">
      <w:pPr>
        <w:spacing w:after="0" w:line="240" w:lineRule="auto"/>
        <w:ind w:firstLine="567"/>
        <w:jc w:val="both"/>
        <w:rPr>
          <w:lang w:val="en-ID"/>
        </w:rPr>
      </w:pPr>
      <w:r w:rsidRPr="00DA793A">
        <w:rPr>
          <w:lang w:val="en-ID"/>
        </w:rPr>
        <w:t xml:space="preserve">Empirical findings indicate that NPM positively and significantly influences stock prices. Research by </w:t>
      </w:r>
      <w:proofErr w:type="spellStart"/>
      <w:r w:rsidRPr="00DA793A">
        <w:rPr>
          <w:lang w:val="en-ID"/>
        </w:rPr>
        <w:t>Evi</w:t>
      </w:r>
      <w:proofErr w:type="spellEnd"/>
      <w:r w:rsidRPr="00DA793A">
        <w:rPr>
          <w:lang w:val="en-ID"/>
        </w:rPr>
        <w:t xml:space="preserve"> </w:t>
      </w:r>
      <w:proofErr w:type="spellStart"/>
      <w:r w:rsidRPr="00DA793A">
        <w:rPr>
          <w:lang w:val="en-ID"/>
        </w:rPr>
        <w:t>Noviaty</w:t>
      </w:r>
      <w:proofErr w:type="spellEnd"/>
      <w:r w:rsidRPr="00DA793A">
        <w:rPr>
          <w:lang w:val="en-ID"/>
        </w:rPr>
        <w:t xml:space="preserve"> (2021) confirms this relationship, showing that higher NPM attracts investor interest. Based on </w:t>
      </w:r>
      <w:proofErr w:type="spellStart"/>
      <w:r w:rsidRPr="00DA793A">
        <w:rPr>
          <w:lang w:val="en-ID"/>
        </w:rPr>
        <w:t>Signaling</w:t>
      </w:r>
      <w:proofErr w:type="spellEnd"/>
      <w:r w:rsidRPr="00DA793A">
        <w:rPr>
          <w:lang w:val="en-ID"/>
        </w:rPr>
        <w:t xml:space="preserve"> Theory, a higher NPM reflects strong financial health, as it indicates the company's ability to control production costs and set competitive prices. Consequently, firms with higher NPM ratios generate more substantial net profits, making their stocks more appealing to investors.</w:t>
      </w:r>
      <w:r>
        <w:rPr>
          <w:lang w:val="en-ID"/>
        </w:rPr>
        <w:t xml:space="preserve"> </w:t>
      </w:r>
      <w:proofErr w:type="spellStart"/>
      <w:r w:rsidRPr="00DA793A">
        <w:rPr>
          <w:lang w:val="en-ID"/>
        </w:rPr>
        <w:t>Kasmir</w:t>
      </w:r>
      <w:proofErr w:type="spellEnd"/>
      <w:r w:rsidRPr="00DA793A">
        <w:rPr>
          <w:lang w:val="en-ID"/>
        </w:rPr>
        <w:t xml:space="preserve"> (2014) asserts that a strong profit margin (NPM) enhances investor confidence, as it signifies effective cost management and profitability. A company with a high NPM demonstrates its ability to retain a portion of its revenue as net income, which benefits shareholders. Higher investor interest in firms with strong NPM performance leads to increased stock demand, ultimately driving stock prices higher. Diana (2018) further supports this by emphasizing NPM as a key metric in assessing a firm's ability to generate earnings from sales.</w:t>
      </w:r>
    </w:p>
    <w:p w14:paraId="5E07175A" w14:textId="77777777" w:rsidR="00DA793A" w:rsidRPr="00DA793A" w:rsidRDefault="00DA793A" w:rsidP="00DA793A">
      <w:pPr>
        <w:spacing w:after="0" w:line="240" w:lineRule="auto"/>
        <w:ind w:firstLine="567"/>
        <w:jc w:val="both"/>
        <w:rPr>
          <w:lang w:val="en-ID"/>
        </w:rPr>
      </w:pPr>
    </w:p>
    <w:p w14:paraId="0BE5F7B6" w14:textId="5DA24246" w:rsidR="00DA793A" w:rsidRPr="00DA793A" w:rsidRDefault="00DA793A" w:rsidP="00DA793A">
      <w:pPr>
        <w:spacing w:after="0" w:line="240" w:lineRule="auto"/>
        <w:jc w:val="both"/>
        <w:rPr>
          <w:b/>
          <w:bCs/>
          <w:lang w:val="en-ID"/>
        </w:rPr>
      </w:pPr>
      <w:r w:rsidRPr="00DA793A">
        <w:rPr>
          <w:b/>
          <w:bCs/>
          <w:lang w:val="en-ID"/>
        </w:rPr>
        <w:t xml:space="preserve">3. Earnings </w:t>
      </w:r>
      <w:proofErr w:type="gramStart"/>
      <w:r w:rsidRPr="00DA793A">
        <w:rPr>
          <w:b/>
          <w:bCs/>
          <w:lang w:val="en-ID"/>
        </w:rPr>
        <w:t>Per</w:t>
      </w:r>
      <w:proofErr w:type="gramEnd"/>
      <w:r w:rsidRPr="00DA793A">
        <w:rPr>
          <w:b/>
          <w:bCs/>
          <w:lang w:val="en-ID"/>
        </w:rPr>
        <w:t xml:space="preserve"> Share (EPS) and Stock Prices</w:t>
      </w:r>
    </w:p>
    <w:p w14:paraId="4E8088CA" w14:textId="17F3C490" w:rsidR="00DA793A" w:rsidRDefault="00DA793A" w:rsidP="00DA793A">
      <w:pPr>
        <w:spacing w:after="0" w:line="240" w:lineRule="auto"/>
        <w:ind w:firstLine="567"/>
        <w:jc w:val="both"/>
        <w:rPr>
          <w:lang w:val="en-ID"/>
        </w:rPr>
      </w:pPr>
      <w:r w:rsidRPr="00DA793A">
        <w:rPr>
          <w:lang w:val="en-ID"/>
        </w:rPr>
        <w:t xml:space="preserve">Statistical analysis reveals that EPS has a positive and significant impact on stock prices. Research by Debbie Christine (2022) validates this relationship, indicating that an increase in EPS attracts more investors, leading to higher stock valuations. </w:t>
      </w:r>
      <w:proofErr w:type="spellStart"/>
      <w:r w:rsidRPr="00DA793A">
        <w:rPr>
          <w:lang w:val="en-ID"/>
        </w:rPr>
        <w:t>Signaling</w:t>
      </w:r>
      <w:proofErr w:type="spellEnd"/>
      <w:r w:rsidRPr="00DA793A">
        <w:rPr>
          <w:lang w:val="en-ID"/>
        </w:rPr>
        <w:t xml:space="preserve"> Theory suggests that a rising EPS signals profitability, encouraging investors to increase their capital allocation to such firms (</w:t>
      </w:r>
      <w:proofErr w:type="spellStart"/>
      <w:r w:rsidRPr="00DA793A">
        <w:rPr>
          <w:lang w:val="en-ID"/>
        </w:rPr>
        <w:t>Fathihani</w:t>
      </w:r>
      <w:proofErr w:type="spellEnd"/>
      <w:r w:rsidRPr="00DA793A">
        <w:rPr>
          <w:lang w:val="en-ID"/>
        </w:rPr>
        <w:t>, 2020). The ability of a company to generate higher earnings per share directly influences investor perceptions and stock demand.</w:t>
      </w:r>
      <w:r>
        <w:rPr>
          <w:lang w:val="en-ID"/>
        </w:rPr>
        <w:t xml:space="preserve"> </w:t>
      </w:r>
      <w:r w:rsidRPr="00DA793A">
        <w:rPr>
          <w:lang w:val="en-ID"/>
        </w:rPr>
        <w:t>EPS is a fundamental profitability metric, reflecting a company's capacity to distribute profits among shareholders (</w:t>
      </w:r>
      <w:proofErr w:type="spellStart"/>
      <w:r w:rsidRPr="00DA793A">
        <w:rPr>
          <w:lang w:val="en-ID"/>
        </w:rPr>
        <w:t>Cahyaningrum</w:t>
      </w:r>
      <w:proofErr w:type="spellEnd"/>
      <w:r w:rsidRPr="00DA793A">
        <w:rPr>
          <w:lang w:val="en-ID"/>
        </w:rPr>
        <w:t xml:space="preserve"> &amp; </w:t>
      </w:r>
      <w:proofErr w:type="spellStart"/>
      <w:r w:rsidRPr="00DA793A">
        <w:rPr>
          <w:lang w:val="en-ID"/>
        </w:rPr>
        <w:t>Antikasari</w:t>
      </w:r>
      <w:proofErr w:type="spellEnd"/>
      <w:r w:rsidRPr="00DA793A">
        <w:rPr>
          <w:lang w:val="en-ID"/>
        </w:rPr>
        <w:t xml:space="preserve">, 2017). Higher EPS values are associated with improved corporate performance, which in turn leads to greater investor interest and stock price appreciation. </w:t>
      </w:r>
      <w:proofErr w:type="spellStart"/>
      <w:r w:rsidRPr="00DA793A">
        <w:rPr>
          <w:lang w:val="en-ID"/>
        </w:rPr>
        <w:t>Hery</w:t>
      </w:r>
      <w:proofErr w:type="spellEnd"/>
      <w:r w:rsidRPr="00DA793A">
        <w:rPr>
          <w:lang w:val="en-ID"/>
        </w:rPr>
        <w:t xml:space="preserve"> (2016) emphasizes that investors are more likely to invest in firms with increasing EPS, as it indicates sustainable profitability and strong financial prospects.</w:t>
      </w:r>
    </w:p>
    <w:p w14:paraId="0E5BD067" w14:textId="77777777" w:rsidR="00DA793A" w:rsidRPr="00DA793A" w:rsidRDefault="00DA793A" w:rsidP="00DA793A">
      <w:pPr>
        <w:spacing w:after="0" w:line="240" w:lineRule="auto"/>
        <w:ind w:firstLine="567"/>
        <w:jc w:val="both"/>
        <w:rPr>
          <w:lang w:val="en-ID"/>
        </w:rPr>
      </w:pPr>
    </w:p>
    <w:p w14:paraId="340C8247" w14:textId="15BBC567" w:rsidR="00DA793A" w:rsidRPr="00DA793A" w:rsidRDefault="00DA793A" w:rsidP="00DA793A">
      <w:pPr>
        <w:spacing w:after="0" w:line="240" w:lineRule="auto"/>
        <w:jc w:val="both"/>
        <w:rPr>
          <w:b/>
          <w:bCs/>
          <w:lang w:val="en-ID"/>
        </w:rPr>
      </w:pPr>
      <w:r w:rsidRPr="00DA793A">
        <w:rPr>
          <w:b/>
          <w:bCs/>
          <w:lang w:val="en-ID"/>
        </w:rPr>
        <w:t>4. Economic Growth and Stock Prices</w:t>
      </w:r>
    </w:p>
    <w:p w14:paraId="05DF80D9" w14:textId="63782610" w:rsidR="00DA793A" w:rsidRDefault="00DA793A" w:rsidP="00DA793A">
      <w:pPr>
        <w:spacing w:after="0" w:line="240" w:lineRule="auto"/>
        <w:ind w:firstLine="567"/>
        <w:jc w:val="both"/>
        <w:rPr>
          <w:lang w:val="en-ID"/>
        </w:rPr>
      </w:pPr>
      <w:r w:rsidRPr="00DA793A">
        <w:rPr>
          <w:lang w:val="en-ID"/>
        </w:rPr>
        <w:t xml:space="preserve">Empirical analysis suggests that economic growth does not have a significant effect on stock prices. This finding is supported by </w:t>
      </w:r>
      <w:proofErr w:type="spellStart"/>
      <w:r w:rsidRPr="00DA793A">
        <w:rPr>
          <w:lang w:val="en-ID"/>
        </w:rPr>
        <w:t>Jumria</w:t>
      </w:r>
      <w:proofErr w:type="spellEnd"/>
      <w:r w:rsidRPr="00DA793A">
        <w:rPr>
          <w:lang w:val="en-ID"/>
        </w:rPr>
        <w:t xml:space="preserve"> (2017), who argues that while economic expansion typically boosts investor confidence, it does not necessarily translate into immediate stock price growth. </w:t>
      </w:r>
      <w:proofErr w:type="gramStart"/>
      <w:r w:rsidRPr="00DA793A">
        <w:rPr>
          <w:lang w:val="en-ID"/>
        </w:rPr>
        <w:t xml:space="preserve">Sri </w:t>
      </w:r>
      <w:proofErr w:type="spellStart"/>
      <w:r w:rsidRPr="00DA793A">
        <w:rPr>
          <w:lang w:val="en-ID"/>
        </w:rPr>
        <w:t>Handini</w:t>
      </w:r>
      <w:proofErr w:type="spellEnd"/>
      <w:r w:rsidRPr="00DA793A">
        <w:rPr>
          <w:lang w:val="en-ID"/>
        </w:rPr>
        <w:t xml:space="preserve"> (2020) notes that gross domestic product (GDP) growth influences market expectations, but its effect on stock performance depends on broader economic conditions.</w:t>
      </w:r>
      <w:proofErr w:type="gramEnd"/>
      <w:r>
        <w:rPr>
          <w:lang w:val="en-ID"/>
        </w:rPr>
        <w:t xml:space="preserve"> </w:t>
      </w:r>
      <w:proofErr w:type="spellStart"/>
      <w:r w:rsidRPr="00DA793A">
        <w:rPr>
          <w:lang w:val="en-ID"/>
        </w:rPr>
        <w:t>Renald</w:t>
      </w:r>
      <w:proofErr w:type="spellEnd"/>
      <w:r w:rsidRPr="00DA793A">
        <w:rPr>
          <w:lang w:val="en-ID"/>
        </w:rPr>
        <w:t xml:space="preserve"> </w:t>
      </w:r>
      <w:proofErr w:type="spellStart"/>
      <w:r w:rsidRPr="00DA793A">
        <w:rPr>
          <w:lang w:val="en-ID"/>
        </w:rPr>
        <w:t>Suganda</w:t>
      </w:r>
      <w:proofErr w:type="spellEnd"/>
      <w:r w:rsidRPr="00DA793A">
        <w:rPr>
          <w:lang w:val="en-ID"/>
        </w:rPr>
        <w:t xml:space="preserve"> (2018) highlights that while strong economic growth provides a positive investment </w:t>
      </w:r>
      <w:proofErr w:type="gramStart"/>
      <w:r w:rsidRPr="00DA793A">
        <w:rPr>
          <w:lang w:val="en-ID"/>
        </w:rPr>
        <w:t>outlook,</w:t>
      </w:r>
      <w:proofErr w:type="gramEnd"/>
      <w:r w:rsidRPr="00DA793A">
        <w:rPr>
          <w:lang w:val="en-ID"/>
        </w:rPr>
        <w:t xml:space="preserve"> it is not the sole determinant of stock prices. Other factors, including political stability and fiscal policies, influence investor decisions. </w:t>
      </w:r>
      <w:proofErr w:type="spellStart"/>
      <w:r w:rsidRPr="00DA793A">
        <w:rPr>
          <w:lang w:val="en-ID"/>
        </w:rPr>
        <w:t>Tandelilin</w:t>
      </w:r>
      <w:proofErr w:type="spellEnd"/>
      <w:r w:rsidRPr="00DA793A">
        <w:rPr>
          <w:lang w:val="en-ID"/>
        </w:rPr>
        <w:t xml:space="preserve"> (2010) asserts that economic expansion enhances purchasing power and corporate revenues, which may indirectly contribute to stock price movements. However, the relationship remains complex and influenced by multiple external variables.</w:t>
      </w:r>
    </w:p>
    <w:p w14:paraId="5ED45EA4" w14:textId="77777777" w:rsidR="00DA793A" w:rsidRPr="00DA793A" w:rsidRDefault="00DA793A" w:rsidP="00DA793A">
      <w:pPr>
        <w:spacing w:after="0" w:line="240" w:lineRule="auto"/>
        <w:ind w:firstLine="567"/>
        <w:jc w:val="both"/>
        <w:rPr>
          <w:lang w:val="en-ID"/>
        </w:rPr>
      </w:pPr>
    </w:p>
    <w:p w14:paraId="6A5EBA54" w14:textId="4620226F" w:rsidR="00DA793A" w:rsidRPr="00DA793A" w:rsidRDefault="00DA793A" w:rsidP="00DA793A">
      <w:pPr>
        <w:spacing w:after="0" w:line="240" w:lineRule="auto"/>
        <w:jc w:val="both"/>
        <w:rPr>
          <w:b/>
          <w:bCs/>
          <w:lang w:val="en-ID"/>
        </w:rPr>
      </w:pPr>
      <w:r w:rsidRPr="00DA793A">
        <w:rPr>
          <w:b/>
          <w:bCs/>
          <w:lang w:val="en-ID"/>
        </w:rPr>
        <w:t>5. Exchange Rates and Stock Prices</w:t>
      </w:r>
    </w:p>
    <w:p w14:paraId="77A3C0F2" w14:textId="6B14C758" w:rsidR="00DA793A" w:rsidRDefault="00DA793A" w:rsidP="00DA793A">
      <w:pPr>
        <w:spacing w:after="0" w:line="240" w:lineRule="auto"/>
        <w:ind w:firstLine="567"/>
        <w:jc w:val="both"/>
        <w:rPr>
          <w:lang w:val="en-ID"/>
        </w:rPr>
      </w:pPr>
      <w:r w:rsidRPr="00DA793A">
        <w:rPr>
          <w:lang w:val="en-ID"/>
        </w:rPr>
        <w:t xml:space="preserve">Statistical findings indicate that exchange rates negatively and significantly impact stock prices. Research by </w:t>
      </w:r>
      <w:proofErr w:type="spellStart"/>
      <w:r w:rsidRPr="00DA793A">
        <w:rPr>
          <w:lang w:val="en-ID"/>
        </w:rPr>
        <w:t>Khaerunnida</w:t>
      </w:r>
      <w:proofErr w:type="spellEnd"/>
      <w:r w:rsidRPr="00DA793A">
        <w:rPr>
          <w:lang w:val="en-ID"/>
        </w:rPr>
        <w:t xml:space="preserve"> (2017) supports this conclusion, showing that currency fluctuations can deter investors due to increased financial risks. A weakening currency raises import costs and foreign debt burdens, leading to reduced corporate profitability and declining stock prices.</w:t>
      </w:r>
      <w:r>
        <w:rPr>
          <w:lang w:val="en-ID"/>
        </w:rPr>
        <w:t xml:space="preserve"> </w:t>
      </w:r>
      <w:proofErr w:type="spellStart"/>
      <w:r w:rsidRPr="00DA793A">
        <w:rPr>
          <w:lang w:val="en-ID"/>
        </w:rPr>
        <w:t>Niagian</w:t>
      </w:r>
      <w:proofErr w:type="spellEnd"/>
      <w:r w:rsidRPr="00DA793A">
        <w:rPr>
          <w:lang w:val="en-ID"/>
        </w:rPr>
        <w:t xml:space="preserve"> Toni (2021:25) explains that investors assess currency fluctuations when making investment decisions. A volatile exchange rate increases uncertainty, discouraging investment in certain sectors. </w:t>
      </w:r>
      <w:proofErr w:type="spellStart"/>
      <w:r w:rsidRPr="00DA793A">
        <w:rPr>
          <w:lang w:val="en-ID"/>
        </w:rPr>
        <w:t>Efriyenty</w:t>
      </w:r>
      <w:proofErr w:type="spellEnd"/>
      <w:r w:rsidRPr="00DA793A">
        <w:rPr>
          <w:lang w:val="en-ID"/>
        </w:rPr>
        <w:t xml:space="preserve"> (2020) emphasizes that exchange rate movements can either increase or decrease stock prices, depending on market reactions. </w:t>
      </w:r>
      <w:proofErr w:type="spellStart"/>
      <w:r w:rsidRPr="00DA793A">
        <w:rPr>
          <w:lang w:val="en-ID"/>
        </w:rPr>
        <w:t>Nopirin</w:t>
      </w:r>
      <w:proofErr w:type="spellEnd"/>
      <w:r w:rsidRPr="00DA793A">
        <w:rPr>
          <w:lang w:val="en-ID"/>
        </w:rPr>
        <w:t xml:space="preserve"> (2012) describes exchange rates as comparative measures of currency values, which influence business operations and investor sentiment.</w:t>
      </w:r>
    </w:p>
    <w:p w14:paraId="37ECB003" w14:textId="77777777" w:rsidR="00DA793A" w:rsidRPr="00DA793A" w:rsidRDefault="00DA793A" w:rsidP="00DA793A">
      <w:pPr>
        <w:spacing w:after="0" w:line="240" w:lineRule="auto"/>
        <w:ind w:firstLine="567"/>
        <w:jc w:val="both"/>
        <w:rPr>
          <w:lang w:val="en-ID"/>
        </w:rPr>
      </w:pPr>
    </w:p>
    <w:p w14:paraId="602E029E" w14:textId="64F3658D" w:rsidR="00DA793A" w:rsidRPr="00DA793A" w:rsidRDefault="00DA793A" w:rsidP="00DA793A">
      <w:pPr>
        <w:spacing w:after="0" w:line="240" w:lineRule="auto"/>
        <w:jc w:val="both"/>
        <w:rPr>
          <w:b/>
          <w:bCs/>
          <w:lang w:val="en-ID"/>
        </w:rPr>
      </w:pPr>
      <w:r w:rsidRPr="00DA793A">
        <w:rPr>
          <w:b/>
          <w:bCs/>
          <w:lang w:val="en-ID"/>
        </w:rPr>
        <w:t>6. Inflation and Stock Prices</w:t>
      </w:r>
    </w:p>
    <w:p w14:paraId="5DE4887C" w14:textId="5C3C08DA" w:rsidR="00DA793A" w:rsidRDefault="00DA793A" w:rsidP="00DA793A">
      <w:pPr>
        <w:spacing w:after="0" w:line="240" w:lineRule="auto"/>
        <w:ind w:firstLine="567"/>
        <w:jc w:val="both"/>
        <w:rPr>
          <w:lang w:val="en-ID"/>
        </w:rPr>
      </w:pPr>
      <w:r w:rsidRPr="00DA793A">
        <w:rPr>
          <w:lang w:val="en-ID"/>
        </w:rPr>
        <w:t xml:space="preserve">Empirical analysis suggests that inflation does not significantly affect stock prices. Research by </w:t>
      </w:r>
      <w:proofErr w:type="spellStart"/>
      <w:r w:rsidRPr="00DA793A">
        <w:rPr>
          <w:lang w:val="en-ID"/>
        </w:rPr>
        <w:t>Nevy</w:t>
      </w:r>
      <w:proofErr w:type="spellEnd"/>
      <w:r w:rsidRPr="00DA793A">
        <w:rPr>
          <w:lang w:val="en-ID"/>
        </w:rPr>
        <w:t xml:space="preserve"> Agustin (2023) indicates that inflation negatively impacts stock values by increasing production costs and reducing consumer demand. As inflation rises, companies experience higher operational expenses, leading to lower profit margins and diminished investor confidence.</w:t>
      </w:r>
      <w:r>
        <w:rPr>
          <w:lang w:val="en-ID"/>
        </w:rPr>
        <w:t xml:space="preserve"> </w:t>
      </w:r>
      <w:r w:rsidRPr="00DA793A">
        <w:rPr>
          <w:lang w:val="en-ID"/>
        </w:rPr>
        <w:t xml:space="preserve">Irving Fisher's Quantity Theory of Money states that inflation results from increased money supply, affecting overall price levels. </w:t>
      </w:r>
      <w:proofErr w:type="spellStart"/>
      <w:r w:rsidRPr="00DA793A">
        <w:rPr>
          <w:lang w:val="en-ID"/>
        </w:rPr>
        <w:t>Yuliani</w:t>
      </w:r>
      <w:proofErr w:type="spellEnd"/>
      <w:r w:rsidRPr="00DA793A">
        <w:rPr>
          <w:lang w:val="en-ID"/>
        </w:rPr>
        <w:t xml:space="preserve"> &amp; </w:t>
      </w:r>
      <w:proofErr w:type="spellStart"/>
      <w:r w:rsidRPr="00DA793A">
        <w:rPr>
          <w:lang w:val="en-ID"/>
        </w:rPr>
        <w:t>Suwitho</w:t>
      </w:r>
      <w:proofErr w:type="spellEnd"/>
      <w:r w:rsidRPr="00DA793A">
        <w:rPr>
          <w:lang w:val="en-ID"/>
        </w:rPr>
        <w:t xml:space="preserve"> (2020) argue that rising production costs lower company profits, reducing dividend distributions to investors. </w:t>
      </w:r>
      <w:proofErr w:type="spellStart"/>
      <w:r w:rsidRPr="00DA793A">
        <w:rPr>
          <w:lang w:val="en-ID"/>
        </w:rPr>
        <w:t>Efriyenty</w:t>
      </w:r>
      <w:proofErr w:type="spellEnd"/>
      <w:r w:rsidRPr="00DA793A">
        <w:rPr>
          <w:lang w:val="en-ID"/>
        </w:rPr>
        <w:t xml:space="preserve"> (2020) emphasizes that inflation can lead investors to shift funds toward safer assets like savings and fixed-income securities, making stocks less attractive.</w:t>
      </w:r>
    </w:p>
    <w:p w14:paraId="725418F2" w14:textId="77777777" w:rsidR="00DA793A" w:rsidRPr="00DA793A" w:rsidRDefault="00DA793A" w:rsidP="00DA793A">
      <w:pPr>
        <w:spacing w:after="0" w:line="240" w:lineRule="auto"/>
        <w:ind w:firstLine="567"/>
        <w:jc w:val="both"/>
        <w:rPr>
          <w:lang w:val="en-ID"/>
        </w:rPr>
      </w:pPr>
    </w:p>
    <w:p w14:paraId="2354E606" w14:textId="191662B5" w:rsidR="00DA793A" w:rsidRPr="00DA793A" w:rsidRDefault="00DA793A" w:rsidP="00DA793A">
      <w:pPr>
        <w:spacing w:after="0" w:line="240" w:lineRule="auto"/>
        <w:jc w:val="both"/>
        <w:rPr>
          <w:b/>
          <w:bCs/>
          <w:lang w:val="en-ID"/>
        </w:rPr>
      </w:pPr>
      <w:r w:rsidRPr="00DA793A">
        <w:rPr>
          <w:b/>
          <w:bCs/>
          <w:lang w:val="en-ID"/>
        </w:rPr>
        <w:t>7. Stock Prices and Corporate Value</w:t>
      </w:r>
    </w:p>
    <w:p w14:paraId="7C036A04" w14:textId="0CFC062A" w:rsidR="00DA793A" w:rsidRDefault="00DA793A" w:rsidP="00DA793A">
      <w:pPr>
        <w:spacing w:after="0" w:line="240" w:lineRule="auto"/>
        <w:ind w:firstLine="567"/>
        <w:jc w:val="both"/>
        <w:rPr>
          <w:lang w:val="en-ID"/>
        </w:rPr>
      </w:pPr>
      <w:r w:rsidRPr="00DA793A">
        <w:rPr>
          <w:lang w:val="en-ID"/>
        </w:rPr>
        <w:t xml:space="preserve">Statistical results confirm that stock prices positively and significantly influence corporate value. Agency Theory (Jensen &amp; </w:t>
      </w:r>
      <w:proofErr w:type="spellStart"/>
      <w:r w:rsidRPr="00DA793A">
        <w:rPr>
          <w:lang w:val="en-ID"/>
        </w:rPr>
        <w:t>Meckling</w:t>
      </w:r>
      <w:proofErr w:type="spellEnd"/>
      <w:r w:rsidRPr="00DA793A">
        <w:rPr>
          <w:lang w:val="en-ID"/>
        </w:rPr>
        <w:t xml:space="preserve">, 1976) explains the relationship between shareholders and management, where stock prices reflect investor confidence in a company’s operational efficiency. </w:t>
      </w:r>
      <w:proofErr w:type="gramStart"/>
      <w:r w:rsidRPr="00DA793A">
        <w:rPr>
          <w:lang w:val="en-ID"/>
        </w:rPr>
        <w:t xml:space="preserve">Research by </w:t>
      </w:r>
      <w:proofErr w:type="spellStart"/>
      <w:r w:rsidRPr="00DA793A">
        <w:rPr>
          <w:lang w:val="en-ID"/>
        </w:rPr>
        <w:t>Syahrinah</w:t>
      </w:r>
      <w:proofErr w:type="spellEnd"/>
      <w:r w:rsidRPr="00DA793A">
        <w:rPr>
          <w:lang w:val="en-ID"/>
        </w:rPr>
        <w:t xml:space="preserve"> (2017) highlights that higher stock prices indicate greater market trust, enhancing corporate valuation.</w:t>
      </w:r>
      <w:proofErr w:type="gramEnd"/>
      <w:r>
        <w:rPr>
          <w:lang w:val="en-ID"/>
        </w:rPr>
        <w:t xml:space="preserve"> </w:t>
      </w:r>
      <w:proofErr w:type="spellStart"/>
      <w:r w:rsidRPr="00DA793A">
        <w:rPr>
          <w:lang w:val="en-ID"/>
        </w:rPr>
        <w:t>Keown</w:t>
      </w:r>
      <w:proofErr w:type="spellEnd"/>
      <w:r w:rsidRPr="00DA793A">
        <w:rPr>
          <w:lang w:val="en-ID"/>
        </w:rPr>
        <w:t xml:space="preserve"> et al. (2010) describe corporate value as the market valuation of equity and debt, directly linked to stock price movements. </w:t>
      </w:r>
      <w:proofErr w:type="spellStart"/>
      <w:r w:rsidRPr="00DA793A">
        <w:rPr>
          <w:lang w:val="en-ID"/>
        </w:rPr>
        <w:t>Muchtalifah</w:t>
      </w:r>
      <w:proofErr w:type="spellEnd"/>
      <w:r w:rsidRPr="00DA793A">
        <w:rPr>
          <w:lang w:val="en-ID"/>
        </w:rPr>
        <w:t xml:space="preserve"> (2013) suggests that a strong stock price indicates both current performance and future growth potential. Research by </w:t>
      </w:r>
      <w:proofErr w:type="spellStart"/>
      <w:r w:rsidRPr="00DA793A">
        <w:rPr>
          <w:lang w:val="en-ID"/>
        </w:rPr>
        <w:t>Dirvi</w:t>
      </w:r>
      <w:proofErr w:type="spellEnd"/>
      <w:r w:rsidRPr="00DA793A">
        <w:rPr>
          <w:lang w:val="en-ID"/>
        </w:rPr>
        <w:t xml:space="preserve"> Surya Abbas (2020), Susi </w:t>
      </w:r>
      <w:proofErr w:type="spellStart"/>
      <w:r w:rsidRPr="00DA793A">
        <w:rPr>
          <w:lang w:val="en-ID"/>
        </w:rPr>
        <w:t>Rosmawati</w:t>
      </w:r>
      <w:proofErr w:type="spellEnd"/>
      <w:r w:rsidRPr="00DA793A">
        <w:rPr>
          <w:lang w:val="en-ID"/>
        </w:rPr>
        <w:t xml:space="preserve"> (2023), and Denny </w:t>
      </w:r>
      <w:proofErr w:type="spellStart"/>
      <w:r w:rsidRPr="00DA793A">
        <w:rPr>
          <w:lang w:val="en-ID"/>
        </w:rPr>
        <w:t>Kurnia</w:t>
      </w:r>
      <w:proofErr w:type="spellEnd"/>
      <w:r w:rsidRPr="00DA793A">
        <w:rPr>
          <w:lang w:val="en-ID"/>
        </w:rPr>
        <w:t xml:space="preserve"> (2019) further validate the positive impact of stock prices on corporate value.</w:t>
      </w:r>
    </w:p>
    <w:p w14:paraId="002E8D2B" w14:textId="77777777" w:rsidR="00DA793A" w:rsidRPr="00DA793A" w:rsidRDefault="00DA793A" w:rsidP="00DA793A">
      <w:pPr>
        <w:spacing w:after="0" w:line="240" w:lineRule="auto"/>
        <w:ind w:firstLine="567"/>
        <w:jc w:val="both"/>
        <w:rPr>
          <w:lang w:val="en-ID"/>
        </w:rPr>
      </w:pPr>
    </w:p>
    <w:p w14:paraId="2A070EFF" w14:textId="753F4467" w:rsidR="00DA793A" w:rsidRPr="00DA793A" w:rsidRDefault="00DA793A" w:rsidP="00DA793A">
      <w:pPr>
        <w:spacing w:after="0" w:line="240" w:lineRule="auto"/>
        <w:jc w:val="both"/>
        <w:rPr>
          <w:b/>
          <w:bCs/>
          <w:lang w:val="en-ID"/>
        </w:rPr>
      </w:pPr>
      <w:r w:rsidRPr="00DA793A">
        <w:rPr>
          <w:b/>
          <w:bCs/>
          <w:lang w:val="en-ID"/>
        </w:rPr>
        <w:t>8. Stock Prices, Corporate Value, and Firm Size as a Moderator</w:t>
      </w:r>
    </w:p>
    <w:p w14:paraId="32B62400" w14:textId="0030FF5A" w:rsidR="00DA793A" w:rsidRDefault="00DA793A" w:rsidP="00DA793A">
      <w:pPr>
        <w:spacing w:after="0" w:line="240" w:lineRule="auto"/>
        <w:ind w:firstLine="567"/>
        <w:jc w:val="both"/>
        <w:rPr>
          <w:lang w:val="en-ID"/>
        </w:rPr>
      </w:pPr>
      <w:r w:rsidRPr="00DA793A">
        <w:rPr>
          <w:lang w:val="en-ID"/>
        </w:rPr>
        <w:t>Empirical analysis demonstrates that firm size strengthens the relationship between stock prices and corporate value. Larger firms benefit from greater access to funding, stronger investor interest, and increased public recognition (</w:t>
      </w:r>
      <w:proofErr w:type="spellStart"/>
      <w:r w:rsidRPr="00DA793A">
        <w:rPr>
          <w:lang w:val="en-ID"/>
        </w:rPr>
        <w:t>Wida</w:t>
      </w:r>
      <w:proofErr w:type="spellEnd"/>
      <w:r w:rsidRPr="00DA793A">
        <w:rPr>
          <w:lang w:val="en-ID"/>
        </w:rPr>
        <w:t xml:space="preserve"> &amp; </w:t>
      </w:r>
      <w:proofErr w:type="spellStart"/>
      <w:r w:rsidRPr="00DA793A">
        <w:rPr>
          <w:lang w:val="en-ID"/>
        </w:rPr>
        <w:t>Suartana</w:t>
      </w:r>
      <w:proofErr w:type="spellEnd"/>
      <w:r w:rsidRPr="00DA793A">
        <w:rPr>
          <w:lang w:val="en-ID"/>
        </w:rPr>
        <w:t xml:space="preserve">, 2014). </w:t>
      </w:r>
      <w:proofErr w:type="spellStart"/>
      <w:r w:rsidRPr="00DA793A">
        <w:rPr>
          <w:lang w:val="en-ID"/>
        </w:rPr>
        <w:t>Rejeki</w:t>
      </w:r>
      <w:proofErr w:type="spellEnd"/>
      <w:r w:rsidRPr="00DA793A">
        <w:rPr>
          <w:lang w:val="en-ID"/>
        </w:rPr>
        <w:t xml:space="preserve"> &amp; </w:t>
      </w:r>
      <w:proofErr w:type="spellStart"/>
      <w:r w:rsidRPr="00DA793A">
        <w:rPr>
          <w:lang w:val="en-ID"/>
        </w:rPr>
        <w:t>Haryono</w:t>
      </w:r>
      <w:proofErr w:type="spellEnd"/>
      <w:r w:rsidRPr="00DA793A">
        <w:rPr>
          <w:lang w:val="en-ID"/>
        </w:rPr>
        <w:t xml:space="preserve"> (2021) argue that larger companies attract more investors, enhancing corporate value.</w:t>
      </w:r>
      <w:r>
        <w:rPr>
          <w:lang w:val="en-ID"/>
        </w:rPr>
        <w:t xml:space="preserve"> </w:t>
      </w:r>
      <w:proofErr w:type="spellStart"/>
      <w:r w:rsidRPr="00DA793A">
        <w:rPr>
          <w:lang w:val="en-ID"/>
        </w:rPr>
        <w:t>Husnan</w:t>
      </w:r>
      <w:proofErr w:type="spellEnd"/>
      <w:r w:rsidRPr="00DA793A">
        <w:rPr>
          <w:lang w:val="en-ID"/>
        </w:rPr>
        <w:t xml:space="preserve"> (2004:6) identifies dividend policy, investment decisions, and capital structure as key determinants of corporate value. Brigham &amp; Houston (2006:65) highlight free cash flow and firm size as influential factors in valuation. </w:t>
      </w:r>
      <w:proofErr w:type="spellStart"/>
      <w:r w:rsidRPr="00DA793A">
        <w:rPr>
          <w:lang w:val="en-ID"/>
        </w:rPr>
        <w:t>Sujarweni</w:t>
      </w:r>
      <w:proofErr w:type="spellEnd"/>
      <w:r w:rsidRPr="00DA793A">
        <w:rPr>
          <w:lang w:val="en-ID"/>
        </w:rPr>
        <w:t xml:space="preserve"> (2015) asserts that larger firms tend to have higher stock turnover and financial stability, making them more attractive investment opportunities.</w:t>
      </w:r>
    </w:p>
    <w:p w14:paraId="69FB7DFD" w14:textId="77777777" w:rsidR="00DA793A" w:rsidRDefault="00DA793A" w:rsidP="00DA793A">
      <w:pPr>
        <w:spacing w:after="0" w:line="240" w:lineRule="auto"/>
        <w:ind w:firstLine="567"/>
        <w:jc w:val="both"/>
        <w:rPr>
          <w:lang w:val="en-ID"/>
        </w:rPr>
      </w:pPr>
    </w:p>
    <w:p w14:paraId="668D6E6D" w14:textId="0B6358B1" w:rsidR="00DA793A" w:rsidRPr="00DA793A" w:rsidRDefault="00DA793A" w:rsidP="00DA793A">
      <w:pPr>
        <w:spacing w:after="0" w:line="240" w:lineRule="auto"/>
        <w:jc w:val="both"/>
        <w:rPr>
          <w:lang w:val="en-ID"/>
        </w:rPr>
      </w:pPr>
      <w:r>
        <w:rPr>
          <w:b/>
          <w:bCs/>
          <w:lang w:val="en-ID"/>
        </w:rPr>
        <w:t xml:space="preserve">E. </w:t>
      </w:r>
      <w:r w:rsidRPr="00DA793A">
        <w:rPr>
          <w:b/>
          <w:bCs/>
          <w:lang w:val="en-ID"/>
        </w:rPr>
        <w:t>Research Findings and Implications</w:t>
      </w:r>
    </w:p>
    <w:p w14:paraId="5AD23DC9" w14:textId="77777777" w:rsidR="00DA793A" w:rsidRPr="00DA793A" w:rsidRDefault="00DA793A" w:rsidP="00DA793A">
      <w:pPr>
        <w:spacing w:after="0" w:line="240" w:lineRule="auto"/>
        <w:ind w:firstLine="567"/>
        <w:jc w:val="both"/>
        <w:rPr>
          <w:lang w:val="en-ID"/>
        </w:rPr>
      </w:pPr>
      <w:r w:rsidRPr="00DA793A">
        <w:rPr>
          <w:lang w:val="en-ID"/>
        </w:rPr>
        <w:t xml:space="preserve">This study identifies the key determinants of stock prices in LQ45-listed companies and their influence on corporate value, with firm size serving as a moderating variable. The findings highlight that profitability indicators such as Return on Assets (ROA), Net Profit Margin (NPM), and Earnings </w:t>
      </w:r>
      <w:proofErr w:type="gramStart"/>
      <w:r w:rsidRPr="00DA793A">
        <w:rPr>
          <w:lang w:val="en-ID"/>
        </w:rPr>
        <w:t>Per</w:t>
      </w:r>
      <w:proofErr w:type="gramEnd"/>
      <w:r w:rsidRPr="00DA793A">
        <w:rPr>
          <w:lang w:val="en-ID"/>
        </w:rPr>
        <w:t xml:space="preserve"> Share (EPS) play a significant role in shaping stock prices, which in turn affect corporate valuation.</w:t>
      </w:r>
    </w:p>
    <w:p w14:paraId="4E994154" w14:textId="77777777" w:rsidR="00DA793A" w:rsidRPr="00DA793A" w:rsidRDefault="00DA793A" w:rsidP="00DA793A">
      <w:pPr>
        <w:spacing w:after="0" w:line="240" w:lineRule="auto"/>
        <w:ind w:firstLine="567"/>
        <w:jc w:val="both"/>
        <w:rPr>
          <w:lang w:val="en-ID"/>
        </w:rPr>
      </w:pPr>
      <w:r w:rsidRPr="00DA793A">
        <w:rPr>
          <w:lang w:val="en-ID"/>
        </w:rPr>
        <w:t>One of the key strengths of this study is the confirmation that stock prices have a substantial and positive impact on corporate value. An increase in stock prices reflects stronger investor confidence and market trust, ultimately leading to enhanced corporate valuation. This reinforces the importance of maintaining stable and strong stock performance as a strategic financial objective for companies.</w:t>
      </w:r>
    </w:p>
    <w:p w14:paraId="686C1046" w14:textId="77777777" w:rsidR="00DA793A" w:rsidRPr="00DA793A" w:rsidRDefault="00DA793A" w:rsidP="00DA793A">
      <w:pPr>
        <w:spacing w:after="0" w:line="240" w:lineRule="auto"/>
        <w:ind w:firstLine="567"/>
        <w:jc w:val="both"/>
        <w:rPr>
          <w:lang w:val="en-ID"/>
        </w:rPr>
      </w:pPr>
      <w:r w:rsidRPr="00DA793A">
        <w:rPr>
          <w:lang w:val="en-ID"/>
        </w:rPr>
        <w:t>However, certain macroeconomic variables, such as economic growth and inflation, do not exhibit a significant influence on stock prices. Economic expansion does not always translate into higher stock prices, as various external factors may affect investor sentiment. Additionally, inflation tends to have a negative impact on corporate earnings, increasing production costs and reducing investment attractiveness. These findings further emphasize the critical role of firm size as a moderating factor, as larger companies tend to have greater financial resilience, easier access to capital, and stronger investor appeal, which collectively contribute to sustaining stock prices and corporate value.</w:t>
      </w:r>
    </w:p>
    <w:p w14:paraId="19086BC6" w14:textId="77777777" w:rsidR="00DA793A" w:rsidRPr="00E20055" w:rsidRDefault="00DA793A">
      <w:pPr>
        <w:spacing w:after="0" w:line="240" w:lineRule="auto"/>
        <w:jc w:val="center"/>
        <w:rPr>
          <w:rFonts w:ascii="Times New Roman" w:eastAsia="Times New Roman" w:hAnsi="Times New Roman" w:cs="Times New Roman"/>
          <w:b/>
          <w:sz w:val="24"/>
          <w:szCs w:val="24"/>
        </w:rPr>
      </w:pPr>
    </w:p>
    <w:p w14:paraId="17071EBB" w14:textId="77777777" w:rsidR="00B36CAE" w:rsidRDefault="00B36CAE" w:rsidP="001D72B5">
      <w:pPr>
        <w:spacing w:after="0" w:line="240" w:lineRule="auto"/>
        <w:jc w:val="center"/>
        <w:rPr>
          <w:rFonts w:ascii="Times New Roman" w:eastAsia="Times New Roman" w:hAnsi="Times New Roman" w:cs="Times New Roman"/>
          <w:b/>
          <w:sz w:val="24"/>
          <w:szCs w:val="24"/>
        </w:rPr>
      </w:pPr>
    </w:p>
    <w:p w14:paraId="7F812814" w14:textId="11E4F13B" w:rsidR="00FA13E8" w:rsidRPr="00E20055" w:rsidRDefault="00FA13E8" w:rsidP="001D72B5">
      <w:pPr>
        <w:spacing w:after="0" w:line="240" w:lineRule="auto"/>
        <w:jc w:val="center"/>
        <w:rPr>
          <w:rFonts w:ascii="Times New Roman" w:eastAsia="Times New Roman" w:hAnsi="Times New Roman" w:cs="Times New Roman"/>
          <w:b/>
          <w:sz w:val="24"/>
          <w:szCs w:val="24"/>
        </w:rPr>
      </w:pPr>
      <w:r w:rsidRPr="00E20055">
        <w:rPr>
          <w:rFonts w:ascii="Times New Roman" w:eastAsia="Times New Roman" w:hAnsi="Times New Roman" w:cs="Times New Roman"/>
          <w:b/>
          <w:sz w:val="24"/>
          <w:szCs w:val="24"/>
        </w:rPr>
        <w:t>CONCLUSION</w:t>
      </w:r>
    </w:p>
    <w:p w14:paraId="3E44351B" w14:textId="77777777" w:rsidR="007541FF" w:rsidRPr="007541FF" w:rsidRDefault="007541FF" w:rsidP="007541FF">
      <w:pPr>
        <w:spacing w:after="0" w:line="240" w:lineRule="auto"/>
        <w:ind w:firstLine="720"/>
        <w:jc w:val="both"/>
        <w:rPr>
          <w:lang w:val="en-ID"/>
        </w:rPr>
      </w:pPr>
      <w:r w:rsidRPr="007541FF">
        <w:rPr>
          <w:lang w:val="en-ID"/>
        </w:rPr>
        <w:t xml:space="preserve">The analysis reveals that Return on Assets (ROA), Net Profit Margin (NPM), and Earnings </w:t>
      </w:r>
      <w:proofErr w:type="gramStart"/>
      <w:r w:rsidRPr="007541FF">
        <w:rPr>
          <w:lang w:val="en-ID"/>
        </w:rPr>
        <w:t>Per</w:t>
      </w:r>
      <w:proofErr w:type="gramEnd"/>
      <w:r w:rsidRPr="007541FF">
        <w:rPr>
          <w:lang w:val="en-ID"/>
        </w:rPr>
        <w:t xml:space="preserve"> Share (EPS) of LQ45 companies have shown fluctuations over the past decade, with a significant decline in 2019 due to the COVID-19 pandemic. Similarly, macroeconomic variables such as economic growth, exchange rates, and inflation have also experienced variations, with economic growth notably declining in 2020, exchange rates tending to rise, and inflation dropping sharply to below 2% in 2020 and 2021. </w:t>
      </w:r>
      <w:proofErr w:type="gramStart"/>
      <w:r w:rsidRPr="007541FF">
        <w:rPr>
          <w:lang w:val="en-ID"/>
        </w:rPr>
        <w:t>Stock prices and corporate value, as measured by Tobin’s Q, also fluctuated, peaking in 2017 and reaching their lowest point in 2021.</w:t>
      </w:r>
      <w:proofErr w:type="gramEnd"/>
      <w:r w:rsidRPr="007541FF">
        <w:rPr>
          <w:lang w:val="en-ID"/>
        </w:rPr>
        <w:t xml:space="preserve"> The study finds that EPS has the strongest impact on stock prices (69.46%), while other factors, including ROA, NPM, economic growth, exchange rates, and inflation, have smaller but significant influences. Collectively, these factors account for 72.59% of stock price variations, with the remaining 27.41% influenced by other unexamined variables. Additionally, stock prices significantly affect corporate value, contributing 79.91%, while the presence of company size as a moderating variable strengthens this relationship to 82.74%.</w:t>
      </w:r>
    </w:p>
    <w:p w14:paraId="59B61CE8" w14:textId="77777777" w:rsidR="007541FF" w:rsidRPr="007541FF" w:rsidRDefault="007541FF" w:rsidP="007541FF">
      <w:pPr>
        <w:spacing w:after="0" w:line="240" w:lineRule="auto"/>
        <w:ind w:firstLine="720"/>
        <w:jc w:val="both"/>
        <w:rPr>
          <w:lang w:val="en-ID"/>
        </w:rPr>
      </w:pPr>
      <w:r w:rsidRPr="007541FF">
        <w:rPr>
          <w:lang w:val="en-ID"/>
        </w:rPr>
        <w:t>Based on these findings, companies should stabilize financial conditions by maximizing asset utilization for profit generation while reducing reliance on external financing. Enhancing sales performance and resource efficiency can also improve profitability and investor confidence. Since EPS plays a crucial role in attracting investors, companies should focus on strategies to increase EPS. Investors, on the other hand, should carefully assess economic growth trends, as they directly impact security supply and demand. Exchange rate stability is also essential, as excessive fluctuations can influence stock price movements. Additionally, implementing contingency plans for inflation spikes is crucial, as high inflation may reduce capital market attractiveness and shift investor preferences toward savings or deposits.</w:t>
      </w:r>
    </w:p>
    <w:p w14:paraId="3A7FD0CA" w14:textId="77777777" w:rsidR="007541FF" w:rsidRPr="007541FF" w:rsidRDefault="007541FF" w:rsidP="007541FF">
      <w:pPr>
        <w:spacing w:after="0" w:line="240" w:lineRule="auto"/>
        <w:ind w:firstLine="720"/>
        <w:jc w:val="both"/>
        <w:rPr>
          <w:lang w:val="en-ID"/>
        </w:rPr>
      </w:pPr>
      <w:r w:rsidRPr="007541FF">
        <w:rPr>
          <w:lang w:val="en-ID"/>
        </w:rPr>
        <w:t>To strengthen corporate resilience, companies should monitor currency fluctuations that could affect import payments and foreign currency liabilities, as these may increase financial burdens and depress stock prices. Management must actively work toward stock price stability, as higher stock values reflect strong investor confidence and contribute to increased corporate value. Sustaining large company sizes can also facilitate capital market access and attract more investors. Moreover, companies must consider both internal and external factors influencing stock prices and take proactive steps to enhance investor relations, as investor engagement is critical for long-term business sustainability and operational success.</w:t>
      </w:r>
    </w:p>
    <w:p w14:paraId="02155DFB" w14:textId="77777777" w:rsidR="007541FF" w:rsidRPr="007541FF" w:rsidRDefault="007541FF" w:rsidP="001D72B5">
      <w:pPr>
        <w:spacing w:after="0" w:line="240" w:lineRule="auto"/>
        <w:ind w:firstLine="720"/>
        <w:jc w:val="both"/>
        <w:rPr>
          <w:lang w:val="en-ID"/>
        </w:rPr>
      </w:pPr>
    </w:p>
    <w:p w14:paraId="3AA37F90" w14:textId="77777777" w:rsidR="00FA13E8" w:rsidRDefault="00FA13E8" w:rsidP="001D72B5">
      <w:pPr>
        <w:spacing w:after="0" w:line="240" w:lineRule="auto"/>
        <w:jc w:val="center"/>
        <w:rPr>
          <w:rFonts w:ascii="Times New Roman" w:eastAsia="Times New Roman" w:hAnsi="Times New Roman" w:cs="Times New Roman"/>
          <w:bCs/>
          <w:sz w:val="24"/>
          <w:szCs w:val="24"/>
        </w:rPr>
      </w:pPr>
    </w:p>
    <w:p w14:paraId="2D6178BA" w14:textId="77777777" w:rsidR="00FA13E8" w:rsidRDefault="00FA13E8" w:rsidP="001D72B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REFERENCES</w:t>
      </w:r>
    </w:p>
    <w:bookmarkEnd w:id="1"/>
    <w:p w14:paraId="46B74E2A" w14:textId="77777777" w:rsidR="00320C47" w:rsidRDefault="00320C47" w:rsidP="00320C47">
      <w:pPr>
        <w:spacing w:after="0"/>
        <w:ind w:left="567" w:hanging="567"/>
        <w:jc w:val="both"/>
      </w:pPr>
      <w:r>
        <w:t>Ang, Robert. (1997). Buku Pintar Pasar Modal Indonesia. Jakarta: Mediasoft Indonesia.</w:t>
      </w:r>
    </w:p>
    <w:p w14:paraId="013E7389" w14:textId="77777777" w:rsidR="00320C47" w:rsidRDefault="00320C47" w:rsidP="00320C47">
      <w:pPr>
        <w:spacing w:after="0"/>
        <w:ind w:left="567" w:hanging="567"/>
        <w:jc w:val="both"/>
      </w:pPr>
      <w:r>
        <w:t>Bodie, Z., Kane, A., &amp; Marcus, A. J. (2007). Investment (7th Ed.). New York: McGraw-Hill.</w:t>
      </w:r>
    </w:p>
    <w:p w14:paraId="53E2ECD1" w14:textId="77777777" w:rsidR="00320C47" w:rsidRDefault="00320C47" w:rsidP="00320C47">
      <w:pPr>
        <w:spacing w:after="0"/>
        <w:ind w:left="567" w:hanging="567"/>
        <w:jc w:val="both"/>
      </w:pPr>
      <w:r>
        <w:t>Brigham, Eugene F. &amp; Houston, Joel F. (2010). Dasar-Dasar Manajemen Keuangan, Edisi Kesebelas. Jakarta: Salemba Empat.</w:t>
      </w:r>
    </w:p>
    <w:p w14:paraId="43A3E18C" w14:textId="77777777" w:rsidR="00320C47" w:rsidRDefault="00320C47" w:rsidP="00320C47">
      <w:pPr>
        <w:spacing w:after="0"/>
        <w:ind w:left="567" w:hanging="567"/>
        <w:jc w:val="both"/>
      </w:pPr>
      <w:r>
        <w:t>Darmadji, Tjiptono &amp; Fakhruddin, Hendy M. (2011). Pasar Modal di Indonesia. Jakarta: Salemba Empat.</w:t>
      </w:r>
    </w:p>
    <w:p w14:paraId="01109214" w14:textId="77777777" w:rsidR="00320C47" w:rsidRDefault="00320C47" w:rsidP="00320C47">
      <w:pPr>
        <w:spacing w:after="0"/>
        <w:ind w:left="567" w:hanging="567"/>
        <w:jc w:val="both"/>
      </w:pPr>
      <w:r>
        <w:t>Eduardus Tandelilin. (2017). Pasar Modal: Manajemen Portofolio dan Investasi. Depok: PT Kanisius.</w:t>
      </w:r>
    </w:p>
    <w:p w14:paraId="73C0B10D" w14:textId="77777777" w:rsidR="00320C47" w:rsidRDefault="00320C47" w:rsidP="00320C47">
      <w:pPr>
        <w:spacing w:after="0"/>
        <w:ind w:left="567" w:hanging="567"/>
        <w:jc w:val="both"/>
      </w:pPr>
      <w:r>
        <w:t>Gitman, Lawrence J. &amp; Zutter, Chad J. (2012). Principles of Managerial Finance (13th Edition). Pearson Education.</w:t>
      </w:r>
    </w:p>
    <w:p w14:paraId="42552ADF" w14:textId="77777777" w:rsidR="00320C47" w:rsidRDefault="00320C47" w:rsidP="00320C47">
      <w:pPr>
        <w:spacing w:after="0"/>
        <w:ind w:left="567" w:hanging="567"/>
        <w:jc w:val="both"/>
      </w:pPr>
      <w:r>
        <w:t>Gujarati, D. N. (2012). Dasar-Dasar Ekonometrika. Jakarta: Salemba Empat.</w:t>
      </w:r>
    </w:p>
    <w:p w14:paraId="585A88A6" w14:textId="77777777" w:rsidR="00320C47" w:rsidRDefault="00320C47" w:rsidP="00320C47">
      <w:pPr>
        <w:spacing w:after="0"/>
        <w:ind w:left="567" w:hanging="567"/>
        <w:jc w:val="both"/>
      </w:pPr>
      <w:r>
        <w:t>Hanifah, U., &amp; Khafid, M. (2016). The Analysis of Earnings Persistence Roles in Mediating The Effect of Operating Cash Flow and Debt Level on Stock Return. Accounting Analysis Journal, 5(4), 290-298.</w:t>
      </w:r>
    </w:p>
    <w:p w14:paraId="243927C4" w14:textId="77777777" w:rsidR="00320C47" w:rsidRDefault="00320C47" w:rsidP="00320C47">
      <w:pPr>
        <w:spacing w:after="0"/>
        <w:ind w:left="567" w:hanging="567"/>
        <w:jc w:val="both"/>
      </w:pPr>
      <w:r>
        <w:lastRenderedPageBreak/>
        <w:t>Hartono, Jogiyanto. (2016). Teori Portofolio dan Analisis Investasi, Edisi Kesepuluh. Yogyakarta: BPFE UGM.</w:t>
      </w:r>
    </w:p>
    <w:p w14:paraId="3FB74D6A" w14:textId="77777777" w:rsidR="00320C47" w:rsidRDefault="00320C47" w:rsidP="00320C47">
      <w:pPr>
        <w:spacing w:after="0"/>
        <w:ind w:left="567" w:hanging="567"/>
        <w:jc w:val="both"/>
      </w:pPr>
      <w:r>
        <w:t>Hery. (2015). Analisis Laporan Keuangan. Yogyakarta: CAPS (Center for Academic Publishing Service).</w:t>
      </w:r>
    </w:p>
    <w:p w14:paraId="7621B2B9" w14:textId="77777777" w:rsidR="00320C47" w:rsidRDefault="00320C47" w:rsidP="00320C47">
      <w:pPr>
        <w:spacing w:after="0"/>
        <w:ind w:left="567" w:hanging="567"/>
        <w:jc w:val="both"/>
      </w:pPr>
      <w:r>
        <w:t>Hery. (2016). Financial Ratio for Business. Jakarta: PT Gramedia.</w:t>
      </w:r>
    </w:p>
    <w:p w14:paraId="05D24D89" w14:textId="77777777" w:rsidR="00320C47" w:rsidRDefault="00320C47" w:rsidP="00320C47">
      <w:pPr>
        <w:spacing w:after="0"/>
        <w:ind w:left="567" w:hanging="567"/>
        <w:jc w:val="both"/>
      </w:pPr>
      <w:r>
        <w:t>Kasmir. (2014). Analisis Laporan Keuangan, Cetakan Ketujuh. Jakarta: PT RajaGrafindo Persada.</w:t>
      </w:r>
    </w:p>
    <w:p w14:paraId="6FF52AA7" w14:textId="77777777" w:rsidR="00320C47" w:rsidRDefault="00320C47" w:rsidP="00320C47">
      <w:pPr>
        <w:spacing w:after="0"/>
        <w:ind w:left="567" w:hanging="567"/>
        <w:jc w:val="both"/>
      </w:pPr>
      <w:r>
        <w:t>Kasmir. (2017). Analisis Laporan Keuangan, Cetakan Kedelapan. Jakarta: Rajawali Press.</w:t>
      </w:r>
    </w:p>
    <w:p w14:paraId="2B72371D" w14:textId="77777777" w:rsidR="00320C47" w:rsidRDefault="00320C47" w:rsidP="00320C47">
      <w:pPr>
        <w:spacing w:after="0"/>
        <w:ind w:left="567" w:hanging="567"/>
        <w:jc w:val="both"/>
      </w:pPr>
      <w:r>
        <w:t>Kurnia, Deni. (2019). Pengaruh Profitabilitas, Kebijakan Dividen, dan Harga Saham terhadap Nilai Perusahaan. Jurnal Akuntansi: Kajian Ilmiah Akuntansi, Vol. 6, No. 2.</w:t>
      </w:r>
    </w:p>
    <w:p w14:paraId="57B9237C" w14:textId="77777777" w:rsidR="00320C47" w:rsidRDefault="00320C47" w:rsidP="00320C47">
      <w:pPr>
        <w:spacing w:after="0"/>
        <w:ind w:left="567" w:hanging="567"/>
        <w:jc w:val="both"/>
      </w:pPr>
      <w:r>
        <w:t>Mangeta et al. (2019). Pengaruh Harga Saham terhadap Nilai Perusahaan. Jurnal Keuangan dan Bisnis, 5(1), 45-60.</w:t>
      </w:r>
    </w:p>
    <w:p w14:paraId="74931E9D" w14:textId="77777777" w:rsidR="00320C47" w:rsidRDefault="00320C47" w:rsidP="00320C47">
      <w:pPr>
        <w:spacing w:after="0"/>
        <w:ind w:left="567" w:hanging="567"/>
        <w:jc w:val="both"/>
      </w:pPr>
      <w:r>
        <w:t>Nurhakim. (2010). Pengaruh Perubahan Nilai Tukar, Inflasi, Suku Bunga, dan Beta terhadap Return Saham Jakarta Islamic Index pada Periode Bullish dan Bearish (Januari 2004 – Desember 2008). Universitas Islam Negeri Sunan Kalijaga, Yogyakarta.</w:t>
      </w:r>
    </w:p>
    <w:p w14:paraId="4B0A73AE" w14:textId="77777777" w:rsidR="00320C47" w:rsidRDefault="00320C47" w:rsidP="00320C47">
      <w:pPr>
        <w:spacing w:after="0"/>
        <w:ind w:left="567" w:hanging="567"/>
        <w:jc w:val="both"/>
      </w:pPr>
      <w:r>
        <w:t>Rosmawati, S. &amp; Fatwa, Rubiar. (2023). Pengaruh Harga Saham terhadap Nilai Perusahaan pada Perusahaan Sektor Properti dan Real Estate (Studi Kasus Bursa Efek Indonesia). Prosiding FRIMA No. 6 Tahun 2023.</w:t>
      </w:r>
    </w:p>
    <w:p w14:paraId="6B04C3C8" w14:textId="77777777" w:rsidR="00320C47" w:rsidRDefault="00320C47" w:rsidP="00320C47">
      <w:pPr>
        <w:spacing w:after="0"/>
        <w:ind w:left="567" w:hanging="567"/>
        <w:jc w:val="both"/>
      </w:pPr>
      <w:r>
        <w:t>Safaruddin, D., N., Raihan, R., &amp; Anwar. (2019). The Effect of Macroeconomic Variables on Company Performance in Consumer Goods Industry Issuers on the Indonesia Stock Exchange. Proceedings of the Lhokseumawe State Polytechnic National Seminar.</w:t>
      </w:r>
    </w:p>
    <w:p w14:paraId="30D7CD3D" w14:textId="77777777" w:rsidR="00320C47" w:rsidRDefault="00320C47" w:rsidP="00320C47">
      <w:pPr>
        <w:spacing w:after="0"/>
        <w:ind w:left="567" w:hanging="567"/>
        <w:jc w:val="both"/>
      </w:pPr>
      <w:r>
        <w:t>Samsul. (2006). Pasar Modal dan Manajemen Portofolio. Jakarta: Penerbit Erlangga.</w:t>
      </w:r>
    </w:p>
    <w:p w14:paraId="61E9611E" w14:textId="77777777" w:rsidR="00320C47" w:rsidRDefault="00320C47" w:rsidP="00320C47">
      <w:pPr>
        <w:spacing w:after="0"/>
        <w:ind w:left="567" w:hanging="567"/>
        <w:jc w:val="both"/>
      </w:pPr>
      <w:r>
        <w:t>Sari, W. I. (2019). Analisis Pengaruh Inflasi, Suku Bunga SBI, Nilai Tukar Terhadap Return LQ 45 dan Dampaknya Terhadap Indeks Harga Saham Gabungan (IHSG) di Bursa Efek Indonesia (BEI). Jurnal SEKURITAS (Saham, Ekonomi, Keuangan dan Investasi), 3(1), 65.</w:t>
      </w:r>
    </w:p>
    <w:p w14:paraId="513FB26F" w14:textId="77777777" w:rsidR="00320C47" w:rsidRDefault="00320C47" w:rsidP="00320C47">
      <w:pPr>
        <w:spacing w:after="0"/>
        <w:ind w:left="567" w:hanging="567"/>
        <w:jc w:val="both"/>
      </w:pPr>
      <w:r>
        <w:t>Sianturi. (2015). Tobin’s Q sebagai Indikator Nilai Perusahaan. Jurnal Ekonomi dan Keuangan, 4(2), 85-101.</w:t>
      </w:r>
    </w:p>
    <w:p w14:paraId="13AD33CE" w14:textId="77777777" w:rsidR="00320C47" w:rsidRDefault="00320C47" w:rsidP="00320C47">
      <w:pPr>
        <w:spacing w:after="0"/>
        <w:ind w:left="567" w:hanging="567"/>
        <w:jc w:val="both"/>
      </w:pPr>
      <w:r>
        <w:t>Sugiyono. (2017). Metode Penelitian Kuantitatif, Kualitatif, dan R&amp;D. Bandung: Alfabeta.</w:t>
      </w:r>
    </w:p>
    <w:p w14:paraId="76A91364" w14:textId="77777777" w:rsidR="00320C47" w:rsidRDefault="00320C47" w:rsidP="00320C47">
      <w:pPr>
        <w:spacing w:after="0"/>
        <w:ind w:left="567" w:hanging="567"/>
        <w:jc w:val="both"/>
      </w:pPr>
      <w:r>
        <w:t>Sukamulja, Sukmawati. (2021). Manajemen Keuangan Korporat. Yogyakarta: CV Andi Offset.</w:t>
      </w:r>
    </w:p>
    <w:p w14:paraId="4F59CDF3" w14:textId="77777777" w:rsidR="00320C47" w:rsidRDefault="00320C47" w:rsidP="00320C47">
      <w:pPr>
        <w:spacing w:after="0"/>
        <w:ind w:left="567" w:hanging="567"/>
        <w:jc w:val="both"/>
      </w:pPr>
      <w:r>
        <w:t>Tandelilin, Eduardus. (2010). Portofolio dan Investasi: Teori dan Aplikasi, Edisi 1. Yogyakarta: Kanisius.</w:t>
      </w:r>
    </w:p>
    <w:p w14:paraId="433ECF66" w14:textId="77777777" w:rsidR="00320C47" w:rsidRDefault="00320C47" w:rsidP="00320C47">
      <w:pPr>
        <w:spacing w:after="0"/>
        <w:ind w:left="567" w:hanging="567"/>
        <w:jc w:val="both"/>
      </w:pPr>
      <w:r>
        <w:t>Watung, R. W. &amp; Ilat, V. (2016). Pengaruh Return on Asset (ROA), Net Profit Margin (NPM), dan Earning Per Share (EPS) terhadap Harga Saham pada Perusahaan Perbankan di Bursa Efek Indonesia Periode 2011-2015. Jurnal EMBA, 4(2), 518–529.</w:t>
      </w:r>
    </w:p>
    <w:sectPr w:rsidR="00320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0C9"/>
    <w:multiLevelType w:val="hybridMultilevel"/>
    <w:tmpl w:val="884AE5E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1916045"/>
    <w:multiLevelType w:val="multilevel"/>
    <w:tmpl w:val="E766C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F6E09"/>
    <w:multiLevelType w:val="multilevel"/>
    <w:tmpl w:val="3370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79760C"/>
    <w:multiLevelType w:val="hybridMultilevel"/>
    <w:tmpl w:val="BC385354"/>
    <w:lvl w:ilvl="0" w:tplc="E1FC1E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513745C"/>
    <w:multiLevelType w:val="multilevel"/>
    <w:tmpl w:val="8B5E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F2718"/>
    <w:multiLevelType w:val="multilevel"/>
    <w:tmpl w:val="D6B2E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437E15"/>
    <w:multiLevelType w:val="multilevel"/>
    <w:tmpl w:val="614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3D37FC"/>
    <w:multiLevelType w:val="multilevel"/>
    <w:tmpl w:val="01FA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CA636D"/>
    <w:multiLevelType w:val="hybridMultilevel"/>
    <w:tmpl w:val="5832F23C"/>
    <w:lvl w:ilvl="0" w:tplc="E1FC1E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09E3613"/>
    <w:multiLevelType w:val="hybridMultilevel"/>
    <w:tmpl w:val="D8AE498C"/>
    <w:lvl w:ilvl="0" w:tplc="E1FC1E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930080C"/>
    <w:multiLevelType w:val="multilevel"/>
    <w:tmpl w:val="DB58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4"/>
  </w:num>
  <w:num w:numId="5">
    <w:abstractNumId w:val="7"/>
  </w:num>
  <w:num w:numId="6">
    <w:abstractNumId w:val="1"/>
  </w:num>
  <w:num w:numId="7">
    <w:abstractNumId w:val="10"/>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E8"/>
    <w:rsid w:val="001455FF"/>
    <w:rsid w:val="001D72B5"/>
    <w:rsid w:val="00224CFB"/>
    <w:rsid w:val="002F0EBD"/>
    <w:rsid w:val="00320C47"/>
    <w:rsid w:val="0037705D"/>
    <w:rsid w:val="0040017F"/>
    <w:rsid w:val="00435686"/>
    <w:rsid w:val="00451909"/>
    <w:rsid w:val="00457D9E"/>
    <w:rsid w:val="00684F65"/>
    <w:rsid w:val="00715306"/>
    <w:rsid w:val="00742D8A"/>
    <w:rsid w:val="007541FF"/>
    <w:rsid w:val="007B2730"/>
    <w:rsid w:val="007F4D5F"/>
    <w:rsid w:val="008138FE"/>
    <w:rsid w:val="0092354B"/>
    <w:rsid w:val="009C7385"/>
    <w:rsid w:val="009F240F"/>
    <w:rsid w:val="00A441D7"/>
    <w:rsid w:val="00B103B7"/>
    <w:rsid w:val="00B36CAE"/>
    <w:rsid w:val="00B65761"/>
    <w:rsid w:val="00B91271"/>
    <w:rsid w:val="00CB18FA"/>
    <w:rsid w:val="00CF38CC"/>
    <w:rsid w:val="00D471C5"/>
    <w:rsid w:val="00DA793A"/>
    <w:rsid w:val="00E20055"/>
    <w:rsid w:val="00E358B4"/>
    <w:rsid w:val="00EA4DC2"/>
    <w:rsid w:val="00F3774B"/>
    <w:rsid w:val="00F72524"/>
    <w:rsid w:val="00FA13E8"/>
    <w:rsid w:val="00FF0F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3E8"/>
    <w:rPr>
      <w:color w:val="0563C1" w:themeColor="hyperlink"/>
      <w:u w:val="single"/>
    </w:rPr>
  </w:style>
  <w:style w:type="paragraph" w:styleId="ListParagraph">
    <w:name w:val="List Paragraph"/>
    <w:basedOn w:val="Normal"/>
    <w:uiPriority w:val="34"/>
    <w:qFormat/>
    <w:rsid w:val="00FA13E8"/>
    <w:pPr>
      <w:ind w:left="720"/>
      <w:contextualSpacing/>
    </w:pPr>
  </w:style>
  <w:style w:type="character" w:customStyle="1" w:styleId="UnresolvedMention">
    <w:name w:val="Unresolved Mention"/>
    <w:basedOn w:val="DefaultParagraphFont"/>
    <w:uiPriority w:val="99"/>
    <w:semiHidden/>
    <w:unhideWhenUsed/>
    <w:rsid w:val="00FA13E8"/>
    <w:rPr>
      <w:color w:val="605E5C"/>
      <w:shd w:val="clear" w:color="auto" w:fill="E1DFDD"/>
    </w:rPr>
  </w:style>
  <w:style w:type="character" w:customStyle="1" w:styleId="y2iqfc">
    <w:name w:val="y2iqfc"/>
    <w:basedOn w:val="DefaultParagraphFont"/>
    <w:rsid w:val="001455FF"/>
  </w:style>
  <w:style w:type="paragraph" w:styleId="NormalWeb">
    <w:name w:val="Normal (Web)"/>
    <w:basedOn w:val="Normal"/>
    <w:uiPriority w:val="99"/>
    <w:rsid w:val="007F4D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CB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F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3E8"/>
    <w:rPr>
      <w:color w:val="0563C1" w:themeColor="hyperlink"/>
      <w:u w:val="single"/>
    </w:rPr>
  </w:style>
  <w:style w:type="paragraph" w:styleId="ListParagraph">
    <w:name w:val="List Paragraph"/>
    <w:basedOn w:val="Normal"/>
    <w:uiPriority w:val="34"/>
    <w:qFormat/>
    <w:rsid w:val="00FA13E8"/>
    <w:pPr>
      <w:ind w:left="720"/>
      <w:contextualSpacing/>
    </w:pPr>
  </w:style>
  <w:style w:type="character" w:customStyle="1" w:styleId="UnresolvedMention">
    <w:name w:val="Unresolved Mention"/>
    <w:basedOn w:val="DefaultParagraphFont"/>
    <w:uiPriority w:val="99"/>
    <w:semiHidden/>
    <w:unhideWhenUsed/>
    <w:rsid w:val="00FA13E8"/>
    <w:rPr>
      <w:color w:val="605E5C"/>
      <w:shd w:val="clear" w:color="auto" w:fill="E1DFDD"/>
    </w:rPr>
  </w:style>
  <w:style w:type="character" w:customStyle="1" w:styleId="y2iqfc">
    <w:name w:val="y2iqfc"/>
    <w:basedOn w:val="DefaultParagraphFont"/>
    <w:rsid w:val="001455FF"/>
  </w:style>
  <w:style w:type="paragraph" w:styleId="NormalWeb">
    <w:name w:val="Normal (Web)"/>
    <w:basedOn w:val="Normal"/>
    <w:uiPriority w:val="99"/>
    <w:rsid w:val="007F4D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CB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F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396">
      <w:bodyDiv w:val="1"/>
      <w:marLeft w:val="0"/>
      <w:marRight w:val="0"/>
      <w:marTop w:val="0"/>
      <w:marBottom w:val="0"/>
      <w:divBdr>
        <w:top w:val="none" w:sz="0" w:space="0" w:color="auto"/>
        <w:left w:val="none" w:sz="0" w:space="0" w:color="auto"/>
        <w:bottom w:val="none" w:sz="0" w:space="0" w:color="auto"/>
        <w:right w:val="none" w:sz="0" w:space="0" w:color="auto"/>
      </w:divBdr>
    </w:div>
    <w:div w:id="3677083">
      <w:bodyDiv w:val="1"/>
      <w:marLeft w:val="0"/>
      <w:marRight w:val="0"/>
      <w:marTop w:val="0"/>
      <w:marBottom w:val="0"/>
      <w:divBdr>
        <w:top w:val="none" w:sz="0" w:space="0" w:color="auto"/>
        <w:left w:val="none" w:sz="0" w:space="0" w:color="auto"/>
        <w:bottom w:val="none" w:sz="0" w:space="0" w:color="auto"/>
        <w:right w:val="none" w:sz="0" w:space="0" w:color="auto"/>
      </w:divBdr>
      <w:divsChild>
        <w:div w:id="1663231">
          <w:marLeft w:val="0"/>
          <w:marRight w:val="0"/>
          <w:marTop w:val="0"/>
          <w:marBottom w:val="0"/>
          <w:divBdr>
            <w:top w:val="none" w:sz="0" w:space="0" w:color="auto"/>
            <w:left w:val="none" w:sz="0" w:space="0" w:color="auto"/>
            <w:bottom w:val="none" w:sz="0" w:space="0" w:color="auto"/>
            <w:right w:val="none" w:sz="0" w:space="0" w:color="auto"/>
          </w:divBdr>
          <w:divsChild>
            <w:div w:id="865338381">
              <w:marLeft w:val="0"/>
              <w:marRight w:val="0"/>
              <w:marTop w:val="0"/>
              <w:marBottom w:val="0"/>
              <w:divBdr>
                <w:top w:val="none" w:sz="0" w:space="0" w:color="auto"/>
                <w:left w:val="none" w:sz="0" w:space="0" w:color="auto"/>
                <w:bottom w:val="none" w:sz="0" w:space="0" w:color="auto"/>
                <w:right w:val="none" w:sz="0" w:space="0" w:color="auto"/>
              </w:divBdr>
              <w:divsChild>
                <w:div w:id="231501596">
                  <w:marLeft w:val="0"/>
                  <w:marRight w:val="0"/>
                  <w:marTop w:val="0"/>
                  <w:marBottom w:val="0"/>
                  <w:divBdr>
                    <w:top w:val="none" w:sz="0" w:space="0" w:color="auto"/>
                    <w:left w:val="none" w:sz="0" w:space="0" w:color="auto"/>
                    <w:bottom w:val="none" w:sz="0" w:space="0" w:color="auto"/>
                    <w:right w:val="none" w:sz="0" w:space="0" w:color="auto"/>
                  </w:divBdr>
                  <w:divsChild>
                    <w:div w:id="7129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383">
          <w:marLeft w:val="0"/>
          <w:marRight w:val="0"/>
          <w:marTop w:val="0"/>
          <w:marBottom w:val="0"/>
          <w:divBdr>
            <w:top w:val="none" w:sz="0" w:space="0" w:color="auto"/>
            <w:left w:val="none" w:sz="0" w:space="0" w:color="auto"/>
            <w:bottom w:val="none" w:sz="0" w:space="0" w:color="auto"/>
            <w:right w:val="none" w:sz="0" w:space="0" w:color="auto"/>
          </w:divBdr>
          <w:divsChild>
            <w:div w:id="853375563">
              <w:marLeft w:val="0"/>
              <w:marRight w:val="0"/>
              <w:marTop w:val="0"/>
              <w:marBottom w:val="0"/>
              <w:divBdr>
                <w:top w:val="none" w:sz="0" w:space="0" w:color="auto"/>
                <w:left w:val="none" w:sz="0" w:space="0" w:color="auto"/>
                <w:bottom w:val="none" w:sz="0" w:space="0" w:color="auto"/>
                <w:right w:val="none" w:sz="0" w:space="0" w:color="auto"/>
              </w:divBdr>
              <w:divsChild>
                <w:div w:id="1798798209">
                  <w:marLeft w:val="0"/>
                  <w:marRight w:val="0"/>
                  <w:marTop w:val="0"/>
                  <w:marBottom w:val="0"/>
                  <w:divBdr>
                    <w:top w:val="none" w:sz="0" w:space="0" w:color="auto"/>
                    <w:left w:val="none" w:sz="0" w:space="0" w:color="auto"/>
                    <w:bottom w:val="none" w:sz="0" w:space="0" w:color="auto"/>
                    <w:right w:val="none" w:sz="0" w:space="0" w:color="auto"/>
                  </w:divBdr>
                  <w:divsChild>
                    <w:div w:id="7570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259">
      <w:bodyDiv w:val="1"/>
      <w:marLeft w:val="0"/>
      <w:marRight w:val="0"/>
      <w:marTop w:val="0"/>
      <w:marBottom w:val="0"/>
      <w:divBdr>
        <w:top w:val="none" w:sz="0" w:space="0" w:color="auto"/>
        <w:left w:val="none" w:sz="0" w:space="0" w:color="auto"/>
        <w:bottom w:val="none" w:sz="0" w:space="0" w:color="auto"/>
        <w:right w:val="none" w:sz="0" w:space="0" w:color="auto"/>
      </w:divBdr>
    </w:div>
    <w:div w:id="23293439">
      <w:bodyDiv w:val="1"/>
      <w:marLeft w:val="0"/>
      <w:marRight w:val="0"/>
      <w:marTop w:val="0"/>
      <w:marBottom w:val="0"/>
      <w:divBdr>
        <w:top w:val="none" w:sz="0" w:space="0" w:color="auto"/>
        <w:left w:val="none" w:sz="0" w:space="0" w:color="auto"/>
        <w:bottom w:val="none" w:sz="0" w:space="0" w:color="auto"/>
        <w:right w:val="none" w:sz="0" w:space="0" w:color="auto"/>
      </w:divBdr>
    </w:div>
    <w:div w:id="29577946">
      <w:bodyDiv w:val="1"/>
      <w:marLeft w:val="0"/>
      <w:marRight w:val="0"/>
      <w:marTop w:val="0"/>
      <w:marBottom w:val="0"/>
      <w:divBdr>
        <w:top w:val="none" w:sz="0" w:space="0" w:color="auto"/>
        <w:left w:val="none" w:sz="0" w:space="0" w:color="auto"/>
        <w:bottom w:val="none" w:sz="0" w:space="0" w:color="auto"/>
        <w:right w:val="none" w:sz="0" w:space="0" w:color="auto"/>
      </w:divBdr>
    </w:div>
    <w:div w:id="68043269">
      <w:bodyDiv w:val="1"/>
      <w:marLeft w:val="0"/>
      <w:marRight w:val="0"/>
      <w:marTop w:val="0"/>
      <w:marBottom w:val="0"/>
      <w:divBdr>
        <w:top w:val="none" w:sz="0" w:space="0" w:color="auto"/>
        <w:left w:val="none" w:sz="0" w:space="0" w:color="auto"/>
        <w:bottom w:val="none" w:sz="0" w:space="0" w:color="auto"/>
        <w:right w:val="none" w:sz="0" w:space="0" w:color="auto"/>
      </w:divBdr>
      <w:divsChild>
        <w:div w:id="658726328">
          <w:marLeft w:val="0"/>
          <w:marRight w:val="0"/>
          <w:marTop w:val="0"/>
          <w:marBottom w:val="0"/>
          <w:divBdr>
            <w:top w:val="none" w:sz="0" w:space="0" w:color="auto"/>
            <w:left w:val="none" w:sz="0" w:space="0" w:color="auto"/>
            <w:bottom w:val="none" w:sz="0" w:space="0" w:color="auto"/>
            <w:right w:val="none" w:sz="0" w:space="0" w:color="auto"/>
          </w:divBdr>
          <w:divsChild>
            <w:div w:id="613831416">
              <w:marLeft w:val="0"/>
              <w:marRight w:val="0"/>
              <w:marTop w:val="0"/>
              <w:marBottom w:val="0"/>
              <w:divBdr>
                <w:top w:val="none" w:sz="0" w:space="0" w:color="auto"/>
                <w:left w:val="none" w:sz="0" w:space="0" w:color="auto"/>
                <w:bottom w:val="none" w:sz="0" w:space="0" w:color="auto"/>
                <w:right w:val="none" w:sz="0" w:space="0" w:color="auto"/>
              </w:divBdr>
              <w:divsChild>
                <w:div w:id="257444306">
                  <w:marLeft w:val="0"/>
                  <w:marRight w:val="0"/>
                  <w:marTop w:val="0"/>
                  <w:marBottom w:val="0"/>
                  <w:divBdr>
                    <w:top w:val="none" w:sz="0" w:space="0" w:color="auto"/>
                    <w:left w:val="none" w:sz="0" w:space="0" w:color="auto"/>
                    <w:bottom w:val="none" w:sz="0" w:space="0" w:color="auto"/>
                    <w:right w:val="none" w:sz="0" w:space="0" w:color="auto"/>
                  </w:divBdr>
                  <w:divsChild>
                    <w:div w:id="1767385164">
                      <w:marLeft w:val="0"/>
                      <w:marRight w:val="0"/>
                      <w:marTop w:val="0"/>
                      <w:marBottom w:val="0"/>
                      <w:divBdr>
                        <w:top w:val="none" w:sz="0" w:space="0" w:color="auto"/>
                        <w:left w:val="none" w:sz="0" w:space="0" w:color="auto"/>
                        <w:bottom w:val="none" w:sz="0" w:space="0" w:color="auto"/>
                        <w:right w:val="none" w:sz="0" w:space="0" w:color="auto"/>
                      </w:divBdr>
                      <w:divsChild>
                        <w:div w:id="1262178255">
                          <w:marLeft w:val="0"/>
                          <w:marRight w:val="0"/>
                          <w:marTop w:val="0"/>
                          <w:marBottom w:val="0"/>
                          <w:divBdr>
                            <w:top w:val="none" w:sz="0" w:space="0" w:color="auto"/>
                            <w:left w:val="none" w:sz="0" w:space="0" w:color="auto"/>
                            <w:bottom w:val="none" w:sz="0" w:space="0" w:color="auto"/>
                            <w:right w:val="none" w:sz="0" w:space="0" w:color="auto"/>
                          </w:divBdr>
                          <w:divsChild>
                            <w:div w:id="16682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1068">
      <w:bodyDiv w:val="1"/>
      <w:marLeft w:val="0"/>
      <w:marRight w:val="0"/>
      <w:marTop w:val="0"/>
      <w:marBottom w:val="0"/>
      <w:divBdr>
        <w:top w:val="none" w:sz="0" w:space="0" w:color="auto"/>
        <w:left w:val="none" w:sz="0" w:space="0" w:color="auto"/>
        <w:bottom w:val="none" w:sz="0" w:space="0" w:color="auto"/>
        <w:right w:val="none" w:sz="0" w:space="0" w:color="auto"/>
      </w:divBdr>
    </w:div>
    <w:div w:id="81142885">
      <w:bodyDiv w:val="1"/>
      <w:marLeft w:val="0"/>
      <w:marRight w:val="0"/>
      <w:marTop w:val="0"/>
      <w:marBottom w:val="0"/>
      <w:divBdr>
        <w:top w:val="none" w:sz="0" w:space="0" w:color="auto"/>
        <w:left w:val="none" w:sz="0" w:space="0" w:color="auto"/>
        <w:bottom w:val="none" w:sz="0" w:space="0" w:color="auto"/>
        <w:right w:val="none" w:sz="0" w:space="0" w:color="auto"/>
      </w:divBdr>
    </w:div>
    <w:div w:id="97220251">
      <w:bodyDiv w:val="1"/>
      <w:marLeft w:val="0"/>
      <w:marRight w:val="0"/>
      <w:marTop w:val="0"/>
      <w:marBottom w:val="0"/>
      <w:divBdr>
        <w:top w:val="none" w:sz="0" w:space="0" w:color="auto"/>
        <w:left w:val="none" w:sz="0" w:space="0" w:color="auto"/>
        <w:bottom w:val="none" w:sz="0" w:space="0" w:color="auto"/>
        <w:right w:val="none" w:sz="0" w:space="0" w:color="auto"/>
      </w:divBdr>
    </w:div>
    <w:div w:id="119345172">
      <w:bodyDiv w:val="1"/>
      <w:marLeft w:val="0"/>
      <w:marRight w:val="0"/>
      <w:marTop w:val="0"/>
      <w:marBottom w:val="0"/>
      <w:divBdr>
        <w:top w:val="none" w:sz="0" w:space="0" w:color="auto"/>
        <w:left w:val="none" w:sz="0" w:space="0" w:color="auto"/>
        <w:bottom w:val="none" w:sz="0" w:space="0" w:color="auto"/>
        <w:right w:val="none" w:sz="0" w:space="0" w:color="auto"/>
      </w:divBdr>
    </w:div>
    <w:div w:id="125701542">
      <w:bodyDiv w:val="1"/>
      <w:marLeft w:val="0"/>
      <w:marRight w:val="0"/>
      <w:marTop w:val="0"/>
      <w:marBottom w:val="0"/>
      <w:divBdr>
        <w:top w:val="none" w:sz="0" w:space="0" w:color="auto"/>
        <w:left w:val="none" w:sz="0" w:space="0" w:color="auto"/>
        <w:bottom w:val="none" w:sz="0" w:space="0" w:color="auto"/>
        <w:right w:val="none" w:sz="0" w:space="0" w:color="auto"/>
      </w:divBdr>
    </w:div>
    <w:div w:id="129179946">
      <w:bodyDiv w:val="1"/>
      <w:marLeft w:val="0"/>
      <w:marRight w:val="0"/>
      <w:marTop w:val="0"/>
      <w:marBottom w:val="0"/>
      <w:divBdr>
        <w:top w:val="none" w:sz="0" w:space="0" w:color="auto"/>
        <w:left w:val="none" w:sz="0" w:space="0" w:color="auto"/>
        <w:bottom w:val="none" w:sz="0" w:space="0" w:color="auto"/>
        <w:right w:val="none" w:sz="0" w:space="0" w:color="auto"/>
      </w:divBdr>
    </w:div>
    <w:div w:id="153569864">
      <w:bodyDiv w:val="1"/>
      <w:marLeft w:val="0"/>
      <w:marRight w:val="0"/>
      <w:marTop w:val="0"/>
      <w:marBottom w:val="0"/>
      <w:divBdr>
        <w:top w:val="none" w:sz="0" w:space="0" w:color="auto"/>
        <w:left w:val="none" w:sz="0" w:space="0" w:color="auto"/>
        <w:bottom w:val="none" w:sz="0" w:space="0" w:color="auto"/>
        <w:right w:val="none" w:sz="0" w:space="0" w:color="auto"/>
      </w:divBdr>
    </w:div>
    <w:div w:id="154882840">
      <w:bodyDiv w:val="1"/>
      <w:marLeft w:val="0"/>
      <w:marRight w:val="0"/>
      <w:marTop w:val="0"/>
      <w:marBottom w:val="0"/>
      <w:divBdr>
        <w:top w:val="none" w:sz="0" w:space="0" w:color="auto"/>
        <w:left w:val="none" w:sz="0" w:space="0" w:color="auto"/>
        <w:bottom w:val="none" w:sz="0" w:space="0" w:color="auto"/>
        <w:right w:val="none" w:sz="0" w:space="0" w:color="auto"/>
      </w:divBdr>
      <w:divsChild>
        <w:div w:id="296106313">
          <w:marLeft w:val="0"/>
          <w:marRight w:val="0"/>
          <w:marTop w:val="0"/>
          <w:marBottom w:val="0"/>
          <w:divBdr>
            <w:top w:val="none" w:sz="0" w:space="0" w:color="auto"/>
            <w:left w:val="none" w:sz="0" w:space="0" w:color="auto"/>
            <w:bottom w:val="none" w:sz="0" w:space="0" w:color="auto"/>
            <w:right w:val="none" w:sz="0" w:space="0" w:color="auto"/>
          </w:divBdr>
          <w:divsChild>
            <w:div w:id="1627003890">
              <w:marLeft w:val="0"/>
              <w:marRight w:val="0"/>
              <w:marTop w:val="0"/>
              <w:marBottom w:val="0"/>
              <w:divBdr>
                <w:top w:val="none" w:sz="0" w:space="0" w:color="auto"/>
                <w:left w:val="none" w:sz="0" w:space="0" w:color="auto"/>
                <w:bottom w:val="none" w:sz="0" w:space="0" w:color="auto"/>
                <w:right w:val="none" w:sz="0" w:space="0" w:color="auto"/>
              </w:divBdr>
              <w:divsChild>
                <w:div w:id="1285768466">
                  <w:marLeft w:val="0"/>
                  <w:marRight w:val="0"/>
                  <w:marTop w:val="0"/>
                  <w:marBottom w:val="0"/>
                  <w:divBdr>
                    <w:top w:val="none" w:sz="0" w:space="0" w:color="auto"/>
                    <w:left w:val="none" w:sz="0" w:space="0" w:color="auto"/>
                    <w:bottom w:val="none" w:sz="0" w:space="0" w:color="auto"/>
                    <w:right w:val="none" w:sz="0" w:space="0" w:color="auto"/>
                  </w:divBdr>
                  <w:divsChild>
                    <w:div w:id="1481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7367">
          <w:marLeft w:val="0"/>
          <w:marRight w:val="0"/>
          <w:marTop w:val="0"/>
          <w:marBottom w:val="0"/>
          <w:divBdr>
            <w:top w:val="none" w:sz="0" w:space="0" w:color="auto"/>
            <w:left w:val="none" w:sz="0" w:space="0" w:color="auto"/>
            <w:bottom w:val="none" w:sz="0" w:space="0" w:color="auto"/>
            <w:right w:val="none" w:sz="0" w:space="0" w:color="auto"/>
          </w:divBdr>
          <w:divsChild>
            <w:div w:id="1115442123">
              <w:marLeft w:val="0"/>
              <w:marRight w:val="0"/>
              <w:marTop w:val="0"/>
              <w:marBottom w:val="0"/>
              <w:divBdr>
                <w:top w:val="none" w:sz="0" w:space="0" w:color="auto"/>
                <w:left w:val="none" w:sz="0" w:space="0" w:color="auto"/>
                <w:bottom w:val="none" w:sz="0" w:space="0" w:color="auto"/>
                <w:right w:val="none" w:sz="0" w:space="0" w:color="auto"/>
              </w:divBdr>
              <w:divsChild>
                <w:div w:id="1514804941">
                  <w:marLeft w:val="0"/>
                  <w:marRight w:val="0"/>
                  <w:marTop w:val="0"/>
                  <w:marBottom w:val="0"/>
                  <w:divBdr>
                    <w:top w:val="none" w:sz="0" w:space="0" w:color="auto"/>
                    <w:left w:val="none" w:sz="0" w:space="0" w:color="auto"/>
                    <w:bottom w:val="none" w:sz="0" w:space="0" w:color="auto"/>
                    <w:right w:val="none" w:sz="0" w:space="0" w:color="auto"/>
                  </w:divBdr>
                  <w:divsChild>
                    <w:div w:id="7397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7986">
      <w:bodyDiv w:val="1"/>
      <w:marLeft w:val="0"/>
      <w:marRight w:val="0"/>
      <w:marTop w:val="0"/>
      <w:marBottom w:val="0"/>
      <w:divBdr>
        <w:top w:val="none" w:sz="0" w:space="0" w:color="auto"/>
        <w:left w:val="none" w:sz="0" w:space="0" w:color="auto"/>
        <w:bottom w:val="none" w:sz="0" w:space="0" w:color="auto"/>
        <w:right w:val="none" w:sz="0" w:space="0" w:color="auto"/>
      </w:divBdr>
    </w:div>
    <w:div w:id="248078077">
      <w:bodyDiv w:val="1"/>
      <w:marLeft w:val="0"/>
      <w:marRight w:val="0"/>
      <w:marTop w:val="0"/>
      <w:marBottom w:val="0"/>
      <w:divBdr>
        <w:top w:val="none" w:sz="0" w:space="0" w:color="auto"/>
        <w:left w:val="none" w:sz="0" w:space="0" w:color="auto"/>
        <w:bottom w:val="none" w:sz="0" w:space="0" w:color="auto"/>
        <w:right w:val="none" w:sz="0" w:space="0" w:color="auto"/>
      </w:divBdr>
    </w:div>
    <w:div w:id="251931935">
      <w:bodyDiv w:val="1"/>
      <w:marLeft w:val="0"/>
      <w:marRight w:val="0"/>
      <w:marTop w:val="0"/>
      <w:marBottom w:val="0"/>
      <w:divBdr>
        <w:top w:val="none" w:sz="0" w:space="0" w:color="auto"/>
        <w:left w:val="none" w:sz="0" w:space="0" w:color="auto"/>
        <w:bottom w:val="none" w:sz="0" w:space="0" w:color="auto"/>
        <w:right w:val="none" w:sz="0" w:space="0" w:color="auto"/>
      </w:divBdr>
    </w:div>
    <w:div w:id="266430179">
      <w:bodyDiv w:val="1"/>
      <w:marLeft w:val="0"/>
      <w:marRight w:val="0"/>
      <w:marTop w:val="0"/>
      <w:marBottom w:val="0"/>
      <w:divBdr>
        <w:top w:val="none" w:sz="0" w:space="0" w:color="auto"/>
        <w:left w:val="none" w:sz="0" w:space="0" w:color="auto"/>
        <w:bottom w:val="none" w:sz="0" w:space="0" w:color="auto"/>
        <w:right w:val="none" w:sz="0" w:space="0" w:color="auto"/>
      </w:divBdr>
    </w:div>
    <w:div w:id="271515925">
      <w:bodyDiv w:val="1"/>
      <w:marLeft w:val="0"/>
      <w:marRight w:val="0"/>
      <w:marTop w:val="0"/>
      <w:marBottom w:val="0"/>
      <w:divBdr>
        <w:top w:val="none" w:sz="0" w:space="0" w:color="auto"/>
        <w:left w:val="none" w:sz="0" w:space="0" w:color="auto"/>
        <w:bottom w:val="none" w:sz="0" w:space="0" w:color="auto"/>
        <w:right w:val="none" w:sz="0" w:space="0" w:color="auto"/>
      </w:divBdr>
    </w:div>
    <w:div w:id="291524157">
      <w:bodyDiv w:val="1"/>
      <w:marLeft w:val="0"/>
      <w:marRight w:val="0"/>
      <w:marTop w:val="0"/>
      <w:marBottom w:val="0"/>
      <w:divBdr>
        <w:top w:val="none" w:sz="0" w:space="0" w:color="auto"/>
        <w:left w:val="none" w:sz="0" w:space="0" w:color="auto"/>
        <w:bottom w:val="none" w:sz="0" w:space="0" w:color="auto"/>
        <w:right w:val="none" w:sz="0" w:space="0" w:color="auto"/>
      </w:divBdr>
    </w:div>
    <w:div w:id="313991019">
      <w:bodyDiv w:val="1"/>
      <w:marLeft w:val="0"/>
      <w:marRight w:val="0"/>
      <w:marTop w:val="0"/>
      <w:marBottom w:val="0"/>
      <w:divBdr>
        <w:top w:val="none" w:sz="0" w:space="0" w:color="auto"/>
        <w:left w:val="none" w:sz="0" w:space="0" w:color="auto"/>
        <w:bottom w:val="none" w:sz="0" w:space="0" w:color="auto"/>
        <w:right w:val="none" w:sz="0" w:space="0" w:color="auto"/>
      </w:divBdr>
    </w:div>
    <w:div w:id="332496338">
      <w:bodyDiv w:val="1"/>
      <w:marLeft w:val="0"/>
      <w:marRight w:val="0"/>
      <w:marTop w:val="0"/>
      <w:marBottom w:val="0"/>
      <w:divBdr>
        <w:top w:val="none" w:sz="0" w:space="0" w:color="auto"/>
        <w:left w:val="none" w:sz="0" w:space="0" w:color="auto"/>
        <w:bottom w:val="none" w:sz="0" w:space="0" w:color="auto"/>
        <w:right w:val="none" w:sz="0" w:space="0" w:color="auto"/>
      </w:divBdr>
    </w:div>
    <w:div w:id="352918591">
      <w:bodyDiv w:val="1"/>
      <w:marLeft w:val="0"/>
      <w:marRight w:val="0"/>
      <w:marTop w:val="0"/>
      <w:marBottom w:val="0"/>
      <w:divBdr>
        <w:top w:val="none" w:sz="0" w:space="0" w:color="auto"/>
        <w:left w:val="none" w:sz="0" w:space="0" w:color="auto"/>
        <w:bottom w:val="none" w:sz="0" w:space="0" w:color="auto"/>
        <w:right w:val="none" w:sz="0" w:space="0" w:color="auto"/>
      </w:divBdr>
    </w:div>
    <w:div w:id="429787667">
      <w:bodyDiv w:val="1"/>
      <w:marLeft w:val="0"/>
      <w:marRight w:val="0"/>
      <w:marTop w:val="0"/>
      <w:marBottom w:val="0"/>
      <w:divBdr>
        <w:top w:val="none" w:sz="0" w:space="0" w:color="auto"/>
        <w:left w:val="none" w:sz="0" w:space="0" w:color="auto"/>
        <w:bottom w:val="none" w:sz="0" w:space="0" w:color="auto"/>
        <w:right w:val="none" w:sz="0" w:space="0" w:color="auto"/>
      </w:divBdr>
    </w:div>
    <w:div w:id="433331600">
      <w:bodyDiv w:val="1"/>
      <w:marLeft w:val="0"/>
      <w:marRight w:val="0"/>
      <w:marTop w:val="0"/>
      <w:marBottom w:val="0"/>
      <w:divBdr>
        <w:top w:val="none" w:sz="0" w:space="0" w:color="auto"/>
        <w:left w:val="none" w:sz="0" w:space="0" w:color="auto"/>
        <w:bottom w:val="none" w:sz="0" w:space="0" w:color="auto"/>
        <w:right w:val="none" w:sz="0" w:space="0" w:color="auto"/>
      </w:divBdr>
      <w:divsChild>
        <w:div w:id="1302073677">
          <w:marLeft w:val="0"/>
          <w:marRight w:val="0"/>
          <w:marTop w:val="0"/>
          <w:marBottom w:val="0"/>
          <w:divBdr>
            <w:top w:val="none" w:sz="0" w:space="0" w:color="auto"/>
            <w:left w:val="none" w:sz="0" w:space="0" w:color="auto"/>
            <w:bottom w:val="none" w:sz="0" w:space="0" w:color="auto"/>
            <w:right w:val="none" w:sz="0" w:space="0" w:color="auto"/>
          </w:divBdr>
          <w:divsChild>
            <w:div w:id="315883949">
              <w:marLeft w:val="0"/>
              <w:marRight w:val="0"/>
              <w:marTop w:val="0"/>
              <w:marBottom w:val="0"/>
              <w:divBdr>
                <w:top w:val="none" w:sz="0" w:space="0" w:color="auto"/>
                <w:left w:val="none" w:sz="0" w:space="0" w:color="auto"/>
                <w:bottom w:val="none" w:sz="0" w:space="0" w:color="auto"/>
                <w:right w:val="none" w:sz="0" w:space="0" w:color="auto"/>
              </w:divBdr>
              <w:divsChild>
                <w:div w:id="431441745">
                  <w:marLeft w:val="0"/>
                  <w:marRight w:val="0"/>
                  <w:marTop w:val="0"/>
                  <w:marBottom w:val="0"/>
                  <w:divBdr>
                    <w:top w:val="none" w:sz="0" w:space="0" w:color="auto"/>
                    <w:left w:val="none" w:sz="0" w:space="0" w:color="auto"/>
                    <w:bottom w:val="none" w:sz="0" w:space="0" w:color="auto"/>
                    <w:right w:val="none" w:sz="0" w:space="0" w:color="auto"/>
                  </w:divBdr>
                  <w:divsChild>
                    <w:div w:id="7772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8019">
          <w:marLeft w:val="0"/>
          <w:marRight w:val="0"/>
          <w:marTop w:val="0"/>
          <w:marBottom w:val="0"/>
          <w:divBdr>
            <w:top w:val="none" w:sz="0" w:space="0" w:color="auto"/>
            <w:left w:val="none" w:sz="0" w:space="0" w:color="auto"/>
            <w:bottom w:val="none" w:sz="0" w:space="0" w:color="auto"/>
            <w:right w:val="none" w:sz="0" w:space="0" w:color="auto"/>
          </w:divBdr>
          <w:divsChild>
            <w:div w:id="2046172996">
              <w:marLeft w:val="0"/>
              <w:marRight w:val="0"/>
              <w:marTop w:val="0"/>
              <w:marBottom w:val="0"/>
              <w:divBdr>
                <w:top w:val="none" w:sz="0" w:space="0" w:color="auto"/>
                <w:left w:val="none" w:sz="0" w:space="0" w:color="auto"/>
                <w:bottom w:val="none" w:sz="0" w:space="0" w:color="auto"/>
                <w:right w:val="none" w:sz="0" w:space="0" w:color="auto"/>
              </w:divBdr>
              <w:divsChild>
                <w:div w:id="952638813">
                  <w:marLeft w:val="0"/>
                  <w:marRight w:val="0"/>
                  <w:marTop w:val="0"/>
                  <w:marBottom w:val="0"/>
                  <w:divBdr>
                    <w:top w:val="none" w:sz="0" w:space="0" w:color="auto"/>
                    <w:left w:val="none" w:sz="0" w:space="0" w:color="auto"/>
                    <w:bottom w:val="none" w:sz="0" w:space="0" w:color="auto"/>
                    <w:right w:val="none" w:sz="0" w:space="0" w:color="auto"/>
                  </w:divBdr>
                  <w:divsChild>
                    <w:div w:id="9488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4534">
      <w:bodyDiv w:val="1"/>
      <w:marLeft w:val="0"/>
      <w:marRight w:val="0"/>
      <w:marTop w:val="0"/>
      <w:marBottom w:val="0"/>
      <w:divBdr>
        <w:top w:val="none" w:sz="0" w:space="0" w:color="auto"/>
        <w:left w:val="none" w:sz="0" w:space="0" w:color="auto"/>
        <w:bottom w:val="none" w:sz="0" w:space="0" w:color="auto"/>
        <w:right w:val="none" w:sz="0" w:space="0" w:color="auto"/>
      </w:divBdr>
    </w:div>
    <w:div w:id="529496293">
      <w:bodyDiv w:val="1"/>
      <w:marLeft w:val="0"/>
      <w:marRight w:val="0"/>
      <w:marTop w:val="0"/>
      <w:marBottom w:val="0"/>
      <w:divBdr>
        <w:top w:val="none" w:sz="0" w:space="0" w:color="auto"/>
        <w:left w:val="none" w:sz="0" w:space="0" w:color="auto"/>
        <w:bottom w:val="none" w:sz="0" w:space="0" w:color="auto"/>
        <w:right w:val="none" w:sz="0" w:space="0" w:color="auto"/>
      </w:divBdr>
    </w:div>
    <w:div w:id="530724755">
      <w:bodyDiv w:val="1"/>
      <w:marLeft w:val="0"/>
      <w:marRight w:val="0"/>
      <w:marTop w:val="0"/>
      <w:marBottom w:val="0"/>
      <w:divBdr>
        <w:top w:val="none" w:sz="0" w:space="0" w:color="auto"/>
        <w:left w:val="none" w:sz="0" w:space="0" w:color="auto"/>
        <w:bottom w:val="none" w:sz="0" w:space="0" w:color="auto"/>
        <w:right w:val="none" w:sz="0" w:space="0" w:color="auto"/>
      </w:divBdr>
    </w:div>
    <w:div w:id="580799543">
      <w:bodyDiv w:val="1"/>
      <w:marLeft w:val="0"/>
      <w:marRight w:val="0"/>
      <w:marTop w:val="0"/>
      <w:marBottom w:val="0"/>
      <w:divBdr>
        <w:top w:val="none" w:sz="0" w:space="0" w:color="auto"/>
        <w:left w:val="none" w:sz="0" w:space="0" w:color="auto"/>
        <w:bottom w:val="none" w:sz="0" w:space="0" w:color="auto"/>
        <w:right w:val="none" w:sz="0" w:space="0" w:color="auto"/>
      </w:divBdr>
    </w:div>
    <w:div w:id="636573193">
      <w:bodyDiv w:val="1"/>
      <w:marLeft w:val="0"/>
      <w:marRight w:val="0"/>
      <w:marTop w:val="0"/>
      <w:marBottom w:val="0"/>
      <w:divBdr>
        <w:top w:val="none" w:sz="0" w:space="0" w:color="auto"/>
        <w:left w:val="none" w:sz="0" w:space="0" w:color="auto"/>
        <w:bottom w:val="none" w:sz="0" w:space="0" w:color="auto"/>
        <w:right w:val="none" w:sz="0" w:space="0" w:color="auto"/>
      </w:divBdr>
    </w:div>
    <w:div w:id="720862660">
      <w:bodyDiv w:val="1"/>
      <w:marLeft w:val="0"/>
      <w:marRight w:val="0"/>
      <w:marTop w:val="0"/>
      <w:marBottom w:val="0"/>
      <w:divBdr>
        <w:top w:val="none" w:sz="0" w:space="0" w:color="auto"/>
        <w:left w:val="none" w:sz="0" w:space="0" w:color="auto"/>
        <w:bottom w:val="none" w:sz="0" w:space="0" w:color="auto"/>
        <w:right w:val="none" w:sz="0" w:space="0" w:color="auto"/>
      </w:divBdr>
    </w:div>
    <w:div w:id="746804695">
      <w:bodyDiv w:val="1"/>
      <w:marLeft w:val="0"/>
      <w:marRight w:val="0"/>
      <w:marTop w:val="0"/>
      <w:marBottom w:val="0"/>
      <w:divBdr>
        <w:top w:val="none" w:sz="0" w:space="0" w:color="auto"/>
        <w:left w:val="none" w:sz="0" w:space="0" w:color="auto"/>
        <w:bottom w:val="none" w:sz="0" w:space="0" w:color="auto"/>
        <w:right w:val="none" w:sz="0" w:space="0" w:color="auto"/>
      </w:divBdr>
    </w:div>
    <w:div w:id="764348006">
      <w:bodyDiv w:val="1"/>
      <w:marLeft w:val="0"/>
      <w:marRight w:val="0"/>
      <w:marTop w:val="0"/>
      <w:marBottom w:val="0"/>
      <w:divBdr>
        <w:top w:val="none" w:sz="0" w:space="0" w:color="auto"/>
        <w:left w:val="none" w:sz="0" w:space="0" w:color="auto"/>
        <w:bottom w:val="none" w:sz="0" w:space="0" w:color="auto"/>
        <w:right w:val="none" w:sz="0" w:space="0" w:color="auto"/>
      </w:divBdr>
    </w:div>
    <w:div w:id="768966078">
      <w:bodyDiv w:val="1"/>
      <w:marLeft w:val="0"/>
      <w:marRight w:val="0"/>
      <w:marTop w:val="0"/>
      <w:marBottom w:val="0"/>
      <w:divBdr>
        <w:top w:val="none" w:sz="0" w:space="0" w:color="auto"/>
        <w:left w:val="none" w:sz="0" w:space="0" w:color="auto"/>
        <w:bottom w:val="none" w:sz="0" w:space="0" w:color="auto"/>
        <w:right w:val="none" w:sz="0" w:space="0" w:color="auto"/>
      </w:divBdr>
      <w:divsChild>
        <w:div w:id="2120485693">
          <w:marLeft w:val="0"/>
          <w:marRight w:val="0"/>
          <w:marTop w:val="0"/>
          <w:marBottom w:val="0"/>
          <w:divBdr>
            <w:top w:val="none" w:sz="0" w:space="0" w:color="auto"/>
            <w:left w:val="none" w:sz="0" w:space="0" w:color="auto"/>
            <w:bottom w:val="none" w:sz="0" w:space="0" w:color="auto"/>
            <w:right w:val="none" w:sz="0" w:space="0" w:color="auto"/>
          </w:divBdr>
          <w:divsChild>
            <w:div w:id="2022312187">
              <w:marLeft w:val="0"/>
              <w:marRight w:val="0"/>
              <w:marTop w:val="0"/>
              <w:marBottom w:val="0"/>
              <w:divBdr>
                <w:top w:val="none" w:sz="0" w:space="0" w:color="auto"/>
                <w:left w:val="none" w:sz="0" w:space="0" w:color="auto"/>
                <w:bottom w:val="none" w:sz="0" w:space="0" w:color="auto"/>
                <w:right w:val="none" w:sz="0" w:space="0" w:color="auto"/>
              </w:divBdr>
              <w:divsChild>
                <w:div w:id="1266382436">
                  <w:marLeft w:val="0"/>
                  <w:marRight w:val="0"/>
                  <w:marTop w:val="0"/>
                  <w:marBottom w:val="0"/>
                  <w:divBdr>
                    <w:top w:val="none" w:sz="0" w:space="0" w:color="auto"/>
                    <w:left w:val="none" w:sz="0" w:space="0" w:color="auto"/>
                    <w:bottom w:val="none" w:sz="0" w:space="0" w:color="auto"/>
                    <w:right w:val="none" w:sz="0" w:space="0" w:color="auto"/>
                  </w:divBdr>
                  <w:divsChild>
                    <w:div w:id="582645990">
                      <w:marLeft w:val="0"/>
                      <w:marRight w:val="0"/>
                      <w:marTop w:val="0"/>
                      <w:marBottom w:val="0"/>
                      <w:divBdr>
                        <w:top w:val="none" w:sz="0" w:space="0" w:color="auto"/>
                        <w:left w:val="none" w:sz="0" w:space="0" w:color="auto"/>
                        <w:bottom w:val="none" w:sz="0" w:space="0" w:color="auto"/>
                        <w:right w:val="none" w:sz="0" w:space="0" w:color="auto"/>
                      </w:divBdr>
                      <w:divsChild>
                        <w:div w:id="2036272617">
                          <w:marLeft w:val="0"/>
                          <w:marRight w:val="0"/>
                          <w:marTop w:val="0"/>
                          <w:marBottom w:val="0"/>
                          <w:divBdr>
                            <w:top w:val="none" w:sz="0" w:space="0" w:color="auto"/>
                            <w:left w:val="none" w:sz="0" w:space="0" w:color="auto"/>
                            <w:bottom w:val="none" w:sz="0" w:space="0" w:color="auto"/>
                            <w:right w:val="none" w:sz="0" w:space="0" w:color="auto"/>
                          </w:divBdr>
                          <w:divsChild>
                            <w:div w:id="9279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76831">
      <w:bodyDiv w:val="1"/>
      <w:marLeft w:val="0"/>
      <w:marRight w:val="0"/>
      <w:marTop w:val="0"/>
      <w:marBottom w:val="0"/>
      <w:divBdr>
        <w:top w:val="none" w:sz="0" w:space="0" w:color="auto"/>
        <w:left w:val="none" w:sz="0" w:space="0" w:color="auto"/>
        <w:bottom w:val="none" w:sz="0" w:space="0" w:color="auto"/>
        <w:right w:val="none" w:sz="0" w:space="0" w:color="auto"/>
      </w:divBdr>
    </w:div>
    <w:div w:id="828594979">
      <w:bodyDiv w:val="1"/>
      <w:marLeft w:val="0"/>
      <w:marRight w:val="0"/>
      <w:marTop w:val="0"/>
      <w:marBottom w:val="0"/>
      <w:divBdr>
        <w:top w:val="none" w:sz="0" w:space="0" w:color="auto"/>
        <w:left w:val="none" w:sz="0" w:space="0" w:color="auto"/>
        <w:bottom w:val="none" w:sz="0" w:space="0" w:color="auto"/>
        <w:right w:val="none" w:sz="0" w:space="0" w:color="auto"/>
      </w:divBdr>
    </w:div>
    <w:div w:id="871040493">
      <w:bodyDiv w:val="1"/>
      <w:marLeft w:val="0"/>
      <w:marRight w:val="0"/>
      <w:marTop w:val="0"/>
      <w:marBottom w:val="0"/>
      <w:divBdr>
        <w:top w:val="none" w:sz="0" w:space="0" w:color="auto"/>
        <w:left w:val="none" w:sz="0" w:space="0" w:color="auto"/>
        <w:bottom w:val="none" w:sz="0" w:space="0" w:color="auto"/>
        <w:right w:val="none" w:sz="0" w:space="0" w:color="auto"/>
      </w:divBdr>
    </w:div>
    <w:div w:id="934751283">
      <w:bodyDiv w:val="1"/>
      <w:marLeft w:val="0"/>
      <w:marRight w:val="0"/>
      <w:marTop w:val="0"/>
      <w:marBottom w:val="0"/>
      <w:divBdr>
        <w:top w:val="none" w:sz="0" w:space="0" w:color="auto"/>
        <w:left w:val="none" w:sz="0" w:space="0" w:color="auto"/>
        <w:bottom w:val="none" w:sz="0" w:space="0" w:color="auto"/>
        <w:right w:val="none" w:sz="0" w:space="0" w:color="auto"/>
      </w:divBdr>
    </w:div>
    <w:div w:id="935097227">
      <w:bodyDiv w:val="1"/>
      <w:marLeft w:val="0"/>
      <w:marRight w:val="0"/>
      <w:marTop w:val="0"/>
      <w:marBottom w:val="0"/>
      <w:divBdr>
        <w:top w:val="none" w:sz="0" w:space="0" w:color="auto"/>
        <w:left w:val="none" w:sz="0" w:space="0" w:color="auto"/>
        <w:bottom w:val="none" w:sz="0" w:space="0" w:color="auto"/>
        <w:right w:val="none" w:sz="0" w:space="0" w:color="auto"/>
      </w:divBdr>
    </w:div>
    <w:div w:id="961770565">
      <w:bodyDiv w:val="1"/>
      <w:marLeft w:val="0"/>
      <w:marRight w:val="0"/>
      <w:marTop w:val="0"/>
      <w:marBottom w:val="0"/>
      <w:divBdr>
        <w:top w:val="none" w:sz="0" w:space="0" w:color="auto"/>
        <w:left w:val="none" w:sz="0" w:space="0" w:color="auto"/>
        <w:bottom w:val="none" w:sz="0" w:space="0" w:color="auto"/>
        <w:right w:val="none" w:sz="0" w:space="0" w:color="auto"/>
      </w:divBdr>
    </w:div>
    <w:div w:id="1039892352">
      <w:bodyDiv w:val="1"/>
      <w:marLeft w:val="0"/>
      <w:marRight w:val="0"/>
      <w:marTop w:val="0"/>
      <w:marBottom w:val="0"/>
      <w:divBdr>
        <w:top w:val="none" w:sz="0" w:space="0" w:color="auto"/>
        <w:left w:val="none" w:sz="0" w:space="0" w:color="auto"/>
        <w:bottom w:val="none" w:sz="0" w:space="0" w:color="auto"/>
        <w:right w:val="none" w:sz="0" w:space="0" w:color="auto"/>
      </w:divBdr>
    </w:div>
    <w:div w:id="1083918128">
      <w:bodyDiv w:val="1"/>
      <w:marLeft w:val="0"/>
      <w:marRight w:val="0"/>
      <w:marTop w:val="0"/>
      <w:marBottom w:val="0"/>
      <w:divBdr>
        <w:top w:val="none" w:sz="0" w:space="0" w:color="auto"/>
        <w:left w:val="none" w:sz="0" w:space="0" w:color="auto"/>
        <w:bottom w:val="none" w:sz="0" w:space="0" w:color="auto"/>
        <w:right w:val="none" w:sz="0" w:space="0" w:color="auto"/>
      </w:divBdr>
    </w:div>
    <w:div w:id="1084911840">
      <w:bodyDiv w:val="1"/>
      <w:marLeft w:val="0"/>
      <w:marRight w:val="0"/>
      <w:marTop w:val="0"/>
      <w:marBottom w:val="0"/>
      <w:divBdr>
        <w:top w:val="none" w:sz="0" w:space="0" w:color="auto"/>
        <w:left w:val="none" w:sz="0" w:space="0" w:color="auto"/>
        <w:bottom w:val="none" w:sz="0" w:space="0" w:color="auto"/>
        <w:right w:val="none" w:sz="0" w:space="0" w:color="auto"/>
      </w:divBdr>
    </w:div>
    <w:div w:id="1127969004">
      <w:bodyDiv w:val="1"/>
      <w:marLeft w:val="0"/>
      <w:marRight w:val="0"/>
      <w:marTop w:val="0"/>
      <w:marBottom w:val="0"/>
      <w:divBdr>
        <w:top w:val="none" w:sz="0" w:space="0" w:color="auto"/>
        <w:left w:val="none" w:sz="0" w:space="0" w:color="auto"/>
        <w:bottom w:val="none" w:sz="0" w:space="0" w:color="auto"/>
        <w:right w:val="none" w:sz="0" w:space="0" w:color="auto"/>
      </w:divBdr>
    </w:div>
    <w:div w:id="1158955207">
      <w:bodyDiv w:val="1"/>
      <w:marLeft w:val="0"/>
      <w:marRight w:val="0"/>
      <w:marTop w:val="0"/>
      <w:marBottom w:val="0"/>
      <w:divBdr>
        <w:top w:val="none" w:sz="0" w:space="0" w:color="auto"/>
        <w:left w:val="none" w:sz="0" w:space="0" w:color="auto"/>
        <w:bottom w:val="none" w:sz="0" w:space="0" w:color="auto"/>
        <w:right w:val="none" w:sz="0" w:space="0" w:color="auto"/>
      </w:divBdr>
    </w:div>
    <w:div w:id="1231422500">
      <w:bodyDiv w:val="1"/>
      <w:marLeft w:val="0"/>
      <w:marRight w:val="0"/>
      <w:marTop w:val="0"/>
      <w:marBottom w:val="0"/>
      <w:divBdr>
        <w:top w:val="none" w:sz="0" w:space="0" w:color="auto"/>
        <w:left w:val="none" w:sz="0" w:space="0" w:color="auto"/>
        <w:bottom w:val="none" w:sz="0" w:space="0" w:color="auto"/>
        <w:right w:val="none" w:sz="0" w:space="0" w:color="auto"/>
      </w:divBdr>
    </w:div>
    <w:div w:id="1276206228">
      <w:bodyDiv w:val="1"/>
      <w:marLeft w:val="0"/>
      <w:marRight w:val="0"/>
      <w:marTop w:val="0"/>
      <w:marBottom w:val="0"/>
      <w:divBdr>
        <w:top w:val="none" w:sz="0" w:space="0" w:color="auto"/>
        <w:left w:val="none" w:sz="0" w:space="0" w:color="auto"/>
        <w:bottom w:val="none" w:sz="0" w:space="0" w:color="auto"/>
        <w:right w:val="none" w:sz="0" w:space="0" w:color="auto"/>
      </w:divBdr>
    </w:div>
    <w:div w:id="1284188669">
      <w:bodyDiv w:val="1"/>
      <w:marLeft w:val="0"/>
      <w:marRight w:val="0"/>
      <w:marTop w:val="0"/>
      <w:marBottom w:val="0"/>
      <w:divBdr>
        <w:top w:val="none" w:sz="0" w:space="0" w:color="auto"/>
        <w:left w:val="none" w:sz="0" w:space="0" w:color="auto"/>
        <w:bottom w:val="none" w:sz="0" w:space="0" w:color="auto"/>
        <w:right w:val="none" w:sz="0" w:space="0" w:color="auto"/>
      </w:divBdr>
    </w:div>
    <w:div w:id="1304191908">
      <w:bodyDiv w:val="1"/>
      <w:marLeft w:val="0"/>
      <w:marRight w:val="0"/>
      <w:marTop w:val="0"/>
      <w:marBottom w:val="0"/>
      <w:divBdr>
        <w:top w:val="none" w:sz="0" w:space="0" w:color="auto"/>
        <w:left w:val="none" w:sz="0" w:space="0" w:color="auto"/>
        <w:bottom w:val="none" w:sz="0" w:space="0" w:color="auto"/>
        <w:right w:val="none" w:sz="0" w:space="0" w:color="auto"/>
      </w:divBdr>
    </w:div>
    <w:div w:id="1317876633">
      <w:bodyDiv w:val="1"/>
      <w:marLeft w:val="0"/>
      <w:marRight w:val="0"/>
      <w:marTop w:val="0"/>
      <w:marBottom w:val="0"/>
      <w:divBdr>
        <w:top w:val="none" w:sz="0" w:space="0" w:color="auto"/>
        <w:left w:val="none" w:sz="0" w:space="0" w:color="auto"/>
        <w:bottom w:val="none" w:sz="0" w:space="0" w:color="auto"/>
        <w:right w:val="none" w:sz="0" w:space="0" w:color="auto"/>
      </w:divBdr>
    </w:div>
    <w:div w:id="1329626651">
      <w:bodyDiv w:val="1"/>
      <w:marLeft w:val="0"/>
      <w:marRight w:val="0"/>
      <w:marTop w:val="0"/>
      <w:marBottom w:val="0"/>
      <w:divBdr>
        <w:top w:val="none" w:sz="0" w:space="0" w:color="auto"/>
        <w:left w:val="none" w:sz="0" w:space="0" w:color="auto"/>
        <w:bottom w:val="none" w:sz="0" w:space="0" w:color="auto"/>
        <w:right w:val="none" w:sz="0" w:space="0" w:color="auto"/>
      </w:divBdr>
    </w:div>
    <w:div w:id="1355153719">
      <w:bodyDiv w:val="1"/>
      <w:marLeft w:val="0"/>
      <w:marRight w:val="0"/>
      <w:marTop w:val="0"/>
      <w:marBottom w:val="0"/>
      <w:divBdr>
        <w:top w:val="none" w:sz="0" w:space="0" w:color="auto"/>
        <w:left w:val="none" w:sz="0" w:space="0" w:color="auto"/>
        <w:bottom w:val="none" w:sz="0" w:space="0" w:color="auto"/>
        <w:right w:val="none" w:sz="0" w:space="0" w:color="auto"/>
      </w:divBdr>
    </w:div>
    <w:div w:id="1358197345">
      <w:bodyDiv w:val="1"/>
      <w:marLeft w:val="0"/>
      <w:marRight w:val="0"/>
      <w:marTop w:val="0"/>
      <w:marBottom w:val="0"/>
      <w:divBdr>
        <w:top w:val="none" w:sz="0" w:space="0" w:color="auto"/>
        <w:left w:val="none" w:sz="0" w:space="0" w:color="auto"/>
        <w:bottom w:val="none" w:sz="0" w:space="0" w:color="auto"/>
        <w:right w:val="none" w:sz="0" w:space="0" w:color="auto"/>
      </w:divBdr>
    </w:div>
    <w:div w:id="1459104969">
      <w:bodyDiv w:val="1"/>
      <w:marLeft w:val="0"/>
      <w:marRight w:val="0"/>
      <w:marTop w:val="0"/>
      <w:marBottom w:val="0"/>
      <w:divBdr>
        <w:top w:val="none" w:sz="0" w:space="0" w:color="auto"/>
        <w:left w:val="none" w:sz="0" w:space="0" w:color="auto"/>
        <w:bottom w:val="none" w:sz="0" w:space="0" w:color="auto"/>
        <w:right w:val="none" w:sz="0" w:space="0" w:color="auto"/>
      </w:divBdr>
      <w:divsChild>
        <w:div w:id="1315376112">
          <w:marLeft w:val="0"/>
          <w:marRight w:val="0"/>
          <w:marTop w:val="0"/>
          <w:marBottom w:val="0"/>
          <w:divBdr>
            <w:top w:val="none" w:sz="0" w:space="0" w:color="auto"/>
            <w:left w:val="none" w:sz="0" w:space="0" w:color="auto"/>
            <w:bottom w:val="none" w:sz="0" w:space="0" w:color="auto"/>
            <w:right w:val="none" w:sz="0" w:space="0" w:color="auto"/>
          </w:divBdr>
        </w:div>
        <w:div w:id="18892547">
          <w:marLeft w:val="0"/>
          <w:marRight w:val="0"/>
          <w:marTop w:val="0"/>
          <w:marBottom w:val="0"/>
          <w:divBdr>
            <w:top w:val="none" w:sz="0" w:space="0" w:color="auto"/>
            <w:left w:val="none" w:sz="0" w:space="0" w:color="auto"/>
            <w:bottom w:val="none" w:sz="0" w:space="0" w:color="auto"/>
            <w:right w:val="none" w:sz="0" w:space="0" w:color="auto"/>
          </w:divBdr>
        </w:div>
      </w:divsChild>
    </w:div>
    <w:div w:id="1460297619">
      <w:bodyDiv w:val="1"/>
      <w:marLeft w:val="0"/>
      <w:marRight w:val="0"/>
      <w:marTop w:val="0"/>
      <w:marBottom w:val="0"/>
      <w:divBdr>
        <w:top w:val="none" w:sz="0" w:space="0" w:color="auto"/>
        <w:left w:val="none" w:sz="0" w:space="0" w:color="auto"/>
        <w:bottom w:val="none" w:sz="0" w:space="0" w:color="auto"/>
        <w:right w:val="none" w:sz="0" w:space="0" w:color="auto"/>
      </w:divBdr>
    </w:div>
    <w:div w:id="1557082493">
      <w:bodyDiv w:val="1"/>
      <w:marLeft w:val="0"/>
      <w:marRight w:val="0"/>
      <w:marTop w:val="0"/>
      <w:marBottom w:val="0"/>
      <w:divBdr>
        <w:top w:val="none" w:sz="0" w:space="0" w:color="auto"/>
        <w:left w:val="none" w:sz="0" w:space="0" w:color="auto"/>
        <w:bottom w:val="none" w:sz="0" w:space="0" w:color="auto"/>
        <w:right w:val="none" w:sz="0" w:space="0" w:color="auto"/>
      </w:divBdr>
    </w:div>
    <w:div w:id="1594316484">
      <w:bodyDiv w:val="1"/>
      <w:marLeft w:val="0"/>
      <w:marRight w:val="0"/>
      <w:marTop w:val="0"/>
      <w:marBottom w:val="0"/>
      <w:divBdr>
        <w:top w:val="none" w:sz="0" w:space="0" w:color="auto"/>
        <w:left w:val="none" w:sz="0" w:space="0" w:color="auto"/>
        <w:bottom w:val="none" w:sz="0" w:space="0" w:color="auto"/>
        <w:right w:val="none" w:sz="0" w:space="0" w:color="auto"/>
      </w:divBdr>
    </w:div>
    <w:div w:id="163941025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20">
          <w:marLeft w:val="0"/>
          <w:marRight w:val="0"/>
          <w:marTop w:val="0"/>
          <w:marBottom w:val="0"/>
          <w:divBdr>
            <w:top w:val="none" w:sz="0" w:space="0" w:color="auto"/>
            <w:left w:val="none" w:sz="0" w:space="0" w:color="auto"/>
            <w:bottom w:val="none" w:sz="0" w:space="0" w:color="auto"/>
            <w:right w:val="none" w:sz="0" w:space="0" w:color="auto"/>
          </w:divBdr>
          <w:divsChild>
            <w:div w:id="1602880234">
              <w:marLeft w:val="0"/>
              <w:marRight w:val="0"/>
              <w:marTop w:val="0"/>
              <w:marBottom w:val="0"/>
              <w:divBdr>
                <w:top w:val="none" w:sz="0" w:space="0" w:color="auto"/>
                <w:left w:val="none" w:sz="0" w:space="0" w:color="auto"/>
                <w:bottom w:val="none" w:sz="0" w:space="0" w:color="auto"/>
                <w:right w:val="none" w:sz="0" w:space="0" w:color="auto"/>
              </w:divBdr>
              <w:divsChild>
                <w:div w:id="1450706139">
                  <w:marLeft w:val="0"/>
                  <w:marRight w:val="0"/>
                  <w:marTop w:val="0"/>
                  <w:marBottom w:val="0"/>
                  <w:divBdr>
                    <w:top w:val="none" w:sz="0" w:space="0" w:color="auto"/>
                    <w:left w:val="none" w:sz="0" w:space="0" w:color="auto"/>
                    <w:bottom w:val="none" w:sz="0" w:space="0" w:color="auto"/>
                    <w:right w:val="none" w:sz="0" w:space="0" w:color="auto"/>
                  </w:divBdr>
                  <w:divsChild>
                    <w:div w:id="1470785622">
                      <w:marLeft w:val="0"/>
                      <w:marRight w:val="0"/>
                      <w:marTop w:val="0"/>
                      <w:marBottom w:val="0"/>
                      <w:divBdr>
                        <w:top w:val="none" w:sz="0" w:space="0" w:color="auto"/>
                        <w:left w:val="none" w:sz="0" w:space="0" w:color="auto"/>
                        <w:bottom w:val="none" w:sz="0" w:space="0" w:color="auto"/>
                        <w:right w:val="none" w:sz="0" w:space="0" w:color="auto"/>
                      </w:divBdr>
                      <w:divsChild>
                        <w:div w:id="1685131698">
                          <w:marLeft w:val="0"/>
                          <w:marRight w:val="0"/>
                          <w:marTop w:val="0"/>
                          <w:marBottom w:val="0"/>
                          <w:divBdr>
                            <w:top w:val="none" w:sz="0" w:space="0" w:color="auto"/>
                            <w:left w:val="none" w:sz="0" w:space="0" w:color="auto"/>
                            <w:bottom w:val="none" w:sz="0" w:space="0" w:color="auto"/>
                            <w:right w:val="none" w:sz="0" w:space="0" w:color="auto"/>
                          </w:divBdr>
                          <w:divsChild>
                            <w:div w:id="8516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431281">
      <w:bodyDiv w:val="1"/>
      <w:marLeft w:val="0"/>
      <w:marRight w:val="0"/>
      <w:marTop w:val="0"/>
      <w:marBottom w:val="0"/>
      <w:divBdr>
        <w:top w:val="none" w:sz="0" w:space="0" w:color="auto"/>
        <w:left w:val="none" w:sz="0" w:space="0" w:color="auto"/>
        <w:bottom w:val="none" w:sz="0" w:space="0" w:color="auto"/>
        <w:right w:val="none" w:sz="0" w:space="0" w:color="auto"/>
      </w:divBdr>
    </w:div>
    <w:div w:id="1771896931">
      <w:bodyDiv w:val="1"/>
      <w:marLeft w:val="0"/>
      <w:marRight w:val="0"/>
      <w:marTop w:val="0"/>
      <w:marBottom w:val="0"/>
      <w:divBdr>
        <w:top w:val="none" w:sz="0" w:space="0" w:color="auto"/>
        <w:left w:val="none" w:sz="0" w:space="0" w:color="auto"/>
        <w:bottom w:val="none" w:sz="0" w:space="0" w:color="auto"/>
        <w:right w:val="none" w:sz="0" w:space="0" w:color="auto"/>
      </w:divBdr>
      <w:divsChild>
        <w:div w:id="472255345">
          <w:marLeft w:val="0"/>
          <w:marRight w:val="0"/>
          <w:marTop w:val="0"/>
          <w:marBottom w:val="0"/>
          <w:divBdr>
            <w:top w:val="none" w:sz="0" w:space="0" w:color="auto"/>
            <w:left w:val="none" w:sz="0" w:space="0" w:color="auto"/>
            <w:bottom w:val="none" w:sz="0" w:space="0" w:color="auto"/>
            <w:right w:val="none" w:sz="0" w:space="0" w:color="auto"/>
          </w:divBdr>
          <w:divsChild>
            <w:div w:id="1489705990">
              <w:marLeft w:val="0"/>
              <w:marRight w:val="0"/>
              <w:marTop w:val="0"/>
              <w:marBottom w:val="0"/>
              <w:divBdr>
                <w:top w:val="none" w:sz="0" w:space="0" w:color="auto"/>
                <w:left w:val="none" w:sz="0" w:space="0" w:color="auto"/>
                <w:bottom w:val="none" w:sz="0" w:space="0" w:color="auto"/>
                <w:right w:val="none" w:sz="0" w:space="0" w:color="auto"/>
              </w:divBdr>
              <w:divsChild>
                <w:div w:id="742069125">
                  <w:marLeft w:val="0"/>
                  <w:marRight w:val="0"/>
                  <w:marTop w:val="0"/>
                  <w:marBottom w:val="0"/>
                  <w:divBdr>
                    <w:top w:val="none" w:sz="0" w:space="0" w:color="auto"/>
                    <w:left w:val="none" w:sz="0" w:space="0" w:color="auto"/>
                    <w:bottom w:val="none" w:sz="0" w:space="0" w:color="auto"/>
                    <w:right w:val="none" w:sz="0" w:space="0" w:color="auto"/>
                  </w:divBdr>
                  <w:divsChild>
                    <w:div w:id="1464081998">
                      <w:marLeft w:val="0"/>
                      <w:marRight w:val="0"/>
                      <w:marTop w:val="0"/>
                      <w:marBottom w:val="0"/>
                      <w:divBdr>
                        <w:top w:val="none" w:sz="0" w:space="0" w:color="auto"/>
                        <w:left w:val="none" w:sz="0" w:space="0" w:color="auto"/>
                        <w:bottom w:val="none" w:sz="0" w:space="0" w:color="auto"/>
                        <w:right w:val="none" w:sz="0" w:space="0" w:color="auto"/>
                      </w:divBdr>
                      <w:divsChild>
                        <w:div w:id="1762487513">
                          <w:marLeft w:val="0"/>
                          <w:marRight w:val="0"/>
                          <w:marTop w:val="0"/>
                          <w:marBottom w:val="0"/>
                          <w:divBdr>
                            <w:top w:val="none" w:sz="0" w:space="0" w:color="auto"/>
                            <w:left w:val="none" w:sz="0" w:space="0" w:color="auto"/>
                            <w:bottom w:val="none" w:sz="0" w:space="0" w:color="auto"/>
                            <w:right w:val="none" w:sz="0" w:space="0" w:color="auto"/>
                          </w:divBdr>
                          <w:divsChild>
                            <w:div w:id="13689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21738">
      <w:bodyDiv w:val="1"/>
      <w:marLeft w:val="0"/>
      <w:marRight w:val="0"/>
      <w:marTop w:val="0"/>
      <w:marBottom w:val="0"/>
      <w:divBdr>
        <w:top w:val="none" w:sz="0" w:space="0" w:color="auto"/>
        <w:left w:val="none" w:sz="0" w:space="0" w:color="auto"/>
        <w:bottom w:val="none" w:sz="0" w:space="0" w:color="auto"/>
        <w:right w:val="none" w:sz="0" w:space="0" w:color="auto"/>
      </w:divBdr>
    </w:div>
    <w:div w:id="1882279584">
      <w:bodyDiv w:val="1"/>
      <w:marLeft w:val="0"/>
      <w:marRight w:val="0"/>
      <w:marTop w:val="0"/>
      <w:marBottom w:val="0"/>
      <w:divBdr>
        <w:top w:val="none" w:sz="0" w:space="0" w:color="auto"/>
        <w:left w:val="none" w:sz="0" w:space="0" w:color="auto"/>
        <w:bottom w:val="none" w:sz="0" w:space="0" w:color="auto"/>
        <w:right w:val="none" w:sz="0" w:space="0" w:color="auto"/>
      </w:divBdr>
    </w:div>
    <w:div w:id="1905332105">
      <w:bodyDiv w:val="1"/>
      <w:marLeft w:val="0"/>
      <w:marRight w:val="0"/>
      <w:marTop w:val="0"/>
      <w:marBottom w:val="0"/>
      <w:divBdr>
        <w:top w:val="none" w:sz="0" w:space="0" w:color="auto"/>
        <w:left w:val="none" w:sz="0" w:space="0" w:color="auto"/>
        <w:bottom w:val="none" w:sz="0" w:space="0" w:color="auto"/>
        <w:right w:val="none" w:sz="0" w:space="0" w:color="auto"/>
      </w:divBdr>
      <w:divsChild>
        <w:div w:id="314258923">
          <w:marLeft w:val="0"/>
          <w:marRight w:val="0"/>
          <w:marTop w:val="0"/>
          <w:marBottom w:val="0"/>
          <w:divBdr>
            <w:top w:val="none" w:sz="0" w:space="0" w:color="auto"/>
            <w:left w:val="none" w:sz="0" w:space="0" w:color="auto"/>
            <w:bottom w:val="none" w:sz="0" w:space="0" w:color="auto"/>
            <w:right w:val="none" w:sz="0" w:space="0" w:color="auto"/>
          </w:divBdr>
        </w:div>
        <w:div w:id="595793971">
          <w:marLeft w:val="0"/>
          <w:marRight w:val="0"/>
          <w:marTop w:val="0"/>
          <w:marBottom w:val="0"/>
          <w:divBdr>
            <w:top w:val="none" w:sz="0" w:space="0" w:color="auto"/>
            <w:left w:val="none" w:sz="0" w:space="0" w:color="auto"/>
            <w:bottom w:val="none" w:sz="0" w:space="0" w:color="auto"/>
            <w:right w:val="none" w:sz="0" w:space="0" w:color="auto"/>
          </w:divBdr>
        </w:div>
      </w:divsChild>
    </w:div>
    <w:div w:id="1950620708">
      <w:bodyDiv w:val="1"/>
      <w:marLeft w:val="0"/>
      <w:marRight w:val="0"/>
      <w:marTop w:val="0"/>
      <w:marBottom w:val="0"/>
      <w:divBdr>
        <w:top w:val="none" w:sz="0" w:space="0" w:color="auto"/>
        <w:left w:val="none" w:sz="0" w:space="0" w:color="auto"/>
        <w:bottom w:val="none" w:sz="0" w:space="0" w:color="auto"/>
        <w:right w:val="none" w:sz="0" w:space="0" w:color="auto"/>
      </w:divBdr>
    </w:div>
    <w:div w:id="2051299271">
      <w:bodyDiv w:val="1"/>
      <w:marLeft w:val="0"/>
      <w:marRight w:val="0"/>
      <w:marTop w:val="0"/>
      <w:marBottom w:val="0"/>
      <w:divBdr>
        <w:top w:val="none" w:sz="0" w:space="0" w:color="auto"/>
        <w:left w:val="none" w:sz="0" w:space="0" w:color="auto"/>
        <w:bottom w:val="none" w:sz="0" w:space="0" w:color="auto"/>
        <w:right w:val="none" w:sz="0" w:space="0" w:color="auto"/>
      </w:divBdr>
    </w:div>
    <w:div w:id="2068676577">
      <w:bodyDiv w:val="1"/>
      <w:marLeft w:val="0"/>
      <w:marRight w:val="0"/>
      <w:marTop w:val="0"/>
      <w:marBottom w:val="0"/>
      <w:divBdr>
        <w:top w:val="none" w:sz="0" w:space="0" w:color="auto"/>
        <w:left w:val="none" w:sz="0" w:space="0" w:color="auto"/>
        <w:bottom w:val="none" w:sz="0" w:space="0" w:color="auto"/>
        <w:right w:val="none" w:sz="0" w:space="0" w:color="auto"/>
      </w:divBdr>
    </w:div>
    <w:div w:id="2095861215">
      <w:bodyDiv w:val="1"/>
      <w:marLeft w:val="0"/>
      <w:marRight w:val="0"/>
      <w:marTop w:val="0"/>
      <w:marBottom w:val="0"/>
      <w:divBdr>
        <w:top w:val="none" w:sz="0" w:space="0" w:color="auto"/>
        <w:left w:val="none" w:sz="0" w:space="0" w:color="auto"/>
        <w:bottom w:val="none" w:sz="0" w:space="0" w:color="auto"/>
        <w:right w:val="none" w:sz="0" w:space="0" w:color="auto"/>
      </w:divBdr>
      <w:divsChild>
        <w:div w:id="590938813">
          <w:marLeft w:val="0"/>
          <w:marRight w:val="0"/>
          <w:marTop w:val="0"/>
          <w:marBottom w:val="0"/>
          <w:divBdr>
            <w:top w:val="none" w:sz="0" w:space="0" w:color="auto"/>
            <w:left w:val="none" w:sz="0" w:space="0" w:color="auto"/>
            <w:bottom w:val="none" w:sz="0" w:space="0" w:color="auto"/>
            <w:right w:val="none" w:sz="0" w:space="0" w:color="auto"/>
          </w:divBdr>
          <w:divsChild>
            <w:div w:id="317999033">
              <w:marLeft w:val="0"/>
              <w:marRight w:val="0"/>
              <w:marTop w:val="0"/>
              <w:marBottom w:val="0"/>
              <w:divBdr>
                <w:top w:val="none" w:sz="0" w:space="0" w:color="auto"/>
                <w:left w:val="none" w:sz="0" w:space="0" w:color="auto"/>
                <w:bottom w:val="none" w:sz="0" w:space="0" w:color="auto"/>
                <w:right w:val="none" w:sz="0" w:space="0" w:color="auto"/>
              </w:divBdr>
              <w:divsChild>
                <w:div w:id="961494491">
                  <w:marLeft w:val="0"/>
                  <w:marRight w:val="0"/>
                  <w:marTop w:val="0"/>
                  <w:marBottom w:val="0"/>
                  <w:divBdr>
                    <w:top w:val="none" w:sz="0" w:space="0" w:color="auto"/>
                    <w:left w:val="none" w:sz="0" w:space="0" w:color="auto"/>
                    <w:bottom w:val="none" w:sz="0" w:space="0" w:color="auto"/>
                    <w:right w:val="none" w:sz="0" w:space="0" w:color="auto"/>
                  </w:divBdr>
                  <w:divsChild>
                    <w:div w:id="90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7322">
          <w:marLeft w:val="0"/>
          <w:marRight w:val="0"/>
          <w:marTop w:val="0"/>
          <w:marBottom w:val="0"/>
          <w:divBdr>
            <w:top w:val="none" w:sz="0" w:space="0" w:color="auto"/>
            <w:left w:val="none" w:sz="0" w:space="0" w:color="auto"/>
            <w:bottom w:val="none" w:sz="0" w:space="0" w:color="auto"/>
            <w:right w:val="none" w:sz="0" w:space="0" w:color="auto"/>
          </w:divBdr>
          <w:divsChild>
            <w:div w:id="1232277871">
              <w:marLeft w:val="0"/>
              <w:marRight w:val="0"/>
              <w:marTop w:val="0"/>
              <w:marBottom w:val="0"/>
              <w:divBdr>
                <w:top w:val="none" w:sz="0" w:space="0" w:color="auto"/>
                <w:left w:val="none" w:sz="0" w:space="0" w:color="auto"/>
                <w:bottom w:val="none" w:sz="0" w:space="0" w:color="auto"/>
                <w:right w:val="none" w:sz="0" w:space="0" w:color="auto"/>
              </w:divBdr>
              <w:divsChild>
                <w:div w:id="1599093766">
                  <w:marLeft w:val="0"/>
                  <w:marRight w:val="0"/>
                  <w:marTop w:val="0"/>
                  <w:marBottom w:val="0"/>
                  <w:divBdr>
                    <w:top w:val="none" w:sz="0" w:space="0" w:color="auto"/>
                    <w:left w:val="none" w:sz="0" w:space="0" w:color="auto"/>
                    <w:bottom w:val="none" w:sz="0" w:space="0" w:color="auto"/>
                    <w:right w:val="none" w:sz="0" w:space="0" w:color="auto"/>
                  </w:divBdr>
                  <w:divsChild>
                    <w:div w:id="27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cnbcindonesia.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7754</Words>
  <Characters>44201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Zahwa Annisa Rani</dc:creator>
  <cp:lastModifiedBy>Windows User</cp:lastModifiedBy>
  <cp:revision>2</cp:revision>
  <cp:lastPrinted>2025-02-07T02:09:00Z</cp:lastPrinted>
  <dcterms:created xsi:type="dcterms:W3CDTF">2025-02-07T02:11:00Z</dcterms:created>
  <dcterms:modified xsi:type="dcterms:W3CDTF">2025-02-07T02:11:00Z</dcterms:modified>
</cp:coreProperties>
</file>