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417B0" w14:textId="690B0853" w:rsidR="00C842E8" w:rsidRDefault="00C842E8" w:rsidP="00957A2F">
      <w:pPr>
        <w:pBdr>
          <w:top w:val="nil"/>
          <w:left w:val="nil"/>
          <w:bottom w:val="nil"/>
          <w:right w:val="nil"/>
          <w:between w:val="nil"/>
        </w:pBdr>
        <w:spacing w:line="276" w:lineRule="auto"/>
        <w:ind w:hanging="2"/>
        <w:rPr>
          <w:b/>
          <w:sz w:val="20"/>
          <w:szCs w:val="20"/>
          <w:lang w:val="en-US"/>
        </w:rPr>
      </w:pPr>
      <w:r w:rsidRPr="00A71E9E">
        <w:rPr>
          <w:noProof/>
          <w:lang w:val="en-US"/>
        </w:rPr>
        <mc:AlternateContent>
          <mc:Choice Requires="wps">
            <w:drawing>
              <wp:anchor distT="0" distB="0" distL="114300" distR="114300" simplePos="0" relativeHeight="251659264" behindDoc="0" locked="0" layoutInCell="1" allowOverlap="1" wp14:anchorId="376A04DF" wp14:editId="7949A66A">
                <wp:simplePos x="0" y="0"/>
                <wp:positionH relativeFrom="column">
                  <wp:posOffset>0</wp:posOffset>
                </wp:positionH>
                <wp:positionV relativeFrom="paragraph">
                  <wp:posOffset>0</wp:posOffset>
                </wp:positionV>
                <wp:extent cx="635000" cy="635000"/>
                <wp:effectExtent l="0" t="0" r="0" b="0"/>
                <wp:wrapNone/>
                <wp:docPr id="1"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F2C9F" id="AutoShap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Pr="00A71E9E">
        <w:rPr>
          <w:b/>
          <w:sz w:val="20"/>
          <w:szCs w:val="20"/>
          <w:lang w:val="en-US"/>
        </w:rPr>
        <w:t>Please provide complete authors Information</w:t>
      </w:r>
    </w:p>
    <w:p w14:paraId="48C77DE6" w14:textId="77777777" w:rsidR="00EA7B7D" w:rsidRPr="00A71E9E" w:rsidRDefault="00EA7B7D" w:rsidP="00957A2F">
      <w:pPr>
        <w:pBdr>
          <w:top w:val="nil"/>
          <w:left w:val="nil"/>
          <w:bottom w:val="nil"/>
          <w:right w:val="nil"/>
          <w:between w:val="nil"/>
        </w:pBdr>
        <w:spacing w:line="276" w:lineRule="auto"/>
        <w:ind w:hanging="2"/>
        <w:rPr>
          <w:b/>
          <w:sz w:val="20"/>
          <w:szCs w:val="20"/>
          <w:lang w:val="en-US"/>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213"/>
        <w:gridCol w:w="1275"/>
        <w:gridCol w:w="1418"/>
        <w:gridCol w:w="992"/>
        <w:gridCol w:w="1559"/>
      </w:tblGrid>
      <w:tr w:rsidR="00EA7B7D" w:rsidRPr="00EA7B7D" w14:paraId="6C761C39" w14:textId="24C6B00B" w:rsidTr="00C26E11">
        <w:tc>
          <w:tcPr>
            <w:tcW w:w="1605" w:type="dxa"/>
            <w:shd w:val="clear" w:color="auto" w:fill="auto"/>
            <w:tcMar>
              <w:top w:w="100" w:type="dxa"/>
              <w:left w:w="100" w:type="dxa"/>
              <w:bottom w:w="100" w:type="dxa"/>
              <w:right w:w="100" w:type="dxa"/>
            </w:tcMar>
          </w:tcPr>
          <w:p w14:paraId="5EBDA137" w14:textId="77777777" w:rsidR="00EA7B7D" w:rsidRPr="00EA7B7D" w:rsidRDefault="00EA7B7D" w:rsidP="00EA7B7D">
            <w:pPr>
              <w:spacing w:line="360" w:lineRule="auto"/>
              <w:ind w:hanging="2"/>
              <w:jc w:val="center"/>
              <w:rPr>
                <w:b/>
                <w:sz w:val="22"/>
                <w:szCs w:val="22"/>
                <w:lang w:val="en-US"/>
              </w:rPr>
            </w:pPr>
          </w:p>
        </w:tc>
        <w:tc>
          <w:tcPr>
            <w:tcW w:w="2213" w:type="dxa"/>
            <w:shd w:val="clear" w:color="auto" w:fill="auto"/>
            <w:tcMar>
              <w:top w:w="100" w:type="dxa"/>
              <w:left w:w="100" w:type="dxa"/>
              <w:bottom w:w="100" w:type="dxa"/>
              <w:right w:w="100" w:type="dxa"/>
            </w:tcMar>
          </w:tcPr>
          <w:p w14:paraId="2BDE9293" w14:textId="22884F5E" w:rsidR="00EA7B7D" w:rsidRPr="00EA7B7D" w:rsidRDefault="00EA7B7D" w:rsidP="00EA7B7D">
            <w:pPr>
              <w:spacing w:line="360" w:lineRule="auto"/>
              <w:ind w:hanging="2"/>
              <w:jc w:val="center"/>
              <w:rPr>
                <w:sz w:val="22"/>
                <w:szCs w:val="22"/>
                <w:lang w:val="en-US"/>
              </w:rPr>
            </w:pPr>
            <w:r w:rsidRPr="00EA7B7D">
              <w:rPr>
                <w:sz w:val="22"/>
                <w:szCs w:val="22"/>
                <w:lang w:val="en-US"/>
              </w:rPr>
              <w:t>1</w:t>
            </w:r>
            <w:r w:rsidRPr="00EA7B7D">
              <w:rPr>
                <w:sz w:val="22"/>
                <w:szCs w:val="22"/>
                <w:vertAlign w:val="superscript"/>
                <w:lang w:val="en-US"/>
              </w:rPr>
              <w:t>st</w:t>
            </w:r>
            <w:r w:rsidRPr="00EA7B7D">
              <w:rPr>
                <w:sz w:val="22"/>
                <w:szCs w:val="22"/>
                <w:lang w:val="en-US"/>
              </w:rPr>
              <w:t xml:space="preserve"> Author</w:t>
            </w:r>
          </w:p>
        </w:tc>
        <w:tc>
          <w:tcPr>
            <w:tcW w:w="1275" w:type="dxa"/>
          </w:tcPr>
          <w:p w14:paraId="72B934F3" w14:textId="51D9EF32" w:rsidR="00EA7B7D" w:rsidRPr="00EA7B7D" w:rsidRDefault="00EA7B7D" w:rsidP="00EA7B7D">
            <w:pPr>
              <w:spacing w:line="360" w:lineRule="auto"/>
              <w:ind w:hanging="2"/>
              <w:jc w:val="center"/>
              <w:rPr>
                <w:sz w:val="22"/>
                <w:szCs w:val="22"/>
                <w:lang w:val="en-US"/>
              </w:rPr>
            </w:pPr>
            <w:r w:rsidRPr="00EA7B7D">
              <w:rPr>
                <w:sz w:val="22"/>
                <w:szCs w:val="22"/>
                <w:lang w:val="en-US"/>
              </w:rPr>
              <w:t>2</w:t>
            </w:r>
            <w:r w:rsidRPr="00EA7B7D">
              <w:rPr>
                <w:sz w:val="22"/>
                <w:szCs w:val="22"/>
                <w:vertAlign w:val="superscript"/>
                <w:lang w:val="en-US"/>
              </w:rPr>
              <w:t>nd</w:t>
            </w:r>
            <w:r w:rsidRPr="00EA7B7D">
              <w:rPr>
                <w:sz w:val="22"/>
                <w:szCs w:val="22"/>
                <w:lang w:val="en-US"/>
              </w:rPr>
              <w:t xml:space="preserve"> Author</w:t>
            </w:r>
          </w:p>
        </w:tc>
        <w:tc>
          <w:tcPr>
            <w:tcW w:w="1418" w:type="dxa"/>
          </w:tcPr>
          <w:p w14:paraId="37EFF2C2" w14:textId="124E58B0" w:rsidR="00EA7B7D" w:rsidRPr="00EA7B7D" w:rsidRDefault="00EA7B7D" w:rsidP="00EA7B7D">
            <w:pPr>
              <w:spacing w:line="360" w:lineRule="auto"/>
              <w:ind w:hanging="2"/>
              <w:jc w:val="center"/>
              <w:rPr>
                <w:sz w:val="22"/>
                <w:szCs w:val="22"/>
                <w:lang w:val="en-US"/>
              </w:rPr>
            </w:pPr>
            <w:r w:rsidRPr="00EA7B7D">
              <w:rPr>
                <w:sz w:val="22"/>
                <w:szCs w:val="22"/>
                <w:lang w:val="en-US"/>
              </w:rPr>
              <w:t>3</w:t>
            </w:r>
            <w:r w:rsidRPr="00EA7B7D">
              <w:rPr>
                <w:sz w:val="22"/>
                <w:szCs w:val="22"/>
                <w:vertAlign w:val="superscript"/>
                <w:lang w:val="en-US"/>
              </w:rPr>
              <w:t>rd</w:t>
            </w:r>
            <w:r w:rsidRPr="00EA7B7D">
              <w:rPr>
                <w:sz w:val="22"/>
                <w:szCs w:val="22"/>
                <w:lang w:val="en-US"/>
              </w:rPr>
              <w:t xml:space="preserve"> Author</w:t>
            </w:r>
          </w:p>
        </w:tc>
        <w:tc>
          <w:tcPr>
            <w:tcW w:w="992" w:type="dxa"/>
          </w:tcPr>
          <w:p w14:paraId="577C9518" w14:textId="67C8CB2F" w:rsidR="00EA7B7D" w:rsidRPr="00EA7B7D" w:rsidRDefault="00EA7B7D" w:rsidP="00EA7B7D">
            <w:pPr>
              <w:spacing w:line="360" w:lineRule="auto"/>
              <w:ind w:hanging="2"/>
              <w:jc w:val="center"/>
              <w:rPr>
                <w:sz w:val="22"/>
                <w:szCs w:val="22"/>
                <w:lang w:val="en-US"/>
              </w:rPr>
            </w:pPr>
            <w:r w:rsidRPr="00EA7B7D">
              <w:rPr>
                <w:sz w:val="22"/>
                <w:szCs w:val="22"/>
                <w:lang w:val="en-US"/>
              </w:rPr>
              <w:t>4</w:t>
            </w:r>
            <w:r w:rsidRPr="00EA7B7D">
              <w:rPr>
                <w:sz w:val="22"/>
                <w:szCs w:val="22"/>
                <w:vertAlign w:val="superscript"/>
                <w:lang w:val="en-US"/>
              </w:rPr>
              <w:t>rd</w:t>
            </w:r>
            <w:r w:rsidRPr="00EA7B7D">
              <w:rPr>
                <w:sz w:val="22"/>
                <w:szCs w:val="22"/>
                <w:lang w:val="en-US"/>
              </w:rPr>
              <w:t xml:space="preserve"> Author</w:t>
            </w:r>
          </w:p>
        </w:tc>
        <w:tc>
          <w:tcPr>
            <w:tcW w:w="1559" w:type="dxa"/>
          </w:tcPr>
          <w:p w14:paraId="755C590E" w14:textId="744448EE" w:rsidR="00EA7B7D" w:rsidRPr="00EA7B7D" w:rsidRDefault="00EA7B7D" w:rsidP="00EA7B7D">
            <w:pPr>
              <w:spacing w:line="360" w:lineRule="auto"/>
              <w:ind w:hanging="2"/>
              <w:jc w:val="center"/>
              <w:rPr>
                <w:sz w:val="22"/>
                <w:szCs w:val="22"/>
                <w:lang w:val="en-US"/>
              </w:rPr>
            </w:pPr>
            <w:r w:rsidRPr="00EA7B7D">
              <w:rPr>
                <w:sz w:val="22"/>
                <w:szCs w:val="22"/>
                <w:lang w:val="en-US"/>
              </w:rPr>
              <w:t>etc.</w:t>
            </w:r>
          </w:p>
        </w:tc>
      </w:tr>
      <w:tr w:rsidR="00EA7B7D" w:rsidRPr="00EA7B7D" w14:paraId="5A3D90BF" w14:textId="72D15DBA" w:rsidTr="00C26E11">
        <w:tc>
          <w:tcPr>
            <w:tcW w:w="1605" w:type="dxa"/>
            <w:shd w:val="clear" w:color="auto" w:fill="auto"/>
            <w:tcMar>
              <w:top w:w="100" w:type="dxa"/>
              <w:left w:w="100" w:type="dxa"/>
              <w:bottom w:w="100" w:type="dxa"/>
              <w:right w:w="100" w:type="dxa"/>
            </w:tcMar>
          </w:tcPr>
          <w:p w14:paraId="0A25AC20" w14:textId="77777777" w:rsidR="00EA7B7D" w:rsidRPr="00EA7B7D" w:rsidRDefault="00EA7B7D" w:rsidP="00BF32DC">
            <w:pPr>
              <w:spacing w:line="360" w:lineRule="auto"/>
              <w:ind w:hanging="2"/>
              <w:rPr>
                <w:b/>
                <w:sz w:val="22"/>
                <w:szCs w:val="22"/>
                <w:lang w:val="en-US"/>
              </w:rPr>
            </w:pPr>
            <w:r w:rsidRPr="00EA7B7D">
              <w:rPr>
                <w:b/>
                <w:sz w:val="22"/>
                <w:szCs w:val="22"/>
                <w:lang w:val="en-US"/>
              </w:rPr>
              <w:t xml:space="preserve">*Title </w:t>
            </w:r>
          </w:p>
          <w:p w14:paraId="6248ED03" w14:textId="77777777" w:rsidR="00EA7B7D" w:rsidRPr="00EA7B7D" w:rsidRDefault="00EA7B7D" w:rsidP="00BF32DC">
            <w:pPr>
              <w:spacing w:line="360" w:lineRule="auto"/>
              <w:ind w:hanging="2"/>
              <w:rPr>
                <w:b/>
                <w:sz w:val="22"/>
                <w:szCs w:val="22"/>
                <w:lang w:val="en-US"/>
              </w:rPr>
            </w:pPr>
            <w:r w:rsidRPr="00EA7B7D">
              <w:rPr>
                <w:sz w:val="22"/>
                <w:szCs w:val="22"/>
                <w:lang w:val="en-US"/>
              </w:rPr>
              <w:t>(Prof, Dr, or?)</w:t>
            </w:r>
          </w:p>
        </w:tc>
        <w:tc>
          <w:tcPr>
            <w:tcW w:w="2213" w:type="dxa"/>
            <w:shd w:val="clear" w:color="auto" w:fill="auto"/>
            <w:tcMar>
              <w:top w:w="100" w:type="dxa"/>
              <w:left w:w="100" w:type="dxa"/>
              <w:bottom w:w="100" w:type="dxa"/>
              <w:right w:w="100" w:type="dxa"/>
            </w:tcMar>
          </w:tcPr>
          <w:p w14:paraId="22B97E6F" w14:textId="4A816F76" w:rsidR="00EA7B7D" w:rsidRPr="00EA7B7D" w:rsidRDefault="00EA7B7D" w:rsidP="00BF32DC">
            <w:pPr>
              <w:spacing w:line="360" w:lineRule="auto"/>
              <w:ind w:hanging="2"/>
              <w:rPr>
                <w:bCs/>
                <w:sz w:val="22"/>
                <w:szCs w:val="22"/>
                <w:lang w:val="en-US"/>
              </w:rPr>
            </w:pPr>
          </w:p>
        </w:tc>
        <w:tc>
          <w:tcPr>
            <w:tcW w:w="1275" w:type="dxa"/>
          </w:tcPr>
          <w:p w14:paraId="6C96D6B0" w14:textId="629DE226" w:rsidR="00EA7B7D" w:rsidRPr="00EA7B7D" w:rsidRDefault="00EA7B7D" w:rsidP="00BF32DC">
            <w:pPr>
              <w:spacing w:line="360" w:lineRule="auto"/>
              <w:ind w:hanging="2"/>
              <w:rPr>
                <w:bCs/>
                <w:sz w:val="22"/>
                <w:szCs w:val="22"/>
                <w:lang w:val="en-US"/>
              </w:rPr>
            </w:pPr>
          </w:p>
        </w:tc>
        <w:tc>
          <w:tcPr>
            <w:tcW w:w="1418" w:type="dxa"/>
          </w:tcPr>
          <w:p w14:paraId="52988585" w14:textId="5DF9B54D" w:rsidR="00EA7B7D" w:rsidRPr="00EA7B7D" w:rsidRDefault="00EA7B7D" w:rsidP="00BF32DC">
            <w:pPr>
              <w:spacing w:line="360" w:lineRule="auto"/>
              <w:ind w:hanging="2"/>
              <w:rPr>
                <w:bCs/>
                <w:sz w:val="22"/>
                <w:szCs w:val="22"/>
                <w:lang w:val="en-US"/>
              </w:rPr>
            </w:pPr>
          </w:p>
        </w:tc>
        <w:tc>
          <w:tcPr>
            <w:tcW w:w="992" w:type="dxa"/>
          </w:tcPr>
          <w:p w14:paraId="392F8BB9" w14:textId="77777777" w:rsidR="00EA7B7D" w:rsidRPr="00EA7B7D" w:rsidRDefault="00EA7B7D" w:rsidP="00BF32DC">
            <w:pPr>
              <w:spacing w:line="360" w:lineRule="auto"/>
              <w:ind w:hanging="2"/>
              <w:rPr>
                <w:bCs/>
                <w:sz w:val="22"/>
                <w:szCs w:val="22"/>
                <w:lang w:val="en-US"/>
              </w:rPr>
            </w:pPr>
          </w:p>
        </w:tc>
        <w:tc>
          <w:tcPr>
            <w:tcW w:w="1559" w:type="dxa"/>
          </w:tcPr>
          <w:p w14:paraId="65059B22" w14:textId="77777777" w:rsidR="00EA7B7D" w:rsidRPr="00EA7B7D" w:rsidRDefault="00EA7B7D" w:rsidP="00BF32DC">
            <w:pPr>
              <w:spacing w:line="360" w:lineRule="auto"/>
              <w:ind w:hanging="2"/>
              <w:rPr>
                <w:bCs/>
                <w:sz w:val="22"/>
                <w:szCs w:val="22"/>
                <w:lang w:val="en-US"/>
              </w:rPr>
            </w:pPr>
          </w:p>
        </w:tc>
      </w:tr>
      <w:tr w:rsidR="00EA7B7D" w:rsidRPr="00EA7B7D" w14:paraId="1DAE983F" w14:textId="231D5D37" w:rsidTr="00C26E11">
        <w:tc>
          <w:tcPr>
            <w:tcW w:w="1605" w:type="dxa"/>
            <w:shd w:val="clear" w:color="auto" w:fill="auto"/>
            <w:tcMar>
              <w:top w:w="100" w:type="dxa"/>
              <w:left w:w="100" w:type="dxa"/>
              <w:bottom w:w="100" w:type="dxa"/>
              <w:right w:w="100" w:type="dxa"/>
            </w:tcMar>
          </w:tcPr>
          <w:p w14:paraId="06E6CF00" w14:textId="259BCBBF" w:rsidR="00EA7B7D" w:rsidRPr="00EA7B7D" w:rsidRDefault="00EA7B7D" w:rsidP="00BF32DC">
            <w:pPr>
              <w:spacing w:line="360" w:lineRule="auto"/>
              <w:ind w:hanging="2"/>
              <w:rPr>
                <w:b/>
                <w:sz w:val="22"/>
                <w:szCs w:val="22"/>
                <w:lang w:val="en-US"/>
              </w:rPr>
            </w:pPr>
            <w:r w:rsidRPr="00EA7B7D">
              <w:rPr>
                <w:b/>
                <w:sz w:val="22"/>
                <w:szCs w:val="22"/>
                <w:lang w:val="en-US"/>
              </w:rPr>
              <w:t>*</w:t>
            </w:r>
            <w:r w:rsidR="003B1F2C">
              <w:rPr>
                <w:b/>
                <w:sz w:val="22"/>
                <w:szCs w:val="22"/>
                <w:lang w:val="en-US"/>
              </w:rPr>
              <w:t xml:space="preserve">Full  </w:t>
            </w:r>
            <w:r w:rsidRPr="00EA7B7D">
              <w:rPr>
                <w:b/>
                <w:sz w:val="22"/>
                <w:szCs w:val="22"/>
                <w:lang w:val="en-US"/>
              </w:rPr>
              <w:t>Name</w:t>
            </w:r>
          </w:p>
          <w:p w14:paraId="5F9FDDC8" w14:textId="77777777" w:rsidR="00EA7B7D" w:rsidRPr="00EA7B7D" w:rsidRDefault="00EA7B7D" w:rsidP="00BF32DC">
            <w:pPr>
              <w:spacing w:line="360" w:lineRule="auto"/>
              <w:ind w:hanging="2"/>
              <w:rPr>
                <w:b/>
                <w:sz w:val="22"/>
                <w:szCs w:val="22"/>
                <w:lang w:val="en-US"/>
              </w:rPr>
            </w:pPr>
            <w:r w:rsidRPr="00EA7B7D">
              <w:rPr>
                <w:sz w:val="22"/>
                <w:szCs w:val="22"/>
                <w:lang w:val="en-US"/>
              </w:rPr>
              <w:t>(Firs, Middle, Last)</w:t>
            </w:r>
          </w:p>
        </w:tc>
        <w:tc>
          <w:tcPr>
            <w:tcW w:w="2213" w:type="dxa"/>
            <w:shd w:val="clear" w:color="auto" w:fill="auto"/>
            <w:tcMar>
              <w:top w:w="100" w:type="dxa"/>
              <w:left w:w="100" w:type="dxa"/>
              <w:bottom w:w="100" w:type="dxa"/>
              <w:right w:w="100" w:type="dxa"/>
            </w:tcMar>
          </w:tcPr>
          <w:p w14:paraId="130C36FF" w14:textId="0CEDCB32" w:rsidR="00EA7B7D" w:rsidRPr="00EA7B7D" w:rsidRDefault="0095004A" w:rsidP="00BF32DC">
            <w:pPr>
              <w:spacing w:line="360" w:lineRule="auto"/>
              <w:ind w:hanging="2"/>
              <w:rPr>
                <w:bCs/>
                <w:sz w:val="22"/>
                <w:szCs w:val="22"/>
                <w:lang w:val="en-US"/>
              </w:rPr>
            </w:pPr>
            <w:r>
              <w:rPr>
                <w:bCs/>
                <w:sz w:val="22"/>
                <w:szCs w:val="22"/>
                <w:lang w:val="en-US"/>
              </w:rPr>
              <w:t>Chandra Siti Suminar</w:t>
            </w:r>
          </w:p>
        </w:tc>
        <w:tc>
          <w:tcPr>
            <w:tcW w:w="1275" w:type="dxa"/>
          </w:tcPr>
          <w:p w14:paraId="1582A57E" w14:textId="785E02A7" w:rsidR="00EA7B7D" w:rsidRPr="00EA7B7D" w:rsidRDefault="00C26E11" w:rsidP="00BF32DC">
            <w:pPr>
              <w:spacing w:line="360" w:lineRule="auto"/>
              <w:ind w:hanging="2"/>
              <w:rPr>
                <w:bCs/>
                <w:sz w:val="22"/>
                <w:szCs w:val="22"/>
                <w:lang w:val="en-US"/>
              </w:rPr>
            </w:pPr>
            <w:r w:rsidRPr="00820FC2">
              <w:t>H. Bana G Kartasasmita</w:t>
            </w:r>
            <w:r w:rsidRPr="00820FC2">
              <w:tab/>
            </w:r>
          </w:p>
        </w:tc>
        <w:tc>
          <w:tcPr>
            <w:tcW w:w="1418" w:type="dxa"/>
          </w:tcPr>
          <w:p w14:paraId="2E50CD80" w14:textId="388426CD" w:rsidR="00C26E11" w:rsidRPr="00820FC2" w:rsidRDefault="00C26E11" w:rsidP="00C26E11">
            <w:pPr>
              <w:autoSpaceDE w:val="0"/>
              <w:autoSpaceDN w:val="0"/>
              <w:adjustRightInd w:val="0"/>
              <w:spacing w:line="276" w:lineRule="auto"/>
            </w:pPr>
            <w:r w:rsidRPr="00820FC2">
              <w:t>Eka Firmansyah</w:t>
            </w:r>
          </w:p>
          <w:p w14:paraId="00F0987A" w14:textId="29C2DA34" w:rsidR="00EA7B7D" w:rsidRPr="00EA7B7D" w:rsidRDefault="00EA7B7D" w:rsidP="00BF32DC">
            <w:pPr>
              <w:spacing w:line="360" w:lineRule="auto"/>
              <w:ind w:hanging="2"/>
              <w:rPr>
                <w:bCs/>
                <w:sz w:val="22"/>
                <w:szCs w:val="22"/>
                <w:lang w:val="en-US"/>
              </w:rPr>
            </w:pPr>
          </w:p>
        </w:tc>
        <w:tc>
          <w:tcPr>
            <w:tcW w:w="992" w:type="dxa"/>
          </w:tcPr>
          <w:p w14:paraId="3185FF92" w14:textId="77777777" w:rsidR="00EA7B7D" w:rsidRPr="00EA7B7D" w:rsidRDefault="00EA7B7D" w:rsidP="00BF32DC">
            <w:pPr>
              <w:spacing w:line="360" w:lineRule="auto"/>
              <w:ind w:hanging="2"/>
              <w:rPr>
                <w:bCs/>
                <w:sz w:val="22"/>
                <w:szCs w:val="22"/>
                <w:lang w:val="en-US"/>
              </w:rPr>
            </w:pPr>
          </w:p>
        </w:tc>
        <w:tc>
          <w:tcPr>
            <w:tcW w:w="1559" w:type="dxa"/>
          </w:tcPr>
          <w:p w14:paraId="388DD61B" w14:textId="77777777" w:rsidR="00EA7B7D" w:rsidRPr="00EA7B7D" w:rsidRDefault="00EA7B7D" w:rsidP="00BF32DC">
            <w:pPr>
              <w:spacing w:line="360" w:lineRule="auto"/>
              <w:ind w:hanging="2"/>
              <w:rPr>
                <w:bCs/>
                <w:sz w:val="22"/>
                <w:szCs w:val="22"/>
                <w:lang w:val="en-US"/>
              </w:rPr>
            </w:pPr>
          </w:p>
        </w:tc>
      </w:tr>
      <w:tr w:rsidR="00EA7B7D" w:rsidRPr="00EA7B7D" w14:paraId="3441D515" w14:textId="345B9C75" w:rsidTr="00C26E11">
        <w:tc>
          <w:tcPr>
            <w:tcW w:w="1605" w:type="dxa"/>
            <w:shd w:val="clear" w:color="auto" w:fill="auto"/>
            <w:tcMar>
              <w:top w:w="100" w:type="dxa"/>
              <w:left w:w="100" w:type="dxa"/>
              <w:bottom w:w="100" w:type="dxa"/>
              <w:right w:w="100" w:type="dxa"/>
            </w:tcMar>
          </w:tcPr>
          <w:p w14:paraId="4E137756" w14:textId="54F1C9CB" w:rsidR="00EA7B7D" w:rsidRPr="00EA7B7D" w:rsidRDefault="00EA7B7D" w:rsidP="00BF32DC">
            <w:pPr>
              <w:spacing w:line="360" w:lineRule="auto"/>
              <w:ind w:hanging="2"/>
              <w:rPr>
                <w:b/>
                <w:sz w:val="22"/>
                <w:szCs w:val="22"/>
                <w:lang w:val="en-US"/>
              </w:rPr>
            </w:pPr>
            <w:r w:rsidRPr="00EA7B7D">
              <w:rPr>
                <w:b/>
                <w:sz w:val="22"/>
                <w:szCs w:val="22"/>
                <w:lang w:val="en-US"/>
              </w:rPr>
              <w:t>*Department, University, City, and Country</w:t>
            </w:r>
          </w:p>
        </w:tc>
        <w:tc>
          <w:tcPr>
            <w:tcW w:w="2213" w:type="dxa"/>
            <w:shd w:val="clear" w:color="auto" w:fill="auto"/>
            <w:tcMar>
              <w:top w:w="100" w:type="dxa"/>
              <w:left w:w="100" w:type="dxa"/>
              <w:bottom w:w="100" w:type="dxa"/>
              <w:right w:w="100" w:type="dxa"/>
            </w:tcMar>
          </w:tcPr>
          <w:p w14:paraId="5BD5FEE6" w14:textId="2C4B072A" w:rsidR="00EA7B7D" w:rsidRPr="00EA7B7D" w:rsidRDefault="00C26E11" w:rsidP="00BF32DC">
            <w:pPr>
              <w:spacing w:line="360" w:lineRule="auto"/>
              <w:ind w:hanging="2"/>
              <w:rPr>
                <w:bCs/>
                <w:sz w:val="22"/>
                <w:szCs w:val="22"/>
                <w:lang w:val="en-US"/>
              </w:rPr>
            </w:pPr>
            <w:r>
              <w:rPr>
                <w:bCs/>
                <w:sz w:val="22"/>
                <w:szCs w:val="22"/>
                <w:lang w:val="en-US"/>
              </w:rPr>
              <w:t>SMAN 1 Cikidang, Kab.Sukabumi. Indonesia</w:t>
            </w:r>
          </w:p>
        </w:tc>
        <w:tc>
          <w:tcPr>
            <w:tcW w:w="1275" w:type="dxa"/>
          </w:tcPr>
          <w:p w14:paraId="1715224E" w14:textId="41A70CCA" w:rsidR="00EA7B7D" w:rsidRPr="00EA7B7D" w:rsidRDefault="00C26E11" w:rsidP="00BF32DC">
            <w:pPr>
              <w:spacing w:line="360" w:lineRule="auto"/>
              <w:ind w:hanging="2"/>
              <w:rPr>
                <w:bCs/>
                <w:sz w:val="22"/>
                <w:szCs w:val="22"/>
                <w:lang w:val="en-US"/>
              </w:rPr>
            </w:pPr>
            <w:r>
              <w:rPr>
                <w:bCs/>
                <w:sz w:val="22"/>
                <w:szCs w:val="22"/>
                <w:lang w:val="en-US"/>
              </w:rPr>
              <w:t>Universitas Pasundan, Bandung, Indonesia</w:t>
            </w:r>
          </w:p>
        </w:tc>
        <w:tc>
          <w:tcPr>
            <w:tcW w:w="1418" w:type="dxa"/>
          </w:tcPr>
          <w:p w14:paraId="53C54B2B" w14:textId="40A26BF0" w:rsidR="00EA7B7D" w:rsidRPr="00EA7B7D" w:rsidRDefault="00C26E11" w:rsidP="00BF32DC">
            <w:pPr>
              <w:spacing w:line="360" w:lineRule="auto"/>
              <w:ind w:hanging="2"/>
              <w:rPr>
                <w:bCs/>
                <w:sz w:val="22"/>
                <w:szCs w:val="22"/>
                <w:lang w:val="en-US"/>
              </w:rPr>
            </w:pPr>
            <w:r>
              <w:rPr>
                <w:bCs/>
                <w:sz w:val="22"/>
                <w:szCs w:val="22"/>
                <w:lang w:val="en-US"/>
              </w:rPr>
              <w:t>Universitas Pasundan, Bandung, Indonesia</w:t>
            </w:r>
          </w:p>
        </w:tc>
        <w:tc>
          <w:tcPr>
            <w:tcW w:w="992" w:type="dxa"/>
          </w:tcPr>
          <w:p w14:paraId="2C39F0EF" w14:textId="77777777" w:rsidR="00EA7B7D" w:rsidRPr="00EA7B7D" w:rsidRDefault="00EA7B7D" w:rsidP="00BF32DC">
            <w:pPr>
              <w:spacing w:line="360" w:lineRule="auto"/>
              <w:ind w:hanging="2"/>
              <w:rPr>
                <w:bCs/>
                <w:sz w:val="22"/>
                <w:szCs w:val="22"/>
                <w:lang w:val="en-US"/>
              </w:rPr>
            </w:pPr>
          </w:p>
        </w:tc>
        <w:tc>
          <w:tcPr>
            <w:tcW w:w="1559" w:type="dxa"/>
          </w:tcPr>
          <w:p w14:paraId="398DF564" w14:textId="77777777" w:rsidR="00EA7B7D" w:rsidRPr="00EA7B7D" w:rsidRDefault="00EA7B7D" w:rsidP="00BF32DC">
            <w:pPr>
              <w:spacing w:line="360" w:lineRule="auto"/>
              <w:ind w:hanging="2"/>
              <w:rPr>
                <w:bCs/>
                <w:sz w:val="22"/>
                <w:szCs w:val="22"/>
                <w:lang w:val="en-US"/>
              </w:rPr>
            </w:pPr>
          </w:p>
        </w:tc>
      </w:tr>
      <w:tr w:rsidR="00EA7B7D" w:rsidRPr="00EA7B7D" w14:paraId="5C063344" w14:textId="160BE2B6" w:rsidTr="00C26E11">
        <w:tc>
          <w:tcPr>
            <w:tcW w:w="1605" w:type="dxa"/>
            <w:shd w:val="clear" w:color="auto" w:fill="auto"/>
            <w:tcMar>
              <w:top w:w="100" w:type="dxa"/>
              <w:left w:w="100" w:type="dxa"/>
              <w:bottom w:w="100" w:type="dxa"/>
              <w:right w:w="100" w:type="dxa"/>
            </w:tcMar>
          </w:tcPr>
          <w:p w14:paraId="5C986018" w14:textId="77777777" w:rsidR="00EA7B7D" w:rsidRPr="00EA7B7D" w:rsidRDefault="00EA7B7D" w:rsidP="00BF32DC">
            <w:pPr>
              <w:spacing w:line="360" w:lineRule="auto"/>
              <w:ind w:hanging="2"/>
              <w:rPr>
                <w:b/>
                <w:sz w:val="22"/>
                <w:szCs w:val="22"/>
                <w:lang w:val="en-US"/>
              </w:rPr>
            </w:pPr>
            <w:r w:rsidRPr="00EA7B7D">
              <w:rPr>
                <w:b/>
                <w:sz w:val="22"/>
                <w:szCs w:val="22"/>
                <w:lang w:val="en-US"/>
              </w:rPr>
              <w:t>*Email</w:t>
            </w:r>
          </w:p>
        </w:tc>
        <w:tc>
          <w:tcPr>
            <w:tcW w:w="2213" w:type="dxa"/>
            <w:shd w:val="clear" w:color="auto" w:fill="auto"/>
            <w:tcMar>
              <w:top w:w="100" w:type="dxa"/>
              <w:left w:w="100" w:type="dxa"/>
              <w:bottom w:w="100" w:type="dxa"/>
              <w:right w:w="100" w:type="dxa"/>
            </w:tcMar>
          </w:tcPr>
          <w:p w14:paraId="5CAB4DE9" w14:textId="6E1E96CD" w:rsidR="00EA7B7D" w:rsidRPr="00EA7B7D" w:rsidRDefault="0095004A" w:rsidP="00BF32DC">
            <w:pPr>
              <w:spacing w:line="360" w:lineRule="auto"/>
              <w:ind w:hanging="2"/>
              <w:rPr>
                <w:bCs/>
                <w:sz w:val="22"/>
                <w:szCs w:val="22"/>
                <w:lang w:val="en-US"/>
              </w:rPr>
            </w:pPr>
            <w:r>
              <w:rPr>
                <w:bCs/>
                <w:sz w:val="22"/>
                <w:szCs w:val="22"/>
                <w:lang w:val="en-US"/>
              </w:rPr>
              <w:t>chandshit@gmail.com</w:t>
            </w:r>
          </w:p>
        </w:tc>
        <w:tc>
          <w:tcPr>
            <w:tcW w:w="1275" w:type="dxa"/>
          </w:tcPr>
          <w:p w14:paraId="2BF54902" w14:textId="2103C4F1" w:rsidR="00EA7B7D" w:rsidRPr="00EA7B7D" w:rsidRDefault="00EA7B7D" w:rsidP="00BF32DC">
            <w:pPr>
              <w:spacing w:line="360" w:lineRule="auto"/>
              <w:ind w:hanging="2"/>
              <w:rPr>
                <w:bCs/>
                <w:sz w:val="22"/>
                <w:szCs w:val="22"/>
                <w:lang w:val="en-US"/>
              </w:rPr>
            </w:pPr>
          </w:p>
        </w:tc>
        <w:tc>
          <w:tcPr>
            <w:tcW w:w="1418" w:type="dxa"/>
          </w:tcPr>
          <w:p w14:paraId="350BEA2A" w14:textId="28A71D9B" w:rsidR="00EA7B7D" w:rsidRPr="00EA7B7D" w:rsidRDefault="00EA7B7D" w:rsidP="00BF32DC">
            <w:pPr>
              <w:spacing w:line="360" w:lineRule="auto"/>
              <w:ind w:hanging="2"/>
              <w:rPr>
                <w:bCs/>
                <w:sz w:val="22"/>
                <w:szCs w:val="22"/>
                <w:lang w:val="en-US"/>
              </w:rPr>
            </w:pPr>
          </w:p>
        </w:tc>
        <w:tc>
          <w:tcPr>
            <w:tcW w:w="992" w:type="dxa"/>
          </w:tcPr>
          <w:p w14:paraId="40F1E924" w14:textId="77777777" w:rsidR="00EA7B7D" w:rsidRPr="00EA7B7D" w:rsidRDefault="00EA7B7D" w:rsidP="00BF32DC">
            <w:pPr>
              <w:spacing w:line="360" w:lineRule="auto"/>
              <w:ind w:hanging="2"/>
              <w:rPr>
                <w:bCs/>
                <w:sz w:val="22"/>
                <w:szCs w:val="22"/>
                <w:lang w:val="en-US"/>
              </w:rPr>
            </w:pPr>
          </w:p>
        </w:tc>
        <w:tc>
          <w:tcPr>
            <w:tcW w:w="1559" w:type="dxa"/>
          </w:tcPr>
          <w:p w14:paraId="61050A60" w14:textId="77777777" w:rsidR="00EA7B7D" w:rsidRPr="00EA7B7D" w:rsidRDefault="00EA7B7D" w:rsidP="00BF32DC">
            <w:pPr>
              <w:spacing w:line="360" w:lineRule="auto"/>
              <w:ind w:hanging="2"/>
              <w:rPr>
                <w:bCs/>
                <w:sz w:val="22"/>
                <w:szCs w:val="22"/>
                <w:lang w:val="en-US"/>
              </w:rPr>
            </w:pPr>
          </w:p>
        </w:tc>
      </w:tr>
      <w:tr w:rsidR="00EA7B7D" w:rsidRPr="00EA7B7D" w14:paraId="71C0E0E8" w14:textId="196BEFCD" w:rsidTr="00C26E11">
        <w:tc>
          <w:tcPr>
            <w:tcW w:w="1605" w:type="dxa"/>
            <w:shd w:val="clear" w:color="auto" w:fill="auto"/>
            <w:tcMar>
              <w:top w:w="100" w:type="dxa"/>
              <w:left w:w="100" w:type="dxa"/>
              <w:bottom w:w="100" w:type="dxa"/>
              <w:right w:w="100" w:type="dxa"/>
            </w:tcMar>
          </w:tcPr>
          <w:p w14:paraId="74E99E80" w14:textId="77777777" w:rsidR="00EA7B7D" w:rsidRPr="00EA7B7D" w:rsidRDefault="00EA7B7D" w:rsidP="00BF32DC">
            <w:pPr>
              <w:spacing w:line="360" w:lineRule="auto"/>
              <w:ind w:hanging="2"/>
              <w:rPr>
                <w:b/>
                <w:sz w:val="22"/>
                <w:szCs w:val="22"/>
                <w:lang w:val="en-US"/>
              </w:rPr>
            </w:pPr>
            <w:r w:rsidRPr="00EA7B7D">
              <w:rPr>
                <w:b/>
                <w:sz w:val="22"/>
                <w:szCs w:val="22"/>
                <w:lang w:val="en-US"/>
              </w:rPr>
              <w:t>*ORCID ID</w:t>
            </w:r>
          </w:p>
        </w:tc>
        <w:tc>
          <w:tcPr>
            <w:tcW w:w="2213" w:type="dxa"/>
            <w:shd w:val="clear" w:color="auto" w:fill="auto"/>
            <w:tcMar>
              <w:top w:w="100" w:type="dxa"/>
              <w:left w:w="100" w:type="dxa"/>
              <w:bottom w:w="100" w:type="dxa"/>
              <w:right w:w="100" w:type="dxa"/>
            </w:tcMar>
          </w:tcPr>
          <w:p w14:paraId="41729CCB" w14:textId="2E2784CC" w:rsidR="00EA7B7D" w:rsidRPr="00EA7B7D" w:rsidRDefault="00EA7B7D" w:rsidP="00BF32DC">
            <w:pPr>
              <w:spacing w:line="360" w:lineRule="auto"/>
              <w:ind w:hanging="2"/>
              <w:rPr>
                <w:bCs/>
                <w:sz w:val="22"/>
                <w:szCs w:val="22"/>
                <w:lang w:val="en-US"/>
              </w:rPr>
            </w:pPr>
          </w:p>
        </w:tc>
        <w:tc>
          <w:tcPr>
            <w:tcW w:w="1275" w:type="dxa"/>
          </w:tcPr>
          <w:p w14:paraId="725F3E7C" w14:textId="1C7479CD" w:rsidR="00EA7B7D" w:rsidRPr="00EA7B7D" w:rsidRDefault="00EA7B7D" w:rsidP="00BF32DC">
            <w:pPr>
              <w:spacing w:line="360" w:lineRule="auto"/>
              <w:ind w:hanging="2"/>
              <w:rPr>
                <w:sz w:val="22"/>
                <w:szCs w:val="22"/>
              </w:rPr>
            </w:pPr>
          </w:p>
        </w:tc>
        <w:tc>
          <w:tcPr>
            <w:tcW w:w="1418" w:type="dxa"/>
          </w:tcPr>
          <w:p w14:paraId="4DCE3C37" w14:textId="13BDEDDF" w:rsidR="00EA7B7D" w:rsidRPr="00EA7B7D" w:rsidRDefault="00C26E11" w:rsidP="00BF32DC">
            <w:pPr>
              <w:spacing w:line="360" w:lineRule="auto"/>
              <w:ind w:hanging="2"/>
              <w:rPr>
                <w:sz w:val="22"/>
                <w:szCs w:val="22"/>
              </w:rPr>
            </w:pPr>
            <w:hyperlink r:id="rId8" w:anchor="!" w:history="1">
              <w:r w:rsidRPr="00C26E11">
                <w:rPr>
                  <w:rStyle w:val="Hyperlink"/>
                  <w:position w:val="0"/>
                  <w:sz w:val="22"/>
                  <w:szCs w:val="22"/>
                </w:rPr>
                <w:t>6650831</w:t>
              </w:r>
            </w:hyperlink>
          </w:p>
        </w:tc>
        <w:tc>
          <w:tcPr>
            <w:tcW w:w="992" w:type="dxa"/>
          </w:tcPr>
          <w:p w14:paraId="15AE6C63" w14:textId="77777777" w:rsidR="00EA7B7D" w:rsidRPr="00EA7B7D" w:rsidRDefault="00EA7B7D" w:rsidP="00BF32DC">
            <w:pPr>
              <w:spacing w:line="360" w:lineRule="auto"/>
              <w:ind w:hanging="2"/>
              <w:rPr>
                <w:sz w:val="22"/>
                <w:szCs w:val="22"/>
              </w:rPr>
            </w:pPr>
          </w:p>
        </w:tc>
        <w:tc>
          <w:tcPr>
            <w:tcW w:w="1559" w:type="dxa"/>
          </w:tcPr>
          <w:p w14:paraId="5CDB46AA" w14:textId="77777777" w:rsidR="00EA7B7D" w:rsidRPr="00EA7B7D" w:rsidRDefault="00EA7B7D" w:rsidP="00BF32DC">
            <w:pPr>
              <w:spacing w:line="360" w:lineRule="auto"/>
              <w:ind w:hanging="2"/>
              <w:rPr>
                <w:sz w:val="22"/>
                <w:szCs w:val="22"/>
              </w:rPr>
            </w:pPr>
          </w:p>
        </w:tc>
      </w:tr>
      <w:tr w:rsidR="00EA7B7D" w:rsidRPr="00EA7B7D" w14:paraId="3BFA17D6" w14:textId="6332D4A0" w:rsidTr="00C26E11">
        <w:tc>
          <w:tcPr>
            <w:tcW w:w="1605" w:type="dxa"/>
            <w:shd w:val="clear" w:color="auto" w:fill="auto"/>
            <w:tcMar>
              <w:top w:w="100" w:type="dxa"/>
              <w:left w:w="100" w:type="dxa"/>
              <w:bottom w:w="100" w:type="dxa"/>
              <w:right w:w="100" w:type="dxa"/>
            </w:tcMar>
          </w:tcPr>
          <w:p w14:paraId="0F81216A" w14:textId="77777777" w:rsidR="00EA7B7D" w:rsidRPr="00EA7B7D" w:rsidRDefault="00EA7B7D" w:rsidP="00BF32DC">
            <w:pPr>
              <w:spacing w:line="360" w:lineRule="auto"/>
              <w:ind w:hanging="2"/>
              <w:rPr>
                <w:b/>
                <w:sz w:val="22"/>
                <w:szCs w:val="22"/>
                <w:lang w:val="en-US"/>
              </w:rPr>
            </w:pPr>
            <w:r w:rsidRPr="00EA7B7D">
              <w:rPr>
                <w:b/>
                <w:sz w:val="22"/>
                <w:szCs w:val="22"/>
                <w:lang w:val="en-US"/>
              </w:rPr>
              <w:t>Google Scholar URL</w:t>
            </w:r>
          </w:p>
        </w:tc>
        <w:tc>
          <w:tcPr>
            <w:tcW w:w="2213" w:type="dxa"/>
            <w:shd w:val="clear" w:color="auto" w:fill="auto"/>
            <w:tcMar>
              <w:top w:w="100" w:type="dxa"/>
              <w:left w:w="100" w:type="dxa"/>
              <w:bottom w:w="100" w:type="dxa"/>
              <w:right w:w="100" w:type="dxa"/>
            </w:tcMar>
          </w:tcPr>
          <w:p w14:paraId="67EBA02B" w14:textId="4FE98F3E" w:rsidR="00EA7B7D" w:rsidRPr="00EA7B7D" w:rsidRDefault="00EA7B7D" w:rsidP="00BF32DC">
            <w:pPr>
              <w:spacing w:line="360" w:lineRule="auto"/>
              <w:ind w:hanging="2"/>
              <w:rPr>
                <w:bCs/>
                <w:sz w:val="22"/>
                <w:szCs w:val="22"/>
                <w:lang w:val="en-US"/>
              </w:rPr>
            </w:pPr>
          </w:p>
        </w:tc>
        <w:tc>
          <w:tcPr>
            <w:tcW w:w="1275" w:type="dxa"/>
          </w:tcPr>
          <w:p w14:paraId="04947F80" w14:textId="3D1E5682" w:rsidR="00EA7B7D" w:rsidRPr="00EA7B7D" w:rsidRDefault="00EA7B7D" w:rsidP="00BF32DC">
            <w:pPr>
              <w:spacing w:line="360" w:lineRule="auto"/>
              <w:ind w:hanging="2"/>
              <w:rPr>
                <w:sz w:val="22"/>
                <w:szCs w:val="22"/>
              </w:rPr>
            </w:pPr>
          </w:p>
        </w:tc>
        <w:tc>
          <w:tcPr>
            <w:tcW w:w="1418" w:type="dxa"/>
          </w:tcPr>
          <w:p w14:paraId="3030E432" w14:textId="01199989" w:rsidR="00EA7B7D" w:rsidRPr="00EA7B7D" w:rsidRDefault="00C26E11" w:rsidP="00BF32DC">
            <w:pPr>
              <w:spacing w:line="360" w:lineRule="auto"/>
              <w:ind w:hanging="2"/>
              <w:rPr>
                <w:sz w:val="22"/>
                <w:szCs w:val="22"/>
              </w:rPr>
            </w:pPr>
            <w:hyperlink r:id="rId9" w:history="1">
              <w:r w:rsidRPr="00454EBD">
                <w:rPr>
                  <w:rStyle w:val="Hyperlink"/>
                  <w:position w:val="0"/>
                  <w:sz w:val="22"/>
                  <w:szCs w:val="22"/>
                </w:rPr>
                <w:t>https://scholar.google.com/citations?hl=id&amp;user=Zb3UjxMAAAAJ</w:t>
              </w:r>
            </w:hyperlink>
            <w:r>
              <w:rPr>
                <w:sz w:val="22"/>
                <w:szCs w:val="22"/>
              </w:rPr>
              <w:t xml:space="preserve"> </w:t>
            </w:r>
          </w:p>
        </w:tc>
        <w:tc>
          <w:tcPr>
            <w:tcW w:w="992" w:type="dxa"/>
          </w:tcPr>
          <w:p w14:paraId="6DEEE602" w14:textId="77777777" w:rsidR="00EA7B7D" w:rsidRPr="00EA7B7D" w:rsidRDefault="00EA7B7D" w:rsidP="00BF32DC">
            <w:pPr>
              <w:spacing w:line="360" w:lineRule="auto"/>
              <w:ind w:hanging="2"/>
              <w:rPr>
                <w:sz w:val="22"/>
                <w:szCs w:val="22"/>
              </w:rPr>
            </w:pPr>
          </w:p>
        </w:tc>
        <w:tc>
          <w:tcPr>
            <w:tcW w:w="1559" w:type="dxa"/>
          </w:tcPr>
          <w:p w14:paraId="3013FB68" w14:textId="77777777" w:rsidR="00EA7B7D" w:rsidRPr="00EA7B7D" w:rsidRDefault="00EA7B7D" w:rsidP="00BF32DC">
            <w:pPr>
              <w:spacing w:line="360" w:lineRule="auto"/>
              <w:ind w:hanging="2"/>
              <w:rPr>
                <w:sz w:val="22"/>
                <w:szCs w:val="22"/>
              </w:rPr>
            </w:pPr>
          </w:p>
        </w:tc>
      </w:tr>
      <w:tr w:rsidR="00343588" w:rsidRPr="00EA7B7D" w14:paraId="486A8B79" w14:textId="77777777" w:rsidTr="00C26E11">
        <w:tc>
          <w:tcPr>
            <w:tcW w:w="1605" w:type="dxa"/>
            <w:shd w:val="clear" w:color="auto" w:fill="auto"/>
            <w:tcMar>
              <w:top w:w="100" w:type="dxa"/>
              <w:left w:w="100" w:type="dxa"/>
              <w:bottom w:w="100" w:type="dxa"/>
              <w:right w:w="100" w:type="dxa"/>
            </w:tcMar>
          </w:tcPr>
          <w:p w14:paraId="56BFE002" w14:textId="434323F0" w:rsidR="00343588" w:rsidRDefault="00343588" w:rsidP="00BF32DC">
            <w:pPr>
              <w:spacing w:line="360" w:lineRule="auto"/>
              <w:ind w:hanging="2"/>
              <w:rPr>
                <w:b/>
                <w:sz w:val="22"/>
                <w:szCs w:val="22"/>
                <w:lang w:val="en-US"/>
              </w:rPr>
            </w:pPr>
            <w:r>
              <w:rPr>
                <w:b/>
                <w:sz w:val="22"/>
                <w:szCs w:val="22"/>
                <w:lang w:val="en-US"/>
              </w:rPr>
              <w:t>*Author Contribution</w:t>
            </w:r>
          </w:p>
          <w:p w14:paraId="0FEC6C8E" w14:textId="1D777A75" w:rsidR="00343588" w:rsidRPr="00EA7B7D" w:rsidRDefault="00343588" w:rsidP="00BF32DC">
            <w:pPr>
              <w:spacing w:line="360" w:lineRule="auto"/>
              <w:ind w:hanging="2"/>
              <w:rPr>
                <w:b/>
                <w:sz w:val="22"/>
                <w:szCs w:val="22"/>
                <w:lang w:val="en-US"/>
              </w:rPr>
            </w:pPr>
            <w:r>
              <w:rPr>
                <w:b/>
                <w:sz w:val="22"/>
                <w:szCs w:val="22"/>
                <w:lang w:val="en-US"/>
              </w:rPr>
              <w:t>(</w:t>
            </w:r>
            <w:hyperlink r:id="rId10" w:history="1">
              <w:r w:rsidRPr="005A7F82">
                <w:rPr>
                  <w:rStyle w:val="Hyperlink"/>
                  <w:b/>
                  <w:position w:val="0"/>
                  <w:sz w:val="22"/>
                  <w:szCs w:val="22"/>
                  <w:lang w:val="en-US"/>
                </w:rPr>
                <w:t>https://www.elsevier.com/authors/policies-and-guidelines/credit-author-statement</w:t>
              </w:r>
            </w:hyperlink>
            <w:r>
              <w:rPr>
                <w:b/>
                <w:sz w:val="22"/>
                <w:szCs w:val="22"/>
                <w:lang w:val="en-US"/>
              </w:rPr>
              <w:t>)</w:t>
            </w:r>
          </w:p>
        </w:tc>
        <w:tc>
          <w:tcPr>
            <w:tcW w:w="2213" w:type="dxa"/>
            <w:shd w:val="clear" w:color="auto" w:fill="auto"/>
            <w:tcMar>
              <w:top w:w="100" w:type="dxa"/>
              <w:left w:w="100" w:type="dxa"/>
              <w:bottom w:w="100" w:type="dxa"/>
              <w:right w:w="100" w:type="dxa"/>
            </w:tcMar>
          </w:tcPr>
          <w:p w14:paraId="7C0D4359" w14:textId="77777777" w:rsidR="00343588" w:rsidRPr="00EA7B7D" w:rsidRDefault="00343588" w:rsidP="00BF32DC">
            <w:pPr>
              <w:spacing w:line="360" w:lineRule="auto"/>
              <w:ind w:hanging="2"/>
              <w:rPr>
                <w:bCs/>
                <w:sz w:val="22"/>
                <w:szCs w:val="22"/>
                <w:lang w:val="en-US"/>
              </w:rPr>
            </w:pPr>
          </w:p>
        </w:tc>
        <w:tc>
          <w:tcPr>
            <w:tcW w:w="1275" w:type="dxa"/>
          </w:tcPr>
          <w:p w14:paraId="23DD9D47" w14:textId="77777777" w:rsidR="00343588" w:rsidRPr="00EA7B7D" w:rsidRDefault="00343588" w:rsidP="00BF32DC">
            <w:pPr>
              <w:spacing w:line="360" w:lineRule="auto"/>
              <w:ind w:hanging="2"/>
              <w:rPr>
                <w:sz w:val="22"/>
                <w:szCs w:val="22"/>
              </w:rPr>
            </w:pPr>
          </w:p>
        </w:tc>
        <w:tc>
          <w:tcPr>
            <w:tcW w:w="1418" w:type="dxa"/>
          </w:tcPr>
          <w:p w14:paraId="07E76E82" w14:textId="77777777" w:rsidR="00343588" w:rsidRPr="00EA7B7D" w:rsidRDefault="00343588" w:rsidP="00BF32DC">
            <w:pPr>
              <w:spacing w:line="360" w:lineRule="auto"/>
              <w:ind w:hanging="2"/>
              <w:rPr>
                <w:sz w:val="22"/>
                <w:szCs w:val="22"/>
              </w:rPr>
            </w:pPr>
          </w:p>
        </w:tc>
        <w:tc>
          <w:tcPr>
            <w:tcW w:w="992" w:type="dxa"/>
          </w:tcPr>
          <w:p w14:paraId="5487302A" w14:textId="77777777" w:rsidR="00343588" w:rsidRPr="00EA7B7D" w:rsidRDefault="00343588" w:rsidP="00BF32DC">
            <w:pPr>
              <w:spacing w:line="360" w:lineRule="auto"/>
              <w:ind w:hanging="2"/>
              <w:rPr>
                <w:sz w:val="22"/>
                <w:szCs w:val="22"/>
              </w:rPr>
            </w:pPr>
          </w:p>
        </w:tc>
        <w:tc>
          <w:tcPr>
            <w:tcW w:w="1559" w:type="dxa"/>
          </w:tcPr>
          <w:p w14:paraId="614FAB46" w14:textId="77777777" w:rsidR="00343588" w:rsidRPr="00EA7B7D" w:rsidRDefault="00343588" w:rsidP="00BF32DC">
            <w:pPr>
              <w:spacing w:line="360" w:lineRule="auto"/>
              <w:ind w:hanging="2"/>
              <w:rPr>
                <w:sz w:val="22"/>
                <w:szCs w:val="22"/>
              </w:rPr>
            </w:pPr>
          </w:p>
        </w:tc>
      </w:tr>
      <w:tr w:rsidR="00343588" w:rsidRPr="00EA7B7D" w14:paraId="7C209A68" w14:textId="77777777" w:rsidTr="007A2CF5">
        <w:tc>
          <w:tcPr>
            <w:tcW w:w="1605" w:type="dxa"/>
            <w:shd w:val="clear" w:color="auto" w:fill="auto"/>
            <w:tcMar>
              <w:top w:w="100" w:type="dxa"/>
              <w:left w:w="100" w:type="dxa"/>
              <w:bottom w:w="100" w:type="dxa"/>
              <w:right w:w="100" w:type="dxa"/>
            </w:tcMar>
          </w:tcPr>
          <w:p w14:paraId="3C105EB7" w14:textId="01C69717" w:rsidR="00343588" w:rsidRDefault="00343588" w:rsidP="00BF32DC">
            <w:pPr>
              <w:spacing w:line="360" w:lineRule="auto"/>
              <w:ind w:hanging="2"/>
              <w:rPr>
                <w:b/>
                <w:sz w:val="22"/>
                <w:szCs w:val="22"/>
                <w:lang w:val="en-US"/>
              </w:rPr>
            </w:pPr>
            <w:r>
              <w:rPr>
                <w:b/>
                <w:sz w:val="22"/>
                <w:szCs w:val="22"/>
                <w:lang w:val="en-US"/>
              </w:rPr>
              <w:lastRenderedPageBreak/>
              <w:t>*</w:t>
            </w:r>
            <w:r w:rsidRPr="00343588">
              <w:rPr>
                <w:b/>
                <w:sz w:val="22"/>
                <w:szCs w:val="22"/>
                <w:lang w:val="en-US"/>
              </w:rPr>
              <w:t>Acknowledgments</w:t>
            </w:r>
          </w:p>
        </w:tc>
        <w:tc>
          <w:tcPr>
            <w:tcW w:w="7457" w:type="dxa"/>
            <w:gridSpan w:val="5"/>
            <w:shd w:val="clear" w:color="auto" w:fill="auto"/>
            <w:tcMar>
              <w:top w:w="100" w:type="dxa"/>
              <w:left w:w="100" w:type="dxa"/>
              <w:bottom w:w="100" w:type="dxa"/>
              <w:right w:w="100" w:type="dxa"/>
            </w:tcMar>
          </w:tcPr>
          <w:p w14:paraId="57373607" w14:textId="77777777" w:rsidR="00343588" w:rsidRPr="00EA7B7D" w:rsidRDefault="00343588" w:rsidP="00BF32DC">
            <w:pPr>
              <w:spacing w:line="360" w:lineRule="auto"/>
              <w:ind w:hanging="2"/>
              <w:rPr>
                <w:sz w:val="22"/>
                <w:szCs w:val="22"/>
              </w:rPr>
            </w:pPr>
          </w:p>
        </w:tc>
      </w:tr>
      <w:tr w:rsidR="00343588" w:rsidRPr="00EA7B7D" w14:paraId="32569CA1" w14:textId="77777777" w:rsidTr="00E717A9">
        <w:tc>
          <w:tcPr>
            <w:tcW w:w="1605" w:type="dxa"/>
            <w:shd w:val="clear" w:color="auto" w:fill="auto"/>
            <w:tcMar>
              <w:top w:w="100" w:type="dxa"/>
              <w:left w:w="100" w:type="dxa"/>
              <w:bottom w:w="100" w:type="dxa"/>
              <w:right w:w="100" w:type="dxa"/>
            </w:tcMar>
          </w:tcPr>
          <w:p w14:paraId="0A4EC890" w14:textId="3A9F0C39" w:rsidR="00343588" w:rsidRPr="00343588" w:rsidRDefault="00343588" w:rsidP="00BF32DC">
            <w:pPr>
              <w:spacing w:line="360" w:lineRule="auto"/>
              <w:ind w:hanging="2"/>
              <w:rPr>
                <w:b/>
                <w:sz w:val="22"/>
                <w:szCs w:val="22"/>
                <w:lang w:val="en-US"/>
              </w:rPr>
            </w:pPr>
            <w:r>
              <w:rPr>
                <w:b/>
                <w:sz w:val="22"/>
                <w:szCs w:val="22"/>
                <w:lang w:val="en-US"/>
              </w:rPr>
              <w:t>*Funding Statement</w:t>
            </w:r>
          </w:p>
        </w:tc>
        <w:tc>
          <w:tcPr>
            <w:tcW w:w="7457" w:type="dxa"/>
            <w:gridSpan w:val="5"/>
            <w:shd w:val="clear" w:color="auto" w:fill="auto"/>
            <w:tcMar>
              <w:top w:w="100" w:type="dxa"/>
              <w:left w:w="100" w:type="dxa"/>
              <w:bottom w:w="100" w:type="dxa"/>
              <w:right w:w="100" w:type="dxa"/>
            </w:tcMar>
          </w:tcPr>
          <w:p w14:paraId="288FDE79" w14:textId="77777777" w:rsidR="00343588" w:rsidRPr="00EA7B7D" w:rsidRDefault="00343588" w:rsidP="00BF32DC">
            <w:pPr>
              <w:spacing w:line="360" w:lineRule="auto"/>
              <w:ind w:hanging="2"/>
              <w:rPr>
                <w:sz w:val="22"/>
                <w:szCs w:val="22"/>
              </w:rPr>
            </w:pPr>
          </w:p>
        </w:tc>
      </w:tr>
    </w:tbl>
    <w:p w14:paraId="01629B00" w14:textId="77777777" w:rsidR="00BF32DC" w:rsidRPr="00EA7B7D" w:rsidRDefault="00BF32DC" w:rsidP="00C842E8">
      <w:pPr>
        <w:spacing w:line="360" w:lineRule="auto"/>
        <w:ind w:hanging="2"/>
        <w:rPr>
          <w:b/>
          <w:sz w:val="10"/>
          <w:szCs w:val="10"/>
          <w:lang w:val="en-US"/>
        </w:rPr>
      </w:pPr>
    </w:p>
    <w:p w14:paraId="56D04EFE" w14:textId="2CEC5416" w:rsidR="00C842E8" w:rsidRPr="00A71E9E" w:rsidRDefault="00C842E8" w:rsidP="00C842E8">
      <w:pPr>
        <w:spacing w:line="360" w:lineRule="auto"/>
        <w:ind w:hanging="2"/>
        <w:rPr>
          <w:b/>
          <w:sz w:val="20"/>
          <w:szCs w:val="20"/>
          <w:lang w:val="en-US"/>
        </w:rPr>
      </w:pPr>
      <w:r w:rsidRPr="00A71E9E">
        <w:rPr>
          <w:b/>
          <w:sz w:val="20"/>
          <w:szCs w:val="20"/>
          <w:lang w:val="en-US"/>
        </w:rPr>
        <w:t>*Required</w:t>
      </w:r>
    </w:p>
    <w:p w14:paraId="2F58F877" w14:textId="77777777" w:rsidR="00BF32DC" w:rsidRDefault="00BF32DC" w:rsidP="00C842E8">
      <w:pPr>
        <w:spacing w:line="360" w:lineRule="auto"/>
        <w:ind w:hanging="2"/>
        <w:rPr>
          <w:b/>
          <w:sz w:val="20"/>
          <w:szCs w:val="20"/>
          <w:lang w:val="en-US"/>
        </w:rPr>
      </w:pPr>
    </w:p>
    <w:p w14:paraId="1D66AE57" w14:textId="77777777" w:rsidR="00C842E8" w:rsidRDefault="00C842E8" w:rsidP="00C842E8">
      <w:pPr>
        <w:spacing w:line="360" w:lineRule="auto"/>
        <w:ind w:hanging="2"/>
        <w:rPr>
          <w:b/>
          <w:sz w:val="20"/>
          <w:szCs w:val="20"/>
          <w:lang w:val="en-US"/>
        </w:rPr>
      </w:pPr>
      <w:r w:rsidRPr="00A71E9E">
        <w:rPr>
          <w:b/>
          <w:sz w:val="20"/>
          <w:szCs w:val="20"/>
          <w:lang w:val="en-US"/>
        </w:rPr>
        <w:t>Please provide alternative names for potential reviewers for your manuscript</w:t>
      </w:r>
    </w:p>
    <w:p w14:paraId="1689671B" w14:textId="77777777" w:rsidR="00EA7B7D" w:rsidRPr="00A71E9E" w:rsidRDefault="00EA7B7D" w:rsidP="00C842E8">
      <w:pPr>
        <w:spacing w:line="360" w:lineRule="auto"/>
        <w:ind w:hanging="2"/>
        <w:rPr>
          <w:b/>
          <w:sz w:val="20"/>
          <w:szCs w:val="20"/>
          <w:lang w:val="en-US"/>
        </w:rPr>
      </w:pP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2175"/>
        <w:gridCol w:w="2070"/>
        <w:gridCol w:w="2085"/>
      </w:tblGrid>
      <w:tr w:rsidR="00C842E8" w:rsidRPr="00A71E9E" w14:paraId="4830EED7" w14:textId="77777777" w:rsidTr="004622EB">
        <w:tc>
          <w:tcPr>
            <w:tcW w:w="2745" w:type="dxa"/>
            <w:shd w:val="clear" w:color="auto" w:fill="auto"/>
            <w:tcMar>
              <w:top w:w="100" w:type="dxa"/>
              <w:left w:w="100" w:type="dxa"/>
              <w:bottom w:w="100" w:type="dxa"/>
              <w:right w:w="100" w:type="dxa"/>
            </w:tcMar>
          </w:tcPr>
          <w:p w14:paraId="073B0D89" w14:textId="77777777" w:rsidR="00C842E8" w:rsidRPr="00A71E9E" w:rsidRDefault="00C842E8" w:rsidP="004622EB">
            <w:pPr>
              <w:spacing w:line="360" w:lineRule="auto"/>
              <w:ind w:hanging="2"/>
              <w:rPr>
                <w:b/>
                <w:sz w:val="20"/>
                <w:szCs w:val="20"/>
                <w:lang w:val="en-US"/>
              </w:rPr>
            </w:pPr>
          </w:p>
        </w:tc>
        <w:tc>
          <w:tcPr>
            <w:tcW w:w="2175" w:type="dxa"/>
            <w:shd w:val="clear" w:color="auto" w:fill="auto"/>
            <w:tcMar>
              <w:top w:w="100" w:type="dxa"/>
              <w:left w:w="100" w:type="dxa"/>
              <w:bottom w:w="100" w:type="dxa"/>
              <w:right w:w="100" w:type="dxa"/>
            </w:tcMar>
          </w:tcPr>
          <w:p w14:paraId="7F82F0A5" w14:textId="77777777" w:rsidR="00C842E8" w:rsidRPr="00A71E9E" w:rsidRDefault="00C842E8" w:rsidP="004622EB">
            <w:pPr>
              <w:spacing w:line="360" w:lineRule="auto"/>
              <w:ind w:hanging="2"/>
              <w:rPr>
                <w:sz w:val="20"/>
                <w:szCs w:val="20"/>
                <w:lang w:val="en-US"/>
              </w:rPr>
            </w:pPr>
            <w:r w:rsidRPr="00A71E9E">
              <w:rPr>
                <w:sz w:val="20"/>
                <w:szCs w:val="20"/>
                <w:lang w:val="en-US"/>
              </w:rPr>
              <w:t>Reviewer 1</w:t>
            </w:r>
          </w:p>
        </w:tc>
        <w:tc>
          <w:tcPr>
            <w:tcW w:w="2070" w:type="dxa"/>
            <w:shd w:val="clear" w:color="auto" w:fill="auto"/>
            <w:tcMar>
              <w:top w:w="100" w:type="dxa"/>
              <w:left w:w="100" w:type="dxa"/>
              <w:bottom w:w="100" w:type="dxa"/>
              <w:right w:w="100" w:type="dxa"/>
            </w:tcMar>
          </w:tcPr>
          <w:p w14:paraId="5D56ECC4" w14:textId="77777777" w:rsidR="00C842E8" w:rsidRPr="00A71E9E" w:rsidRDefault="00C842E8" w:rsidP="004622EB">
            <w:pPr>
              <w:spacing w:line="360" w:lineRule="auto"/>
              <w:ind w:hanging="2"/>
              <w:rPr>
                <w:sz w:val="20"/>
                <w:szCs w:val="20"/>
                <w:lang w:val="en-US"/>
              </w:rPr>
            </w:pPr>
            <w:r w:rsidRPr="00A71E9E">
              <w:rPr>
                <w:sz w:val="20"/>
                <w:szCs w:val="20"/>
                <w:lang w:val="en-US"/>
              </w:rPr>
              <w:t>Reviewer 2</w:t>
            </w:r>
          </w:p>
        </w:tc>
        <w:tc>
          <w:tcPr>
            <w:tcW w:w="2085" w:type="dxa"/>
            <w:shd w:val="clear" w:color="auto" w:fill="auto"/>
            <w:tcMar>
              <w:top w:w="100" w:type="dxa"/>
              <w:left w:w="100" w:type="dxa"/>
              <w:bottom w:w="100" w:type="dxa"/>
              <w:right w:w="100" w:type="dxa"/>
            </w:tcMar>
          </w:tcPr>
          <w:p w14:paraId="6AC5FABC" w14:textId="77777777" w:rsidR="00C842E8" w:rsidRPr="00A71E9E" w:rsidRDefault="00C842E8" w:rsidP="004622EB">
            <w:pPr>
              <w:spacing w:line="360" w:lineRule="auto"/>
              <w:ind w:hanging="2"/>
              <w:rPr>
                <w:sz w:val="20"/>
                <w:szCs w:val="20"/>
                <w:lang w:val="en-US"/>
              </w:rPr>
            </w:pPr>
            <w:r w:rsidRPr="00A71E9E">
              <w:rPr>
                <w:sz w:val="20"/>
                <w:szCs w:val="20"/>
                <w:lang w:val="en-US"/>
              </w:rPr>
              <w:t>Reviewer 3</w:t>
            </w:r>
          </w:p>
        </w:tc>
      </w:tr>
      <w:tr w:rsidR="00C842E8" w:rsidRPr="00A71E9E" w14:paraId="1A62A0CD" w14:textId="77777777" w:rsidTr="004622EB">
        <w:tc>
          <w:tcPr>
            <w:tcW w:w="2745" w:type="dxa"/>
            <w:shd w:val="clear" w:color="auto" w:fill="auto"/>
            <w:tcMar>
              <w:top w:w="100" w:type="dxa"/>
              <w:left w:w="100" w:type="dxa"/>
              <w:bottom w:w="100" w:type="dxa"/>
              <w:right w:w="100" w:type="dxa"/>
            </w:tcMar>
          </w:tcPr>
          <w:p w14:paraId="1847815B" w14:textId="77777777" w:rsidR="00C842E8" w:rsidRPr="00A71E9E" w:rsidRDefault="00C842E8" w:rsidP="004622EB">
            <w:pPr>
              <w:spacing w:line="360" w:lineRule="auto"/>
              <w:ind w:hanging="2"/>
              <w:rPr>
                <w:b/>
                <w:sz w:val="20"/>
                <w:szCs w:val="20"/>
                <w:lang w:val="en-US"/>
              </w:rPr>
            </w:pPr>
            <w:r w:rsidRPr="00A71E9E">
              <w:rPr>
                <w:b/>
                <w:sz w:val="20"/>
                <w:szCs w:val="20"/>
                <w:lang w:val="en-US"/>
              </w:rPr>
              <w:t xml:space="preserve">*Title </w:t>
            </w:r>
            <w:r w:rsidRPr="00A71E9E">
              <w:rPr>
                <w:sz w:val="20"/>
                <w:szCs w:val="20"/>
                <w:lang w:val="en-US"/>
              </w:rPr>
              <w:t>(Prof, Dr, or?)</w:t>
            </w:r>
          </w:p>
        </w:tc>
        <w:tc>
          <w:tcPr>
            <w:tcW w:w="2175" w:type="dxa"/>
            <w:shd w:val="clear" w:color="auto" w:fill="auto"/>
            <w:tcMar>
              <w:top w:w="100" w:type="dxa"/>
              <w:left w:w="100" w:type="dxa"/>
              <w:bottom w:w="100" w:type="dxa"/>
              <w:right w:w="100" w:type="dxa"/>
            </w:tcMar>
          </w:tcPr>
          <w:p w14:paraId="0A3A2BF8" w14:textId="30453E37"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74B58D80" w14:textId="6B70A1CA"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7402617B" w14:textId="5AFBAC1B" w:rsidR="00C842E8" w:rsidRPr="00E123AC" w:rsidRDefault="00C842E8" w:rsidP="004622EB">
            <w:pPr>
              <w:spacing w:line="360" w:lineRule="auto"/>
              <w:ind w:hanging="2"/>
              <w:rPr>
                <w:bCs/>
                <w:sz w:val="20"/>
                <w:szCs w:val="20"/>
                <w:lang w:val="en-US"/>
              </w:rPr>
            </w:pPr>
          </w:p>
        </w:tc>
      </w:tr>
      <w:tr w:rsidR="00C842E8" w:rsidRPr="00A71E9E" w14:paraId="63BBF35F" w14:textId="77777777" w:rsidTr="004622EB">
        <w:tc>
          <w:tcPr>
            <w:tcW w:w="2745" w:type="dxa"/>
            <w:shd w:val="clear" w:color="auto" w:fill="auto"/>
            <w:tcMar>
              <w:top w:w="100" w:type="dxa"/>
              <w:left w:w="100" w:type="dxa"/>
              <w:bottom w:w="100" w:type="dxa"/>
              <w:right w:w="100" w:type="dxa"/>
            </w:tcMar>
          </w:tcPr>
          <w:p w14:paraId="54BF885A" w14:textId="77777777" w:rsidR="00C842E8" w:rsidRPr="00A71E9E" w:rsidRDefault="00C842E8" w:rsidP="004622EB">
            <w:pPr>
              <w:spacing w:line="360" w:lineRule="auto"/>
              <w:ind w:hanging="2"/>
              <w:rPr>
                <w:b/>
                <w:sz w:val="20"/>
                <w:szCs w:val="20"/>
                <w:lang w:val="en-US"/>
              </w:rPr>
            </w:pPr>
            <w:r w:rsidRPr="00A71E9E">
              <w:rPr>
                <w:b/>
                <w:sz w:val="20"/>
                <w:szCs w:val="20"/>
                <w:lang w:val="en-US"/>
              </w:rPr>
              <w:t xml:space="preserve">*Name </w:t>
            </w:r>
            <w:r w:rsidRPr="00A71E9E">
              <w:rPr>
                <w:sz w:val="20"/>
                <w:szCs w:val="20"/>
                <w:lang w:val="en-US"/>
              </w:rPr>
              <w:t>(First, Middle, Last)</w:t>
            </w:r>
          </w:p>
        </w:tc>
        <w:tc>
          <w:tcPr>
            <w:tcW w:w="2175" w:type="dxa"/>
            <w:shd w:val="clear" w:color="auto" w:fill="auto"/>
            <w:tcMar>
              <w:top w:w="100" w:type="dxa"/>
              <w:left w:w="100" w:type="dxa"/>
              <w:bottom w:w="100" w:type="dxa"/>
              <w:right w:w="100" w:type="dxa"/>
            </w:tcMar>
          </w:tcPr>
          <w:p w14:paraId="52DEC128" w14:textId="4797A597"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46A4FAEA" w14:textId="0591DB53"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423AC59D" w14:textId="04066D0A" w:rsidR="00C842E8" w:rsidRPr="00E123AC" w:rsidRDefault="00C842E8" w:rsidP="004622EB">
            <w:pPr>
              <w:spacing w:line="360" w:lineRule="auto"/>
              <w:ind w:hanging="2"/>
              <w:rPr>
                <w:bCs/>
                <w:sz w:val="20"/>
                <w:szCs w:val="20"/>
                <w:lang w:val="en-US"/>
              </w:rPr>
            </w:pPr>
          </w:p>
        </w:tc>
      </w:tr>
      <w:tr w:rsidR="00C842E8" w:rsidRPr="00A71E9E" w14:paraId="26389B83" w14:textId="77777777" w:rsidTr="004622EB">
        <w:tc>
          <w:tcPr>
            <w:tcW w:w="2745" w:type="dxa"/>
            <w:shd w:val="clear" w:color="auto" w:fill="auto"/>
            <w:tcMar>
              <w:top w:w="100" w:type="dxa"/>
              <w:left w:w="100" w:type="dxa"/>
              <w:bottom w:w="100" w:type="dxa"/>
              <w:right w:w="100" w:type="dxa"/>
            </w:tcMar>
          </w:tcPr>
          <w:p w14:paraId="3C746D76" w14:textId="7D21722A" w:rsidR="00C842E8" w:rsidRPr="00A71E9E" w:rsidRDefault="00EA7B7D" w:rsidP="004622EB">
            <w:pPr>
              <w:spacing w:line="360" w:lineRule="auto"/>
              <w:ind w:hanging="2"/>
              <w:rPr>
                <w:b/>
                <w:sz w:val="20"/>
                <w:szCs w:val="20"/>
                <w:lang w:val="en-US"/>
              </w:rPr>
            </w:pPr>
            <w:r w:rsidRPr="00EA7B7D">
              <w:rPr>
                <w:b/>
                <w:sz w:val="22"/>
                <w:szCs w:val="22"/>
                <w:lang w:val="en-US"/>
              </w:rPr>
              <w:t>*Department, University, City, and Country</w:t>
            </w:r>
          </w:p>
        </w:tc>
        <w:tc>
          <w:tcPr>
            <w:tcW w:w="2175" w:type="dxa"/>
            <w:shd w:val="clear" w:color="auto" w:fill="auto"/>
            <w:tcMar>
              <w:top w:w="100" w:type="dxa"/>
              <w:left w:w="100" w:type="dxa"/>
              <w:bottom w:w="100" w:type="dxa"/>
              <w:right w:w="100" w:type="dxa"/>
            </w:tcMar>
          </w:tcPr>
          <w:p w14:paraId="59981B90" w14:textId="1FB872AA"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3B663908" w14:textId="0213B150"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5BA6B9F4" w14:textId="4885FD77" w:rsidR="00C842E8" w:rsidRPr="00E123AC" w:rsidRDefault="00C842E8" w:rsidP="00E825F8">
            <w:pPr>
              <w:spacing w:line="360" w:lineRule="auto"/>
              <w:ind w:hanging="2"/>
              <w:rPr>
                <w:bCs/>
                <w:sz w:val="20"/>
                <w:szCs w:val="20"/>
                <w:lang w:val="en-US"/>
              </w:rPr>
            </w:pPr>
          </w:p>
        </w:tc>
      </w:tr>
      <w:tr w:rsidR="00C842E8" w:rsidRPr="00A71E9E" w14:paraId="785413D5" w14:textId="77777777" w:rsidTr="004622EB">
        <w:tc>
          <w:tcPr>
            <w:tcW w:w="2745" w:type="dxa"/>
            <w:shd w:val="clear" w:color="auto" w:fill="auto"/>
            <w:tcMar>
              <w:top w:w="100" w:type="dxa"/>
              <w:left w:w="100" w:type="dxa"/>
              <w:bottom w:w="100" w:type="dxa"/>
              <w:right w:w="100" w:type="dxa"/>
            </w:tcMar>
          </w:tcPr>
          <w:p w14:paraId="64B2AA35" w14:textId="77777777" w:rsidR="00C842E8" w:rsidRPr="00A71E9E" w:rsidRDefault="00C842E8" w:rsidP="004622EB">
            <w:pPr>
              <w:spacing w:line="360" w:lineRule="auto"/>
              <w:ind w:hanging="2"/>
              <w:rPr>
                <w:b/>
                <w:sz w:val="20"/>
                <w:szCs w:val="20"/>
                <w:lang w:val="en-US"/>
              </w:rPr>
            </w:pPr>
            <w:r w:rsidRPr="00A71E9E">
              <w:rPr>
                <w:b/>
                <w:sz w:val="20"/>
                <w:szCs w:val="20"/>
                <w:lang w:val="en-US"/>
              </w:rPr>
              <w:t>*Email</w:t>
            </w:r>
          </w:p>
        </w:tc>
        <w:tc>
          <w:tcPr>
            <w:tcW w:w="2175" w:type="dxa"/>
            <w:shd w:val="clear" w:color="auto" w:fill="auto"/>
            <w:tcMar>
              <w:top w:w="100" w:type="dxa"/>
              <w:left w:w="100" w:type="dxa"/>
              <w:bottom w:w="100" w:type="dxa"/>
              <w:right w:w="100" w:type="dxa"/>
            </w:tcMar>
          </w:tcPr>
          <w:p w14:paraId="3538A73E" w14:textId="575988EF"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5974D641" w14:textId="20E72D57"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724C688E" w14:textId="5FC32763" w:rsidR="00C842E8" w:rsidRPr="00E123AC" w:rsidRDefault="00C842E8" w:rsidP="004622EB">
            <w:pPr>
              <w:spacing w:line="360" w:lineRule="auto"/>
              <w:ind w:hanging="2"/>
              <w:rPr>
                <w:bCs/>
                <w:sz w:val="20"/>
                <w:szCs w:val="20"/>
                <w:lang w:val="en-US"/>
              </w:rPr>
            </w:pPr>
          </w:p>
        </w:tc>
      </w:tr>
    </w:tbl>
    <w:p w14:paraId="53CCB9EB" w14:textId="77777777" w:rsidR="00EA7B7D" w:rsidRDefault="00EA7B7D" w:rsidP="00EA7B7D">
      <w:pPr>
        <w:spacing w:line="360" w:lineRule="auto"/>
        <w:ind w:hanging="2"/>
        <w:rPr>
          <w:b/>
          <w:sz w:val="20"/>
          <w:szCs w:val="20"/>
          <w:lang w:val="en-US"/>
        </w:rPr>
      </w:pPr>
    </w:p>
    <w:p w14:paraId="6A296A9A" w14:textId="51EB87FC" w:rsidR="00EA7B7D" w:rsidRPr="00A71E9E" w:rsidRDefault="00EA7B7D" w:rsidP="00EA7B7D">
      <w:pPr>
        <w:spacing w:line="360" w:lineRule="auto"/>
        <w:ind w:hanging="2"/>
        <w:rPr>
          <w:b/>
          <w:sz w:val="20"/>
          <w:szCs w:val="20"/>
          <w:lang w:val="en-US"/>
        </w:rPr>
      </w:pPr>
      <w:r w:rsidRPr="00A71E9E">
        <w:rPr>
          <w:b/>
          <w:sz w:val="20"/>
          <w:szCs w:val="20"/>
          <w:lang w:val="en-US"/>
        </w:rPr>
        <w:t>*Required</w:t>
      </w:r>
    </w:p>
    <w:p w14:paraId="2A393576" w14:textId="77777777" w:rsidR="00C842E8" w:rsidRPr="00A71E9E" w:rsidRDefault="00C842E8" w:rsidP="00C842E8">
      <w:pPr>
        <w:spacing w:line="360" w:lineRule="auto"/>
        <w:ind w:hanging="2"/>
        <w:rPr>
          <w:b/>
          <w:lang w:val="en-US"/>
        </w:rPr>
      </w:pPr>
    </w:p>
    <w:p w14:paraId="6FC4B5C6" w14:textId="77777777" w:rsidR="00C842E8" w:rsidRPr="00A71E9E" w:rsidRDefault="00C842E8" w:rsidP="00C842E8">
      <w:pPr>
        <w:spacing w:line="360" w:lineRule="auto"/>
        <w:ind w:hanging="2"/>
        <w:rPr>
          <w:b/>
          <w:lang w:val="en-US"/>
        </w:rPr>
      </w:pPr>
      <w:r w:rsidRPr="00A71E9E">
        <w:rPr>
          <w:lang w:val="en-US"/>
        </w:rPr>
        <w:br w:type="page"/>
      </w:r>
    </w:p>
    <w:p w14:paraId="5338EF1D" w14:textId="77777777" w:rsidR="0095004A" w:rsidRPr="0029149E" w:rsidRDefault="0095004A" w:rsidP="0095004A">
      <w:pPr>
        <w:autoSpaceDE w:val="0"/>
        <w:autoSpaceDN w:val="0"/>
        <w:adjustRightInd w:val="0"/>
        <w:spacing w:line="360" w:lineRule="auto"/>
        <w:jc w:val="center"/>
      </w:pPr>
      <w:bookmarkStart w:id="0" w:name="_Hlk178773379"/>
      <w:bookmarkEnd w:id="0"/>
      <w:r w:rsidRPr="0029149E">
        <w:lastRenderedPageBreak/>
        <w:t xml:space="preserve">PENINGKATKAN KEMAMPUAN BERPIKIR STATISTIS DAN KEMANDIRIAN BELAJAR SISWA SMA DENGAN PENDEKATAN </w:t>
      </w:r>
      <w:r w:rsidRPr="0029149E">
        <w:rPr>
          <w:i/>
          <w:iCs/>
        </w:rPr>
        <w:t>SCAFFOLDING</w:t>
      </w:r>
      <w:r w:rsidRPr="0029149E">
        <w:t xml:space="preserve"> BERBASIS ETNOMATEMATIKA</w:t>
      </w:r>
    </w:p>
    <w:p w14:paraId="52228612" w14:textId="77777777" w:rsidR="00C842E8" w:rsidRPr="00A71E9E" w:rsidRDefault="00C842E8" w:rsidP="00C842E8">
      <w:pPr>
        <w:spacing w:line="360" w:lineRule="auto"/>
        <w:ind w:hanging="2"/>
        <w:rPr>
          <w:vertAlign w:val="superscript"/>
          <w:lang w:val="en-US"/>
        </w:rPr>
      </w:pPr>
    </w:p>
    <w:p w14:paraId="117E3E34" w14:textId="3555D43F" w:rsidR="00C842E8" w:rsidRPr="00A71E9E" w:rsidRDefault="00961BA7" w:rsidP="00961BA7">
      <w:pPr>
        <w:spacing w:line="360" w:lineRule="auto"/>
        <w:ind w:hanging="2"/>
        <w:jc w:val="center"/>
        <w:rPr>
          <w:highlight w:val="white"/>
          <w:lang w:val="en-US"/>
        </w:rPr>
      </w:pPr>
      <w:r w:rsidRPr="00A71E9E">
        <w:rPr>
          <w:b/>
          <w:lang w:val="en-US"/>
        </w:rPr>
        <w:t>Abstract</w:t>
      </w:r>
    </w:p>
    <w:p w14:paraId="15C62C66" w14:textId="77777777" w:rsidR="00A27690" w:rsidRPr="00D6713B" w:rsidRDefault="00A27690" w:rsidP="00A27690">
      <w:pPr>
        <w:autoSpaceDE w:val="0"/>
        <w:autoSpaceDN w:val="0"/>
        <w:adjustRightInd w:val="0"/>
        <w:jc w:val="both"/>
      </w:pPr>
      <w:r w:rsidRPr="00D6713B">
        <w:t>The social constructivist perspective should be applied in mathematics learning to create an active learning process. The Scaffolding learning strategy is a supportive strategy that can enhance this process. Based on the results of the PAS (Penilaian Akhir Semester) conducted in class X, the average score of students at SMAN 1 Cikidang was 32, placing the school in the low category for statistical thinking abilities. The low level of self-regulated learning is also reflected in students' habits of neglecting to study or not completing assignments when the teacher is absent from class. This lack of self-regulation in learning contributes to the students' poor statistical thinking abilities.</w:t>
      </w:r>
    </w:p>
    <w:p w14:paraId="6EA1FFCC" w14:textId="77777777" w:rsidR="00A27690" w:rsidRPr="00D6713B" w:rsidRDefault="00A27690" w:rsidP="00A27690">
      <w:pPr>
        <w:autoSpaceDE w:val="0"/>
        <w:autoSpaceDN w:val="0"/>
        <w:adjustRightInd w:val="0"/>
        <w:jc w:val="both"/>
      </w:pPr>
      <w:r w:rsidRPr="00D6713B">
        <w:t>The aim of this study is to examine whether there is an improvement in high school students' statistical thinking skills and self-regulated learning using the ethnomathematics-based scaffolding learning strategy. The research design is a Quasi-Experimental Design, combining both quantitative and qualitative methods (mixed method). Students' initial mathematical abilities (KAM) are used as a benchmark to group them into high, medium, and low abilities.</w:t>
      </w:r>
    </w:p>
    <w:p w14:paraId="57DF1E88" w14:textId="77777777" w:rsidR="00A27690" w:rsidRPr="00D6713B" w:rsidRDefault="00A27690" w:rsidP="00A27690">
      <w:pPr>
        <w:autoSpaceDE w:val="0"/>
        <w:autoSpaceDN w:val="0"/>
        <w:adjustRightInd w:val="0"/>
        <w:jc w:val="both"/>
      </w:pPr>
      <w:r w:rsidRPr="00D6713B">
        <w:t>The results of the study show that there is an improvement in the statistical thinking skills of students who were taught using the scaffolding strategy, with these students performing better than those who received conventional instruction in the high and medium KAM groups. However, for the low KAM group, students receiving conventional instruction performed better than those taught with the scaffolding strategy. Additionally, the self-regulated learning of students using the scaffolding strategy was better than that of students receiving direct or conventional instruction. This demonstrates that the scaffolding learning strategy is more effective in improving students' statistical thinking skills and enhancing their self-regulated learning.</w:t>
      </w:r>
    </w:p>
    <w:p w14:paraId="2E701876" w14:textId="689937CE" w:rsidR="00C842E8" w:rsidRPr="00A71E9E" w:rsidRDefault="00C842E8" w:rsidP="00961BA7">
      <w:pPr>
        <w:ind w:hanging="2"/>
        <w:jc w:val="both"/>
        <w:rPr>
          <w:lang w:val="en-US"/>
        </w:rPr>
      </w:pPr>
      <w:r w:rsidRPr="00A71E9E">
        <w:rPr>
          <w:b/>
          <w:color w:val="000000"/>
          <w:lang w:val="en-US"/>
        </w:rPr>
        <w:t xml:space="preserve">Keywords: </w:t>
      </w:r>
      <w:r w:rsidR="00A27690" w:rsidRPr="0095004A">
        <w:rPr>
          <w:lang w:val="en-US"/>
        </w:rPr>
        <w:t>Scaffolding</w:t>
      </w:r>
      <w:r w:rsidR="00A27690">
        <w:rPr>
          <w:lang w:val="en-US"/>
        </w:rPr>
        <w:t xml:space="preserve">, Self-regulated </w:t>
      </w:r>
      <w:r w:rsidR="0095004A" w:rsidRPr="0095004A">
        <w:rPr>
          <w:lang w:val="en-US"/>
        </w:rPr>
        <w:t>, Statistical Thinking</w:t>
      </w:r>
      <w:r w:rsidR="00A27690">
        <w:rPr>
          <w:lang w:val="en-US"/>
        </w:rPr>
        <w:t>.</w:t>
      </w:r>
    </w:p>
    <w:p w14:paraId="1D6721D7" w14:textId="77777777" w:rsidR="00C842E8" w:rsidRPr="00A71E9E" w:rsidRDefault="00C842E8" w:rsidP="00C842E8">
      <w:pPr>
        <w:spacing w:line="360" w:lineRule="auto"/>
        <w:ind w:hanging="2"/>
        <w:jc w:val="both"/>
        <w:rPr>
          <w:lang w:val="en-US"/>
        </w:rPr>
      </w:pPr>
    </w:p>
    <w:p w14:paraId="1889E6B6" w14:textId="77777777" w:rsidR="00C842E8" w:rsidRPr="00A71E9E" w:rsidRDefault="00C842E8" w:rsidP="00C842E8">
      <w:pPr>
        <w:spacing w:line="360" w:lineRule="auto"/>
        <w:ind w:hanging="2"/>
        <w:jc w:val="both"/>
        <w:rPr>
          <w:lang w:val="en-US"/>
        </w:rPr>
        <w:sectPr w:rsidR="00C842E8" w:rsidRPr="00A71E9E" w:rsidSect="00EA7B7D">
          <w:headerReference w:type="even" r:id="rId11"/>
          <w:headerReference w:type="default" r:id="rId12"/>
          <w:pgSz w:w="11906" w:h="16838"/>
          <w:pgMar w:top="1440" w:right="1440" w:bottom="1440" w:left="1440" w:header="708" w:footer="708" w:gutter="0"/>
          <w:pgNumType w:start="1"/>
          <w:cols w:space="720"/>
          <w:titlePg/>
          <w:docGrid w:linePitch="326"/>
        </w:sectPr>
      </w:pPr>
    </w:p>
    <w:p w14:paraId="7D649108" w14:textId="76F46133" w:rsidR="00C842E8" w:rsidRPr="00A71E9E" w:rsidRDefault="00DC74DB" w:rsidP="00C842E8">
      <w:pPr>
        <w:spacing w:line="360" w:lineRule="auto"/>
        <w:ind w:hanging="2"/>
        <w:jc w:val="both"/>
        <w:rPr>
          <w:lang w:val="en-US"/>
        </w:rPr>
      </w:pPr>
      <w:r w:rsidRPr="00A71E9E">
        <w:rPr>
          <w:b/>
          <w:lang w:val="en-US"/>
        </w:rPr>
        <w:t>INTRODUCTION</w:t>
      </w:r>
    </w:p>
    <w:p w14:paraId="783A1B52" w14:textId="77777777" w:rsidR="008A4769" w:rsidRPr="008A4769" w:rsidRDefault="008A4769" w:rsidP="008A4769">
      <w:pPr>
        <w:spacing w:line="360" w:lineRule="auto"/>
        <w:ind w:firstLine="426"/>
        <w:jc w:val="both"/>
      </w:pPr>
      <w:r w:rsidRPr="008A4769">
        <w:t xml:space="preserve">The social constructivist perspective should be applied in mathematics learning to create an active learning process. Nurhayati (2017) stated that changes in the teaching process require the significant role of teachers to guide and respond in a way that helps students develop their own thinking. Scaffolding learning is a supportive approach that can enhance this. In Indonesian, scaffolding is defined as "perancah" (scaffolding) and is described as bamboo (beams) used as support during the construction of a house. Scaffolding assists students cognitively as companions in their learning process. The interaction between teachers and students who face difficulties in the learning process is known as scaffolding. The goal of scaffolding is to improve students' understanding and skills (Mustofa et al., 2021). The purpose of the scaffolding learning process is to make it easier for students to grasp the material or </w:t>
      </w:r>
      <w:r w:rsidRPr="008A4769">
        <w:lastRenderedPageBreak/>
        <w:t>practice presented by the teacher. Educators help students by providing cues, reminders, encouragement, and explanations to facilitate independent learning (Wahidin et al., 2016).</w:t>
      </w:r>
    </w:p>
    <w:p w14:paraId="68370FC6" w14:textId="77777777" w:rsidR="008A4769" w:rsidRPr="008A4769" w:rsidRDefault="008A4769" w:rsidP="008A4769">
      <w:pPr>
        <w:spacing w:line="360" w:lineRule="auto"/>
        <w:ind w:firstLine="426"/>
        <w:jc w:val="both"/>
      </w:pPr>
      <w:r w:rsidRPr="008A4769">
        <w:t>The scaffolding learning strategy relies on teacher assistance to help students learn and solve problems (Puspita &amp; Sapir, 2012). It can be defined as a specific form of support given at the beginning of learning to facilitate learning and encourage independent learning (Nurhayati, 2017). According to Sutarmi et al. (2013), scaffolding is a learning activity related to real-world contexts to achieve goals using simple language, visual representations by the teacher, and prepared learning tools.</w:t>
      </w:r>
    </w:p>
    <w:p w14:paraId="236509DB" w14:textId="77777777" w:rsidR="008A4769" w:rsidRPr="008A4769" w:rsidRDefault="008A4769" w:rsidP="008A4769">
      <w:pPr>
        <w:spacing w:line="360" w:lineRule="auto"/>
        <w:ind w:hanging="2"/>
        <w:jc w:val="both"/>
      </w:pPr>
      <w:r w:rsidRPr="008A4769">
        <w:t>Lev Vygotsky was the first to introduce the concept of scaffolding. According to Hartman (2002), Vygotsky’s theory introduces social constructivism with two components: social interaction and the zone of proximal development (ZPD). Vygotsky defined scaffolding as "the role of teachers and others in supporting the learner’s development and providing support structures to reach the next stage or level" (Stufyf, 2002). In other words, scaffolding is the best method to reach the desired level. ZPD is the area between what a person can do independently and what they can achieve with assistance from adults or experts. Scaffolding is essential to reach this potential developmental level.</w:t>
      </w:r>
    </w:p>
    <w:p w14:paraId="7637D1C0" w14:textId="77777777" w:rsidR="008A4769" w:rsidRDefault="008A4769" w:rsidP="008A4769">
      <w:pPr>
        <w:spacing w:line="360" w:lineRule="auto"/>
        <w:ind w:firstLine="426"/>
        <w:jc w:val="both"/>
      </w:pPr>
      <w:r w:rsidRPr="008A4769">
        <w:t>Byrnes (Hartman, 2001) mentioned that Vygotsky identified four phases of scaffolding learning: first, modeling through verbal explanations; second, students imitating the teacher’s modeling; third, the gradual removal of assistance; and fourth, students reaching a mastery level. In the second phase, teachers must continuously assess students' understanding and provide help as needed. In the third phase, teachers gradually reduce their assistance, much like when they begin teaching new material.</w:t>
      </w:r>
    </w:p>
    <w:p w14:paraId="4C5A35EA" w14:textId="77777777" w:rsidR="000B39AD" w:rsidRPr="000B39AD" w:rsidRDefault="000B39AD" w:rsidP="000B39AD">
      <w:pPr>
        <w:spacing w:line="360" w:lineRule="auto"/>
        <w:ind w:firstLine="426"/>
        <w:jc w:val="both"/>
      </w:pPr>
      <w:r w:rsidRPr="000B39AD">
        <w:t xml:space="preserve">According to Roehler and Cantlon (Bikmaz et al., 2010), the following are the characteristics of scaffolding related to learning: (1) Provide explanations. These explanations consist of clear and firm statements that are adjusted to the students' understanding of the subject matter to be learned, as well as the reasons, when, and how they are used. (2) Require student participation. Learners are given the opportunity to participate in the learning process. After the instructor demonstrates the thinking, actions, and feelings that should be included in the task to be performed, students have the chance to complete it according to their knowledge and understanding. (3) Check and clarify students' understanding. If students' understanding aligns with the truth standards, the teacher reviews and tests their responses. If not, the teacher provides clarification on the correct information. (4) Demonstrating specified behavior is a learning attitude that shows how one should act, think, or feel in a given situation. One must practice thinking out loud, speaking aloud, and doing what they say. (5) Encourage students to </w:t>
      </w:r>
      <w:r w:rsidRPr="000B39AD">
        <w:lastRenderedPageBreak/>
        <w:t>provide suggestions, ideas, or thoughts. Learners are encouraged to offer directions, ideas, or cues about what should be done in tasks or exercises. Depending on the material to be discussed, these five features of scaffolding can be used simultaneously or individually.</w:t>
      </w:r>
    </w:p>
    <w:p w14:paraId="3BD32541" w14:textId="77777777" w:rsidR="000B39AD" w:rsidRDefault="000B39AD" w:rsidP="000B39AD">
      <w:pPr>
        <w:spacing w:line="360" w:lineRule="auto"/>
        <w:ind w:firstLine="426"/>
        <w:jc w:val="both"/>
      </w:pPr>
      <w:r w:rsidRPr="000B39AD">
        <w:t>In order to lay the foundation for the development of an advanced society, the characteristics of scaffolding in mathematics learning at school are fundamental. Math teachers should not merely teach abstract symbols and boring theorems to their students. By providing clear learning objectives and a realistic approach, mathematics can become a daily companion for students. Thus, mathematics should at least be integrated into students' daily lives through the teaching of local wisdom in the environment where they study. Ethnomathematics is a type of mathematics learning that uses local wisdom. Mathematics that is influenced or based on a particular culture is referred to as ethnomathematics. Ilma &amp; Putri (2020) state that "ethnomathematics is defined as a field that studies efforts made by individuals due to cultural differences, with the aim of examining, articulating, and applying concepts related to the relationship between culture and mathematics." Therefore, ethnomathematics can be defined as cultural anthropology related to mathematics and its education (Zhang et al., 2021). The learning environment in ethnomathematics-based education should be made enjoyable for both teachers and students. This allows both teachers and students to actively participate in the culture they are already familiar with, achieving optimal learning outcomes (Fahrurrozi, 2015).</w:t>
      </w:r>
    </w:p>
    <w:p w14:paraId="53F2C106" w14:textId="77777777" w:rsidR="000B39AD" w:rsidRPr="000B39AD" w:rsidRDefault="000B39AD" w:rsidP="000B39AD">
      <w:pPr>
        <w:spacing w:line="360" w:lineRule="auto"/>
        <w:ind w:firstLine="426"/>
        <w:jc w:val="both"/>
      </w:pPr>
      <w:r w:rsidRPr="000B39AD">
        <w:t>Ethnomathematics is a type of mathematics that is based on or influenced by culture. By incorporating ethnomathematics into mathematics education, it is hoped that students will better understand both mathematics and their own culture. Thus, educators will find it easier to instill cultural values, which are part of the nation’s character, in students from a young age (Wahyuni et al., 2013).</w:t>
      </w:r>
    </w:p>
    <w:p w14:paraId="22E3DCCC" w14:textId="77777777" w:rsidR="000B39AD" w:rsidRPr="000B39AD" w:rsidRDefault="000B39AD" w:rsidP="000B39AD">
      <w:pPr>
        <w:spacing w:line="360" w:lineRule="auto"/>
        <w:ind w:firstLine="426"/>
        <w:jc w:val="both"/>
      </w:pPr>
      <w:r w:rsidRPr="000B39AD">
        <w:t>Students will find it easier to comprehend subject matter if culture is incorporated into learning. Statistics is a field of knowledge that can be used to interpret and understand the phenomenon of uncertainty, which continually occurs in science, life, and the workplace (Moore, 1997; Yusuf, 2017). Specifically, statistics is used to describe and predict phenomena using a set of measured results. Therefore, the goals of statistics learning must be supported by learning experiences, teaching materials, and instructional media. According to Rumsey (2002), the goal of statistics education is to provide students with a strong understanding of statistics so that they can comprehend how to use data, critique and make decisions based on their understanding, and develop research skills. Thus, statistical reasoning is essential.</w:t>
      </w:r>
    </w:p>
    <w:p w14:paraId="62AA1572" w14:textId="77777777" w:rsidR="000B39AD" w:rsidRPr="000B39AD" w:rsidRDefault="000B39AD" w:rsidP="000B39AD">
      <w:pPr>
        <w:spacing w:line="360" w:lineRule="auto"/>
        <w:ind w:firstLine="426"/>
        <w:jc w:val="both"/>
      </w:pPr>
      <w:r w:rsidRPr="000B39AD">
        <w:t xml:space="preserve">Ulpah (2013) stated that statistics instruction needs to be transformed to enhance students' statistical reasoning abilities. First, the perspective on teaching knowledge is defined as the </w:t>
      </w:r>
      <w:r w:rsidRPr="000B39AD">
        <w:lastRenderedPageBreak/>
        <w:t>relationship between concepts and reasoning procedures. Second, learning is no longer seen as an individual effort to master processes explained by the teacher but rather as a collaborative effort to acquire knowledge. Third, teaching shifts from structured instruction, explaining lessons, and correcting student errors to teaching through interaction. According to several studies, most students memorize formulas and procedures or steps provided without first understanding the concepts. As a result, they become unprepared and confused when faced with problems designed differently from what they are accustomed to (Setyorini et al., 2017).</w:t>
      </w:r>
    </w:p>
    <w:p w14:paraId="32059C18" w14:textId="77777777" w:rsidR="000B39AD" w:rsidRPr="000B39AD" w:rsidRDefault="000B39AD" w:rsidP="000B39AD">
      <w:pPr>
        <w:spacing w:line="360" w:lineRule="auto"/>
        <w:ind w:firstLine="426"/>
        <w:jc w:val="both"/>
      </w:pPr>
      <w:r w:rsidRPr="000B39AD">
        <w:t>Self-regulated learning is a component that influences students' statistical abilities. Self-regulated learning helps students solve mathematical problems more effectively. Students with a high degree of self-regulated learning can: a) save time in completing tasks, b) learn better under their own supervision than under a programmed one, and c) effectively organize and monitor their learning and time. According to Pratiwi &amp; Laksmiwati (2016), confidence in one's ability is one of the characteristics of individuals with self-regulated learning. One component of self-confidence is belief. Those who are confident in their abilities think positively about their capacity to solve various learning problems.</w:t>
      </w:r>
    </w:p>
    <w:p w14:paraId="6B2C3AF8" w14:textId="77777777" w:rsidR="000B39AD" w:rsidRPr="000B39AD" w:rsidRDefault="000B39AD" w:rsidP="000B39AD">
      <w:pPr>
        <w:spacing w:line="360" w:lineRule="auto"/>
        <w:ind w:firstLine="426"/>
        <w:jc w:val="both"/>
      </w:pPr>
      <w:r w:rsidRPr="000B39AD">
        <w:t>Based on the results of the PAS (Penilaian Akhir Semester) conducted in class X at SMAN 1 Cikidang, the average score obtained by students was 32, indicating that the statistical thinking abilities of the class X students at SMAN 1 Cikidang fall into the low category. The low level of self-regulated learning is also evident from students' habits of neglecting to study or not completing assignments given by the teacher when absent from class. This lack of self-regulation in learning contributes to the students' inadequate statistical thinking abilities.</w:t>
      </w:r>
    </w:p>
    <w:p w14:paraId="1ADF2718" w14:textId="77777777" w:rsidR="000B39AD" w:rsidRPr="000B39AD" w:rsidRDefault="000B39AD" w:rsidP="000B39AD">
      <w:pPr>
        <w:spacing w:line="360" w:lineRule="auto"/>
        <w:ind w:firstLine="426"/>
        <w:jc w:val="both"/>
      </w:pPr>
      <w:r w:rsidRPr="000B39AD">
        <w:t>This aligns with the findings of Fasa et al. (2021), which suggest that students who have an awareness of independent learning are better able to receive information from teachers compared to those without such awareness. Those who lack this awareness struggle more to receive information from teachers, and this impacts the quality of learning outcomes. Therefore, the research to be conducted is titled "Improving Statistical Thinking Skills and Self-Regulated Learning in High School Students Through Scaffolding Strategies Based on Ethnomathematics."</w:t>
      </w:r>
    </w:p>
    <w:p w14:paraId="4556F197" w14:textId="4D814C9E" w:rsidR="00C842E8" w:rsidRPr="00A71E9E" w:rsidRDefault="00C842E8" w:rsidP="00C842E8">
      <w:pPr>
        <w:spacing w:line="360" w:lineRule="auto"/>
        <w:ind w:hanging="2"/>
        <w:jc w:val="both"/>
        <w:rPr>
          <w:lang w:val="en-US"/>
        </w:rPr>
      </w:pPr>
      <w:r w:rsidRPr="00A71E9E">
        <w:rPr>
          <w:lang w:val="en-US"/>
        </w:rPr>
        <w:t> </w:t>
      </w:r>
    </w:p>
    <w:p w14:paraId="337F1449" w14:textId="0CED4BEE" w:rsidR="00C842E8" w:rsidRPr="00A71E9E" w:rsidRDefault="00DC74DB" w:rsidP="00C842E8">
      <w:pPr>
        <w:spacing w:line="360" w:lineRule="auto"/>
        <w:ind w:hanging="2"/>
        <w:jc w:val="both"/>
        <w:rPr>
          <w:lang w:val="en-US"/>
        </w:rPr>
      </w:pPr>
      <w:r w:rsidRPr="00A71E9E">
        <w:rPr>
          <w:b/>
          <w:lang w:val="en-US"/>
        </w:rPr>
        <w:t>METHOD</w:t>
      </w:r>
    </w:p>
    <w:p w14:paraId="20CC2C7C" w14:textId="03493783" w:rsidR="00DC74DB" w:rsidRDefault="002E064A" w:rsidP="00DC74DB">
      <w:pPr>
        <w:spacing w:line="360" w:lineRule="auto"/>
        <w:ind w:leftChars="-1" w:left="-2" w:firstLine="569"/>
        <w:jc w:val="both"/>
      </w:pPr>
      <w:r w:rsidRPr="002E064A">
        <w:t xml:space="preserve">The research design is a Quasi-Experimental Design. This study is a mixed-method research, combining both quantitative and qualitative approaches. The quantitative aspect of this research is a quasi-experimental study, as the subjects for the experimental and control classes were not randomly selected, but rather the researcher accepted the subjects as they were </w:t>
      </w:r>
      <w:r w:rsidRPr="002E064A">
        <w:lastRenderedPageBreak/>
        <w:t>(Ruseffendi, 2005). The quasi-experimental design applied in this study uses a pretest-posttest design. The research design is as follows:</w:t>
      </w:r>
    </w:p>
    <w:p w14:paraId="7F7B48CB" w14:textId="77777777" w:rsidR="002E064A" w:rsidRPr="00820FC2" w:rsidRDefault="002E064A" w:rsidP="002E064A">
      <w:pPr>
        <w:pStyle w:val="ListParagraph"/>
        <w:tabs>
          <w:tab w:val="left" w:pos="7655"/>
        </w:tabs>
        <w:spacing w:after="0" w:line="240" w:lineRule="auto"/>
        <w:ind w:firstLine="2880"/>
        <w:jc w:val="both"/>
        <w:rPr>
          <w:rFonts w:ascii="Times New Roman" w:hAnsi="Times New Roman" w:cs="Times New Roman"/>
          <w:sz w:val="24"/>
          <w:szCs w:val="24"/>
        </w:rPr>
      </w:pPr>
      <w:r w:rsidRPr="00820FC2">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3DC17A90" wp14:editId="4287B570">
                <wp:simplePos x="0" y="0"/>
                <wp:positionH relativeFrom="column">
                  <wp:posOffset>2245360</wp:posOffset>
                </wp:positionH>
                <wp:positionV relativeFrom="paragraph">
                  <wp:posOffset>186689</wp:posOffset>
                </wp:positionV>
                <wp:extent cx="582295" cy="0"/>
                <wp:effectExtent l="0" t="0" r="0" b="0"/>
                <wp:wrapNone/>
                <wp:docPr id="142713374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927C69" id="_x0000_t32" coordsize="21600,21600" o:spt="32" o:oned="t" path="m,l21600,21600e" filled="f">
                <v:path arrowok="t" fillok="f" o:connecttype="none"/>
                <o:lock v:ext="edit" shapetype="t"/>
              </v:shapetype>
              <v:shape id="Straight Arrow Connector 1" o:spid="_x0000_s1026" type="#_x0000_t32" style="position:absolute;margin-left:176.8pt;margin-top:14.7pt;width:45.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">
                <v:stroke dashstyle="dash"/>
              </v:shape>
            </w:pict>
          </mc:Fallback>
        </mc:AlternateContent>
      </w:r>
      <w:r w:rsidRPr="00820FC2">
        <w:rPr>
          <w:rFonts w:ascii="Times New Roman" w:hAnsi="Times New Roman" w:cs="Times New Roman"/>
          <w:sz w:val="24"/>
          <w:szCs w:val="24"/>
        </w:rPr>
        <w:t>0    X    0</w:t>
      </w:r>
    </w:p>
    <w:p w14:paraId="37A48650" w14:textId="77777777" w:rsidR="002E064A" w:rsidRPr="00820FC2" w:rsidRDefault="002E064A" w:rsidP="002E064A">
      <w:pPr>
        <w:pStyle w:val="ListParagraph"/>
        <w:tabs>
          <w:tab w:val="left" w:pos="7655"/>
        </w:tabs>
        <w:spacing w:after="0" w:line="480" w:lineRule="auto"/>
        <w:jc w:val="both"/>
        <w:rPr>
          <w:rFonts w:ascii="Times New Roman" w:hAnsi="Times New Roman" w:cs="Times New Roman"/>
          <w:sz w:val="24"/>
          <w:szCs w:val="24"/>
        </w:rPr>
      </w:pPr>
      <w:r w:rsidRPr="00820FC2">
        <w:rPr>
          <w:rFonts w:ascii="Times New Roman" w:hAnsi="Times New Roman" w:cs="Times New Roman"/>
          <w:sz w:val="24"/>
          <w:szCs w:val="24"/>
        </w:rPr>
        <w:t xml:space="preserve">                                                0           0</w:t>
      </w:r>
    </w:p>
    <w:p w14:paraId="131784C6" w14:textId="150DF30E" w:rsidR="002E064A" w:rsidRDefault="002E064A" w:rsidP="00DC74DB">
      <w:pPr>
        <w:spacing w:line="360" w:lineRule="auto"/>
        <w:ind w:leftChars="-1" w:left="-2" w:firstLine="569"/>
        <w:jc w:val="both"/>
      </w:pPr>
      <w:r>
        <w:t>E</w:t>
      </w:r>
      <w:r w:rsidRPr="002E064A">
        <w:t>xplanation:</w:t>
      </w:r>
      <w:r w:rsidRPr="002E064A">
        <w:br/>
        <w:t>0 = Pretest and posttest (test of mathematical connection ability)</w:t>
      </w:r>
      <w:r w:rsidRPr="002E064A">
        <w:br/>
        <w:t>X = Treatment using the Scaffolding method based on ethnomathematics</w:t>
      </w:r>
      <w:r w:rsidRPr="002E064A">
        <w:br/>
        <w:t>-- = Subjects were not randomly grouped</w:t>
      </w:r>
    </w:p>
    <w:p w14:paraId="4E886065" w14:textId="77777777" w:rsidR="00257E49" w:rsidRPr="00257E49" w:rsidRDefault="00257E49" w:rsidP="00257E49">
      <w:pPr>
        <w:spacing w:line="360" w:lineRule="auto"/>
        <w:ind w:firstLine="426"/>
        <w:jc w:val="both"/>
      </w:pPr>
      <w:r w:rsidRPr="00257E49">
        <w:t>The design of this research aligns with the aim of the study, which is to determine whether the ethnomathematics-based scaffolding learning method can improve high school students' statistical thinking abilities and their learning independence in mathematics. In the learning implementation, the experimental class used the ethnomathematics-based scaffolding learning method, while the control group used conventional learning. The topics, reference books, and learning aids used were relatively the same. A pre-test was given before the learning began, and a post-test was administered after all the learning activities were completed.</w:t>
      </w:r>
    </w:p>
    <w:p w14:paraId="60E6DB7B" w14:textId="77777777" w:rsidR="00257E49" w:rsidRPr="00257E49" w:rsidRDefault="00257E49" w:rsidP="00257E49">
      <w:pPr>
        <w:spacing w:line="360" w:lineRule="auto"/>
        <w:ind w:firstLine="426"/>
        <w:jc w:val="both"/>
      </w:pPr>
      <w:r w:rsidRPr="00257E49">
        <w:t xml:space="preserve">The research design is a mixed-methods study, utilizing the </w:t>
      </w:r>
      <w:r w:rsidRPr="00257E49">
        <w:rPr>
          <w:b/>
          <w:bCs/>
        </w:rPr>
        <w:t>Embedded Design</w:t>
      </w:r>
      <w:r w:rsidRPr="00257E49">
        <w:t>. According to Indrawan and Yaniawati (2017), this method strengthens the research process by incorporating both qualitative and quantitative approaches. Embedding is applied in areas that require reinforcement or clarification, ensuring that the conclusions drawn have a higher degree of confidence in understanding. This design was used because the researcher aimed to perform triangulation, or compare and connect findings from both types of data.</w:t>
      </w:r>
    </w:p>
    <w:p w14:paraId="062EB255" w14:textId="77777777" w:rsidR="002E064A" w:rsidRPr="002E064A" w:rsidRDefault="002E064A" w:rsidP="002E064A">
      <w:pPr>
        <w:spacing w:line="360" w:lineRule="auto"/>
        <w:ind w:firstLine="426"/>
        <w:jc w:val="both"/>
      </w:pPr>
      <w:r w:rsidRPr="002E064A">
        <w:t>The population of this study consists of all tenth-grade students at SMA 1 Cikidang, Sukabumi Regency. From this population, since it was not feasible to form new classes from random samples, two classes out of the 10 available were chosen as the sample subjects based on the research design. The sampling was conducted using purposive sampling, a technique in which the sample is selected based on specific considerations (Sugiyono, 2010: 25). One of the classes selected as the experimental group was Class X6, consisting of 30 students, while another class, Class X10, was selected as the control group, also with 30 students.</w:t>
      </w:r>
    </w:p>
    <w:p w14:paraId="7005EE1A" w14:textId="59EC9DBE" w:rsidR="002E064A" w:rsidRDefault="002E064A" w:rsidP="002E064A">
      <w:pPr>
        <w:spacing w:line="360" w:lineRule="auto"/>
        <w:ind w:firstLine="426"/>
        <w:jc w:val="both"/>
      </w:pPr>
      <w:r w:rsidRPr="002E064A">
        <w:t>Given that the study aimed to investigate statistical reasoning, the chosen subject matter for the study was statistics, which is taught in the second semester of tenth grade. The rationale behind selecting tenth-grade students is that, according to Piaget &amp; Inhelder (2010), high school students are already capable of abstract thinking based on certain logical frameworks. Students can reason using more symbols or ideas in their thinking process. This is the reason why Class X6 and X10 were chosen, with Class X6 serving as the experimental group.</w:t>
      </w:r>
      <w:r>
        <w:t xml:space="preserve"> </w:t>
      </w:r>
      <w:r w:rsidRPr="002E064A">
        <w:t xml:space="preserve">Another reason for </w:t>
      </w:r>
      <w:r w:rsidRPr="002E064A">
        <w:lastRenderedPageBreak/>
        <w:t>selecting Class X6 and X10 is that their average daily test scores were very similar. Class X6 had an average score of 5.4, while Class X10 had an average score of 5.3.</w:t>
      </w:r>
      <w:r>
        <w:t xml:space="preserve"> </w:t>
      </w:r>
    </w:p>
    <w:p w14:paraId="6CE178EC" w14:textId="1C97362C" w:rsidR="002E064A" w:rsidRPr="002E064A" w:rsidRDefault="002E064A" w:rsidP="002E064A">
      <w:pPr>
        <w:spacing w:line="360" w:lineRule="auto"/>
        <w:ind w:firstLine="426"/>
        <w:jc w:val="both"/>
      </w:pPr>
      <w:r w:rsidRPr="002E064A">
        <w:t>The determination of high, medium, and low levels for each selected class was based on criteria proposed by Arikunto (2002) as follows: students at the high level are those with scores greater than or equal to x̅+s; students at the medium level are those with scores less than x̅+s but greater than or equal to x̅-s; while students at the low level are those with scores less than x̅-s, where x̅ and s are the mean and standard deviation of all students from both classes selected as the sample.</w:t>
      </w:r>
    </w:p>
    <w:p w14:paraId="794B3CA3" w14:textId="77777777" w:rsidR="002E064A" w:rsidRPr="002E064A" w:rsidRDefault="002E064A" w:rsidP="002E064A">
      <w:pPr>
        <w:spacing w:line="360" w:lineRule="auto"/>
        <w:jc w:val="both"/>
        <w:rPr>
          <w:lang w:val="en-US"/>
        </w:rPr>
      </w:pPr>
    </w:p>
    <w:p w14:paraId="6BDAB23A" w14:textId="77777777" w:rsidR="00C7323B" w:rsidRPr="00A71E9E" w:rsidRDefault="00C7323B" w:rsidP="00C7323B">
      <w:pPr>
        <w:spacing w:line="360" w:lineRule="auto"/>
        <w:ind w:hanging="2"/>
        <w:jc w:val="both"/>
        <w:rPr>
          <w:lang w:val="en-US"/>
        </w:rPr>
      </w:pPr>
      <w:r w:rsidRPr="00A71E9E">
        <w:rPr>
          <w:b/>
          <w:lang w:val="en-US"/>
        </w:rPr>
        <w:t>RESULTS AND DISCUSSION</w:t>
      </w:r>
    </w:p>
    <w:p w14:paraId="06AFB234" w14:textId="77777777" w:rsidR="00A8683C" w:rsidRPr="00A8683C" w:rsidRDefault="00A8683C" w:rsidP="00257E49">
      <w:pPr>
        <w:spacing w:line="360" w:lineRule="auto"/>
        <w:jc w:val="both"/>
      </w:pPr>
      <w:r w:rsidRPr="00A8683C">
        <w:t>The improvement of students' statistical thinking abilities is measured using the N-Gain of students' statistical thinking skills, both in the experimental class and the control class. To determine the direct effect and the interaction effect between the learning approach factor and prior mathematical knowledge (KAM) on the improvement of students' statistical thinking abilities, a two-way analysis of variance (ANOVA) will be used. The condition for using two-way ANOVA is that the data on the improvement of students' statistical thinking abilities must be normally distributed, thus the two-way ANOVA test is applied.</w:t>
      </w:r>
    </w:p>
    <w:p w14:paraId="6A64A2A6" w14:textId="44959A63" w:rsidR="00257E49" w:rsidRDefault="00A8683C" w:rsidP="00257E49">
      <w:pPr>
        <w:spacing w:line="360" w:lineRule="auto"/>
        <w:ind w:right="281"/>
        <w:jc w:val="both"/>
        <w:rPr>
          <w:b/>
          <w:bCs/>
        </w:rPr>
      </w:pPr>
      <w:r w:rsidRPr="00A8683C">
        <w:rPr>
          <w:b/>
          <w:bCs/>
        </w:rPr>
        <w:t>Normality</w:t>
      </w:r>
      <w:r w:rsidR="00257E49">
        <w:rPr>
          <w:b/>
          <w:bCs/>
        </w:rPr>
        <w:t xml:space="preserve"> </w:t>
      </w:r>
      <w:r w:rsidRPr="00A8683C">
        <w:rPr>
          <w:b/>
          <w:bCs/>
        </w:rPr>
        <w:t>Test</w:t>
      </w:r>
    </w:p>
    <w:p w14:paraId="1D542080" w14:textId="31C0980B" w:rsidR="00A8683C" w:rsidRPr="00A8683C" w:rsidRDefault="00A8683C" w:rsidP="00257E49">
      <w:pPr>
        <w:spacing w:line="360" w:lineRule="auto"/>
        <w:ind w:right="281"/>
        <w:jc w:val="both"/>
      </w:pPr>
      <w:r w:rsidRPr="00A8683C">
        <w:t>The data used for this test is the N-Gain of statistical thinking abilities in the experimental and control classes. If at least one data point is not normally distributed, then data analysis will be carried out qualitatively by examining the profile plots of the estimated marginal meansgraph.</w:t>
      </w:r>
      <w:r w:rsidRPr="00A8683C">
        <w:br/>
        <w:t>The hypothesis for the normality test of N-Gain data distribution is as follows:</w:t>
      </w:r>
    </w:p>
    <w:p w14:paraId="3F6F9D66" w14:textId="77777777" w:rsidR="00A8683C" w:rsidRPr="00A8683C" w:rsidRDefault="00A8683C" w:rsidP="00257E49">
      <w:pPr>
        <w:numPr>
          <w:ilvl w:val="0"/>
          <w:numId w:val="1"/>
        </w:numPr>
        <w:spacing w:line="360" w:lineRule="auto"/>
        <w:jc w:val="both"/>
      </w:pPr>
      <w:r w:rsidRPr="00A8683C">
        <w:t>H0: The N-Gain data of students' statistical thinking abilities are normally distributed.</w:t>
      </w:r>
    </w:p>
    <w:p w14:paraId="37F63629" w14:textId="77777777" w:rsidR="00A8683C" w:rsidRPr="00A8683C" w:rsidRDefault="00A8683C" w:rsidP="00257E49">
      <w:pPr>
        <w:numPr>
          <w:ilvl w:val="0"/>
          <w:numId w:val="1"/>
        </w:numPr>
        <w:spacing w:line="360" w:lineRule="auto"/>
        <w:jc w:val="both"/>
      </w:pPr>
      <w:r w:rsidRPr="00A8683C">
        <w:t>H1: The N-Gain data of students' statistical thinking abilities are not normally distributed.</w:t>
      </w:r>
    </w:p>
    <w:p w14:paraId="7B889024" w14:textId="7D94D8C7" w:rsidR="00A8683C" w:rsidRDefault="00A8683C" w:rsidP="00257E49">
      <w:pPr>
        <w:spacing w:line="360" w:lineRule="auto"/>
        <w:jc w:val="both"/>
      </w:pPr>
      <w:r w:rsidRPr="00A8683C">
        <w:t xml:space="preserve">With the testing criteria: reject H0 if the Sig. value is less than </w:t>
      </w:r>
      <w:r w:rsidRPr="00A8683C">
        <w:rPr>
          <w:rFonts w:ascii="Cambria Math" w:hAnsi="Cambria Math" w:cs="Cambria Math"/>
        </w:rPr>
        <w:t>∝</w:t>
      </w:r>
      <w:r w:rsidRPr="00A8683C">
        <w:t xml:space="preserve"> = 0.05. The results of the normality test for the N-Gain of students' statistical thinking abilities are presented in Table</w:t>
      </w:r>
      <w:r>
        <w:t xml:space="preserve"> 1</w:t>
      </w:r>
    </w:p>
    <w:p w14:paraId="78E24AE2" w14:textId="4F65FA57" w:rsidR="00A8683C" w:rsidRDefault="00A8683C" w:rsidP="00A8683C">
      <w:pPr>
        <w:spacing w:line="360" w:lineRule="auto"/>
        <w:jc w:val="center"/>
      </w:pPr>
      <w:r>
        <w:t>Table 1</w:t>
      </w:r>
    </w:p>
    <w:p w14:paraId="72C93D59" w14:textId="11EAD7A9" w:rsidR="00A8683C" w:rsidRPr="00A8683C" w:rsidRDefault="00A8683C" w:rsidP="00A8683C">
      <w:pPr>
        <w:spacing w:line="360" w:lineRule="auto"/>
        <w:jc w:val="center"/>
      </w:pPr>
      <w:r w:rsidRPr="00820FC2">
        <w:rPr>
          <w:b/>
          <w:bCs/>
        </w:rPr>
        <w:t>Tests of Normality</w:t>
      </w:r>
    </w:p>
    <w:tbl>
      <w:tblPr>
        <w:tblW w:w="482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34"/>
        <w:gridCol w:w="567"/>
        <w:gridCol w:w="729"/>
        <w:gridCol w:w="2390"/>
      </w:tblGrid>
      <w:tr w:rsidR="00A8683C" w:rsidRPr="00820FC2" w14:paraId="1D613D50" w14:textId="77777777" w:rsidTr="00A8683C">
        <w:trPr>
          <w:cantSplit/>
          <w:jc w:val="center"/>
        </w:trPr>
        <w:tc>
          <w:tcPr>
            <w:tcW w:w="2430" w:type="dxa"/>
            <w:gridSpan w:val="3"/>
            <w:tcBorders>
              <w:top w:val="single" w:sz="4" w:space="0" w:color="auto"/>
              <w:bottom w:val="single" w:sz="4" w:space="0" w:color="auto"/>
            </w:tcBorders>
            <w:shd w:val="clear" w:color="auto" w:fill="D9E2F3" w:themeFill="accent1" w:themeFillTint="33"/>
            <w:vAlign w:val="center"/>
          </w:tcPr>
          <w:p w14:paraId="09A3DDEF" w14:textId="77777777" w:rsidR="00A8683C" w:rsidRPr="00820FC2" w:rsidRDefault="00A8683C" w:rsidP="004541C9">
            <w:pPr>
              <w:jc w:val="center"/>
            </w:pPr>
            <w:r w:rsidRPr="00820FC2">
              <w:t>Kolmogorov-Smirnov</w:t>
            </w:r>
            <w:r w:rsidRPr="00820FC2">
              <w:rPr>
                <w:vertAlign w:val="superscript"/>
              </w:rPr>
              <w:t>a</w:t>
            </w:r>
          </w:p>
        </w:tc>
        <w:tc>
          <w:tcPr>
            <w:tcW w:w="2390" w:type="dxa"/>
            <w:tcBorders>
              <w:top w:val="single" w:sz="4" w:space="0" w:color="auto"/>
              <w:bottom w:val="single" w:sz="4" w:space="0" w:color="auto"/>
            </w:tcBorders>
            <w:shd w:val="clear" w:color="auto" w:fill="D9E2F3" w:themeFill="accent1" w:themeFillTint="33"/>
            <w:vAlign w:val="center"/>
          </w:tcPr>
          <w:p w14:paraId="6E85C847" w14:textId="77777777" w:rsidR="00A8683C" w:rsidRPr="00820FC2" w:rsidRDefault="00A8683C" w:rsidP="004541C9">
            <w:pPr>
              <w:jc w:val="center"/>
            </w:pPr>
            <w:r w:rsidRPr="00820FC2">
              <w:t>Shapiro-Wilk</w:t>
            </w:r>
          </w:p>
        </w:tc>
      </w:tr>
      <w:tr w:rsidR="00A8683C" w:rsidRPr="00820FC2" w14:paraId="02E911BC" w14:textId="77777777" w:rsidTr="00A8683C">
        <w:trPr>
          <w:cantSplit/>
          <w:jc w:val="center"/>
        </w:trPr>
        <w:tc>
          <w:tcPr>
            <w:tcW w:w="1134" w:type="dxa"/>
            <w:tcBorders>
              <w:top w:val="single" w:sz="4" w:space="0" w:color="auto"/>
            </w:tcBorders>
            <w:shd w:val="clear" w:color="auto" w:fill="D9E2F3" w:themeFill="accent1" w:themeFillTint="33"/>
            <w:vAlign w:val="center"/>
          </w:tcPr>
          <w:p w14:paraId="3679E0BB" w14:textId="77777777" w:rsidR="00A8683C" w:rsidRPr="00820FC2" w:rsidRDefault="00A8683C" w:rsidP="004541C9">
            <w:pPr>
              <w:jc w:val="center"/>
            </w:pPr>
            <w:r w:rsidRPr="00820FC2">
              <w:t>Statistic</w:t>
            </w:r>
          </w:p>
        </w:tc>
        <w:tc>
          <w:tcPr>
            <w:tcW w:w="567" w:type="dxa"/>
            <w:tcBorders>
              <w:top w:val="single" w:sz="4" w:space="0" w:color="auto"/>
            </w:tcBorders>
            <w:shd w:val="clear" w:color="auto" w:fill="D9E2F3" w:themeFill="accent1" w:themeFillTint="33"/>
            <w:vAlign w:val="center"/>
          </w:tcPr>
          <w:p w14:paraId="7CAF4863" w14:textId="77777777" w:rsidR="00A8683C" w:rsidRPr="00820FC2" w:rsidRDefault="00A8683C" w:rsidP="004541C9">
            <w:pPr>
              <w:jc w:val="center"/>
            </w:pPr>
            <w:r w:rsidRPr="00820FC2">
              <w:t>df</w:t>
            </w:r>
          </w:p>
        </w:tc>
        <w:tc>
          <w:tcPr>
            <w:tcW w:w="729" w:type="dxa"/>
            <w:tcBorders>
              <w:top w:val="single" w:sz="4" w:space="0" w:color="auto"/>
            </w:tcBorders>
            <w:shd w:val="clear" w:color="auto" w:fill="D9E2F3" w:themeFill="accent1" w:themeFillTint="33"/>
            <w:vAlign w:val="center"/>
          </w:tcPr>
          <w:p w14:paraId="6B78F1BA" w14:textId="77777777" w:rsidR="00A8683C" w:rsidRPr="00820FC2" w:rsidRDefault="00A8683C" w:rsidP="004541C9">
            <w:pPr>
              <w:jc w:val="center"/>
            </w:pPr>
            <w:r w:rsidRPr="00820FC2">
              <w:t>Sig.</w:t>
            </w:r>
          </w:p>
        </w:tc>
        <w:tc>
          <w:tcPr>
            <w:tcW w:w="2390" w:type="dxa"/>
            <w:tcBorders>
              <w:top w:val="single" w:sz="4" w:space="0" w:color="auto"/>
            </w:tcBorders>
            <w:shd w:val="clear" w:color="auto" w:fill="D9E2F3" w:themeFill="accent1" w:themeFillTint="33"/>
            <w:vAlign w:val="center"/>
          </w:tcPr>
          <w:p w14:paraId="19DE5ED7" w14:textId="77777777" w:rsidR="00A8683C" w:rsidRPr="00820FC2" w:rsidRDefault="00A8683C" w:rsidP="004541C9">
            <w:pPr>
              <w:jc w:val="center"/>
            </w:pPr>
            <w:r w:rsidRPr="00820FC2">
              <w:t>Statistic</w:t>
            </w:r>
          </w:p>
        </w:tc>
      </w:tr>
      <w:tr w:rsidR="00A8683C" w:rsidRPr="00820FC2" w14:paraId="4F8E2A31" w14:textId="77777777" w:rsidTr="00A8683C">
        <w:trPr>
          <w:cantSplit/>
          <w:jc w:val="center"/>
        </w:trPr>
        <w:tc>
          <w:tcPr>
            <w:tcW w:w="1134" w:type="dxa"/>
            <w:shd w:val="clear" w:color="auto" w:fill="FFFFFF"/>
            <w:vAlign w:val="center"/>
          </w:tcPr>
          <w:p w14:paraId="425A128B" w14:textId="77777777" w:rsidR="00A8683C" w:rsidRPr="00820FC2" w:rsidRDefault="00A8683C" w:rsidP="004541C9">
            <w:pPr>
              <w:jc w:val="center"/>
            </w:pPr>
            <w:r w:rsidRPr="00820FC2">
              <w:t>.056</w:t>
            </w:r>
          </w:p>
        </w:tc>
        <w:tc>
          <w:tcPr>
            <w:tcW w:w="567" w:type="dxa"/>
            <w:shd w:val="clear" w:color="auto" w:fill="FFFFFF"/>
            <w:vAlign w:val="center"/>
          </w:tcPr>
          <w:p w14:paraId="14862FA6" w14:textId="77777777" w:rsidR="00A8683C" w:rsidRPr="00820FC2" w:rsidRDefault="00A8683C" w:rsidP="004541C9">
            <w:pPr>
              <w:jc w:val="center"/>
            </w:pPr>
            <w:r w:rsidRPr="00820FC2">
              <w:t>60</w:t>
            </w:r>
          </w:p>
        </w:tc>
        <w:tc>
          <w:tcPr>
            <w:tcW w:w="729" w:type="dxa"/>
            <w:shd w:val="clear" w:color="auto" w:fill="FFFFFF"/>
            <w:vAlign w:val="center"/>
          </w:tcPr>
          <w:p w14:paraId="7ADEB2EA" w14:textId="77777777" w:rsidR="00A8683C" w:rsidRPr="00820FC2" w:rsidRDefault="00A8683C" w:rsidP="004541C9">
            <w:pPr>
              <w:jc w:val="center"/>
            </w:pPr>
            <w:r w:rsidRPr="00820FC2">
              <w:t>.200</w:t>
            </w:r>
            <w:r w:rsidRPr="00820FC2">
              <w:rPr>
                <w:vertAlign w:val="superscript"/>
              </w:rPr>
              <w:t>*</w:t>
            </w:r>
          </w:p>
        </w:tc>
        <w:tc>
          <w:tcPr>
            <w:tcW w:w="2390" w:type="dxa"/>
            <w:shd w:val="clear" w:color="auto" w:fill="FFFFFF"/>
            <w:vAlign w:val="center"/>
          </w:tcPr>
          <w:p w14:paraId="4C82C360" w14:textId="77777777" w:rsidR="00A8683C" w:rsidRPr="00820FC2" w:rsidRDefault="00A8683C" w:rsidP="004541C9">
            <w:pPr>
              <w:jc w:val="center"/>
            </w:pPr>
            <w:r w:rsidRPr="00820FC2">
              <w:t>.989</w:t>
            </w:r>
          </w:p>
        </w:tc>
      </w:tr>
    </w:tbl>
    <w:p w14:paraId="75292F96" w14:textId="77777777" w:rsidR="00C7323B" w:rsidRDefault="00C7323B" w:rsidP="00C7323B">
      <w:pPr>
        <w:spacing w:line="360" w:lineRule="auto"/>
        <w:rPr>
          <w:b/>
          <w:bCs/>
          <w:lang w:val="en-US"/>
        </w:rPr>
      </w:pPr>
    </w:p>
    <w:p w14:paraId="57BC7BE6" w14:textId="77777777" w:rsidR="00A8683C" w:rsidRPr="00A8683C" w:rsidRDefault="00A8683C" w:rsidP="00A8683C">
      <w:pPr>
        <w:spacing w:line="360" w:lineRule="auto"/>
        <w:ind w:firstLine="426"/>
        <w:jc w:val="both"/>
      </w:pPr>
      <w:r w:rsidRPr="00A8683C">
        <w:lastRenderedPageBreak/>
        <w:t xml:space="preserve">From the table, it can be seen that the Sig. value from the test is 0.871, which is greater than the significance level of </w:t>
      </w:r>
      <w:r w:rsidRPr="00A8683C">
        <w:rPr>
          <w:rFonts w:ascii="Cambria Math" w:hAnsi="Cambria Math" w:cs="Cambria Math"/>
        </w:rPr>
        <w:t>∝</w:t>
      </w:r>
      <w:r w:rsidRPr="00A8683C">
        <w:t xml:space="preserve"> = 0.05, meaning H0 is accepted. This indicates that the data follows a normal distribution. Next, we will conduct a homogeneity test.</w:t>
      </w:r>
    </w:p>
    <w:p w14:paraId="74EA02B7" w14:textId="77777777" w:rsidR="00A8683C" w:rsidRPr="00A8683C" w:rsidRDefault="00A8683C" w:rsidP="00A8683C">
      <w:pPr>
        <w:spacing w:line="360" w:lineRule="auto"/>
      </w:pPr>
      <w:r w:rsidRPr="00A8683C">
        <w:rPr>
          <w:b/>
          <w:bCs/>
        </w:rPr>
        <w:t>Homogeneity Test</w:t>
      </w:r>
      <w:r w:rsidRPr="00A8683C">
        <w:br/>
        <w:t>The homogeneity test is conducted to examine the variance of statistical thinking ability data based on the N-Gain values. The hypotheses for the homogeneity test of the N-Gain score variance of students' statistical thinking abilities based on low prior mathematical knowledge (KAM) in the experimental and control classes are as follows:</w:t>
      </w:r>
    </w:p>
    <w:p w14:paraId="5077105A" w14:textId="77777777" w:rsidR="00A8683C" w:rsidRPr="00A8683C" w:rsidRDefault="00A8683C" w:rsidP="00A8683C">
      <w:pPr>
        <w:numPr>
          <w:ilvl w:val="0"/>
          <w:numId w:val="2"/>
        </w:numPr>
        <w:spacing w:line="360" w:lineRule="auto"/>
        <w:jc w:val="both"/>
      </w:pPr>
      <w:r w:rsidRPr="00A8683C">
        <w:t>H0: The variances of the two classes are homogeneous.</w:t>
      </w:r>
    </w:p>
    <w:p w14:paraId="02BB3FDD" w14:textId="77777777" w:rsidR="00A8683C" w:rsidRPr="00A8683C" w:rsidRDefault="00A8683C" w:rsidP="00A8683C">
      <w:pPr>
        <w:numPr>
          <w:ilvl w:val="0"/>
          <w:numId w:val="2"/>
        </w:numPr>
        <w:spacing w:line="360" w:lineRule="auto"/>
        <w:jc w:val="both"/>
      </w:pPr>
      <w:r w:rsidRPr="00A8683C">
        <w:t>H1: The variances of the two classes are not homogeneous.</w:t>
      </w:r>
    </w:p>
    <w:p w14:paraId="648DBBBA" w14:textId="40CC984A" w:rsidR="00A8683C" w:rsidRDefault="00A8683C" w:rsidP="00A8683C">
      <w:pPr>
        <w:spacing w:line="360" w:lineRule="auto"/>
        <w:jc w:val="both"/>
      </w:pPr>
      <w:r w:rsidRPr="00A8683C">
        <w:t xml:space="preserve">The testing criteria are to accept H0 if the Sig. (2-tailed) value of Levene's test is greater than the significance level of </w:t>
      </w:r>
      <w:r w:rsidRPr="00A8683C">
        <w:rPr>
          <w:rFonts w:ascii="Cambria Math" w:hAnsi="Cambria Math" w:cs="Cambria Math"/>
        </w:rPr>
        <w:t>∝</w:t>
      </w:r>
      <w:r w:rsidRPr="00A8683C">
        <w:t xml:space="preserve"> = 0.05 and to reject H0 for other values. The results of the homogeneity test for the N-Gain of statistical thinking ability for low KAM students between the experimental and control classes are presented in the table</w:t>
      </w:r>
      <w:r>
        <w:t xml:space="preserve"> 2</w:t>
      </w:r>
    </w:p>
    <w:p w14:paraId="6A42FECC" w14:textId="5BF15422" w:rsidR="00A8683C" w:rsidRPr="00A8683C" w:rsidRDefault="00A8683C" w:rsidP="00A8683C">
      <w:pPr>
        <w:spacing w:line="360" w:lineRule="auto"/>
        <w:jc w:val="center"/>
      </w:pPr>
      <w:r>
        <w:t>Table 2</w:t>
      </w:r>
    </w:p>
    <w:tbl>
      <w:tblPr>
        <w:tblW w:w="7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1"/>
        <w:gridCol w:w="1940"/>
        <w:gridCol w:w="1559"/>
        <w:gridCol w:w="709"/>
        <w:gridCol w:w="708"/>
        <w:gridCol w:w="1134"/>
      </w:tblGrid>
      <w:tr w:rsidR="00A8683C" w:rsidRPr="00820FC2" w14:paraId="52F1CE6D" w14:textId="77777777" w:rsidTr="00A8683C">
        <w:trPr>
          <w:cantSplit/>
          <w:jc w:val="center"/>
        </w:trPr>
        <w:tc>
          <w:tcPr>
            <w:tcW w:w="7371" w:type="dxa"/>
            <w:gridSpan w:val="6"/>
            <w:tcBorders>
              <w:top w:val="nil"/>
              <w:left w:val="nil"/>
              <w:bottom w:val="single" w:sz="4" w:space="0" w:color="auto"/>
              <w:right w:val="nil"/>
            </w:tcBorders>
            <w:shd w:val="clear" w:color="auto" w:fill="FFFFFF"/>
            <w:vAlign w:val="center"/>
          </w:tcPr>
          <w:p w14:paraId="03FB18C4" w14:textId="77777777" w:rsidR="00A8683C" w:rsidRPr="00820FC2" w:rsidRDefault="00A8683C" w:rsidP="004541C9">
            <w:pPr>
              <w:jc w:val="center"/>
              <w:rPr>
                <w:b/>
                <w:bCs/>
              </w:rPr>
            </w:pPr>
            <w:r w:rsidRPr="00820FC2">
              <w:rPr>
                <w:b/>
                <w:bCs/>
              </w:rPr>
              <w:t>Test of Homogeneity of Variance</w:t>
            </w:r>
          </w:p>
        </w:tc>
      </w:tr>
      <w:tr w:rsidR="00A8683C" w:rsidRPr="00820FC2" w14:paraId="3890BAF6" w14:textId="77777777" w:rsidTr="00A8683C">
        <w:trPr>
          <w:cantSplit/>
          <w:jc w:val="center"/>
        </w:trPr>
        <w:tc>
          <w:tcPr>
            <w:tcW w:w="3261" w:type="dxa"/>
            <w:gridSpan w:val="2"/>
            <w:tcBorders>
              <w:top w:val="single" w:sz="4" w:space="0" w:color="auto"/>
              <w:left w:val="nil"/>
              <w:bottom w:val="single" w:sz="4" w:space="0" w:color="auto"/>
              <w:right w:val="nil"/>
            </w:tcBorders>
            <w:shd w:val="clear" w:color="auto" w:fill="D9E2F3" w:themeFill="accent1" w:themeFillTint="33"/>
            <w:vAlign w:val="bottom"/>
          </w:tcPr>
          <w:p w14:paraId="2189006B" w14:textId="77777777" w:rsidR="00A8683C" w:rsidRPr="00820FC2" w:rsidRDefault="00A8683C" w:rsidP="004541C9">
            <w:pPr>
              <w:jc w:val="center"/>
            </w:pPr>
          </w:p>
        </w:tc>
        <w:tc>
          <w:tcPr>
            <w:tcW w:w="1559" w:type="dxa"/>
            <w:tcBorders>
              <w:top w:val="single" w:sz="4" w:space="0" w:color="auto"/>
              <w:left w:val="nil"/>
              <w:bottom w:val="single" w:sz="4" w:space="0" w:color="auto"/>
              <w:right w:val="nil"/>
            </w:tcBorders>
            <w:shd w:val="clear" w:color="auto" w:fill="D9E2F3" w:themeFill="accent1" w:themeFillTint="33"/>
            <w:vAlign w:val="bottom"/>
          </w:tcPr>
          <w:p w14:paraId="1FE1D407" w14:textId="77777777" w:rsidR="00A8683C" w:rsidRPr="00820FC2" w:rsidRDefault="00A8683C" w:rsidP="004541C9">
            <w:pPr>
              <w:jc w:val="center"/>
            </w:pPr>
            <w:r w:rsidRPr="00820FC2">
              <w:t>Levene Statistic</w:t>
            </w:r>
          </w:p>
        </w:tc>
        <w:tc>
          <w:tcPr>
            <w:tcW w:w="709" w:type="dxa"/>
            <w:tcBorders>
              <w:top w:val="single" w:sz="4" w:space="0" w:color="auto"/>
              <w:left w:val="nil"/>
              <w:bottom w:val="single" w:sz="4" w:space="0" w:color="auto"/>
              <w:right w:val="nil"/>
            </w:tcBorders>
            <w:shd w:val="clear" w:color="auto" w:fill="D9E2F3" w:themeFill="accent1" w:themeFillTint="33"/>
            <w:vAlign w:val="bottom"/>
          </w:tcPr>
          <w:p w14:paraId="358FCB23" w14:textId="77777777" w:rsidR="00A8683C" w:rsidRPr="00820FC2" w:rsidRDefault="00A8683C" w:rsidP="004541C9">
            <w:pPr>
              <w:jc w:val="center"/>
            </w:pPr>
            <w:r w:rsidRPr="00820FC2">
              <w:t>df1</w:t>
            </w:r>
          </w:p>
        </w:tc>
        <w:tc>
          <w:tcPr>
            <w:tcW w:w="708" w:type="dxa"/>
            <w:tcBorders>
              <w:top w:val="single" w:sz="4" w:space="0" w:color="auto"/>
              <w:left w:val="nil"/>
              <w:bottom w:val="single" w:sz="4" w:space="0" w:color="auto"/>
              <w:right w:val="nil"/>
            </w:tcBorders>
            <w:shd w:val="clear" w:color="auto" w:fill="D9E2F3" w:themeFill="accent1" w:themeFillTint="33"/>
            <w:vAlign w:val="bottom"/>
          </w:tcPr>
          <w:p w14:paraId="6870D933" w14:textId="77777777" w:rsidR="00A8683C" w:rsidRPr="00820FC2" w:rsidRDefault="00A8683C" w:rsidP="004541C9">
            <w:pPr>
              <w:jc w:val="center"/>
            </w:pPr>
            <w:r w:rsidRPr="00820FC2">
              <w:t>df2</w:t>
            </w:r>
          </w:p>
        </w:tc>
        <w:tc>
          <w:tcPr>
            <w:tcW w:w="1134" w:type="dxa"/>
            <w:tcBorders>
              <w:top w:val="single" w:sz="4" w:space="0" w:color="auto"/>
              <w:left w:val="nil"/>
              <w:bottom w:val="single" w:sz="4" w:space="0" w:color="auto"/>
              <w:right w:val="nil"/>
            </w:tcBorders>
            <w:shd w:val="clear" w:color="auto" w:fill="D9E2F3" w:themeFill="accent1" w:themeFillTint="33"/>
            <w:vAlign w:val="bottom"/>
          </w:tcPr>
          <w:p w14:paraId="4C49716A" w14:textId="77777777" w:rsidR="00A8683C" w:rsidRPr="00820FC2" w:rsidRDefault="00A8683C" w:rsidP="004541C9">
            <w:pPr>
              <w:jc w:val="center"/>
            </w:pPr>
            <w:r w:rsidRPr="00820FC2">
              <w:t>Sig.</w:t>
            </w:r>
          </w:p>
        </w:tc>
      </w:tr>
      <w:tr w:rsidR="00A8683C" w:rsidRPr="00820FC2" w14:paraId="4DB17778" w14:textId="77777777" w:rsidTr="00A8683C">
        <w:trPr>
          <w:cantSplit/>
          <w:jc w:val="center"/>
        </w:trPr>
        <w:tc>
          <w:tcPr>
            <w:tcW w:w="1321" w:type="dxa"/>
            <w:tcBorders>
              <w:top w:val="single" w:sz="4" w:space="0" w:color="auto"/>
              <w:left w:val="nil"/>
              <w:bottom w:val="single" w:sz="4" w:space="0" w:color="auto"/>
              <w:right w:val="nil"/>
            </w:tcBorders>
            <w:shd w:val="clear" w:color="auto" w:fill="E0E0E0"/>
          </w:tcPr>
          <w:p w14:paraId="236145D6" w14:textId="77777777" w:rsidR="00A8683C" w:rsidRPr="00820FC2" w:rsidRDefault="00A8683C" w:rsidP="004541C9">
            <w:pPr>
              <w:jc w:val="center"/>
            </w:pPr>
            <w:r w:rsidRPr="00820FC2">
              <w:t xml:space="preserve">Nilai </w:t>
            </w:r>
          </w:p>
        </w:tc>
        <w:tc>
          <w:tcPr>
            <w:tcW w:w="1940" w:type="dxa"/>
            <w:tcBorders>
              <w:top w:val="single" w:sz="4" w:space="0" w:color="auto"/>
              <w:left w:val="nil"/>
              <w:bottom w:val="single" w:sz="4" w:space="0" w:color="auto"/>
              <w:right w:val="nil"/>
            </w:tcBorders>
            <w:shd w:val="clear" w:color="auto" w:fill="E0E0E0"/>
          </w:tcPr>
          <w:p w14:paraId="65C0EDBE" w14:textId="77777777" w:rsidR="00A8683C" w:rsidRPr="00820FC2" w:rsidRDefault="00A8683C" w:rsidP="004541C9">
            <w:pPr>
              <w:jc w:val="center"/>
            </w:pPr>
            <w:r w:rsidRPr="00820FC2">
              <w:t>Based on Mean</w:t>
            </w:r>
          </w:p>
        </w:tc>
        <w:tc>
          <w:tcPr>
            <w:tcW w:w="1559" w:type="dxa"/>
            <w:tcBorders>
              <w:top w:val="single" w:sz="4" w:space="0" w:color="auto"/>
              <w:left w:val="nil"/>
              <w:bottom w:val="single" w:sz="4" w:space="0" w:color="auto"/>
              <w:right w:val="nil"/>
            </w:tcBorders>
            <w:shd w:val="clear" w:color="auto" w:fill="FFFFFF"/>
          </w:tcPr>
          <w:p w14:paraId="356D8B69" w14:textId="77777777" w:rsidR="00A8683C" w:rsidRPr="00820FC2" w:rsidRDefault="00A8683C" w:rsidP="004541C9">
            <w:pPr>
              <w:jc w:val="center"/>
            </w:pPr>
            <w:r w:rsidRPr="00820FC2">
              <w:t>2.808</w:t>
            </w:r>
          </w:p>
        </w:tc>
        <w:tc>
          <w:tcPr>
            <w:tcW w:w="709" w:type="dxa"/>
            <w:tcBorders>
              <w:top w:val="single" w:sz="4" w:space="0" w:color="auto"/>
              <w:left w:val="nil"/>
              <w:bottom w:val="single" w:sz="4" w:space="0" w:color="auto"/>
              <w:right w:val="nil"/>
            </w:tcBorders>
            <w:shd w:val="clear" w:color="auto" w:fill="FFFFFF"/>
          </w:tcPr>
          <w:p w14:paraId="4689F883" w14:textId="77777777" w:rsidR="00A8683C" w:rsidRPr="00820FC2" w:rsidRDefault="00A8683C" w:rsidP="004541C9">
            <w:pPr>
              <w:jc w:val="center"/>
            </w:pPr>
            <w:r w:rsidRPr="00820FC2">
              <w:t>5</w:t>
            </w:r>
          </w:p>
        </w:tc>
        <w:tc>
          <w:tcPr>
            <w:tcW w:w="708" w:type="dxa"/>
            <w:tcBorders>
              <w:top w:val="single" w:sz="4" w:space="0" w:color="auto"/>
              <w:left w:val="nil"/>
              <w:bottom w:val="single" w:sz="4" w:space="0" w:color="auto"/>
              <w:right w:val="nil"/>
            </w:tcBorders>
            <w:shd w:val="clear" w:color="auto" w:fill="FFFFFF"/>
          </w:tcPr>
          <w:p w14:paraId="360F8A5D" w14:textId="77777777" w:rsidR="00A8683C" w:rsidRPr="00820FC2" w:rsidRDefault="00A8683C" w:rsidP="004541C9">
            <w:pPr>
              <w:jc w:val="center"/>
            </w:pPr>
            <w:r w:rsidRPr="00820FC2">
              <w:t>54</w:t>
            </w:r>
          </w:p>
        </w:tc>
        <w:tc>
          <w:tcPr>
            <w:tcW w:w="1134" w:type="dxa"/>
            <w:tcBorders>
              <w:top w:val="single" w:sz="4" w:space="0" w:color="auto"/>
              <w:left w:val="nil"/>
              <w:bottom w:val="single" w:sz="4" w:space="0" w:color="auto"/>
              <w:right w:val="nil"/>
            </w:tcBorders>
            <w:shd w:val="clear" w:color="auto" w:fill="FFFFFF"/>
          </w:tcPr>
          <w:p w14:paraId="0D3BE449" w14:textId="77777777" w:rsidR="00A8683C" w:rsidRPr="00820FC2" w:rsidRDefault="00A8683C" w:rsidP="004541C9">
            <w:pPr>
              <w:jc w:val="center"/>
            </w:pPr>
            <w:r w:rsidRPr="00820FC2">
              <w:t>.025</w:t>
            </w:r>
          </w:p>
        </w:tc>
      </w:tr>
    </w:tbl>
    <w:p w14:paraId="087B53AA" w14:textId="77777777" w:rsidR="00A8683C" w:rsidRDefault="00A8683C" w:rsidP="00A8683C">
      <w:pPr>
        <w:spacing w:line="480" w:lineRule="auto"/>
        <w:ind w:firstLine="426"/>
        <w:jc w:val="both"/>
      </w:pPr>
    </w:p>
    <w:p w14:paraId="6F7F063B" w14:textId="5AEDCFD5" w:rsidR="00DC74DB" w:rsidRDefault="00A8683C" w:rsidP="00A8683C">
      <w:pPr>
        <w:spacing w:line="360" w:lineRule="auto"/>
        <w:ind w:firstLine="426"/>
        <w:jc w:val="both"/>
      </w:pPr>
      <w:r w:rsidRPr="00A8683C">
        <w:t xml:space="preserve">Based on the data in Table </w:t>
      </w:r>
      <w:r>
        <w:t>2</w:t>
      </w:r>
      <w:r w:rsidRPr="00A8683C">
        <w:t xml:space="preserve">, the Sig. value of Levene's Statistics for the experimental and control classes is less than </w:t>
      </w:r>
      <w:r w:rsidRPr="00A8683C">
        <w:rPr>
          <w:rFonts w:ascii="Cambria Math" w:hAnsi="Cambria Math" w:cs="Cambria Math"/>
        </w:rPr>
        <w:t>∝</w:t>
      </w:r>
      <w:r w:rsidRPr="00A8683C">
        <w:t xml:space="preserve"> = 0.05, so H0 is rejected. This indicates that the N-Gain data of statistical thinking abilities based on KAM between students who received scaffolding learning and those who received conventional learning is not homogeneous.</w:t>
      </w:r>
    </w:p>
    <w:p w14:paraId="410C897F" w14:textId="77777777" w:rsidR="00A8683C" w:rsidRDefault="00A8683C" w:rsidP="00A8683C">
      <w:pPr>
        <w:spacing w:line="360" w:lineRule="auto"/>
        <w:jc w:val="both"/>
      </w:pPr>
    </w:p>
    <w:p w14:paraId="21F3E318" w14:textId="77777777" w:rsidR="00257E49" w:rsidRDefault="00A8683C" w:rsidP="00257E49">
      <w:pPr>
        <w:spacing w:line="360" w:lineRule="auto"/>
        <w:jc w:val="both"/>
        <w:rPr>
          <w:b/>
          <w:bCs/>
        </w:rPr>
      </w:pPr>
      <w:r w:rsidRPr="00A8683C">
        <w:rPr>
          <w:b/>
          <w:bCs/>
        </w:rPr>
        <w:t>Mean</w:t>
      </w:r>
      <w:r w:rsidR="00257E49">
        <w:rPr>
          <w:b/>
          <w:bCs/>
        </w:rPr>
        <w:t xml:space="preserve"> </w:t>
      </w:r>
      <w:r w:rsidRPr="00A8683C">
        <w:rPr>
          <w:b/>
          <w:bCs/>
        </w:rPr>
        <w:t>Test</w:t>
      </w:r>
    </w:p>
    <w:p w14:paraId="667423D4" w14:textId="44AC52DE" w:rsidR="00A8683C" w:rsidRPr="00A8683C" w:rsidRDefault="00A8683C" w:rsidP="00257E49">
      <w:pPr>
        <w:spacing w:line="360" w:lineRule="auto"/>
        <w:jc w:val="both"/>
        <w:rPr>
          <w:b/>
          <w:bCs/>
        </w:rPr>
      </w:pPr>
      <w:r w:rsidRPr="00A8683C">
        <w:br/>
        <w:t>Based on the results of the normality and homogeneity tests, the N-Gain data of statistical thinking abilities based on KAM were found to be normally distributed but not homogeneous. Therefore, to test the interaction between the learning approach factor and KAM on the improvement of students' statistical thinking abilities based on KAM, a two-way ANOVA test is conducted with a significance level of 0.05. The research hypothesis being tested is that there is a significant interaction effect between the learning approach factor and KAM on students' statistical thinking abilities.</w:t>
      </w:r>
    </w:p>
    <w:p w14:paraId="108F704F" w14:textId="77777777" w:rsidR="00A8683C" w:rsidRPr="00A8683C" w:rsidRDefault="00A8683C" w:rsidP="00A8683C">
      <w:pPr>
        <w:numPr>
          <w:ilvl w:val="0"/>
          <w:numId w:val="3"/>
        </w:numPr>
        <w:spacing w:line="360" w:lineRule="auto"/>
        <w:jc w:val="both"/>
      </w:pPr>
      <w:r w:rsidRPr="00A8683C">
        <w:lastRenderedPageBreak/>
        <w:t>H0: There is no significant interaction effect between the learning approach factor and KAM on students' statistical thinking abilities.</w:t>
      </w:r>
    </w:p>
    <w:p w14:paraId="69D43694" w14:textId="77777777" w:rsidR="00A8683C" w:rsidRPr="00A8683C" w:rsidRDefault="00A8683C" w:rsidP="00A8683C">
      <w:pPr>
        <w:numPr>
          <w:ilvl w:val="0"/>
          <w:numId w:val="3"/>
        </w:numPr>
        <w:spacing w:line="360" w:lineRule="auto"/>
        <w:jc w:val="both"/>
      </w:pPr>
      <w:r w:rsidRPr="00A8683C">
        <w:t>H1: There is a significant interaction effect between the learning approach factor and KAM on students' statistical thinking abilities.</w:t>
      </w:r>
    </w:p>
    <w:p w14:paraId="0D3EA83B" w14:textId="01BC81AD" w:rsidR="00A8683C" w:rsidRPr="00A8683C" w:rsidRDefault="00A8683C" w:rsidP="00A8683C">
      <w:pPr>
        <w:spacing w:line="360" w:lineRule="auto"/>
        <w:jc w:val="both"/>
      </w:pPr>
      <w:r w:rsidRPr="00A8683C">
        <w:t xml:space="preserve">The decision-making criterion for the above hypothesis is to look at the 2-tailed significance value. If the Sig. (2-tailed) value &lt; </w:t>
      </w:r>
      <w:r w:rsidRPr="00A8683C">
        <w:rPr>
          <w:rFonts w:ascii="Cambria Math" w:hAnsi="Cambria Math" w:cs="Cambria Math"/>
        </w:rPr>
        <w:t>∝</w:t>
      </w:r>
      <w:r w:rsidRPr="00A8683C">
        <w:t xml:space="preserve"> (</w:t>
      </w:r>
      <w:r w:rsidRPr="00A8683C">
        <w:rPr>
          <w:rFonts w:ascii="Cambria Math" w:hAnsi="Cambria Math" w:cs="Cambria Math"/>
        </w:rPr>
        <w:t>∝</w:t>
      </w:r>
      <w:r w:rsidRPr="00A8683C">
        <w:t xml:space="preserve"> = 0.05), then H0 is rejected. If the Sig. (2-tailed) value ≥ </w:t>
      </w:r>
      <w:r w:rsidRPr="00A8683C">
        <w:rPr>
          <w:rFonts w:ascii="Cambria Math" w:hAnsi="Cambria Math" w:cs="Cambria Math"/>
        </w:rPr>
        <w:t>∝</w:t>
      </w:r>
      <w:r w:rsidRPr="00A8683C">
        <w:t xml:space="preserve"> (</w:t>
      </w:r>
      <w:r w:rsidRPr="00A8683C">
        <w:rPr>
          <w:rFonts w:ascii="Cambria Math" w:hAnsi="Cambria Math" w:cs="Cambria Math"/>
        </w:rPr>
        <w:t>∝</w:t>
      </w:r>
      <w:r w:rsidRPr="00A8683C">
        <w:t xml:space="preserve"> = 0.05), then H0 is accepted. The results of the ANOVA test for the N-Gain data on students' statistical thinking abilities based on KAM are presented in Table </w:t>
      </w:r>
      <w:r>
        <w:t>3</w:t>
      </w:r>
    </w:p>
    <w:tbl>
      <w:tblPr>
        <w:tblW w:w="77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1559"/>
        <w:gridCol w:w="778"/>
        <w:gridCol w:w="1415"/>
        <w:gridCol w:w="1092"/>
        <w:gridCol w:w="1030"/>
      </w:tblGrid>
      <w:tr w:rsidR="00A8683C" w:rsidRPr="00820FC2" w14:paraId="7DB295A6" w14:textId="77777777" w:rsidTr="004541C9">
        <w:trPr>
          <w:cantSplit/>
          <w:jc w:val="center"/>
        </w:trPr>
        <w:tc>
          <w:tcPr>
            <w:tcW w:w="7717" w:type="dxa"/>
            <w:gridSpan w:val="6"/>
            <w:tcBorders>
              <w:top w:val="nil"/>
              <w:left w:val="nil"/>
              <w:bottom w:val="nil"/>
              <w:right w:val="nil"/>
            </w:tcBorders>
            <w:shd w:val="clear" w:color="auto" w:fill="FFFFFF"/>
            <w:vAlign w:val="center"/>
          </w:tcPr>
          <w:p w14:paraId="231AA1AE" w14:textId="3EFFA5AB" w:rsidR="00A8683C" w:rsidRDefault="00A8683C" w:rsidP="004541C9">
            <w:pPr>
              <w:autoSpaceDE w:val="0"/>
              <w:autoSpaceDN w:val="0"/>
              <w:adjustRightInd w:val="0"/>
              <w:jc w:val="center"/>
              <w:rPr>
                <w:b/>
                <w:bCs/>
              </w:rPr>
            </w:pPr>
            <w:r>
              <w:rPr>
                <w:b/>
                <w:bCs/>
              </w:rPr>
              <w:t>Table 3</w:t>
            </w:r>
          </w:p>
          <w:p w14:paraId="4E03AA8C" w14:textId="31F51B07" w:rsidR="00A8683C" w:rsidRPr="00820FC2" w:rsidRDefault="00A8683C" w:rsidP="004541C9">
            <w:pPr>
              <w:autoSpaceDE w:val="0"/>
              <w:autoSpaceDN w:val="0"/>
              <w:adjustRightInd w:val="0"/>
              <w:jc w:val="center"/>
            </w:pPr>
            <w:r w:rsidRPr="00820FC2">
              <w:rPr>
                <w:b/>
                <w:bCs/>
              </w:rPr>
              <w:t>Tests of Between-Subjects Effects</w:t>
            </w:r>
          </w:p>
        </w:tc>
      </w:tr>
      <w:tr w:rsidR="00A8683C" w:rsidRPr="00820FC2" w14:paraId="4A74B452" w14:textId="77777777" w:rsidTr="00A8683C">
        <w:trPr>
          <w:cantSplit/>
          <w:jc w:val="center"/>
        </w:trPr>
        <w:tc>
          <w:tcPr>
            <w:tcW w:w="7717" w:type="dxa"/>
            <w:gridSpan w:val="6"/>
            <w:tcBorders>
              <w:top w:val="nil"/>
              <w:left w:val="nil"/>
              <w:bottom w:val="single" w:sz="4" w:space="0" w:color="auto"/>
              <w:right w:val="nil"/>
            </w:tcBorders>
            <w:shd w:val="clear" w:color="auto" w:fill="FFFFFF"/>
            <w:vAlign w:val="bottom"/>
          </w:tcPr>
          <w:p w14:paraId="4723FB83" w14:textId="77777777" w:rsidR="00A8683C" w:rsidRPr="00820FC2" w:rsidRDefault="00A8683C" w:rsidP="004541C9">
            <w:pPr>
              <w:autoSpaceDE w:val="0"/>
              <w:autoSpaceDN w:val="0"/>
              <w:adjustRightInd w:val="0"/>
            </w:pPr>
            <w:r w:rsidRPr="00820FC2">
              <w:t>Dependent Variable:   Nilai</w:t>
            </w:r>
          </w:p>
        </w:tc>
      </w:tr>
      <w:tr w:rsidR="00A8683C" w:rsidRPr="00820FC2" w14:paraId="05D01BA7" w14:textId="77777777" w:rsidTr="00A8683C">
        <w:trPr>
          <w:cantSplit/>
          <w:jc w:val="center"/>
        </w:trPr>
        <w:tc>
          <w:tcPr>
            <w:tcW w:w="1843" w:type="dxa"/>
            <w:tcBorders>
              <w:top w:val="single" w:sz="4" w:space="0" w:color="auto"/>
              <w:left w:val="nil"/>
              <w:bottom w:val="single" w:sz="4" w:space="0" w:color="auto"/>
              <w:right w:val="nil"/>
            </w:tcBorders>
            <w:shd w:val="clear" w:color="auto" w:fill="D9E2F3" w:themeFill="accent1" w:themeFillTint="33"/>
            <w:vAlign w:val="center"/>
          </w:tcPr>
          <w:p w14:paraId="7A367E8F" w14:textId="77777777" w:rsidR="00A8683C" w:rsidRPr="00820FC2" w:rsidRDefault="00A8683C" w:rsidP="004541C9">
            <w:pPr>
              <w:autoSpaceDE w:val="0"/>
              <w:autoSpaceDN w:val="0"/>
              <w:adjustRightInd w:val="0"/>
              <w:jc w:val="center"/>
            </w:pPr>
            <w:r w:rsidRPr="00820FC2">
              <w:t>Source</w:t>
            </w:r>
          </w:p>
        </w:tc>
        <w:tc>
          <w:tcPr>
            <w:tcW w:w="1559" w:type="dxa"/>
            <w:tcBorders>
              <w:top w:val="single" w:sz="4" w:space="0" w:color="auto"/>
              <w:left w:val="nil"/>
              <w:bottom w:val="single" w:sz="4" w:space="0" w:color="auto"/>
              <w:right w:val="nil"/>
            </w:tcBorders>
            <w:shd w:val="clear" w:color="auto" w:fill="D9E2F3" w:themeFill="accent1" w:themeFillTint="33"/>
            <w:vAlign w:val="center"/>
          </w:tcPr>
          <w:p w14:paraId="17A22CD0" w14:textId="77777777" w:rsidR="00A8683C" w:rsidRPr="00820FC2" w:rsidRDefault="00A8683C" w:rsidP="004541C9">
            <w:pPr>
              <w:autoSpaceDE w:val="0"/>
              <w:autoSpaceDN w:val="0"/>
              <w:adjustRightInd w:val="0"/>
              <w:jc w:val="center"/>
            </w:pPr>
            <w:r w:rsidRPr="00820FC2">
              <w:t>Type III Sum of Squares</w:t>
            </w:r>
          </w:p>
        </w:tc>
        <w:tc>
          <w:tcPr>
            <w:tcW w:w="778" w:type="dxa"/>
            <w:tcBorders>
              <w:top w:val="single" w:sz="4" w:space="0" w:color="auto"/>
              <w:left w:val="nil"/>
              <w:bottom w:val="single" w:sz="4" w:space="0" w:color="auto"/>
              <w:right w:val="nil"/>
            </w:tcBorders>
            <w:shd w:val="clear" w:color="auto" w:fill="D9E2F3" w:themeFill="accent1" w:themeFillTint="33"/>
            <w:vAlign w:val="center"/>
          </w:tcPr>
          <w:p w14:paraId="439DDA97" w14:textId="77777777" w:rsidR="00A8683C" w:rsidRPr="00820FC2" w:rsidRDefault="00A8683C" w:rsidP="004541C9">
            <w:pPr>
              <w:autoSpaceDE w:val="0"/>
              <w:autoSpaceDN w:val="0"/>
              <w:adjustRightInd w:val="0"/>
              <w:jc w:val="center"/>
            </w:pPr>
            <w:r w:rsidRPr="00820FC2">
              <w:t>df</w:t>
            </w:r>
          </w:p>
        </w:tc>
        <w:tc>
          <w:tcPr>
            <w:tcW w:w="1415" w:type="dxa"/>
            <w:tcBorders>
              <w:top w:val="single" w:sz="4" w:space="0" w:color="auto"/>
              <w:left w:val="nil"/>
              <w:bottom w:val="single" w:sz="4" w:space="0" w:color="auto"/>
              <w:right w:val="nil"/>
            </w:tcBorders>
            <w:shd w:val="clear" w:color="auto" w:fill="D9E2F3" w:themeFill="accent1" w:themeFillTint="33"/>
            <w:vAlign w:val="center"/>
          </w:tcPr>
          <w:p w14:paraId="19D7A115" w14:textId="77777777" w:rsidR="00A8683C" w:rsidRPr="00820FC2" w:rsidRDefault="00A8683C" w:rsidP="004541C9">
            <w:pPr>
              <w:autoSpaceDE w:val="0"/>
              <w:autoSpaceDN w:val="0"/>
              <w:adjustRightInd w:val="0"/>
              <w:jc w:val="center"/>
            </w:pPr>
            <w:r w:rsidRPr="00820FC2">
              <w:t>Mean Square</w:t>
            </w:r>
          </w:p>
        </w:tc>
        <w:tc>
          <w:tcPr>
            <w:tcW w:w="1092" w:type="dxa"/>
            <w:tcBorders>
              <w:top w:val="single" w:sz="4" w:space="0" w:color="auto"/>
              <w:left w:val="nil"/>
              <w:bottom w:val="single" w:sz="4" w:space="0" w:color="auto"/>
              <w:right w:val="nil"/>
            </w:tcBorders>
            <w:shd w:val="clear" w:color="auto" w:fill="D9E2F3" w:themeFill="accent1" w:themeFillTint="33"/>
            <w:vAlign w:val="center"/>
          </w:tcPr>
          <w:p w14:paraId="004B6E63" w14:textId="77777777" w:rsidR="00A8683C" w:rsidRPr="00820FC2" w:rsidRDefault="00A8683C" w:rsidP="004541C9">
            <w:pPr>
              <w:autoSpaceDE w:val="0"/>
              <w:autoSpaceDN w:val="0"/>
              <w:adjustRightInd w:val="0"/>
              <w:jc w:val="center"/>
            </w:pPr>
            <w:r w:rsidRPr="00820FC2">
              <w:t>F</w:t>
            </w:r>
          </w:p>
        </w:tc>
        <w:tc>
          <w:tcPr>
            <w:tcW w:w="1030" w:type="dxa"/>
            <w:tcBorders>
              <w:top w:val="single" w:sz="4" w:space="0" w:color="auto"/>
              <w:left w:val="nil"/>
              <w:bottom w:val="single" w:sz="4" w:space="0" w:color="auto"/>
              <w:right w:val="nil"/>
            </w:tcBorders>
            <w:shd w:val="clear" w:color="auto" w:fill="D9E2F3" w:themeFill="accent1" w:themeFillTint="33"/>
            <w:vAlign w:val="center"/>
          </w:tcPr>
          <w:p w14:paraId="68D67194" w14:textId="77777777" w:rsidR="00A8683C" w:rsidRPr="00820FC2" w:rsidRDefault="00A8683C" w:rsidP="004541C9">
            <w:pPr>
              <w:autoSpaceDE w:val="0"/>
              <w:autoSpaceDN w:val="0"/>
              <w:adjustRightInd w:val="0"/>
              <w:jc w:val="center"/>
            </w:pPr>
            <w:r w:rsidRPr="00820FC2">
              <w:t>Sig.</w:t>
            </w:r>
          </w:p>
        </w:tc>
      </w:tr>
      <w:tr w:rsidR="00A8683C" w:rsidRPr="00820FC2" w14:paraId="10C7F008" w14:textId="77777777" w:rsidTr="00A8683C">
        <w:trPr>
          <w:cantSplit/>
          <w:jc w:val="center"/>
        </w:trPr>
        <w:tc>
          <w:tcPr>
            <w:tcW w:w="1843" w:type="dxa"/>
            <w:tcBorders>
              <w:top w:val="single" w:sz="4" w:space="0" w:color="auto"/>
              <w:left w:val="nil"/>
              <w:bottom w:val="nil"/>
              <w:right w:val="nil"/>
            </w:tcBorders>
            <w:shd w:val="clear" w:color="auto" w:fill="E0E0E0"/>
            <w:vAlign w:val="center"/>
          </w:tcPr>
          <w:p w14:paraId="1BC19236" w14:textId="77777777" w:rsidR="00A8683C" w:rsidRPr="00820FC2" w:rsidRDefault="00A8683C" w:rsidP="004541C9">
            <w:pPr>
              <w:autoSpaceDE w:val="0"/>
              <w:autoSpaceDN w:val="0"/>
              <w:adjustRightInd w:val="0"/>
              <w:jc w:val="center"/>
            </w:pPr>
            <w:r w:rsidRPr="00820FC2">
              <w:t>Corrected Model</w:t>
            </w:r>
          </w:p>
        </w:tc>
        <w:tc>
          <w:tcPr>
            <w:tcW w:w="1559" w:type="dxa"/>
            <w:tcBorders>
              <w:top w:val="single" w:sz="4" w:space="0" w:color="auto"/>
              <w:left w:val="nil"/>
              <w:bottom w:val="nil"/>
              <w:right w:val="nil"/>
            </w:tcBorders>
            <w:shd w:val="clear" w:color="auto" w:fill="FFFFFF"/>
            <w:vAlign w:val="center"/>
          </w:tcPr>
          <w:p w14:paraId="6C12F276" w14:textId="77777777" w:rsidR="00A8683C" w:rsidRPr="00820FC2" w:rsidRDefault="00A8683C" w:rsidP="004541C9">
            <w:pPr>
              <w:autoSpaceDE w:val="0"/>
              <w:autoSpaceDN w:val="0"/>
              <w:adjustRightInd w:val="0"/>
              <w:jc w:val="center"/>
            </w:pPr>
            <w:r w:rsidRPr="00820FC2">
              <w:t>3359.029</w:t>
            </w:r>
            <w:r w:rsidRPr="00820FC2">
              <w:rPr>
                <w:vertAlign w:val="superscript"/>
              </w:rPr>
              <w:t>a</w:t>
            </w:r>
          </w:p>
        </w:tc>
        <w:tc>
          <w:tcPr>
            <w:tcW w:w="778" w:type="dxa"/>
            <w:tcBorders>
              <w:top w:val="single" w:sz="4" w:space="0" w:color="auto"/>
              <w:left w:val="nil"/>
              <w:bottom w:val="nil"/>
              <w:right w:val="nil"/>
            </w:tcBorders>
            <w:shd w:val="clear" w:color="auto" w:fill="FFFFFF"/>
            <w:vAlign w:val="center"/>
          </w:tcPr>
          <w:p w14:paraId="2DEC98B2" w14:textId="77777777" w:rsidR="00A8683C" w:rsidRPr="00820FC2" w:rsidRDefault="00A8683C" w:rsidP="004541C9">
            <w:pPr>
              <w:autoSpaceDE w:val="0"/>
              <w:autoSpaceDN w:val="0"/>
              <w:adjustRightInd w:val="0"/>
              <w:jc w:val="center"/>
            </w:pPr>
            <w:r w:rsidRPr="00820FC2">
              <w:t>5</w:t>
            </w:r>
          </w:p>
        </w:tc>
        <w:tc>
          <w:tcPr>
            <w:tcW w:w="1415" w:type="dxa"/>
            <w:tcBorders>
              <w:top w:val="single" w:sz="4" w:space="0" w:color="auto"/>
              <w:left w:val="nil"/>
              <w:bottom w:val="nil"/>
              <w:right w:val="nil"/>
            </w:tcBorders>
            <w:shd w:val="clear" w:color="auto" w:fill="FFFFFF"/>
            <w:vAlign w:val="center"/>
          </w:tcPr>
          <w:p w14:paraId="68AABA01" w14:textId="77777777" w:rsidR="00A8683C" w:rsidRPr="00820FC2" w:rsidRDefault="00A8683C" w:rsidP="004541C9">
            <w:pPr>
              <w:autoSpaceDE w:val="0"/>
              <w:autoSpaceDN w:val="0"/>
              <w:adjustRightInd w:val="0"/>
              <w:jc w:val="center"/>
            </w:pPr>
            <w:r w:rsidRPr="00820FC2">
              <w:t>671.806</w:t>
            </w:r>
          </w:p>
        </w:tc>
        <w:tc>
          <w:tcPr>
            <w:tcW w:w="1092" w:type="dxa"/>
            <w:tcBorders>
              <w:top w:val="single" w:sz="4" w:space="0" w:color="auto"/>
              <w:left w:val="nil"/>
              <w:bottom w:val="nil"/>
              <w:right w:val="nil"/>
            </w:tcBorders>
            <w:shd w:val="clear" w:color="auto" w:fill="FFFFFF"/>
            <w:vAlign w:val="center"/>
          </w:tcPr>
          <w:p w14:paraId="78AEB44B" w14:textId="77777777" w:rsidR="00A8683C" w:rsidRPr="00820FC2" w:rsidRDefault="00A8683C" w:rsidP="004541C9">
            <w:pPr>
              <w:autoSpaceDE w:val="0"/>
              <w:autoSpaceDN w:val="0"/>
              <w:adjustRightInd w:val="0"/>
              <w:jc w:val="center"/>
            </w:pPr>
            <w:r w:rsidRPr="00820FC2">
              <w:t>7.118</w:t>
            </w:r>
          </w:p>
        </w:tc>
        <w:tc>
          <w:tcPr>
            <w:tcW w:w="1030" w:type="dxa"/>
            <w:tcBorders>
              <w:top w:val="single" w:sz="4" w:space="0" w:color="auto"/>
              <w:left w:val="nil"/>
              <w:bottom w:val="nil"/>
              <w:right w:val="nil"/>
            </w:tcBorders>
            <w:shd w:val="clear" w:color="auto" w:fill="FFFFFF"/>
            <w:vAlign w:val="center"/>
          </w:tcPr>
          <w:p w14:paraId="61478BB8" w14:textId="77777777" w:rsidR="00A8683C" w:rsidRPr="00820FC2" w:rsidRDefault="00A8683C" w:rsidP="004541C9">
            <w:pPr>
              <w:autoSpaceDE w:val="0"/>
              <w:autoSpaceDN w:val="0"/>
              <w:adjustRightInd w:val="0"/>
              <w:jc w:val="center"/>
            </w:pPr>
            <w:r w:rsidRPr="00820FC2">
              <w:t>.000</w:t>
            </w:r>
          </w:p>
        </w:tc>
      </w:tr>
      <w:tr w:rsidR="00A8683C" w:rsidRPr="00820FC2" w14:paraId="4C1EB14D" w14:textId="77777777" w:rsidTr="00A8683C">
        <w:trPr>
          <w:cantSplit/>
          <w:jc w:val="center"/>
        </w:trPr>
        <w:tc>
          <w:tcPr>
            <w:tcW w:w="1843" w:type="dxa"/>
            <w:tcBorders>
              <w:top w:val="nil"/>
              <w:left w:val="nil"/>
              <w:bottom w:val="nil"/>
              <w:right w:val="nil"/>
            </w:tcBorders>
            <w:shd w:val="clear" w:color="auto" w:fill="E0E0E0"/>
            <w:vAlign w:val="center"/>
          </w:tcPr>
          <w:p w14:paraId="615022BE" w14:textId="77777777" w:rsidR="00A8683C" w:rsidRPr="00820FC2" w:rsidRDefault="00A8683C" w:rsidP="004541C9">
            <w:pPr>
              <w:autoSpaceDE w:val="0"/>
              <w:autoSpaceDN w:val="0"/>
              <w:adjustRightInd w:val="0"/>
              <w:jc w:val="center"/>
            </w:pPr>
            <w:r w:rsidRPr="00820FC2">
              <w:t>Intercept</w:t>
            </w:r>
          </w:p>
        </w:tc>
        <w:tc>
          <w:tcPr>
            <w:tcW w:w="1559" w:type="dxa"/>
            <w:tcBorders>
              <w:top w:val="nil"/>
              <w:left w:val="nil"/>
              <w:bottom w:val="nil"/>
              <w:right w:val="nil"/>
            </w:tcBorders>
            <w:shd w:val="clear" w:color="auto" w:fill="FFFFFF"/>
            <w:vAlign w:val="center"/>
          </w:tcPr>
          <w:p w14:paraId="5A51C9EF" w14:textId="77777777" w:rsidR="00A8683C" w:rsidRPr="00820FC2" w:rsidRDefault="00A8683C" w:rsidP="004541C9">
            <w:pPr>
              <w:autoSpaceDE w:val="0"/>
              <w:autoSpaceDN w:val="0"/>
              <w:adjustRightInd w:val="0"/>
              <w:jc w:val="center"/>
            </w:pPr>
            <w:r w:rsidRPr="00820FC2">
              <w:t>270992.199</w:t>
            </w:r>
          </w:p>
        </w:tc>
        <w:tc>
          <w:tcPr>
            <w:tcW w:w="778" w:type="dxa"/>
            <w:tcBorders>
              <w:top w:val="nil"/>
              <w:left w:val="nil"/>
              <w:bottom w:val="nil"/>
              <w:right w:val="nil"/>
            </w:tcBorders>
            <w:shd w:val="clear" w:color="auto" w:fill="FFFFFF"/>
            <w:vAlign w:val="center"/>
          </w:tcPr>
          <w:p w14:paraId="0EBCB9C8" w14:textId="77777777" w:rsidR="00A8683C" w:rsidRPr="00820FC2" w:rsidRDefault="00A8683C" w:rsidP="004541C9">
            <w:pPr>
              <w:autoSpaceDE w:val="0"/>
              <w:autoSpaceDN w:val="0"/>
              <w:adjustRightInd w:val="0"/>
              <w:jc w:val="center"/>
            </w:pPr>
            <w:r w:rsidRPr="00820FC2">
              <w:t>1</w:t>
            </w:r>
          </w:p>
        </w:tc>
        <w:tc>
          <w:tcPr>
            <w:tcW w:w="1415" w:type="dxa"/>
            <w:tcBorders>
              <w:top w:val="nil"/>
              <w:left w:val="nil"/>
              <w:bottom w:val="nil"/>
              <w:right w:val="nil"/>
            </w:tcBorders>
            <w:shd w:val="clear" w:color="auto" w:fill="FFFFFF"/>
            <w:vAlign w:val="center"/>
          </w:tcPr>
          <w:p w14:paraId="792FECF8" w14:textId="77777777" w:rsidR="00A8683C" w:rsidRPr="00820FC2" w:rsidRDefault="00A8683C" w:rsidP="004541C9">
            <w:pPr>
              <w:autoSpaceDE w:val="0"/>
              <w:autoSpaceDN w:val="0"/>
              <w:adjustRightInd w:val="0"/>
              <w:jc w:val="center"/>
            </w:pPr>
            <w:r w:rsidRPr="00820FC2">
              <w:t>270992.199</w:t>
            </w:r>
          </w:p>
        </w:tc>
        <w:tc>
          <w:tcPr>
            <w:tcW w:w="1092" w:type="dxa"/>
            <w:tcBorders>
              <w:top w:val="nil"/>
              <w:left w:val="nil"/>
              <w:bottom w:val="nil"/>
              <w:right w:val="nil"/>
            </w:tcBorders>
            <w:shd w:val="clear" w:color="auto" w:fill="FFFFFF"/>
            <w:vAlign w:val="center"/>
          </w:tcPr>
          <w:p w14:paraId="3EA2D297" w14:textId="77777777" w:rsidR="00A8683C" w:rsidRPr="00820FC2" w:rsidRDefault="00A8683C" w:rsidP="004541C9">
            <w:pPr>
              <w:autoSpaceDE w:val="0"/>
              <w:autoSpaceDN w:val="0"/>
              <w:adjustRightInd w:val="0"/>
              <w:jc w:val="center"/>
            </w:pPr>
            <w:r w:rsidRPr="00820FC2">
              <w:t>2871.259</w:t>
            </w:r>
          </w:p>
        </w:tc>
        <w:tc>
          <w:tcPr>
            <w:tcW w:w="1030" w:type="dxa"/>
            <w:tcBorders>
              <w:top w:val="nil"/>
              <w:left w:val="nil"/>
              <w:bottom w:val="nil"/>
              <w:right w:val="nil"/>
            </w:tcBorders>
            <w:shd w:val="clear" w:color="auto" w:fill="FFFFFF"/>
            <w:vAlign w:val="center"/>
          </w:tcPr>
          <w:p w14:paraId="0775C54C" w14:textId="77777777" w:rsidR="00A8683C" w:rsidRPr="00820FC2" w:rsidRDefault="00A8683C" w:rsidP="004541C9">
            <w:pPr>
              <w:autoSpaceDE w:val="0"/>
              <w:autoSpaceDN w:val="0"/>
              <w:adjustRightInd w:val="0"/>
              <w:jc w:val="center"/>
            </w:pPr>
            <w:r w:rsidRPr="00820FC2">
              <w:t>.000</w:t>
            </w:r>
          </w:p>
        </w:tc>
      </w:tr>
      <w:tr w:rsidR="00A8683C" w:rsidRPr="00820FC2" w14:paraId="0C67AAB0" w14:textId="77777777" w:rsidTr="00A8683C">
        <w:trPr>
          <w:cantSplit/>
          <w:jc w:val="center"/>
        </w:trPr>
        <w:tc>
          <w:tcPr>
            <w:tcW w:w="1843" w:type="dxa"/>
            <w:tcBorders>
              <w:top w:val="nil"/>
              <w:left w:val="nil"/>
              <w:bottom w:val="nil"/>
              <w:right w:val="nil"/>
            </w:tcBorders>
            <w:shd w:val="clear" w:color="auto" w:fill="E0E0E0"/>
            <w:vAlign w:val="center"/>
          </w:tcPr>
          <w:p w14:paraId="5084B5C2" w14:textId="77777777" w:rsidR="00A8683C" w:rsidRPr="00820FC2" w:rsidRDefault="00A8683C" w:rsidP="004541C9">
            <w:pPr>
              <w:autoSpaceDE w:val="0"/>
              <w:autoSpaceDN w:val="0"/>
              <w:adjustRightInd w:val="0"/>
              <w:jc w:val="center"/>
            </w:pPr>
            <w:r w:rsidRPr="00820FC2">
              <w:t>KAM</w:t>
            </w:r>
          </w:p>
        </w:tc>
        <w:tc>
          <w:tcPr>
            <w:tcW w:w="1559" w:type="dxa"/>
            <w:tcBorders>
              <w:top w:val="nil"/>
              <w:left w:val="nil"/>
              <w:bottom w:val="nil"/>
              <w:right w:val="nil"/>
            </w:tcBorders>
            <w:shd w:val="clear" w:color="auto" w:fill="FFFFFF"/>
            <w:vAlign w:val="center"/>
          </w:tcPr>
          <w:p w14:paraId="0E3DA4B4" w14:textId="77777777" w:rsidR="00A8683C" w:rsidRPr="00820FC2" w:rsidRDefault="00A8683C" w:rsidP="004541C9">
            <w:pPr>
              <w:autoSpaceDE w:val="0"/>
              <w:autoSpaceDN w:val="0"/>
              <w:adjustRightInd w:val="0"/>
              <w:jc w:val="center"/>
            </w:pPr>
            <w:r w:rsidRPr="00820FC2">
              <w:t>348.886</w:t>
            </w:r>
          </w:p>
        </w:tc>
        <w:tc>
          <w:tcPr>
            <w:tcW w:w="778" w:type="dxa"/>
            <w:tcBorders>
              <w:top w:val="nil"/>
              <w:left w:val="nil"/>
              <w:bottom w:val="nil"/>
              <w:right w:val="nil"/>
            </w:tcBorders>
            <w:shd w:val="clear" w:color="auto" w:fill="FFFFFF"/>
            <w:vAlign w:val="center"/>
          </w:tcPr>
          <w:p w14:paraId="6DE43CF8" w14:textId="77777777" w:rsidR="00A8683C" w:rsidRPr="00820FC2" w:rsidRDefault="00A8683C" w:rsidP="004541C9">
            <w:pPr>
              <w:autoSpaceDE w:val="0"/>
              <w:autoSpaceDN w:val="0"/>
              <w:adjustRightInd w:val="0"/>
              <w:jc w:val="center"/>
            </w:pPr>
            <w:r w:rsidRPr="00820FC2">
              <w:t>2</w:t>
            </w:r>
          </w:p>
        </w:tc>
        <w:tc>
          <w:tcPr>
            <w:tcW w:w="1415" w:type="dxa"/>
            <w:tcBorders>
              <w:top w:val="nil"/>
              <w:left w:val="nil"/>
              <w:bottom w:val="nil"/>
              <w:right w:val="nil"/>
            </w:tcBorders>
            <w:shd w:val="clear" w:color="auto" w:fill="FFFFFF"/>
            <w:vAlign w:val="center"/>
          </w:tcPr>
          <w:p w14:paraId="6803DD0B" w14:textId="77777777" w:rsidR="00A8683C" w:rsidRPr="00820FC2" w:rsidRDefault="00A8683C" w:rsidP="004541C9">
            <w:pPr>
              <w:autoSpaceDE w:val="0"/>
              <w:autoSpaceDN w:val="0"/>
              <w:adjustRightInd w:val="0"/>
              <w:jc w:val="center"/>
            </w:pPr>
            <w:r w:rsidRPr="00820FC2">
              <w:t>174.443</w:t>
            </w:r>
          </w:p>
        </w:tc>
        <w:tc>
          <w:tcPr>
            <w:tcW w:w="1092" w:type="dxa"/>
            <w:tcBorders>
              <w:top w:val="nil"/>
              <w:left w:val="nil"/>
              <w:bottom w:val="nil"/>
              <w:right w:val="nil"/>
            </w:tcBorders>
            <w:shd w:val="clear" w:color="auto" w:fill="FFFFFF"/>
            <w:vAlign w:val="center"/>
          </w:tcPr>
          <w:p w14:paraId="7743DF03" w14:textId="77777777" w:rsidR="00A8683C" w:rsidRPr="00820FC2" w:rsidRDefault="00A8683C" w:rsidP="004541C9">
            <w:pPr>
              <w:autoSpaceDE w:val="0"/>
              <w:autoSpaceDN w:val="0"/>
              <w:adjustRightInd w:val="0"/>
              <w:jc w:val="center"/>
            </w:pPr>
            <w:r w:rsidRPr="00820FC2">
              <w:t>1.848</w:t>
            </w:r>
          </w:p>
        </w:tc>
        <w:tc>
          <w:tcPr>
            <w:tcW w:w="1030" w:type="dxa"/>
            <w:tcBorders>
              <w:top w:val="nil"/>
              <w:left w:val="nil"/>
              <w:bottom w:val="nil"/>
              <w:right w:val="nil"/>
            </w:tcBorders>
            <w:shd w:val="clear" w:color="auto" w:fill="FFFFFF"/>
            <w:vAlign w:val="center"/>
          </w:tcPr>
          <w:p w14:paraId="01CF6523" w14:textId="77777777" w:rsidR="00A8683C" w:rsidRPr="00820FC2" w:rsidRDefault="00A8683C" w:rsidP="004541C9">
            <w:pPr>
              <w:autoSpaceDE w:val="0"/>
              <w:autoSpaceDN w:val="0"/>
              <w:adjustRightInd w:val="0"/>
              <w:jc w:val="center"/>
            </w:pPr>
            <w:r w:rsidRPr="00820FC2">
              <w:t>.167</w:t>
            </w:r>
          </w:p>
        </w:tc>
      </w:tr>
      <w:tr w:rsidR="00A8683C" w:rsidRPr="00820FC2" w14:paraId="6FAC3E93" w14:textId="77777777" w:rsidTr="00A8683C">
        <w:trPr>
          <w:cantSplit/>
          <w:jc w:val="center"/>
        </w:trPr>
        <w:tc>
          <w:tcPr>
            <w:tcW w:w="1843" w:type="dxa"/>
            <w:tcBorders>
              <w:top w:val="nil"/>
              <w:left w:val="nil"/>
              <w:bottom w:val="nil"/>
              <w:right w:val="nil"/>
            </w:tcBorders>
            <w:shd w:val="clear" w:color="auto" w:fill="E0E0E0"/>
            <w:vAlign w:val="center"/>
          </w:tcPr>
          <w:p w14:paraId="000BD38C" w14:textId="77777777" w:rsidR="00A8683C" w:rsidRPr="00820FC2" w:rsidRDefault="00A8683C" w:rsidP="004541C9">
            <w:pPr>
              <w:autoSpaceDE w:val="0"/>
              <w:autoSpaceDN w:val="0"/>
              <w:adjustRightInd w:val="0"/>
              <w:jc w:val="center"/>
            </w:pPr>
            <w:r w:rsidRPr="00820FC2">
              <w:t>Kelas</w:t>
            </w:r>
          </w:p>
        </w:tc>
        <w:tc>
          <w:tcPr>
            <w:tcW w:w="1559" w:type="dxa"/>
            <w:tcBorders>
              <w:top w:val="nil"/>
              <w:left w:val="nil"/>
              <w:bottom w:val="nil"/>
              <w:right w:val="nil"/>
            </w:tcBorders>
            <w:shd w:val="clear" w:color="auto" w:fill="FFFFFF"/>
            <w:vAlign w:val="center"/>
          </w:tcPr>
          <w:p w14:paraId="60BF4F68" w14:textId="77777777" w:rsidR="00A8683C" w:rsidRPr="00820FC2" w:rsidRDefault="00A8683C" w:rsidP="004541C9">
            <w:pPr>
              <w:autoSpaceDE w:val="0"/>
              <w:autoSpaceDN w:val="0"/>
              <w:adjustRightInd w:val="0"/>
              <w:jc w:val="center"/>
            </w:pPr>
            <w:r w:rsidRPr="00820FC2">
              <w:t>2325.746</w:t>
            </w:r>
          </w:p>
        </w:tc>
        <w:tc>
          <w:tcPr>
            <w:tcW w:w="778" w:type="dxa"/>
            <w:tcBorders>
              <w:top w:val="nil"/>
              <w:left w:val="nil"/>
              <w:bottom w:val="nil"/>
              <w:right w:val="nil"/>
            </w:tcBorders>
            <w:shd w:val="clear" w:color="auto" w:fill="FFFFFF"/>
            <w:vAlign w:val="center"/>
          </w:tcPr>
          <w:p w14:paraId="26562426" w14:textId="77777777" w:rsidR="00A8683C" w:rsidRPr="00820FC2" w:rsidRDefault="00A8683C" w:rsidP="004541C9">
            <w:pPr>
              <w:autoSpaceDE w:val="0"/>
              <w:autoSpaceDN w:val="0"/>
              <w:adjustRightInd w:val="0"/>
              <w:jc w:val="center"/>
            </w:pPr>
            <w:r w:rsidRPr="00820FC2">
              <w:t>1</w:t>
            </w:r>
          </w:p>
        </w:tc>
        <w:tc>
          <w:tcPr>
            <w:tcW w:w="1415" w:type="dxa"/>
            <w:tcBorders>
              <w:top w:val="nil"/>
              <w:left w:val="nil"/>
              <w:bottom w:val="nil"/>
              <w:right w:val="nil"/>
            </w:tcBorders>
            <w:shd w:val="clear" w:color="auto" w:fill="FFFFFF"/>
            <w:vAlign w:val="center"/>
          </w:tcPr>
          <w:p w14:paraId="51B59E72" w14:textId="77777777" w:rsidR="00A8683C" w:rsidRPr="00820FC2" w:rsidRDefault="00A8683C" w:rsidP="004541C9">
            <w:pPr>
              <w:autoSpaceDE w:val="0"/>
              <w:autoSpaceDN w:val="0"/>
              <w:adjustRightInd w:val="0"/>
              <w:jc w:val="center"/>
            </w:pPr>
            <w:r w:rsidRPr="00820FC2">
              <w:t>2325.746</w:t>
            </w:r>
          </w:p>
        </w:tc>
        <w:tc>
          <w:tcPr>
            <w:tcW w:w="1092" w:type="dxa"/>
            <w:tcBorders>
              <w:top w:val="nil"/>
              <w:left w:val="nil"/>
              <w:bottom w:val="nil"/>
              <w:right w:val="nil"/>
            </w:tcBorders>
            <w:shd w:val="clear" w:color="auto" w:fill="FFFFFF"/>
            <w:vAlign w:val="center"/>
          </w:tcPr>
          <w:p w14:paraId="3F8C50AF" w14:textId="77777777" w:rsidR="00A8683C" w:rsidRPr="00820FC2" w:rsidRDefault="00A8683C" w:rsidP="004541C9">
            <w:pPr>
              <w:autoSpaceDE w:val="0"/>
              <w:autoSpaceDN w:val="0"/>
              <w:adjustRightInd w:val="0"/>
              <w:jc w:val="center"/>
            </w:pPr>
            <w:r w:rsidRPr="00820FC2">
              <w:t>24.642</w:t>
            </w:r>
          </w:p>
        </w:tc>
        <w:tc>
          <w:tcPr>
            <w:tcW w:w="1030" w:type="dxa"/>
            <w:tcBorders>
              <w:top w:val="nil"/>
              <w:left w:val="nil"/>
              <w:bottom w:val="nil"/>
              <w:right w:val="nil"/>
            </w:tcBorders>
            <w:shd w:val="clear" w:color="auto" w:fill="FFFFFF"/>
            <w:vAlign w:val="center"/>
          </w:tcPr>
          <w:p w14:paraId="0500182E" w14:textId="77777777" w:rsidR="00A8683C" w:rsidRPr="00820FC2" w:rsidRDefault="00A8683C" w:rsidP="004541C9">
            <w:pPr>
              <w:autoSpaceDE w:val="0"/>
              <w:autoSpaceDN w:val="0"/>
              <w:adjustRightInd w:val="0"/>
              <w:jc w:val="center"/>
            </w:pPr>
            <w:r w:rsidRPr="00820FC2">
              <w:t>.000</w:t>
            </w:r>
          </w:p>
        </w:tc>
      </w:tr>
      <w:tr w:rsidR="00A8683C" w:rsidRPr="00820FC2" w14:paraId="471A8136" w14:textId="77777777" w:rsidTr="00A8683C">
        <w:trPr>
          <w:cantSplit/>
          <w:jc w:val="center"/>
        </w:trPr>
        <w:tc>
          <w:tcPr>
            <w:tcW w:w="1843" w:type="dxa"/>
            <w:tcBorders>
              <w:top w:val="nil"/>
              <w:left w:val="nil"/>
              <w:bottom w:val="nil"/>
              <w:right w:val="nil"/>
            </w:tcBorders>
            <w:shd w:val="clear" w:color="auto" w:fill="E0E0E0"/>
            <w:vAlign w:val="center"/>
          </w:tcPr>
          <w:p w14:paraId="3DE99180" w14:textId="77777777" w:rsidR="00A8683C" w:rsidRPr="00820FC2" w:rsidRDefault="00A8683C" w:rsidP="004541C9">
            <w:pPr>
              <w:autoSpaceDE w:val="0"/>
              <w:autoSpaceDN w:val="0"/>
              <w:adjustRightInd w:val="0"/>
              <w:jc w:val="center"/>
            </w:pPr>
            <w:r w:rsidRPr="00820FC2">
              <w:t>KAM * Kelas</w:t>
            </w:r>
          </w:p>
        </w:tc>
        <w:tc>
          <w:tcPr>
            <w:tcW w:w="1559" w:type="dxa"/>
            <w:tcBorders>
              <w:top w:val="nil"/>
              <w:left w:val="nil"/>
              <w:bottom w:val="nil"/>
              <w:right w:val="nil"/>
            </w:tcBorders>
            <w:shd w:val="clear" w:color="auto" w:fill="FFFFFF"/>
            <w:vAlign w:val="center"/>
          </w:tcPr>
          <w:p w14:paraId="447FBE55" w14:textId="77777777" w:rsidR="00A8683C" w:rsidRPr="00820FC2" w:rsidRDefault="00A8683C" w:rsidP="004541C9">
            <w:pPr>
              <w:autoSpaceDE w:val="0"/>
              <w:autoSpaceDN w:val="0"/>
              <w:adjustRightInd w:val="0"/>
              <w:jc w:val="center"/>
            </w:pPr>
            <w:r w:rsidRPr="00820FC2">
              <w:t>753.076</w:t>
            </w:r>
          </w:p>
        </w:tc>
        <w:tc>
          <w:tcPr>
            <w:tcW w:w="778" w:type="dxa"/>
            <w:tcBorders>
              <w:top w:val="nil"/>
              <w:left w:val="nil"/>
              <w:bottom w:val="nil"/>
              <w:right w:val="nil"/>
            </w:tcBorders>
            <w:shd w:val="clear" w:color="auto" w:fill="FFFFFF"/>
            <w:vAlign w:val="center"/>
          </w:tcPr>
          <w:p w14:paraId="73B58CC1" w14:textId="77777777" w:rsidR="00A8683C" w:rsidRPr="00820FC2" w:rsidRDefault="00A8683C" w:rsidP="004541C9">
            <w:pPr>
              <w:autoSpaceDE w:val="0"/>
              <w:autoSpaceDN w:val="0"/>
              <w:adjustRightInd w:val="0"/>
              <w:jc w:val="center"/>
            </w:pPr>
            <w:r w:rsidRPr="00820FC2">
              <w:t>2</w:t>
            </w:r>
          </w:p>
        </w:tc>
        <w:tc>
          <w:tcPr>
            <w:tcW w:w="1415" w:type="dxa"/>
            <w:tcBorders>
              <w:top w:val="nil"/>
              <w:left w:val="nil"/>
              <w:bottom w:val="nil"/>
              <w:right w:val="nil"/>
            </w:tcBorders>
            <w:shd w:val="clear" w:color="auto" w:fill="FFFFFF"/>
            <w:vAlign w:val="center"/>
          </w:tcPr>
          <w:p w14:paraId="16E5CC11" w14:textId="77777777" w:rsidR="00A8683C" w:rsidRPr="00820FC2" w:rsidRDefault="00A8683C" w:rsidP="004541C9">
            <w:pPr>
              <w:autoSpaceDE w:val="0"/>
              <w:autoSpaceDN w:val="0"/>
              <w:adjustRightInd w:val="0"/>
              <w:jc w:val="center"/>
            </w:pPr>
            <w:r w:rsidRPr="00820FC2">
              <w:t>376.538</w:t>
            </w:r>
          </w:p>
        </w:tc>
        <w:tc>
          <w:tcPr>
            <w:tcW w:w="1092" w:type="dxa"/>
            <w:tcBorders>
              <w:top w:val="nil"/>
              <w:left w:val="nil"/>
              <w:bottom w:val="nil"/>
              <w:right w:val="nil"/>
            </w:tcBorders>
            <w:shd w:val="clear" w:color="auto" w:fill="FFFFFF"/>
            <w:vAlign w:val="center"/>
          </w:tcPr>
          <w:p w14:paraId="08D256B6" w14:textId="77777777" w:rsidR="00A8683C" w:rsidRPr="00820FC2" w:rsidRDefault="00A8683C" w:rsidP="004541C9">
            <w:pPr>
              <w:autoSpaceDE w:val="0"/>
              <w:autoSpaceDN w:val="0"/>
              <w:adjustRightInd w:val="0"/>
              <w:jc w:val="center"/>
            </w:pPr>
            <w:r w:rsidRPr="00820FC2">
              <w:t>3.990</w:t>
            </w:r>
          </w:p>
        </w:tc>
        <w:tc>
          <w:tcPr>
            <w:tcW w:w="1030" w:type="dxa"/>
            <w:tcBorders>
              <w:top w:val="nil"/>
              <w:left w:val="nil"/>
              <w:bottom w:val="nil"/>
              <w:right w:val="nil"/>
            </w:tcBorders>
            <w:shd w:val="clear" w:color="auto" w:fill="FFFFFF"/>
            <w:vAlign w:val="center"/>
          </w:tcPr>
          <w:p w14:paraId="08552FE1" w14:textId="77777777" w:rsidR="00A8683C" w:rsidRPr="00820FC2" w:rsidRDefault="00A8683C" w:rsidP="004541C9">
            <w:pPr>
              <w:autoSpaceDE w:val="0"/>
              <w:autoSpaceDN w:val="0"/>
              <w:adjustRightInd w:val="0"/>
              <w:jc w:val="center"/>
            </w:pPr>
            <w:r w:rsidRPr="00820FC2">
              <w:t>.024</w:t>
            </w:r>
          </w:p>
        </w:tc>
      </w:tr>
      <w:tr w:rsidR="00A8683C" w:rsidRPr="00820FC2" w14:paraId="010285D9" w14:textId="77777777" w:rsidTr="00A8683C">
        <w:trPr>
          <w:cantSplit/>
          <w:jc w:val="center"/>
        </w:trPr>
        <w:tc>
          <w:tcPr>
            <w:tcW w:w="1843" w:type="dxa"/>
            <w:tcBorders>
              <w:top w:val="nil"/>
              <w:left w:val="nil"/>
              <w:bottom w:val="nil"/>
              <w:right w:val="nil"/>
            </w:tcBorders>
            <w:shd w:val="clear" w:color="auto" w:fill="E0E0E0"/>
            <w:vAlign w:val="center"/>
          </w:tcPr>
          <w:p w14:paraId="5EDBD07A" w14:textId="77777777" w:rsidR="00A8683C" w:rsidRPr="00820FC2" w:rsidRDefault="00A8683C" w:rsidP="004541C9">
            <w:pPr>
              <w:autoSpaceDE w:val="0"/>
              <w:autoSpaceDN w:val="0"/>
              <w:adjustRightInd w:val="0"/>
              <w:jc w:val="center"/>
            </w:pPr>
            <w:r w:rsidRPr="00820FC2">
              <w:t>Error</w:t>
            </w:r>
          </w:p>
        </w:tc>
        <w:tc>
          <w:tcPr>
            <w:tcW w:w="1559" w:type="dxa"/>
            <w:tcBorders>
              <w:top w:val="nil"/>
              <w:left w:val="nil"/>
              <w:bottom w:val="nil"/>
              <w:right w:val="nil"/>
            </w:tcBorders>
            <w:shd w:val="clear" w:color="auto" w:fill="FFFFFF"/>
            <w:vAlign w:val="center"/>
          </w:tcPr>
          <w:p w14:paraId="31D9CCAF" w14:textId="77777777" w:rsidR="00A8683C" w:rsidRPr="00820FC2" w:rsidRDefault="00A8683C" w:rsidP="004541C9">
            <w:pPr>
              <w:autoSpaceDE w:val="0"/>
              <w:autoSpaceDN w:val="0"/>
              <w:adjustRightInd w:val="0"/>
              <w:jc w:val="center"/>
            </w:pPr>
            <w:r w:rsidRPr="00820FC2">
              <w:t>5096.571</w:t>
            </w:r>
          </w:p>
        </w:tc>
        <w:tc>
          <w:tcPr>
            <w:tcW w:w="778" w:type="dxa"/>
            <w:tcBorders>
              <w:top w:val="nil"/>
              <w:left w:val="nil"/>
              <w:bottom w:val="nil"/>
              <w:right w:val="nil"/>
            </w:tcBorders>
            <w:shd w:val="clear" w:color="auto" w:fill="FFFFFF"/>
            <w:vAlign w:val="center"/>
          </w:tcPr>
          <w:p w14:paraId="0B8E32CA" w14:textId="77777777" w:rsidR="00A8683C" w:rsidRPr="00820FC2" w:rsidRDefault="00A8683C" w:rsidP="004541C9">
            <w:pPr>
              <w:autoSpaceDE w:val="0"/>
              <w:autoSpaceDN w:val="0"/>
              <w:adjustRightInd w:val="0"/>
              <w:jc w:val="center"/>
            </w:pPr>
            <w:r w:rsidRPr="00820FC2">
              <w:t>54</w:t>
            </w:r>
          </w:p>
        </w:tc>
        <w:tc>
          <w:tcPr>
            <w:tcW w:w="1415" w:type="dxa"/>
            <w:tcBorders>
              <w:top w:val="nil"/>
              <w:left w:val="nil"/>
              <w:bottom w:val="nil"/>
              <w:right w:val="nil"/>
            </w:tcBorders>
            <w:shd w:val="clear" w:color="auto" w:fill="FFFFFF"/>
            <w:vAlign w:val="center"/>
          </w:tcPr>
          <w:p w14:paraId="693F215C" w14:textId="77777777" w:rsidR="00A8683C" w:rsidRPr="00820FC2" w:rsidRDefault="00A8683C" w:rsidP="004541C9">
            <w:pPr>
              <w:autoSpaceDE w:val="0"/>
              <w:autoSpaceDN w:val="0"/>
              <w:adjustRightInd w:val="0"/>
              <w:jc w:val="center"/>
            </w:pPr>
            <w:r w:rsidRPr="00820FC2">
              <w:t>94.381</w:t>
            </w:r>
          </w:p>
        </w:tc>
        <w:tc>
          <w:tcPr>
            <w:tcW w:w="1092" w:type="dxa"/>
            <w:tcBorders>
              <w:top w:val="nil"/>
              <w:left w:val="nil"/>
              <w:bottom w:val="nil"/>
              <w:right w:val="nil"/>
            </w:tcBorders>
            <w:shd w:val="clear" w:color="auto" w:fill="FFFFFF"/>
            <w:vAlign w:val="center"/>
          </w:tcPr>
          <w:p w14:paraId="35EFA62E" w14:textId="77777777" w:rsidR="00A8683C" w:rsidRPr="00820FC2" w:rsidRDefault="00A8683C" w:rsidP="004541C9">
            <w:pPr>
              <w:autoSpaceDE w:val="0"/>
              <w:autoSpaceDN w:val="0"/>
              <w:adjustRightInd w:val="0"/>
              <w:jc w:val="center"/>
            </w:pPr>
          </w:p>
        </w:tc>
        <w:tc>
          <w:tcPr>
            <w:tcW w:w="1030" w:type="dxa"/>
            <w:tcBorders>
              <w:top w:val="nil"/>
              <w:left w:val="nil"/>
              <w:bottom w:val="nil"/>
              <w:right w:val="nil"/>
            </w:tcBorders>
            <w:shd w:val="clear" w:color="auto" w:fill="FFFFFF"/>
            <w:vAlign w:val="center"/>
          </w:tcPr>
          <w:p w14:paraId="45C711CB" w14:textId="77777777" w:rsidR="00A8683C" w:rsidRPr="00820FC2" w:rsidRDefault="00A8683C" w:rsidP="004541C9">
            <w:pPr>
              <w:autoSpaceDE w:val="0"/>
              <w:autoSpaceDN w:val="0"/>
              <w:adjustRightInd w:val="0"/>
              <w:jc w:val="center"/>
            </w:pPr>
          </w:p>
        </w:tc>
      </w:tr>
      <w:tr w:rsidR="00A8683C" w:rsidRPr="00820FC2" w14:paraId="525D2E67" w14:textId="77777777" w:rsidTr="00A8683C">
        <w:trPr>
          <w:cantSplit/>
          <w:jc w:val="center"/>
        </w:trPr>
        <w:tc>
          <w:tcPr>
            <w:tcW w:w="1843" w:type="dxa"/>
            <w:tcBorders>
              <w:top w:val="nil"/>
              <w:left w:val="nil"/>
              <w:bottom w:val="nil"/>
              <w:right w:val="nil"/>
            </w:tcBorders>
            <w:shd w:val="clear" w:color="auto" w:fill="E0E0E0"/>
            <w:vAlign w:val="center"/>
          </w:tcPr>
          <w:p w14:paraId="58D574ED" w14:textId="77777777" w:rsidR="00A8683C" w:rsidRPr="00820FC2" w:rsidRDefault="00A8683C" w:rsidP="004541C9">
            <w:pPr>
              <w:spacing w:line="480" w:lineRule="auto"/>
              <w:jc w:val="both"/>
            </w:pPr>
            <w:r w:rsidRPr="00820FC2">
              <w:t>Total</w:t>
            </w:r>
          </w:p>
        </w:tc>
        <w:tc>
          <w:tcPr>
            <w:tcW w:w="1559" w:type="dxa"/>
            <w:tcBorders>
              <w:top w:val="nil"/>
              <w:left w:val="nil"/>
              <w:bottom w:val="nil"/>
              <w:right w:val="nil"/>
            </w:tcBorders>
            <w:shd w:val="clear" w:color="auto" w:fill="FFFFFF"/>
            <w:vAlign w:val="center"/>
          </w:tcPr>
          <w:p w14:paraId="0FF3908D" w14:textId="77777777" w:rsidR="00A8683C" w:rsidRPr="00820FC2" w:rsidRDefault="00A8683C" w:rsidP="004541C9">
            <w:pPr>
              <w:spacing w:line="480" w:lineRule="auto"/>
              <w:jc w:val="both"/>
            </w:pPr>
            <w:r w:rsidRPr="00820FC2">
              <w:t>304138.000</w:t>
            </w:r>
          </w:p>
        </w:tc>
        <w:tc>
          <w:tcPr>
            <w:tcW w:w="778" w:type="dxa"/>
            <w:tcBorders>
              <w:top w:val="nil"/>
              <w:left w:val="nil"/>
              <w:bottom w:val="nil"/>
              <w:right w:val="nil"/>
            </w:tcBorders>
            <w:shd w:val="clear" w:color="auto" w:fill="FFFFFF"/>
            <w:vAlign w:val="center"/>
          </w:tcPr>
          <w:p w14:paraId="0DFD381C" w14:textId="77777777" w:rsidR="00A8683C" w:rsidRPr="00820FC2" w:rsidRDefault="00A8683C" w:rsidP="004541C9">
            <w:pPr>
              <w:spacing w:line="480" w:lineRule="auto"/>
              <w:jc w:val="both"/>
            </w:pPr>
            <w:r w:rsidRPr="00820FC2">
              <w:t>60</w:t>
            </w:r>
          </w:p>
        </w:tc>
        <w:tc>
          <w:tcPr>
            <w:tcW w:w="1415" w:type="dxa"/>
            <w:tcBorders>
              <w:top w:val="nil"/>
              <w:left w:val="nil"/>
              <w:bottom w:val="nil"/>
              <w:right w:val="nil"/>
            </w:tcBorders>
            <w:shd w:val="clear" w:color="auto" w:fill="FFFFFF"/>
            <w:vAlign w:val="center"/>
          </w:tcPr>
          <w:p w14:paraId="465E3734" w14:textId="77777777" w:rsidR="00A8683C" w:rsidRPr="00820FC2" w:rsidRDefault="00A8683C" w:rsidP="004541C9">
            <w:pPr>
              <w:spacing w:line="480" w:lineRule="auto"/>
              <w:jc w:val="both"/>
            </w:pPr>
          </w:p>
        </w:tc>
        <w:tc>
          <w:tcPr>
            <w:tcW w:w="1092" w:type="dxa"/>
            <w:tcBorders>
              <w:top w:val="nil"/>
              <w:left w:val="nil"/>
              <w:bottom w:val="nil"/>
              <w:right w:val="nil"/>
            </w:tcBorders>
            <w:shd w:val="clear" w:color="auto" w:fill="FFFFFF"/>
            <w:vAlign w:val="center"/>
          </w:tcPr>
          <w:p w14:paraId="2778A61A" w14:textId="77777777" w:rsidR="00A8683C" w:rsidRPr="00820FC2" w:rsidRDefault="00A8683C" w:rsidP="004541C9">
            <w:pPr>
              <w:spacing w:line="480" w:lineRule="auto"/>
              <w:jc w:val="both"/>
            </w:pPr>
          </w:p>
        </w:tc>
        <w:tc>
          <w:tcPr>
            <w:tcW w:w="1030" w:type="dxa"/>
            <w:tcBorders>
              <w:top w:val="nil"/>
              <w:left w:val="nil"/>
              <w:bottom w:val="nil"/>
              <w:right w:val="nil"/>
            </w:tcBorders>
            <w:shd w:val="clear" w:color="auto" w:fill="FFFFFF"/>
            <w:vAlign w:val="center"/>
          </w:tcPr>
          <w:p w14:paraId="5A88EF9D" w14:textId="77777777" w:rsidR="00A8683C" w:rsidRPr="00820FC2" w:rsidRDefault="00A8683C" w:rsidP="004541C9">
            <w:pPr>
              <w:spacing w:line="480" w:lineRule="auto"/>
              <w:jc w:val="both"/>
            </w:pPr>
          </w:p>
        </w:tc>
      </w:tr>
      <w:tr w:rsidR="00A8683C" w:rsidRPr="00820FC2" w14:paraId="4A6B8F99" w14:textId="77777777" w:rsidTr="00A8683C">
        <w:trPr>
          <w:cantSplit/>
          <w:jc w:val="center"/>
        </w:trPr>
        <w:tc>
          <w:tcPr>
            <w:tcW w:w="1843" w:type="dxa"/>
            <w:tcBorders>
              <w:top w:val="nil"/>
              <w:left w:val="nil"/>
              <w:bottom w:val="single" w:sz="4" w:space="0" w:color="auto"/>
              <w:right w:val="nil"/>
            </w:tcBorders>
            <w:shd w:val="clear" w:color="auto" w:fill="E0E0E0"/>
            <w:vAlign w:val="center"/>
          </w:tcPr>
          <w:p w14:paraId="5BCA137C" w14:textId="77777777" w:rsidR="00A8683C" w:rsidRPr="00820FC2" w:rsidRDefault="00A8683C" w:rsidP="004541C9">
            <w:pPr>
              <w:spacing w:line="480" w:lineRule="auto"/>
              <w:jc w:val="both"/>
            </w:pPr>
            <w:r w:rsidRPr="00820FC2">
              <w:t>Corrected Total</w:t>
            </w:r>
          </w:p>
        </w:tc>
        <w:tc>
          <w:tcPr>
            <w:tcW w:w="1559" w:type="dxa"/>
            <w:tcBorders>
              <w:top w:val="nil"/>
              <w:left w:val="nil"/>
              <w:bottom w:val="single" w:sz="4" w:space="0" w:color="auto"/>
              <w:right w:val="nil"/>
            </w:tcBorders>
            <w:shd w:val="clear" w:color="auto" w:fill="FFFFFF"/>
            <w:vAlign w:val="center"/>
          </w:tcPr>
          <w:p w14:paraId="725A75BA" w14:textId="77777777" w:rsidR="00A8683C" w:rsidRPr="00820FC2" w:rsidRDefault="00A8683C" w:rsidP="004541C9">
            <w:pPr>
              <w:spacing w:line="480" w:lineRule="auto"/>
              <w:jc w:val="both"/>
            </w:pPr>
            <w:r w:rsidRPr="00820FC2">
              <w:t>8455.600</w:t>
            </w:r>
          </w:p>
        </w:tc>
        <w:tc>
          <w:tcPr>
            <w:tcW w:w="778" w:type="dxa"/>
            <w:tcBorders>
              <w:top w:val="nil"/>
              <w:left w:val="nil"/>
              <w:bottom w:val="single" w:sz="4" w:space="0" w:color="auto"/>
              <w:right w:val="nil"/>
            </w:tcBorders>
            <w:shd w:val="clear" w:color="auto" w:fill="FFFFFF"/>
            <w:vAlign w:val="center"/>
          </w:tcPr>
          <w:p w14:paraId="1363602D" w14:textId="77777777" w:rsidR="00A8683C" w:rsidRPr="00820FC2" w:rsidRDefault="00A8683C" w:rsidP="004541C9">
            <w:pPr>
              <w:spacing w:line="480" w:lineRule="auto"/>
              <w:jc w:val="both"/>
            </w:pPr>
            <w:r w:rsidRPr="00820FC2">
              <w:t>59</w:t>
            </w:r>
          </w:p>
        </w:tc>
        <w:tc>
          <w:tcPr>
            <w:tcW w:w="1415" w:type="dxa"/>
            <w:tcBorders>
              <w:top w:val="nil"/>
              <w:left w:val="nil"/>
              <w:bottom w:val="single" w:sz="4" w:space="0" w:color="auto"/>
              <w:right w:val="nil"/>
            </w:tcBorders>
            <w:shd w:val="clear" w:color="auto" w:fill="FFFFFF"/>
            <w:vAlign w:val="center"/>
          </w:tcPr>
          <w:p w14:paraId="666D5EB6" w14:textId="77777777" w:rsidR="00A8683C" w:rsidRPr="00820FC2" w:rsidRDefault="00A8683C" w:rsidP="004541C9">
            <w:pPr>
              <w:spacing w:line="480" w:lineRule="auto"/>
              <w:jc w:val="both"/>
            </w:pPr>
          </w:p>
        </w:tc>
        <w:tc>
          <w:tcPr>
            <w:tcW w:w="1092" w:type="dxa"/>
            <w:tcBorders>
              <w:top w:val="nil"/>
              <w:left w:val="nil"/>
              <w:bottom w:val="single" w:sz="4" w:space="0" w:color="auto"/>
              <w:right w:val="nil"/>
            </w:tcBorders>
            <w:shd w:val="clear" w:color="auto" w:fill="FFFFFF"/>
            <w:vAlign w:val="center"/>
          </w:tcPr>
          <w:p w14:paraId="0CD74715" w14:textId="77777777" w:rsidR="00A8683C" w:rsidRPr="00820FC2" w:rsidRDefault="00A8683C" w:rsidP="004541C9">
            <w:pPr>
              <w:spacing w:line="480" w:lineRule="auto"/>
              <w:jc w:val="both"/>
            </w:pPr>
          </w:p>
        </w:tc>
        <w:tc>
          <w:tcPr>
            <w:tcW w:w="1030" w:type="dxa"/>
            <w:tcBorders>
              <w:top w:val="nil"/>
              <w:left w:val="nil"/>
              <w:bottom w:val="single" w:sz="4" w:space="0" w:color="auto"/>
              <w:right w:val="nil"/>
            </w:tcBorders>
            <w:shd w:val="clear" w:color="auto" w:fill="FFFFFF"/>
            <w:vAlign w:val="center"/>
          </w:tcPr>
          <w:p w14:paraId="39CEB7BD" w14:textId="77777777" w:rsidR="00A8683C" w:rsidRPr="00820FC2" w:rsidRDefault="00A8683C" w:rsidP="004541C9">
            <w:pPr>
              <w:spacing w:line="480" w:lineRule="auto"/>
              <w:jc w:val="both"/>
            </w:pPr>
          </w:p>
        </w:tc>
      </w:tr>
      <w:tr w:rsidR="00A8683C" w:rsidRPr="00820FC2" w14:paraId="4DC69D40" w14:textId="77777777" w:rsidTr="00A8683C">
        <w:trPr>
          <w:cantSplit/>
          <w:jc w:val="center"/>
        </w:trPr>
        <w:tc>
          <w:tcPr>
            <w:tcW w:w="7717" w:type="dxa"/>
            <w:gridSpan w:val="6"/>
            <w:tcBorders>
              <w:top w:val="single" w:sz="4" w:space="0" w:color="auto"/>
              <w:left w:val="nil"/>
              <w:bottom w:val="nil"/>
              <w:right w:val="nil"/>
            </w:tcBorders>
            <w:shd w:val="clear" w:color="auto" w:fill="FFFFFF"/>
          </w:tcPr>
          <w:p w14:paraId="1B70B46E" w14:textId="77777777" w:rsidR="00A8683C" w:rsidRPr="00820FC2" w:rsidRDefault="00A8683C" w:rsidP="004541C9">
            <w:pPr>
              <w:spacing w:line="480" w:lineRule="auto"/>
              <w:jc w:val="both"/>
            </w:pPr>
            <w:r w:rsidRPr="00820FC2">
              <w:t>a. R Squared = ,397 (Adjusted R Squared = ,341)</w:t>
            </w:r>
          </w:p>
        </w:tc>
      </w:tr>
    </w:tbl>
    <w:p w14:paraId="5D1942B9" w14:textId="2763EC6A" w:rsidR="00D56BD8" w:rsidRPr="00D56BD8" w:rsidRDefault="00D56BD8" w:rsidP="00D56BD8">
      <w:pPr>
        <w:spacing w:line="360" w:lineRule="auto"/>
        <w:ind w:firstLine="426"/>
        <w:jc w:val="both"/>
      </w:pPr>
      <w:r w:rsidRPr="00D56BD8">
        <w:t xml:space="preserve">Based on Table </w:t>
      </w:r>
      <w:r>
        <w:t>3</w:t>
      </w:r>
      <w:r w:rsidRPr="00D56BD8">
        <w:t xml:space="preserve">, the significance value for the learning approach with KAM is smaller than </w:t>
      </w:r>
      <w:r w:rsidRPr="00D56BD8">
        <w:rPr>
          <w:rFonts w:ascii="Cambria Math" w:hAnsi="Cambria Math" w:cs="Cambria Math"/>
        </w:rPr>
        <w:t>∝</w:t>
      </w:r>
      <w:r w:rsidRPr="00D56BD8">
        <w:t xml:space="preserve"> = 0.05, so it can be concluded that H0 is rejected. This means that there is a significant interaction effect between the learning approach factor and KAM on students' statistical thinking abilities.</w:t>
      </w:r>
    </w:p>
    <w:p w14:paraId="2D219152" w14:textId="77777777" w:rsidR="00D56BD8" w:rsidRPr="00D56BD8" w:rsidRDefault="00D56BD8" w:rsidP="00D56BD8">
      <w:pPr>
        <w:spacing w:line="360" w:lineRule="auto"/>
        <w:ind w:firstLine="426"/>
        <w:jc w:val="both"/>
      </w:pPr>
      <w:r w:rsidRPr="00D56BD8">
        <w:t>From the previous analysis of the mean N-Gain from the high, medium, and low KAM groups, it can be concluded that the improvement in statistical thinking abilities of students who received scaffolding learning is higher than those who received conventional learning in the high and medium KAM groups, while for the low KAM group, students who received conventional learning showed higher improvement than those who received scaffolding learning.</w:t>
      </w:r>
    </w:p>
    <w:p w14:paraId="7BD0AFA8" w14:textId="77777777" w:rsidR="00D56BD8" w:rsidRPr="00D56BD8" w:rsidRDefault="00D56BD8" w:rsidP="00D56BD8">
      <w:pPr>
        <w:spacing w:line="360" w:lineRule="auto"/>
        <w:ind w:firstLine="426"/>
        <w:jc w:val="both"/>
      </w:pPr>
      <w:r w:rsidRPr="00D56BD8">
        <w:t>Therefore, it can be concluded that there is an interaction effect between the learning approach factor and KAM on the improvement of students' statistical thinking abilities using the scaffolding approach.</w:t>
      </w:r>
    </w:p>
    <w:p w14:paraId="3A214DE7" w14:textId="202318E6" w:rsidR="00A8683C" w:rsidRDefault="00D56BD8" w:rsidP="00D56BD8">
      <w:pPr>
        <w:spacing w:line="360" w:lineRule="auto"/>
        <w:ind w:firstLine="426"/>
        <w:jc w:val="both"/>
        <w:rPr>
          <w:lang w:val="en-US"/>
        </w:rPr>
      </w:pPr>
      <w:r w:rsidRPr="00D56BD8">
        <w:lastRenderedPageBreak/>
        <w:t>Based on the analysis, it was found that the effectiveness of the ethnomathematics-based scaffolding learning strategy on students' statistical thinking abilities and learning independence has a high impact. This proves that the ethnomathematics-based scaffolding learning strategy is more effective and can be used in mathematics learning, as it can better accommodate students' learning needs. This is in line with research conducted by Murod (2019), which showed that the improvement in statistical thinking abilities of students who received the scaffolding learning strategy was significantly higher than that of students who received the direct approach, both overall and based on their initial abilities</w:t>
      </w:r>
    </w:p>
    <w:p w14:paraId="43B4B527" w14:textId="77777777" w:rsidR="00C842E8" w:rsidRPr="00A71E9E" w:rsidRDefault="00C842E8" w:rsidP="00C842E8">
      <w:pPr>
        <w:tabs>
          <w:tab w:val="left" w:pos="990"/>
        </w:tabs>
        <w:spacing w:line="259" w:lineRule="auto"/>
        <w:jc w:val="both"/>
        <w:rPr>
          <w:rFonts w:ascii="Arial Narrow" w:eastAsia="Calibri" w:hAnsi="Arial Narrow" w:cs="Calibri"/>
          <w:bCs/>
          <w:lang w:val="en-US"/>
        </w:rPr>
      </w:pPr>
    </w:p>
    <w:p w14:paraId="5CF226CC" w14:textId="77777777" w:rsidR="00C842E8" w:rsidRPr="00A71E9E" w:rsidRDefault="00C842E8" w:rsidP="00C842E8">
      <w:pPr>
        <w:spacing w:line="360" w:lineRule="auto"/>
        <w:ind w:hanging="2"/>
        <w:jc w:val="both"/>
        <w:rPr>
          <w:lang w:val="en-US"/>
        </w:rPr>
      </w:pPr>
      <w:r w:rsidRPr="00A71E9E">
        <w:rPr>
          <w:b/>
          <w:lang w:val="en-US"/>
        </w:rPr>
        <w:t>CONCLUSIONS</w:t>
      </w:r>
    </w:p>
    <w:p w14:paraId="1771DEA7" w14:textId="77777777" w:rsidR="00D56BD8" w:rsidRPr="00D56BD8" w:rsidRDefault="00D56BD8" w:rsidP="00D56BD8">
      <w:pPr>
        <w:spacing w:line="360" w:lineRule="auto"/>
        <w:ind w:firstLine="426"/>
        <w:jc w:val="both"/>
      </w:pPr>
      <w:r w:rsidRPr="00D56BD8">
        <w:t>Based on the research findings and the discussion in the previous chapter regarding the improvement of statistical thinking abilities between students who received mathematics instruction using scaffolding learning strategies and conventional methods, the following conclusions were drawn:</w:t>
      </w:r>
    </w:p>
    <w:p w14:paraId="06775E59" w14:textId="77777777" w:rsidR="00D56BD8" w:rsidRPr="00D56BD8" w:rsidRDefault="00D56BD8" w:rsidP="00D56BD8">
      <w:pPr>
        <w:numPr>
          <w:ilvl w:val="0"/>
          <w:numId w:val="4"/>
        </w:numPr>
        <w:tabs>
          <w:tab w:val="clear" w:pos="720"/>
        </w:tabs>
        <w:spacing w:line="360" w:lineRule="auto"/>
        <w:ind w:left="426" w:hanging="426"/>
        <w:jc w:val="both"/>
      </w:pPr>
      <w:r w:rsidRPr="00D56BD8">
        <w:t>Learning activities that used scaffolding strategies, where students connected mathematical concepts with local culture, traditions, and daily activities, showed that students were more active in solving the given problems. By relating cultural contexts to the material being studied, students found it easier to understand the solution patterns of each problem they encountered.</w:t>
      </w:r>
    </w:p>
    <w:p w14:paraId="2C6B4038" w14:textId="77777777" w:rsidR="00D56BD8" w:rsidRPr="00D56BD8" w:rsidRDefault="00D56BD8" w:rsidP="00D56BD8">
      <w:pPr>
        <w:numPr>
          <w:ilvl w:val="0"/>
          <w:numId w:val="4"/>
        </w:numPr>
        <w:tabs>
          <w:tab w:val="clear" w:pos="720"/>
        </w:tabs>
        <w:spacing w:line="360" w:lineRule="auto"/>
        <w:ind w:left="426" w:hanging="426"/>
        <w:jc w:val="both"/>
      </w:pPr>
      <w:r w:rsidRPr="00D56BD8">
        <w:t>To assess the improvement in students' statistical thinking abilities, the research began by examining the initial mathematical abilities of both the experimental and control classes, and the results showed no difference between the two, meaning both classes had the same initial mathematical abilities. This initial ability was used to group students into high, medium, and low ability levels. The improvement in statistical thinking abilities after students received scaffolding learning showed significant progress in the high and medium KAM (prior mathematical knowledge) groups, where student learning mastery surpassed the minimum mastery criteria at these levels. However, in the low KAM group, there was no improvement in statistical thinking abilities. This was due to the common habit in the low group of not asking questions to the teacher, waiting for the answers from classmates with higher abilities, and lacking the motivation to solve the given problems. As a result, the learning process was not optimal, even though the teacher provided full guidance.</w:t>
      </w:r>
    </w:p>
    <w:p w14:paraId="298B6D8D" w14:textId="77777777" w:rsidR="00D56BD8" w:rsidRPr="00D56BD8" w:rsidRDefault="00D56BD8" w:rsidP="00D56BD8">
      <w:pPr>
        <w:numPr>
          <w:ilvl w:val="0"/>
          <w:numId w:val="4"/>
        </w:numPr>
        <w:tabs>
          <w:tab w:val="clear" w:pos="720"/>
        </w:tabs>
        <w:spacing w:line="360" w:lineRule="auto"/>
        <w:ind w:left="426" w:hanging="426"/>
        <w:jc w:val="both"/>
      </w:pPr>
      <w:r w:rsidRPr="00D56BD8">
        <w:t xml:space="preserve">The results of student independence showed that those who received the scaffolding learning strategy performed better than those who received conventional learning. Students who were taught using the scaffolding strategy exhibited better learning independence </w:t>
      </w:r>
      <w:r w:rsidRPr="00D56BD8">
        <w:lastRenderedPageBreak/>
        <w:t>compared to those in conventional learning, which made them more active and enthusiastic in solving the problems assigned by the teacher.</w:t>
      </w:r>
    </w:p>
    <w:p w14:paraId="64F67F74" w14:textId="77777777" w:rsidR="00D56BD8" w:rsidRPr="00D56BD8" w:rsidRDefault="00D56BD8" w:rsidP="00D56BD8">
      <w:pPr>
        <w:numPr>
          <w:ilvl w:val="0"/>
          <w:numId w:val="4"/>
        </w:numPr>
        <w:tabs>
          <w:tab w:val="clear" w:pos="720"/>
        </w:tabs>
        <w:spacing w:line="360" w:lineRule="auto"/>
        <w:ind w:left="426" w:hanging="426"/>
        <w:jc w:val="both"/>
      </w:pPr>
      <w:r w:rsidRPr="00D56BD8">
        <w:t>The effectiveness of the scaffolding learning strategy was rated as highly effective. This indicates that the ethnomathematics-based scaffolding learning strategy was very effective and successful in helping to improve students' statistical thinking abilities.</w:t>
      </w:r>
    </w:p>
    <w:p w14:paraId="41CDFB76" w14:textId="77777777" w:rsidR="00C842E8" w:rsidRPr="00A71E9E" w:rsidRDefault="00C842E8" w:rsidP="00C842E8">
      <w:pPr>
        <w:spacing w:line="360" w:lineRule="auto"/>
        <w:ind w:hanging="2"/>
        <w:jc w:val="both"/>
        <w:rPr>
          <w:lang w:val="en-US"/>
        </w:rPr>
      </w:pPr>
      <w:r w:rsidRPr="00A71E9E">
        <w:rPr>
          <w:lang w:val="en-US"/>
        </w:rPr>
        <w:t> </w:t>
      </w:r>
    </w:p>
    <w:p w14:paraId="7EA4FB4A" w14:textId="51C872AD" w:rsidR="009E09EB" w:rsidRDefault="00C842E8" w:rsidP="00B4579E">
      <w:pPr>
        <w:spacing w:line="360" w:lineRule="auto"/>
        <w:ind w:hanging="2"/>
        <w:jc w:val="both"/>
        <w:rPr>
          <w:lang w:val="en-US"/>
        </w:rPr>
      </w:pPr>
      <w:r w:rsidRPr="00A71E9E">
        <w:rPr>
          <w:b/>
          <w:lang w:val="en-US"/>
        </w:rPr>
        <w:t>REFERENCES</w:t>
      </w:r>
    </w:p>
    <w:p w14:paraId="3C82D2ED" w14:textId="77777777" w:rsidR="00D56BD8" w:rsidRPr="00820FC2" w:rsidRDefault="00D56BD8" w:rsidP="00D56BD8">
      <w:pPr>
        <w:pStyle w:val="Default"/>
        <w:ind w:left="426" w:hanging="426"/>
        <w:jc w:val="both"/>
        <w:rPr>
          <w:lang w:val="id-ID"/>
        </w:rPr>
      </w:pPr>
    </w:p>
    <w:p w14:paraId="02512A56" w14:textId="77777777" w:rsidR="00D56BD8" w:rsidRPr="00820FC2" w:rsidRDefault="00D56BD8" w:rsidP="00D56BD8">
      <w:pPr>
        <w:pStyle w:val="Default"/>
        <w:ind w:left="426" w:hanging="426"/>
        <w:jc w:val="both"/>
        <w:rPr>
          <w:color w:val="111111"/>
          <w:shd w:val="clear" w:color="auto" w:fill="FFFFFF"/>
          <w:lang w:val="id-ID"/>
        </w:rPr>
      </w:pPr>
      <w:r w:rsidRPr="00820FC2">
        <w:rPr>
          <w:color w:val="111111"/>
          <w:shd w:val="clear" w:color="auto" w:fill="FFFFFF"/>
          <w:lang w:val="id-ID"/>
        </w:rPr>
        <w:t>Arikunto, S. (2002). Prosedur Penelitian: Suatu Pendekatan Praktek. Jakarta: Penerbit Rineka Cipta.</w:t>
      </w:r>
    </w:p>
    <w:p w14:paraId="03362A22" w14:textId="77777777" w:rsidR="00D56BD8" w:rsidRPr="00820FC2" w:rsidRDefault="00D56BD8" w:rsidP="00257E49">
      <w:pPr>
        <w:pStyle w:val="Default"/>
        <w:jc w:val="both"/>
        <w:rPr>
          <w:lang w:val="id-ID"/>
        </w:rPr>
      </w:pPr>
    </w:p>
    <w:p w14:paraId="4FFB10D3" w14:textId="77777777" w:rsidR="00D56BD8" w:rsidRPr="00820FC2" w:rsidRDefault="00D56BD8" w:rsidP="00D56BD8">
      <w:pPr>
        <w:pStyle w:val="Default"/>
        <w:ind w:left="426" w:hanging="426"/>
        <w:jc w:val="both"/>
        <w:rPr>
          <w:lang w:val="id-ID"/>
        </w:rPr>
      </w:pPr>
      <w:r w:rsidRPr="00820FC2">
        <w:rPr>
          <w:lang w:val="id-ID"/>
        </w:rPr>
        <w:t xml:space="preserve">Ayati, I. (2020). Pengaruh Kemampuan Awal terhadap Hasil Belajar Matematika Siswa di Madrasah Tsanawiyah Tarbiyah Mazniyah Kota Jambi. Skripsi, Universitas Islam Negeri Sulthan Thaha Saifuddin. Diunduh dari </w:t>
      </w:r>
      <w:hyperlink r:id="rId13" w:history="1">
        <w:r w:rsidRPr="00820FC2">
          <w:rPr>
            <w:rStyle w:val="Hyperlink"/>
            <w:lang w:val="id-ID"/>
          </w:rPr>
          <w:t>http://repository.uinjambi.ac.id/4379/</w:t>
        </w:r>
      </w:hyperlink>
      <w:r w:rsidRPr="00820FC2">
        <w:rPr>
          <w:lang w:val="id-ID"/>
        </w:rPr>
        <w:t xml:space="preserve"> </w:t>
      </w:r>
    </w:p>
    <w:p w14:paraId="6DC14A84" w14:textId="77777777" w:rsidR="00D56BD8" w:rsidRPr="00820FC2" w:rsidRDefault="00D56BD8" w:rsidP="00D56BD8">
      <w:pPr>
        <w:pStyle w:val="Default"/>
        <w:ind w:left="426" w:hanging="426"/>
        <w:jc w:val="both"/>
        <w:rPr>
          <w:lang w:val="id-ID"/>
        </w:rPr>
      </w:pPr>
    </w:p>
    <w:p w14:paraId="2B548EF5" w14:textId="77777777" w:rsidR="00D56BD8" w:rsidRPr="00820FC2" w:rsidRDefault="00D56BD8" w:rsidP="00D56BD8">
      <w:pPr>
        <w:pStyle w:val="Default"/>
        <w:ind w:left="426" w:hanging="426"/>
        <w:jc w:val="both"/>
        <w:rPr>
          <w:lang w:val="id-ID"/>
        </w:rPr>
      </w:pPr>
      <w:r w:rsidRPr="00820FC2">
        <w:rPr>
          <w:lang w:val="id-ID"/>
        </w:rPr>
        <w:t xml:space="preserve">Azhari, D. N.,Adawiyah, E. R.,&amp;Julaeha, W. (2021). Implementasi Metode Inkuiri dalam Matematika untuk Meningkatkan Kemandirian Belajar dan Kemampuan Komunikasi Matematik Siswa SMA. Pasundan Journal of Mathematics Education (PJME). DOI: </w:t>
      </w:r>
      <w:hyperlink r:id="rId14" w:history="1">
        <w:r w:rsidRPr="00820FC2">
          <w:rPr>
            <w:rStyle w:val="Hyperlink"/>
            <w:lang w:val="id-ID"/>
          </w:rPr>
          <w:t>https://doi.org/10.23969/pjme.v11i2.4529</w:t>
        </w:r>
      </w:hyperlink>
      <w:r w:rsidRPr="00820FC2">
        <w:rPr>
          <w:lang w:val="id-ID"/>
        </w:rPr>
        <w:t xml:space="preserve"> </w:t>
      </w:r>
    </w:p>
    <w:p w14:paraId="73B5F21D" w14:textId="77777777" w:rsidR="00257E49" w:rsidRDefault="00257E49" w:rsidP="00D56BD8">
      <w:pPr>
        <w:autoSpaceDE w:val="0"/>
        <w:autoSpaceDN w:val="0"/>
        <w:adjustRightInd w:val="0"/>
        <w:ind w:left="426" w:hanging="426"/>
        <w:jc w:val="both"/>
      </w:pPr>
    </w:p>
    <w:p w14:paraId="152A479B" w14:textId="77777777" w:rsidR="00D56BD8" w:rsidRPr="00820FC2" w:rsidRDefault="00D56BD8" w:rsidP="00D56BD8">
      <w:pPr>
        <w:autoSpaceDE w:val="0"/>
        <w:autoSpaceDN w:val="0"/>
        <w:adjustRightInd w:val="0"/>
        <w:ind w:left="426" w:hanging="426"/>
        <w:jc w:val="both"/>
      </w:pPr>
      <w:r w:rsidRPr="00820FC2">
        <w:t xml:space="preserve">Bentham, S. (2002). </w:t>
      </w:r>
      <w:r w:rsidRPr="00820FC2">
        <w:rPr>
          <w:i/>
          <w:iCs/>
        </w:rPr>
        <w:t xml:space="preserve">Psychology and Education. </w:t>
      </w:r>
      <w:r w:rsidRPr="00820FC2">
        <w:t>New York: Routledge.</w:t>
      </w:r>
    </w:p>
    <w:p w14:paraId="1209AF0C" w14:textId="77777777" w:rsidR="00D56BD8" w:rsidRPr="00820FC2" w:rsidRDefault="00D56BD8" w:rsidP="00D56BD8">
      <w:pPr>
        <w:autoSpaceDE w:val="0"/>
        <w:autoSpaceDN w:val="0"/>
        <w:adjustRightInd w:val="0"/>
        <w:ind w:left="426" w:hanging="426"/>
        <w:jc w:val="both"/>
      </w:pPr>
    </w:p>
    <w:p w14:paraId="188D1982" w14:textId="77777777" w:rsidR="00D56BD8" w:rsidRPr="00820FC2" w:rsidRDefault="00D56BD8" w:rsidP="00D56BD8">
      <w:pPr>
        <w:autoSpaceDE w:val="0"/>
        <w:autoSpaceDN w:val="0"/>
        <w:adjustRightInd w:val="0"/>
        <w:ind w:left="426" w:hanging="426"/>
        <w:jc w:val="both"/>
      </w:pPr>
      <w:r w:rsidRPr="00820FC2">
        <w:t xml:space="preserve">Bikmaz Et all. (2010). </w:t>
      </w:r>
      <w:r w:rsidRPr="00820FC2">
        <w:rPr>
          <w:i/>
          <w:iCs/>
        </w:rPr>
        <w:t>Scaffolding</w:t>
      </w:r>
      <w:r w:rsidRPr="00820FC2">
        <w:t xml:space="preserve"> Strategi Applied by Student Teacher to Teach Mathematic. </w:t>
      </w:r>
      <w:r w:rsidRPr="00820FC2">
        <w:rPr>
          <w:i/>
          <w:iCs/>
        </w:rPr>
        <w:t>The International Journal of Research in Teacher Education</w:t>
      </w:r>
      <w:r w:rsidRPr="00820FC2">
        <w:t>(1), 25-36.</w:t>
      </w:r>
    </w:p>
    <w:p w14:paraId="781841E7" w14:textId="77777777" w:rsidR="00D56BD8" w:rsidRPr="00820FC2" w:rsidRDefault="00D56BD8" w:rsidP="00D56BD8">
      <w:pPr>
        <w:autoSpaceDE w:val="0"/>
        <w:autoSpaceDN w:val="0"/>
        <w:adjustRightInd w:val="0"/>
        <w:ind w:left="426" w:hanging="426"/>
        <w:jc w:val="both"/>
      </w:pPr>
    </w:p>
    <w:p w14:paraId="55A5252A" w14:textId="77777777" w:rsidR="00D56BD8" w:rsidRPr="00820FC2" w:rsidRDefault="00D56BD8" w:rsidP="00D56BD8">
      <w:pPr>
        <w:autoSpaceDE w:val="0"/>
        <w:autoSpaceDN w:val="0"/>
        <w:adjustRightInd w:val="0"/>
        <w:ind w:left="426" w:hanging="426"/>
        <w:jc w:val="both"/>
      </w:pPr>
      <w:r w:rsidRPr="00820FC2">
        <w:t>Budianto, A.M dan Rohaeti, E. (2014). Mengembangkan Kemampuan Berpikir Kreatif dan Kemandirian Belajar Siswa SMA Melalui Pembelajaran Berbasis Masalah. Jurnal Pengajaran MIPA, Volume 19.</w:t>
      </w:r>
    </w:p>
    <w:p w14:paraId="3B8FABFA" w14:textId="77777777" w:rsidR="00D56BD8" w:rsidRPr="00820FC2" w:rsidRDefault="00D56BD8" w:rsidP="00D56BD8">
      <w:pPr>
        <w:autoSpaceDE w:val="0"/>
        <w:autoSpaceDN w:val="0"/>
        <w:adjustRightInd w:val="0"/>
        <w:ind w:left="426" w:hanging="426"/>
        <w:jc w:val="both"/>
      </w:pPr>
    </w:p>
    <w:p w14:paraId="11C568FE" w14:textId="77777777" w:rsidR="00D56BD8" w:rsidRPr="00820FC2" w:rsidRDefault="00D56BD8" w:rsidP="00D56BD8">
      <w:pPr>
        <w:autoSpaceDE w:val="0"/>
        <w:autoSpaceDN w:val="0"/>
        <w:adjustRightInd w:val="0"/>
        <w:ind w:left="426" w:hanging="426"/>
        <w:jc w:val="both"/>
        <w:rPr>
          <w:rFonts w:eastAsia="TimesNewRomanPSMT"/>
        </w:rPr>
      </w:pPr>
      <w:r w:rsidRPr="00820FC2">
        <w:rPr>
          <w:rFonts w:eastAsia="TimesNewRomanPSMT"/>
        </w:rPr>
        <w:t xml:space="preserve">Budẻ, L. (2006). Assessing students’ understanding of statistics. ICOTS-7. Tersedia pada </w:t>
      </w:r>
      <w:hyperlink r:id="rId15" w:history="1">
        <w:r w:rsidRPr="00820FC2">
          <w:rPr>
            <w:rStyle w:val="Hyperlink"/>
            <w:rFonts w:eastAsia="TimesNewRomanPSMT"/>
          </w:rPr>
          <w:t>https://www.stat.auckland.ac.nz/~iase/publications/17/6G3_BUDE.pdf</w:t>
        </w:r>
      </w:hyperlink>
      <w:r w:rsidRPr="00820FC2">
        <w:rPr>
          <w:rFonts w:eastAsia="TimesNewRomanPSMT"/>
        </w:rPr>
        <w:t xml:space="preserve"> </w:t>
      </w:r>
    </w:p>
    <w:p w14:paraId="5D59A393" w14:textId="77777777" w:rsidR="00D56BD8" w:rsidRPr="00820FC2" w:rsidRDefault="00D56BD8" w:rsidP="00D56BD8">
      <w:pPr>
        <w:autoSpaceDE w:val="0"/>
        <w:autoSpaceDN w:val="0"/>
        <w:adjustRightInd w:val="0"/>
        <w:ind w:left="426" w:hanging="426"/>
        <w:jc w:val="both"/>
        <w:rPr>
          <w:rFonts w:eastAsia="TimesNewRomanPSMT"/>
        </w:rPr>
      </w:pPr>
    </w:p>
    <w:p w14:paraId="52E52D4C" w14:textId="77777777" w:rsidR="00D56BD8" w:rsidRPr="00820FC2" w:rsidRDefault="00D56BD8" w:rsidP="00D56BD8">
      <w:pPr>
        <w:autoSpaceDE w:val="0"/>
        <w:autoSpaceDN w:val="0"/>
        <w:adjustRightInd w:val="0"/>
        <w:ind w:left="426" w:hanging="426"/>
        <w:jc w:val="both"/>
      </w:pPr>
      <w:r w:rsidRPr="00820FC2">
        <w:t xml:space="preserve">Chan Shiau Wei, &amp; Ismail Zaleha (2014). </w:t>
      </w:r>
      <w:r w:rsidRPr="00820FC2">
        <w:rPr>
          <w:i/>
          <w:iCs/>
        </w:rPr>
        <w:t>Developing statistical reasoning assessment instrument for high school students in descriptive statistics</w:t>
      </w:r>
      <w:r w:rsidRPr="00820FC2">
        <w:t xml:space="preserve">. </w:t>
      </w:r>
      <w:r w:rsidRPr="00820FC2">
        <w:rPr>
          <w:i/>
          <w:iCs/>
        </w:rPr>
        <w:t>Procedia-Social and Behavioral Sciences</w:t>
      </w:r>
      <w:r w:rsidRPr="00820FC2">
        <w:t>, 116, 4338-4343.</w:t>
      </w:r>
    </w:p>
    <w:p w14:paraId="3D078FDB" w14:textId="77777777" w:rsidR="00D56BD8" w:rsidRPr="00820FC2" w:rsidRDefault="00D56BD8" w:rsidP="00D56BD8">
      <w:pPr>
        <w:autoSpaceDE w:val="0"/>
        <w:autoSpaceDN w:val="0"/>
        <w:adjustRightInd w:val="0"/>
        <w:ind w:left="426" w:hanging="426"/>
        <w:jc w:val="both"/>
      </w:pPr>
    </w:p>
    <w:p w14:paraId="662696D4" w14:textId="77777777" w:rsidR="00D56BD8" w:rsidRPr="00820FC2" w:rsidRDefault="00D56BD8" w:rsidP="00D56BD8">
      <w:pPr>
        <w:autoSpaceDE w:val="0"/>
        <w:autoSpaceDN w:val="0"/>
        <w:adjustRightInd w:val="0"/>
        <w:ind w:left="426" w:hanging="426"/>
        <w:jc w:val="both"/>
        <w:rPr>
          <w:i/>
          <w:iCs/>
        </w:rPr>
      </w:pPr>
      <w:r w:rsidRPr="00820FC2">
        <w:t>Chance, B. L. 2002. “Components of Statistical</w:t>
      </w:r>
      <w:r w:rsidRPr="00820FC2">
        <w:rPr>
          <w:i/>
          <w:iCs/>
        </w:rPr>
        <w:t xml:space="preserve"> </w:t>
      </w:r>
      <w:r w:rsidRPr="00820FC2">
        <w:t>Thinking and Implications for Instruction</w:t>
      </w:r>
      <w:r w:rsidRPr="00820FC2">
        <w:rPr>
          <w:i/>
          <w:iCs/>
        </w:rPr>
        <w:t xml:space="preserve"> </w:t>
      </w:r>
      <w:r w:rsidRPr="00820FC2">
        <w:t xml:space="preserve">and Assessment”. </w:t>
      </w:r>
      <w:r w:rsidRPr="00820FC2">
        <w:rPr>
          <w:i/>
          <w:iCs/>
        </w:rPr>
        <w:t>Journal of Statistics Education</w:t>
      </w:r>
      <w:r w:rsidRPr="00820FC2">
        <w:t xml:space="preserve">, 10(3). Online: </w:t>
      </w:r>
      <w:hyperlink r:id="rId16" w:history="1">
        <w:r w:rsidRPr="00820FC2">
          <w:rPr>
            <w:rStyle w:val="Hyperlink"/>
          </w:rPr>
          <w:t>www.amstat.-org/publications /jse/ v10n3/chance.html</w:t>
        </w:r>
      </w:hyperlink>
      <w:r w:rsidRPr="00820FC2">
        <w:t xml:space="preserve">. </w:t>
      </w:r>
    </w:p>
    <w:p w14:paraId="71752DC9" w14:textId="77777777" w:rsidR="00D56BD8" w:rsidRPr="00820FC2" w:rsidRDefault="00D56BD8" w:rsidP="00D56BD8">
      <w:pPr>
        <w:autoSpaceDE w:val="0"/>
        <w:autoSpaceDN w:val="0"/>
        <w:adjustRightInd w:val="0"/>
        <w:ind w:left="426" w:hanging="426"/>
      </w:pPr>
    </w:p>
    <w:p w14:paraId="376A7201" w14:textId="77777777" w:rsidR="00D56BD8" w:rsidRPr="00820FC2" w:rsidRDefault="00D56BD8" w:rsidP="00D56BD8">
      <w:pPr>
        <w:autoSpaceDE w:val="0"/>
        <w:autoSpaceDN w:val="0"/>
        <w:adjustRightInd w:val="0"/>
        <w:ind w:left="426" w:hanging="426"/>
        <w:jc w:val="both"/>
      </w:pPr>
      <w:r w:rsidRPr="00820FC2">
        <w:t xml:space="preserve">delMas, Robert C. (2002). “Statistical Literacy, Reasoning, and Learning: A Commentary”. </w:t>
      </w:r>
      <w:r w:rsidRPr="00820FC2">
        <w:rPr>
          <w:i/>
          <w:iCs/>
        </w:rPr>
        <w:t xml:space="preserve">Journal of Statistics Education, </w:t>
      </w:r>
      <w:r w:rsidRPr="00820FC2">
        <w:t xml:space="preserve">Volume 10, Number 3 (2002) </w:t>
      </w:r>
      <w:hyperlink r:id="rId17" w:history="1">
        <w:r w:rsidRPr="00820FC2">
          <w:rPr>
            <w:rStyle w:val="Hyperlink"/>
          </w:rPr>
          <w:t>http://www.amstat.org/publications/jse/v10-n3/delmas_discussion.html</w:t>
        </w:r>
      </w:hyperlink>
      <w:r w:rsidRPr="00820FC2">
        <w:t xml:space="preserve">.  </w:t>
      </w:r>
    </w:p>
    <w:p w14:paraId="09A45F1E" w14:textId="77777777" w:rsidR="00D56BD8" w:rsidRPr="00820FC2" w:rsidRDefault="00D56BD8" w:rsidP="00D56BD8">
      <w:pPr>
        <w:autoSpaceDE w:val="0"/>
        <w:autoSpaceDN w:val="0"/>
        <w:adjustRightInd w:val="0"/>
        <w:ind w:left="426" w:hanging="426"/>
        <w:jc w:val="both"/>
      </w:pPr>
    </w:p>
    <w:p w14:paraId="5EA7254D" w14:textId="77777777" w:rsidR="00D56BD8" w:rsidRPr="00820FC2" w:rsidRDefault="00D56BD8" w:rsidP="00D56BD8">
      <w:pPr>
        <w:autoSpaceDE w:val="0"/>
        <w:autoSpaceDN w:val="0"/>
        <w:adjustRightInd w:val="0"/>
        <w:ind w:left="426" w:hanging="426"/>
        <w:jc w:val="both"/>
      </w:pPr>
      <w:r w:rsidRPr="00820FC2">
        <w:t>Daryanto. (2012). Evaluasi Pendidikan. Jakarta: Rineka Cipta. Hal 180-182.</w:t>
      </w:r>
    </w:p>
    <w:p w14:paraId="4D4EDB54" w14:textId="77777777" w:rsidR="00D56BD8" w:rsidRPr="00820FC2" w:rsidRDefault="00D56BD8" w:rsidP="00D56BD8">
      <w:pPr>
        <w:autoSpaceDE w:val="0"/>
        <w:autoSpaceDN w:val="0"/>
        <w:adjustRightInd w:val="0"/>
        <w:ind w:left="426" w:hanging="426"/>
        <w:jc w:val="both"/>
      </w:pPr>
    </w:p>
    <w:p w14:paraId="654115FB" w14:textId="77777777" w:rsidR="00D56BD8" w:rsidRPr="00820FC2" w:rsidRDefault="00D56BD8" w:rsidP="00D56BD8">
      <w:pPr>
        <w:autoSpaceDE w:val="0"/>
        <w:autoSpaceDN w:val="0"/>
        <w:adjustRightInd w:val="0"/>
        <w:ind w:left="426" w:hanging="426"/>
        <w:jc w:val="both"/>
        <w:rPr>
          <w:rStyle w:val="Hyperlink"/>
        </w:rPr>
      </w:pPr>
      <w:r w:rsidRPr="00820FC2">
        <w:lastRenderedPageBreak/>
        <w:t xml:space="preserve">Davies, B., Alcock, L., &amp; Jones, I. (2021). What do mathematicians mean by proof? A comparative-judgement study of students’ and mathematicians’ views. </w:t>
      </w:r>
      <w:r w:rsidRPr="00820FC2">
        <w:rPr>
          <w:i/>
          <w:iCs/>
        </w:rPr>
        <w:t>Journal of Mathematical Behavior.</w:t>
      </w:r>
      <w:r w:rsidRPr="00820FC2">
        <w:t xml:space="preserve"> 1–24. </w:t>
      </w:r>
      <w:hyperlink r:id="rId18" w:history="1">
        <w:r w:rsidRPr="00820FC2">
          <w:rPr>
            <w:rStyle w:val="Hyperlink"/>
          </w:rPr>
          <w:t>https://doi.org/10.1016/j.jmathb.2020.100824</w:t>
        </w:r>
      </w:hyperlink>
    </w:p>
    <w:p w14:paraId="0CF530AD" w14:textId="77777777" w:rsidR="00D56BD8" w:rsidRPr="00820FC2" w:rsidRDefault="00D56BD8" w:rsidP="00D56BD8">
      <w:pPr>
        <w:autoSpaceDE w:val="0"/>
        <w:autoSpaceDN w:val="0"/>
        <w:adjustRightInd w:val="0"/>
        <w:ind w:left="426" w:hanging="426"/>
        <w:jc w:val="both"/>
        <w:rPr>
          <w:color w:val="0000FF"/>
        </w:rPr>
      </w:pPr>
    </w:p>
    <w:p w14:paraId="3559254E" w14:textId="77777777" w:rsidR="00D56BD8" w:rsidRPr="00820FC2" w:rsidRDefault="00D56BD8" w:rsidP="00D56BD8">
      <w:pPr>
        <w:autoSpaceDE w:val="0"/>
        <w:autoSpaceDN w:val="0"/>
        <w:adjustRightInd w:val="0"/>
        <w:ind w:left="426" w:hanging="426"/>
        <w:jc w:val="both"/>
      </w:pPr>
      <w:r w:rsidRPr="00820FC2">
        <w:t xml:space="preserve">Elfindri. (2012). </w:t>
      </w:r>
      <w:r w:rsidRPr="00820FC2">
        <w:rPr>
          <w:i/>
          <w:iCs/>
        </w:rPr>
        <w:t xml:space="preserve">Pendidikan Karakter Kerangka, Metode dan Aplikasi untuk Pendidikan dan Profesional. </w:t>
      </w:r>
      <w:r w:rsidRPr="00820FC2">
        <w:t>Jakarta: Baduose Media Jakarta.</w:t>
      </w:r>
    </w:p>
    <w:p w14:paraId="041033A7" w14:textId="3D33B39E" w:rsidR="00D56BD8" w:rsidRPr="00820FC2" w:rsidRDefault="00D56BD8" w:rsidP="00257E49">
      <w:pPr>
        <w:autoSpaceDE w:val="0"/>
        <w:autoSpaceDN w:val="0"/>
        <w:adjustRightInd w:val="0"/>
        <w:jc w:val="both"/>
      </w:pPr>
    </w:p>
    <w:p w14:paraId="7C9A3B98" w14:textId="77777777" w:rsidR="00D56BD8" w:rsidRPr="00820FC2" w:rsidRDefault="00D56BD8" w:rsidP="00D56BD8">
      <w:pPr>
        <w:autoSpaceDE w:val="0"/>
        <w:autoSpaceDN w:val="0"/>
        <w:adjustRightInd w:val="0"/>
        <w:ind w:left="426" w:hanging="426"/>
        <w:jc w:val="both"/>
      </w:pPr>
      <w:r w:rsidRPr="00820FC2">
        <w:t xml:space="preserve">Fahrurrozi, M. (2015). Pembelajaran Berbasis Budaya: Model Inovasi Pembelajaran dan Implementasi Kurikulum Berbasis Kompetensi. </w:t>
      </w:r>
      <w:r w:rsidRPr="00820FC2">
        <w:rPr>
          <w:i/>
          <w:iCs/>
        </w:rPr>
        <w:t>Prosiding Seminar Nasional Dan Call For Paper Pendidikan Karakter Dalam Pembelajaran Bisnis Dan Manajemen</w:t>
      </w:r>
      <w:r w:rsidRPr="00820FC2">
        <w:t>, 1–11.</w:t>
      </w:r>
    </w:p>
    <w:p w14:paraId="43ED43AF" w14:textId="77777777" w:rsidR="00D56BD8" w:rsidRPr="00820FC2" w:rsidRDefault="00D56BD8" w:rsidP="00D56BD8">
      <w:pPr>
        <w:autoSpaceDE w:val="0"/>
        <w:autoSpaceDN w:val="0"/>
        <w:adjustRightInd w:val="0"/>
        <w:ind w:left="426" w:hanging="426"/>
        <w:jc w:val="both"/>
      </w:pPr>
    </w:p>
    <w:p w14:paraId="004A6805" w14:textId="77777777" w:rsidR="00D56BD8" w:rsidRPr="00820FC2" w:rsidRDefault="00D56BD8" w:rsidP="00D56BD8">
      <w:pPr>
        <w:pStyle w:val="Default"/>
        <w:ind w:left="426" w:hanging="426"/>
        <w:jc w:val="both"/>
        <w:rPr>
          <w:lang w:val="id-ID"/>
        </w:rPr>
      </w:pPr>
      <w:r w:rsidRPr="00820FC2">
        <w:rPr>
          <w:lang w:val="id-ID"/>
        </w:rPr>
        <w:t xml:space="preserve">Fasa, I. L. Pratama, D. Y. Firmansyah, E. (2020). Peningkatan Kemampuan Representasi Matematis dan Kemandirian Belajar Siswa melalui Model Pembelajaran PBL Berbantuan Geogebra. Pasundan Journal of Mathematics Education (PJME). DOI: </w:t>
      </w:r>
      <w:hyperlink r:id="rId19" w:history="1">
        <w:r w:rsidRPr="00820FC2">
          <w:rPr>
            <w:rStyle w:val="Hyperlink"/>
            <w:lang w:val="id-ID"/>
          </w:rPr>
          <w:t>https://doi.org/10.5035/pjme.v10i2.2741</w:t>
        </w:r>
      </w:hyperlink>
    </w:p>
    <w:p w14:paraId="41853A51" w14:textId="77777777" w:rsidR="00D56BD8" w:rsidRPr="00820FC2" w:rsidRDefault="00D56BD8" w:rsidP="00D56BD8">
      <w:pPr>
        <w:pStyle w:val="Default"/>
        <w:ind w:left="426" w:hanging="426"/>
        <w:jc w:val="both"/>
        <w:rPr>
          <w:lang w:val="id-ID"/>
        </w:rPr>
      </w:pPr>
    </w:p>
    <w:p w14:paraId="2F1B1F9A" w14:textId="77777777" w:rsidR="00D56BD8" w:rsidRPr="00820FC2" w:rsidRDefault="00D56BD8" w:rsidP="00D56BD8">
      <w:pPr>
        <w:pStyle w:val="Default"/>
        <w:ind w:left="426" w:hanging="426"/>
        <w:jc w:val="both"/>
        <w:rPr>
          <w:lang w:val="id-ID"/>
        </w:rPr>
      </w:pPr>
      <w:r w:rsidRPr="00820FC2">
        <w:rPr>
          <w:lang w:val="id-ID"/>
        </w:rPr>
        <w:t xml:space="preserve">Firmansyah, E., Sari, N. M., &amp; Mubarika, M. P. (2021). Analisis Instrumen Kemampuan Matematika Siswa dalam Menggunakan Modul Komunikatif. </w:t>
      </w:r>
      <w:r w:rsidRPr="00820FC2">
        <w:rPr>
          <w:i/>
          <w:iCs/>
          <w:lang w:val="id-ID"/>
        </w:rPr>
        <w:t>Pasundan Journal of Mathematics Education</w:t>
      </w:r>
      <w:r w:rsidRPr="00820FC2">
        <w:rPr>
          <w:lang w:val="id-ID"/>
        </w:rPr>
        <w:t xml:space="preserve"> (PJME). 11(2). 52-64.</w:t>
      </w:r>
    </w:p>
    <w:p w14:paraId="3E982792" w14:textId="77777777" w:rsidR="00D56BD8" w:rsidRPr="00820FC2" w:rsidRDefault="00D56BD8" w:rsidP="00D56BD8">
      <w:pPr>
        <w:pStyle w:val="Default"/>
        <w:ind w:left="426" w:hanging="426"/>
        <w:jc w:val="both"/>
        <w:rPr>
          <w:lang w:val="id-ID"/>
        </w:rPr>
      </w:pPr>
    </w:p>
    <w:p w14:paraId="6E32D099" w14:textId="77777777" w:rsidR="00D56BD8" w:rsidRPr="00820FC2" w:rsidRDefault="00D56BD8" w:rsidP="00D56BD8">
      <w:pPr>
        <w:pStyle w:val="Default"/>
        <w:ind w:left="426" w:hanging="426"/>
        <w:jc w:val="both"/>
        <w:rPr>
          <w:lang w:val="id-ID"/>
        </w:rPr>
      </w:pPr>
      <w:r w:rsidRPr="00820FC2">
        <w:rPr>
          <w:lang w:val="id-ID"/>
        </w:rPr>
        <w:t xml:space="preserve">Fitriani, I., Hudiono, B., &amp; Hamdani. (2014). Mengkaji Tahapan </w:t>
      </w:r>
      <w:r w:rsidRPr="00820FC2">
        <w:rPr>
          <w:i/>
          <w:iCs/>
          <w:lang w:val="id-ID"/>
        </w:rPr>
        <w:t>Scaffolding</w:t>
      </w:r>
      <w:r w:rsidRPr="00820FC2">
        <w:rPr>
          <w:lang w:val="id-ID"/>
        </w:rPr>
        <w:t xml:space="preserve"> dalam Pembelajaran Memecahkan Masalah di SMPN 9 Pontianak. </w:t>
      </w:r>
      <w:r w:rsidRPr="00820FC2">
        <w:rPr>
          <w:i/>
          <w:iCs/>
          <w:lang w:val="id-ID"/>
        </w:rPr>
        <w:t>Jurnal Pendidikan Dan Pembelajaran</w:t>
      </w:r>
      <w:r w:rsidRPr="00820FC2">
        <w:rPr>
          <w:lang w:val="id-ID"/>
        </w:rPr>
        <w:t xml:space="preserve">, </w:t>
      </w:r>
      <w:r w:rsidRPr="00820FC2">
        <w:rPr>
          <w:i/>
          <w:iCs/>
          <w:lang w:val="id-ID"/>
        </w:rPr>
        <w:t>3</w:t>
      </w:r>
      <w:r w:rsidRPr="00820FC2">
        <w:rPr>
          <w:lang w:val="id-ID"/>
        </w:rPr>
        <w:t>(2000), 1–12.</w:t>
      </w:r>
    </w:p>
    <w:p w14:paraId="2E795F24" w14:textId="77777777" w:rsidR="00D56BD8" w:rsidRPr="00820FC2" w:rsidRDefault="00D56BD8" w:rsidP="00D56BD8">
      <w:pPr>
        <w:pStyle w:val="Default"/>
        <w:ind w:left="426" w:hanging="426"/>
        <w:jc w:val="both"/>
        <w:rPr>
          <w:lang w:val="id-ID"/>
        </w:rPr>
      </w:pPr>
    </w:p>
    <w:p w14:paraId="0143AEBD" w14:textId="77777777" w:rsidR="00D56BD8" w:rsidRPr="00820FC2" w:rsidRDefault="00D56BD8" w:rsidP="00D56BD8">
      <w:pPr>
        <w:pStyle w:val="Default"/>
        <w:ind w:left="426" w:hanging="426"/>
        <w:jc w:val="both"/>
        <w:rPr>
          <w:lang w:val="id-ID"/>
        </w:rPr>
      </w:pPr>
      <w:r w:rsidRPr="00820FC2">
        <w:rPr>
          <w:lang w:val="id-ID"/>
        </w:rPr>
        <w:t>Fouze, A. Q., &amp; Amit, M. (2018). Development of Mathematical Thinking through Integration of Etnomathematic Folklore Game in Math Instruction. EURASIA Journal of Mathematics, Science and Technology Education, 14(2), 617-630.</w:t>
      </w:r>
    </w:p>
    <w:p w14:paraId="1C934727" w14:textId="77777777" w:rsidR="00D56BD8" w:rsidRPr="00820FC2" w:rsidRDefault="00D56BD8" w:rsidP="00D56BD8">
      <w:pPr>
        <w:pStyle w:val="Default"/>
        <w:ind w:left="426" w:hanging="426"/>
        <w:jc w:val="both"/>
        <w:rPr>
          <w:lang w:val="id-ID"/>
        </w:rPr>
      </w:pPr>
    </w:p>
    <w:p w14:paraId="24240720" w14:textId="77777777" w:rsidR="00D56BD8" w:rsidRPr="00820FC2" w:rsidRDefault="00D56BD8" w:rsidP="00D56BD8">
      <w:pPr>
        <w:autoSpaceDE w:val="0"/>
        <w:autoSpaceDN w:val="0"/>
        <w:adjustRightInd w:val="0"/>
        <w:ind w:left="426" w:hanging="426"/>
        <w:jc w:val="both"/>
      </w:pPr>
      <w:r w:rsidRPr="00820FC2">
        <w:t xml:space="preserve">Handoko, H. &amp; Winarno. (2019). Pengembangan Perangkat Pembelajaran Matematika Melalui Pendekatan </w:t>
      </w:r>
      <w:r w:rsidRPr="00820FC2">
        <w:rPr>
          <w:i/>
          <w:iCs/>
        </w:rPr>
        <w:t>Scaffolding</w:t>
      </w:r>
      <w:r w:rsidRPr="00820FC2">
        <w:t xml:space="preserve"> Berbasis Karakter. Mosharafa: Jurnal Pendidikan Matematika. 8(3).</w:t>
      </w:r>
    </w:p>
    <w:p w14:paraId="153229B9" w14:textId="77777777" w:rsidR="00D56BD8" w:rsidRPr="00820FC2" w:rsidRDefault="00D56BD8" w:rsidP="00D56BD8">
      <w:pPr>
        <w:autoSpaceDE w:val="0"/>
        <w:autoSpaceDN w:val="0"/>
        <w:adjustRightInd w:val="0"/>
        <w:ind w:left="426" w:hanging="426"/>
        <w:jc w:val="both"/>
      </w:pPr>
    </w:p>
    <w:p w14:paraId="4077628B" w14:textId="77777777" w:rsidR="00D56BD8" w:rsidRPr="00820FC2" w:rsidRDefault="00D56BD8" w:rsidP="00D56BD8">
      <w:pPr>
        <w:autoSpaceDE w:val="0"/>
        <w:autoSpaceDN w:val="0"/>
        <w:adjustRightInd w:val="0"/>
        <w:ind w:left="426" w:hanging="426"/>
        <w:jc w:val="both"/>
      </w:pPr>
      <w:r w:rsidRPr="00820FC2">
        <w:t>Hanun, F. (2013). "Pengaruh Metode Pembelajaran terhadap dan Kemampuan Awal Matematika terhadap Hasil Belajar". Jurnal Study EKsprimen , 123-125.</w:t>
      </w:r>
    </w:p>
    <w:p w14:paraId="3F0C3B26" w14:textId="77777777" w:rsidR="00D56BD8" w:rsidRPr="00820FC2" w:rsidRDefault="00D56BD8" w:rsidP="00D56BD8">
      <w:pPr>
        <w:autoSpaceDE w:val="0"/>
        <w:autoSpaceDN w:val="0"/>
        <w:adjustRightInd w:val="0"/>
        <w:ind w:left="426" w:hanging="426"/>
        <w:jc w:val="both"/>
      </w:pPr>
    </w:p>
    <w:p w14:paraId="5345F3AD" w14:textId="77777777" w:rsidR="00D56BD8" w:rsidRPr="00820FC2" w:rsidRDefault="00D56BD8" w:rsidP="00D56BD8">
      <w:pPr>
        <w:pStyle w:val="Default"/>
        <w:rPr>
          <w:lang w:val="id-ID"/>
        </w:rPr>
      </w:pPr>
      <w:r w:rsidRPr="00820FC2">
        <w:rPr>
          <w:lang w:val="id-ID"/>
        </w:rPr>
        <w:t xml:space="preserve">Hartman, H. 2002. Instructional </w:t>
      </w:r>
      <w:r w:rsidRPr="00820FC2">
        <w:rPr>
          <w:i/>
          <w:iCs/>
          <w:lang w:val="id-ID"/>
        </w:rPr>
        <w:t>Scaffolding</w:t>
      </w:r>
      <w:r w:rsidRPr="00820FC2">
        <w:rPr>
          <w:lang w:val="id-ID"/>
        </w:rPr>
        <w:t>: A Teaching Strategy. [Online].</w:t>
      </w:r>
    </w:p>
    <w:p w14:paraId="3DA209A4" w14:textId="77777777" w:rsidR="00D56BD8" w:rsidRPr="00820FC2" w:rsidRDefault="00D56BD8" w:rsidP="00D56BD8">
      <w:pPr>
        <w:autoSpaceDE w:val="0"/>
        <w:autoSpaceDN w:val="0"/>
        <w:adjustRightInd w:val="0"/>
        <w:ind w:left="426" w:hanging="426"/>
        <w:jc w:val="both"/>
      </w:pPr>
    </w:p>
    <w:p w14:paraId="7B001516" w14:textId="5FBD2DAF" w:rsidR="00D56BD8" w:rsidRPr="00820FC2" w:rsidRDefault="00D56BD8" w:rsidP="00D56BD8">
      <w:pPr>
        <w:autoSpaceDE w:val="0"/>
        <w:autoSpaceDN w:val="0"/>
        <w:adjustRightInd w:val="0"/>
        <w:ind w:left="426" w:hanging="426"/>
        <w:jc w:val="both"/>
      </w:pPr>
      <w:r w:rsidRPr="00820FC2">
        <w:t>Indrawan, R</w:t>
      </w:r>
      <w:r w:rsidR="00257E49">
        <w:t xml:space="preserve"> &amp;</w:t>
      </w:r>
      <w:r w:rsidRPr="00820FC2">
        <w:t xml:space="preserve"> Yaniawati, P. (2017). Metodologi Penelitian. PT Refika Aditama. Bandung.</w:t>
      </w:r>
    </w:p>
    <w:p w14:paraId="4D35DD76" w14:textId="77777777" w:rsidR="00D56BD8" w:rsidRPr="00820FC2" w:rsidRDefault="00D56BD8" w:rsidP="00D56BD8">
      <w:pPr>
        <w:autoSpaceDE w:val="0"/>
        <w:autoSpaceDN w:val="0"/>
        <w:adjustRightInd w:val="0"/>
        <w:ind w:left="426" w:hanging="426"/>
        <w:jc w:val="both"/>
      </w:pPr>
    </w:p>
    <w:p w14:paraId="267DC412" w14:textId="77777777" w:rsidR="00D56BD8" w:rsidRPr="00820FC2" w:rsidRDefault="00D56BD8" w:rsidP="00D56BD8">
      <w:pPr>
        <w:autoSpaceDE w:val="0"/>
        <w:autoSpaceDN w:val="0"/>
        <w:adjustRightInd w:val="0"/>
        <w:ind w:left="426" w:hanging="426"/>
        <w:jc w:val="both"/>
      </w:pPr>
      <w:r w:rsidRPr="00820FC2">
        <w:t xml:space="preserve">Ilma, R., &amp; Putri, I. (2020). Etnomatematika : Pengenalan Bangun Datar Melalui Konteks Museum Negeri Sumatera Selatan Balaputera Dewa. </w:t>
      </w:r>
      <w:r w:rsidRPr="00820FC2">
        <w:rPr>
          <w:i/>
          <w:iCs/>
        </w:rPr>
        <w:t>Mosharafa: Jurnal Pendidikan Matematika</w:t>
      </w:r>
      <w:r w:rsidRPr="00820FC2">
        <w:t xml:space="preserve">, </w:t>
      </w:r>
      <w:r w:rsidRPr="00820FC2">
        <w:rPr>
          <w:i/>
          <w:iCs/>
        </w:rPr>
        <w:t>9</w:t>
      </w:r>
      <w:r w:rsidRPr="00820FC2">
        <w:t>(September), 359–370.</w:t>
      </w:r>
    </w:p>
    <w:p w14:paraId="41D7B5F7" w14:textId="77777777" w:rsidR="00D56BD8" w:rsidRPr="00820FC2" w:rsidRDefault="00D56BD8" w:rsidP="00D56BD8">
      <w:pPr>
        <w:autoSpaceDE w:val="0"/>
        <w:autoSpaceDN w:val="0"/>
        <w:adjustRightInd w:val="0"/>
        <w:ind w:left="426" w:hanging="426"/>
        <w:jc w:val="both"/>
      </w:pPr>
    </w:p>
    <w:p w14:paraId="0B6C8CE4" w14:textId="77777777" w:rsidR="00D56BD8" w:rsidRPr="00820FC2" w:rsidRDefault="00D56BD8" w:rsidP="00D56BD8">
      <w:pPr>
        <w:autoSpaceDE w:val="0"/>
        <w:autoSpaceDN w:val="0"/>
        <w:adjustRightInd w:val="0"/>
        <w:ind w:left="426" w:hanging="426"/>
        <w:jc w:val="both"/>
      </w:pPr>
      <w:r w:rsidRPr="00820FC2">
        <w:t xml:space="preserve">Jayanti, R. D., Sowiyah, S. &amp; Siswantoro, S. (2020). Hubungan metode </w:t>
      </w:r>
      <w:r w:rsidRPr="00820FC2">
        <w:rPr>
          <w:i/>
          <w:iCs/>
        </w:rPr>
        <w:t>Scaffolding</w:t>
      </w:r>
      <w:r w:rsidRPr="00820FC2">
        <w:t xml:space="preserve"> dengan kemandirian Anak Berkebutuhan Khusus SD Negeri Penyelenggara Pendidikan Inklusif. JMMP: Jurnal Manajemen Mutu Pendidikan. 8(2). </w:t>
      </w:r>
      <w:r w:rsidRPr="00820FC2">
        <w:rPr>
          <w:color w:val="333333"/>
          <w:shd w:val="clear" w:color="auto" w:fill="FFFFFF"/>
        </w:rPr>
        <w:t>DOI : </w:t>
      </w:r>
      <w:hyperlink r:id="rId20" w:history="1">
        <w:r w:rsidRPr="00820FC2">
          <w:rPr>
            <w:rStyle w:val="Hyperlink"/>
            <w:color w:val="000000"/>
            <w:shd w:val="clear" w:color="auto" w:fill="FFFFFF"/>
          </w:rPr>
          <w:t>http://dx.doi.org/10.23960/jmmp.v8.i2.202005</w:t>
        </w:r>
      </w:hyperlink>
      <w:r w:rsidRPr="00820FC2">
        <w:t xml:space="preserve"> </w:t>
      </w:r>
    </w:p>
    <w:p w14:paraId="5E65B73B" w14:textId="77777777" w:rsidR="00D56BD8" w:rsidRPr="00820FC2" w:rsidRDefault="00D56BD8" w:rsidP="00D56BD8">
      <w:pPr>
        <w:autoSpaceDE w:val="0"/>
        <w:autoSpaceDN w:val="0"/>
        <w:adjustRightInd w:val="0"/>
        <w:ind w:left="426" w:hanging="426"/>
        <w:jc w:val="both"/>
      </w:pPr>
    </w:p>
    <w:p w14:paraId="7F33394E" w14:textId="77777777" w:rsidR="00D56BD8" w:rsidRPr="00820FC2" w:rsidRDefault="00D56BD8" w:rsidP="00D56BD8">
      <w:pPr>
        <w:autoSpaceDE w:val="0"/>
        <w:autoSpaceDN w:val="0"/>
        <w:adjustRightInd w:val="0"/>
        <w:ind w:left="426" w:hanging="426"/>
        <w:jc w:val="both"/>
      </w:pPr>
      <w:r w:rsidRPr="00820FC2">
        <w:t>Jihad, A &amp; Haris, A. (2012). Evaluasi Pembelajaran. Yogyakarta: Multi Presindo.</w:t>
      </w:r>
    </w:p>
    <w:p w14:paraId="6B2A7499" w14:textId="77777777" w:rsidR="00D56BD8" w:rsidRPr="00820FC2" w:rsidRDefault="00D56BD8" w:rsidP="00D56BD8">
      <w:pPr>
        <w:autoSpaceDE w:val="0"/>
        <w:autoSpaceDN w:val="0"/>
        <w:adjustRightInd w:val="0"/>
        <w:ind w:left="426" w:hanging="426"/>
        <w:jc w:val="both"/>
      </w:pPr>
    </w:p>
    <w:p w14:paraId="56C7F6CF" w14:textId="77777777" w:rsidR="00D56BD8" w:rsidRPr="00820FC2" w:rsidRDefault="00D56BD8" w:rsidP="00D56BD8">
      <w:pPr>
        <w:autoSpaceDE w:val="0"/>
        <w:autoSpaceDN w:val="0"/>
        <w:adjustRightInd w:val="0"/>
        <w:ind w:left="426" w:hanging="426"/>
        <w:jc w:val="both"/>
      </w:pPr>
      <w:r w:rsidRPr="00820FC2">
        <w:lastRenderedPageBreak/>
        <w:t xml:space="preserve">Jones, Thornton, Langrall &amp; Mooney. (2000). “A Framework for Characterizing Children’s Statistical Thinking”. </w:t>
      </w:r>
      <w:r w:rsidRPr="00820FC2">
        <w:rPr>
          <w:i/>
          <w:iCs/>
        </w:rPr>
        <w:t xml:space="preserve">Mathematical Thinking and Learning, 2(4), 269–307 </w:t>
      </w:r>
      <w:r w:rsidRPr="00820FC2">
        <w:t>Copyright ©2000, Lawrence Erlbaum</w:t>
      </w:r>
      <w:r w:rsidRPr="00820FC2">
        <w:rPr>
          <w:i/>
          <w:iCs/>
        </w:rPr>
        <w:t xml:space="preserve"> </w:t>
      </w:r>
      <w:r w:rsidRPr="00820FC2">
        <w:t>Associates, Inc.</w:t>
      </w:r>
    </w:p>
    <w:p w14:paraId="50544C53" w14:textId="77777777" w:rsidR="00D56BD8" w:rsidRPr="00820FC2" w:rsidRDefault="00D56BD8" w:rsidP="00D56BD8">
      <w:pPr>
        <w:autoSpaceDE w:val="0"/>
        <w:autoSpaceDN w:val="0"/>
        <w:adjustRightInd w:val="0"/>
        <w:ind w:left="426" w:hanging="426"/>
        <w:jc w:val="both"/>
      </w:pPr>
    </w:p>
    <w:p w14:paraId="1F902629" w14:textId="005FAA65" w:rsidR="00D56BD8" w:rsidRPr="00820FC2" w:rsidRDefault="00293930" w:rsidP="00D56BD8">
      <w:pPr>
        <w:autoSpaceDE w:val="0"/>
        <w:autoSpaceDN w:val="0"/>
        <w:adjustRightInd w:val="0"/>
        <w:ind w:left="426" w:hanging="426"/>
        <w:jc w:val="both"/>
        <w:rPr>
          <w:rStyle w:val="Hyperlink"/>
        </w:rPr>
      </w:pPr>
      <w:r>
        <w:t>www                                                                                                                                                  l</w:t>
      </w:r>
      <w:r w:rsidR="00D56BD8" w:rsidRPr="00820FC2">
        <w:t xml:space="preserve">Kuntze, S., Aizikovitsh-Udi, E., &amp; Clarke, D. (2017). Hybrid task design: connecting learning opportunities related to critical thinking and statistical thinking. </w:t>
      </w:r>
      <w:r w:rsidR="00D56BD8" w:rsidRPr="00820FC2">
        <w:rPr>
          <w:i/>
          <w:iCs/>
        </w:rPr>
        <w:t>ZDM - Mathematics Education</w:t>
      </w:r>
      <w:r w:rsidR="00D56BD8" w:rsidRPr="00820FC2">
        <w:t xml:space="preserve">, 49(6), 923–935. </w:t>
      </w:r>
      <w:hyperlink r:id="rId21" w:history="1">
        <w:r w:rsidR="00D56BD8" w:rsidRPr="00820FC2">
          <w:rPr>
            <w:rStyle w:val="Hyperlink"/>
          </w:rPr>
          <w:t>https://doi.org/10.1007/s11858-017-0874-4</w:t>
        </w:r>
      </w:hyperlink>
    </w:p>
    <w:p w14:paraId="7814C922" w14:textId="77777777" w:rsidR="00D56BD8" w:rsidRPr="00820FC2" w:rsidRDefault="00D56BD8" w:rsidP="00D56BD8">
      <w:pPr>
        <w:autoSpaceDE w:val="0"/>
        <w:autoSpaceDN w:val="0"/>
        <w:adjustRightInd w:val="0"/>
        <w:ind w:left="426" w:hanging="426"/>
        <w:jc w:val="both"/>
        <w:rPr>
          <w:rStyle w:val="Hyperlink"/>
        </w:rPr>
      </w:pPr>
    </w:p>
    <w:p w14:paraId="5F32D147" w14:textId="77777777" w:rsidR="00D56BD8" w:rsidRPr="00293930" w:rsidRDefault="00D56BD8" w:rsidP="00D56BD8">
      <w:pPr>
        <w:autoSpaceDE w:val="0"/>
        <w:autoSpaceDN w:val="0"/>
        <w:adjustRightInd w:val="0"/>
        <w:ind w:left="426" w:hanging="426"/>
        <w:jc w:val="both"/>
        <w:rPr>
          <w:rStyle w:val="Hyperlink"/>
          <w:color w:val="auto"/>
        </w:rPr>
      </w:pPr>
      <w:r w:rsidRPr="00293930">
        <w:rPr>
          <w:rStyle w:val="Hyperlink"/>
          <w:color w:val="auto"/>
          <w:u w:val="none"/>
        </w:rPr>
        <w:t>Lidinillah, D. A. M., Rahman, Wahyudin, &amp; Aryanto, S. (2022). Integrating Sundanese Ethnomathematics Into Mathematics Curriculum And Teaching: A Systematic Review From 2013 To 2020. Infinity, 11(1), 33–54</w:t>
      </w:r>
      <w:r w:rsidRPr="00293930">
        <w:rPr>
          <w:rStyle w:val="Hyperlink"/>
          <w:color w:val="auto"/>
        </w:rPr>
        <w:t>.</w:t>
      </w:r>
    </w:p>
    <w:p w14:paraId="3B938A41" w14:textId="77777777" w:rsidR="00D56BD8" w:rsidRPr="00293930" w:rsidRDefault="00D56BD8" w:rsidP="00D56BD8">
      <w:pPr>
        <w:autoSpaceDE w:val="0"/>
        <w:autoSpaceDN w:val="0"/>
        <w:adjustRightInd w:val="0"/>
        <w:ind w:left="426" w:hanging="426"/>
        <w:jc w:val="both"/>
        <w:rPr>
          <w:rStyle w:val="Hyperlink"/>
          <w:color w:val="auto"/>
        </w:rPr>
      </w:pPr>
    </w:p>
    <w:p w14:paraId="262BA3F3" w14:textId="77777777" w:rsidR="00D56BD8" w:rsidRPr="00293930" w:rsidRDefault="00D56BD8" w:rsidP="00D56BD8">
      <w:pPr>
        <w:autoSpaceDE w:val="0"/>
        <w:autoSpaceDN w:val="0"/>
        <w:adjustRightInd w:val="0"/>
        <w:ind w:left="426" w:hanging="426"/>
        <w:jc w:val="both"/>
        <w:rPr>
          <w:rStyle w:val="Hyperlink"/>
          <w:color w:val="auto"/>
        </w:rPr>
      </w:pPr>
      <w:r w:rsidRPr="00293930">
        <w:rPr>
          <w:rStyle w:val="Hyperlink"/>
          <w:color w:val="auto"/>
        </w:rPr>
        <w:t>Majid, A., (2013). Strategi Pembelajaran. Bandung:PT Remaja Rosdakarya</w:t>
      </w:r>
    </w:p>
    <w:p w14:paraId="733D6DED" w14:textId="77777777" w:rsidR="00D56BD8" w:rsidRPr="00293930" w:rsidRDefault="00D56BD8" w:rsidP="00D56BD8">
      <w:pPr>
        <w:autoSpaceDE w:val="0"/>
        <w:autoSpaceDN w:val="0"/>
        <w:adjustRightInd w:val="0"/>
        <w:ind w:left="426" w:hanging="426"/>
        <w:jc w:val="both"/>
        <w:rPr>
          <w:rStyle w:val="Hyperlink"/>
          <w:color w:val="auto"/>
        </w:rPr>
      </w:pPr>
    </w:p>
    <w:p w14:paraId="16AF1656" w14:textId="77777777" w:rsidR="00D56BD8" w:rsidRPr="00820FC2" w:rsidRDefault="00D56BD8" w:rsidP="00D56BD8">
      <w:pPr>
        <w:ind w:left="426"/>
      </w:pPr>
      <w:bookmarkStart w:id="1" w:name="_Toc178789859"/>
      <w:r w:rsidRPr="00820FC2">
        <w:rPr>
          <w:rStyle w:val="Hyperlink"/>
        </w:rPr>
        <w:t xml:space="preserve">Mansyur, M. Z., &amp; Nugraha, D. A. (2021). </w:t>
      </w:r>
      <w:r w:rsidRPr="00820FC2">
        <w:t xml:space="preserve">Pembelajaran Metacognitive Scaffolding Sebagai Upaya Meningkatkan Kemampuan Berpikir Kritis Matematis Siswa SMP Dalam Memecahkan Masalah. Jurnal Lebesgue. 2(2). DOI: </w:t>
      </w:r>
      <w:hyperlink r:id="rId22" w:history="1">
        <w:r w:rsidRPr="00820FC2">
          <w:rPr>
            <w:rStyle w:val="Hyperlink"/>
          </w:rPr>
          <w:t>https://doi.org/10.46306/lb.v2i2.81</w:t>
        </w:r>
        <w:bookmarkEnd w:id="1"/>
      </w:hyperlink>
    </w:p>
    <w:p w14:paraId="55F890D2" w14:textId="77777777" w:rsidR="00D56BD8" w:rsidRPr="00820FC2" w:rsidRDefault="00D56BD8" w:rsidP="00D56BD8">
      <w:pPr>
        <w:autoSpaceDE w:val="0"/>
        <w:autoSpaceDN w:val="0"/>
        <w:adjustRightInd w:val="0"/>
        <w:jc w:val="both"/>
        <w:rPr>
          <w:color w:val="0000FF"/>
        </w:rPr>
      </w:pPr>
    </w:p>
    <w:p w14:paraId="3BD8AF3E" w14:textId="77777777" w:rsidR="00D56BD8" w:rsidRPr="00820FC2" w:rsidRDefault="00D56BD8" w:rsidP="00D56BD8">
      <w:pPr>
        <w:autoSpaceDE w:val="0"/>
        <w:autoSpaceDN w:val="0"/>
        <w:adjustRightInd w:val="0"/>
        <w:ind w:left="426" w:hanging="426"/>
        <w:jc w:val="both"/>
      </w:pPr>
      <w:r w:rsidRPr="00820FC2">
        <w:t>Martadipura, B. A. (2010). Kajian Tentang Kemampuan Melek Statistis (Statistical Literacy), Penalaran Statistis (Statistical Reasoning), dan Berpikir Statistis (Statistical Thinking) Guru SMP/SMA”. Jurnal Saung Guru: Universitas Pendidikan Indonesia, (10), 1-7.</w:t>
      </w:r>
    </w:p>
    <w:p w14:paraId="02C7A708" w14:textId="77777777" w:rsidR="00D56BD8" w:rsidRPr="00820FC2" w:rsidRDefault="00D56BD8" w:rsidP="00D56BD8">
      <w:pPr>
        <w:autoSpaceDE w:val="0"/>
        <w:autoSpaceDN w:val="0"/>
        <w:adjustRightInd w:val="0"/>
        <w:jc w:val="both"/>
        <w:rPr>
          <w:color w:val="0000FF"/>
        </w:rPr>
      </w:pPr>
    </w:p>
    <w:p w14:paraId="405F98A6" w14:textId="77777777" w:rsidR="00D56BD8" w:rsidRPr="00820FC2" w:rsidRDefault="00D56BD8" w:rsidP="00D56BD8">
      <w:pPr>
        <w:autoSpaceDE w:val="0"/>
        <w:autoSpaceDN w:val="0"/>
        <w:adjustRightInd w:val="0"/>
        <w:ind w:left="426" w:hanging="426"/>
        <w:jc w:val="both"/>
      </w:pPr>
      <w:r w:rsidRPr="00820FC2">
        <w:t xml:space="preserve">Maryati, I. (2017). Peningkatan kemampuan penalaran statistis siswa Sekolah Menengah Pertama melalui pembelajaran kontekstual. </w:t>
      </w:r>
      <w:r w:rsidRPr="00820FC2">
        <w:rPr>
          <w:i/>
          <w:iCs/>
        </w:rPr>
        <w:t>Mosharafa: Jurnal Pendidikan Matematika</w:t>
      </w:r>
      <w:r w:rsidRPr="00820FC2">
        <w:t xml:space="preserve">, </w:t>
      </w:r>
      <w:r w:rsidRPr="00820FC2">
        <w:rPr>
          <w:i/>
          <w:iCs/>
        </w:rPr>
        <w:t>6</w:t>
      </w:r>
      <w:r w:rsidRPr="00820FC2">
        <w:t>(1), 129-140.</w:t>
      </w:r>
    </w:p>
    <w:p w14:paraId="2E7001BC" w14:textId="77777777" w:rsidR="00D56BD8" w:rsidRPr="00820FC2" w:rsidRDefault="00D56BD8" w:rsidP="00D56BD8">
      <w:pPr>
        <w:autoSpaceDE w:val="0"/>
        <w:autoSpaceDN w:val="0"/>
        <w:adjustRightInd w:val="0"/>
        <w:ind w:left="426" w:hanging="426"/>
        <w:jc w:val="both"/>
      </w:pPr>
    </w:p>
    <w:p w14:paraId="19FF4338" w14:textId="77777777" w:rsidR="00D56BD8" w:rsidRPr="00820FC2" w:rsidRDefault="00D56BD8" w:rsidP="00D56BD8">
      <w:pPr>
        <w:autoSpaceDE w:val="0"/>
        <w:autoSpaceDN w:val="0"/>
        <w:adjustRightInd w:val="0"/>
        <w:ind w:left="426" w:hanging="426"/>
        <w:jc w:val="both"/>
      </w:pPr>
      <w:r w:rsidRPr="00820FC2">
        <w:t xml:space="preserve">Moore, D. S. (1997). New pedagogy and new content: The case of statistics. </w:t>
      </w:r>
      <w:r w:rsidRPr="00820FC2">
        <w:rPr>
          <w:i/>
          <w:iCs/>
        </w:rPr>
        <w:t>International Statistics Review</w:t>
      </w:r>
      <w:r w:rsidRPr="00820FC2">
        <w:t>, 65(2), 123-165.</w:t>
      </w:r>
    </w:p>
    <w:p w14:paraId="70C27E7A" w14:textId="77777777" w:rsidR="00D56BD8" w:rsidRPr="00820FC2" w:rsidRDefault="00D56BD8" w:rsidP="00D56BD8">
      <w:pPr>
        <w:autoSpaceDE w:val="0"/>
        <w:autoSpaceDN w:val="0"/>
        <w:adjustRightInd w:val="0"/>
        <w:ind w:left="426" w:hanging="426"/>
        <w:jc w:val="both"/>
      </w:pPr>
    </w:p>
    <w:p w14:paraId="707B04EE" w14:textId="77777777" w:rsidR="00D56BD8" w:rsidRPr="00820FC2" w:rsidRDefault="00D56BD8" w:rsidP="00D56BD8">
      <w:pPr>
        <w:autoSpaceDE w:val="0"/>
        <w:autoSpaceDN w:val="0"/>
        <w:adjustRightInd w:val="0"/>
        <w:ind w:left="426" w:hanging="426"/>
        <w:jc w:val="both"/>
      </w:pPr>
      <w:r w:rsidRPr="00820FC2">
        <w:t xml:space="preserve">Mulyaningsih, I, E (2014). Pengaruh Interaksi Sosial Keluarga, Motivasi Belajar, Dan Kemandirian Belajar Terhadap Prestasi Belajar. Jurnal Pendidikan dan Kebudayaan. 20(4). DOI: </w:t>
      </w:r>
      <w:hyperlink r:id="rId23" w:history="1">
        <w:r w:rsidRPr="00820FC2">
          <w:rPr>
            <w:rStyle w:val="Hyperlink"/>
            <w:shd w:val="clear" w:color="auto" w:fill="FAFAFA"/>
          </w:rPr>
          <w:t>https://doi.org/10.24832/jpnk.v20i4.156</w:t>
        </w:r>
      </w:hyperlink>
      <w:r w:rsidRPr="00820FC2">
        <w:t>.</w:t>
      </w:r>
    </w:p>
    <w:p w14:paraId="3A790CFB" w14:textId="77777777" w:rsidR="00D56BD8" w:rsidRPr="00820FC2" w:rsidRDefault="00D56BD8" w:rsidP="00D56BD8">
      <w:pPr>
        <w:autoSpaceDE w:val="0"/>
        <w:autoSpaceDN w:val="0"/>
        <w:adjustRightInd w:val="0"/>
        <w:ind w:left="426" w:hanging="426"/>
        <w:jc w:val="both"/>
      </w:pPr>
    </w:p>
    <w:p w14:paraId="50F3D006" w14:textId="77777777" w:rsidR="00D56BD8" w:rsidRPr="00820FC2" w:rsidRDefault="00D56BD8" w:rsidP="00D56BD8">
      <w:pPr>
        <w:autoSpaceDE w:val="0"/>
        <w:autoSpaceDN w:val="0"/>
        <w:adjustRightInd w:val="0"/>
        <w:ind w:left="426" w:hanging="426"/>
        <w:jc w:val="both"/>
      </w:pPr>
      <w:r w:rsidRPr="00820FC2">
        <w:t xml:space="preserve">Murod, R. R. (2018). Peningkatan Kemampuan Literasi, Penalaran, dan Berpikir Statistis Siswa SMA dengan Pembelajaran </w:t>
      </w:r>
      <w:r w:rsidRPr="00820FC2">
        <w:rPr>
          <w:i/>
          <w:iCs/>
        </w:rPr>
        <w:t>Scaffolding</w:t>
      </w:r>
      <w:r w:rsidRPr="00820FC2">
        <w:t>. Perpustakaan UPI. Tidak Diterbitkan.</w:t>
      </w:r>
    </w:p>
    <w:p w14:paraId="34806407" w14:textId="77777777" w:rsidR="00D56BD8" w:rsidRPr="00820FC2" w:rsidRDefault="00D56BD8" w:rsidP="00D56BD8">
      <w:pPr>
        <w:autoSpaceDE w:val="0"/>
        <w:autoSpaceDN w:val="0"/>
        <w:adjustRightInd w:val="0"/>
        <w:ind w:left="426" w:hanging="426"/>
        <w:jc w:val="both"/>
      </w:pPr>
    </w:p>
    <w:p w14:paraId="3C8A1EF5" w14:textId="77777777" w:rsidR="00D56BD8" w:rsidRPr="00820FC2" w:rsidRDefault="00D56BD8" w:rsidP="00D56BD8">
      <w:pPr>
        <w:autoSpaceDE w:val="0"/>
        <w:autoSpaceDN w:val="0"/>
        <w:adjustRightInd w:val="0"/>
        <w:ind w:left="426" w:hanging="426"/>
        <w:jc w:val="both"/>
      </w:pPr>
      <w:r w:rsidRPr="00820FC2">
        <w:t xml:space="preserve">Mustofa, H., Jazeri, M., &amp; Mu`anawah, E. (2021). Strategi Pembelajaran </w:t>
      </w:r>
      <w:r w:rsidRPr="00820FC2">
        <w:rPr>
          <w:i/>
          <w:iCs/>
        </w:rPr>
        <w:t>Scaffolding</w:t>
      </w:r>
      <w:r w:rsidRPr="00820FC2">
        <w:t xml:space="preserve"> Dalam Membentuk Kemandirian Belajar Siswa. </w:t>
      </w:r>
      <w:r w:rsidRPr="00820FC2">
        <w:rPr>
          <w:i/>
          <w:iCs/>
        </w:rPr>
        <w:t>Jurnal AL FATIH</w:t>
      </w:r>
      <w:r w:rsidRPr="00820FC2">
        <w:t xml:space="preserve">, </w:t>
      </w:r>
      <w:r w:rsidRPr="00820FC2">
        <w:rPr>
          <w:i/>
          <w:iCs/>
        </w:rPr>
        <w:t>1</w:t>
      </w:r>
      <w:r w:rsidRPr="00820FC2">
        <w:t xml:space="preserve">(1), 42–52. </w:t>
      </w:r>
      <w:hyperlink r:id="rId24" w:history="1">
        <w:r w:rsidRPr="00820FC2">
          <w:rPr>
            <w:rStyle w:val="Hyperlink"/>
          </w:rPr>
          <w:t>https://journal.an-nur.ac.id/index.php/ALF</w:t>
        </w:r>
      </w:hyperlink>
      <w:r w:rsidRPr="00820FC2">
        <w:t xml:space="preserve"> </w:t>
      </w:r>
    </w:p>
    <w:p w14:paraId="19D2829C" w14:textId="77777777" w:rsidR="00D56BD8" w:rsidRPr="00820FC2" w:rsidRDefault="00D56BD8" w:rsidP="00D56BD8">
      <w:pPr>
        <w:autoSpaceDE w:val="0"/>
        <w:autoSpaceDN w:val="0"/>
        <w:adjustRightInd w:val="0"/>
        <w:ind w:left="426" w:hanging="426"/>
        <w:jc w:val="both"/>
      </w:pPr>
    </w:p>
    <w:p w14:paraId="3BE959D6" w14:textId="77777777" w:rsidR="00D56BD8" w:rsidRPr="00820FC2" w:rsidRDefault="00D56BD8" w:rsidP="00D56BD8">
      <w:pPr>
        <w:autoSpaceDE w:val="0"/>
        <w:autoSpaceDN w:val="0"/>
        <w:adjustRightInd w:val="0"/>
        <w:ind w:left="426" w:hanging="426"/>
        <w:jc w:val="both"/>
      </w:pPr>
      <w:r w:rsidRPr="00820FC2">
        <w:t>Ndraha, S. &amp; Hidayat. (2021). Pengembangan Media Pembelajaran Geometri Berbasis Geogebra pada Tingkat Sekolah Menengah Pertama. Jurnal ilmiah Pendidikan Matematika. 8(2) 399-408.</w:t>
      </w:r>
    </w:p>
    <w:p w14:paraId="0228454E" w14:textId="77777777" w:rsidR="00D56BD8" w:rsidRPr="00820FC2" w:rsidRDefault="00D56BD8" w:rsidP="00D56BD8">
      <w:pPr>
        <w:autoSpaceDE w:val="0"/>
        <w:autoSpaceDN w:val="0"/>
        <w:adjustRightInd w:val="0"/>
        <w:ind w:left="426" w:hanging="426"/>
        <w:jc w:val="both"/>
      </w:pPr>
    </w:p>
    <w:p w14:paraId="5A01BA49" w14:textId="77777777" w:rsidR="00D56BD8" w:rsidRPr="00820FC2" w:rsidRDefault="00D56BD8" w:rsidP="00D56BD8">
      <w:pPr>
        <w:autoSpaceDE w:val="0"/>
        <w:autoSpaceDN w:val="0"/>
        <w:adjustRightInd w:val="0"/>
        <w:ind w:left="426" w:hanging="426"/>
        <w:jc w:val="both"/>
      </w:pPr>
      <w:r w:rsidRPr="00820FC2">
        <w:t xml:space="preserve">Nurhayati, E. (2011). </w:t>
      </w:r>
      <w:r w:rsidRPr="00820FC2">
        <w:rPr>
          <w:i/>
          <w:iCs/>
        </w:rPr>
        <w:t xml:space="preserve">Psikologi pendidikan inovatif. </w:t>
      </w:r>
      <w:r w:rsidRPr="00820FC2">
        <w:t>Yogyakarta: Pustaka Belajar.</w:t>
      </w:r>
    </w:p>
    <w:p w14:paraId="0F54740A" w14:textId="77777777" w:rsidR="00D56BD8" w:rsidRPr="00820FC2" w:rsidRDefault="00D56BD8" w:rsidP="00D56BD8">
      <w:pPr>
        <w:autoSpaceDE w:val="0"/>
        <w:autoSpaceDN w:val="0"/>
        <w:adjustRightInd w:val="0"/>
        <w:ind w:left="426" w:hanging="426"/>
        <w:jc w:val="both"/>
      </w:pPr>
    </w:p>
    <w:p w14:paraId="35F45E3A" w14:textId="77777777" w:rsidR="00D56BD8" w:rsidRPr="00820FC2" w:rsidRDefault="00D56BD8" w:rsidP="00D56BD8">
      <w:pPr>
        <w:autoSpaceDE w:val="0"/>
        <w:autoSpaceDN w:val="0"/>
        <w:adjustRightInd w:val="0"/>
        <w:ind w:left="426" w:hanging="426"/>
        <w:jc w:val="both"/>
        <w:rPr>
          <w:color w:val="0000FF"/>
        </w:rPr>
      </w:pPr>
      <w:r w:rsidRPr="00820FC2">
        <w:t xml:space="preserve">Nurhayati, E. (2017). Penerapan </w:t>
      </w:r>
      <w:r w:rsidRPr="00820FC2">
        <w:rPr>
          <w:i/>
          <w:iCs/>
        </w:rPr>
        <w:t>Scaffolding</w:t>
      </w:r>
      <w:r w:rsidRPr="00820FC2">
        <w:t xml:space="preserve"> Untuk Pencapaian Kemandirian Belajar Siswa. JPEM: Jurnal Penelitian dan Pendidikan Matematika. 3(1). DOI: </w:t>
      </w:r>
      <w:hyperlink r:id="rId25" w:history="1">
        <w:r w:rsidRPr="00820FC2">
          <w:rPr>
            <w:rStyle w:val="Hyperlink"/>
            <w:shd w:val="clear" w:color="auto" w:fill="FFFFFF"/>
          </w:rPr>
          <w:t>https://doi.org/10.37058/jp3m.v3i1.197</w:t>
        </w:r>
      </w:hyperlink>
      <w:r w:rsidRPr="00820FC2">
        <w:rPr>
          <w:color w:val="0000FF"/>
        </w:rPr>
        <w:t xml:space="preserve"> </w:t>
      </w:r>
    </w:p>
    <w:p w14:paraId="7ACFB28E" w14:textId="77777777" w:rsidR="00D56BD8" w:rsidRPr="00820FC2" w:rsidRDefault="00D56BD8" w:rsidP="00D56BD8">
      <w:pPr>
        <w:autoSpaceDE w:val="0"/>
        <w:autoSpaceDN w:val="0"/>
        <w:adjustRightInd w:val="0"/>
        <w:ind w:left="426" w:hanging="426"/>
        <w:jc w:val="both"/>
      </w:pPr>
    </w:p>
    <w:p w14:paraId="0D01E97A" w14:textId="77777777" w:rsidR="00D56BD8" w:rsidRPr="00820FC2" w:rsidRDefault="00D56BD8" w:rsidP="00D56BD8">
      <w:pPr>
        <w:autoSpaceDE w:val="0"/>
        <w:autoSpaceDN w:val="0"/>
        <w:adjustRightInd w:val="0"/>
        <w:ind w:left="426" w:hanging="426"/>
        <w:jc w:val="both"/>
      </w:pPr>
      <w:r w:rsidRPr="00820FC2">
        <w:t xml:space="preserve">Nursanti, I. (2022). Penerapan Metode </w:t>
      </w:r>
      <w:r w:rsidRPr="00820FC2">
        <w:rPr>
          <w:i/>
          <w:iCs/>
        </w:rPr>
        <w:t>Scaffolding</w:t>
      </w:r>
      <w:r w:rsidRPr="00820FC2">
        <w:t xml:space="preserve"> Untuk Meningkatkan Hasil Belajar Matematika Siswa Kelas XI IPA-2 SMA Negeri 1 Bungkal Tahun Pelajaran 2018-2019. Jurnal Pendidikan Tambusai. 6(2).</w:t>
      </w:r>
    </w:p>
    <w:p w14:paraId="1D66926A" w14:textId="77777777" w:rsidR="00D56BD8" w:rsidRPr="00820FC2" w:rsidRDefault="00D56BD8" w:rsidP="00D56BD8">
      <w:pPr>
        <w:autoSpaceDE w:val="0"/>
        <w:autoSpaceDN w:val="0"/>
        <w:adjustRightInd w:val="0"/>
        <w:ind w:left="426" w:hanging="426"/>
        <w:jc w:val="both"/>
      </w:pPr>
    </w:p>
    <w:p w14:paraId="030B9C9E" w14:textId="77777777" w:rsidR="00D56BD8" w:rsidRPr="00820FC2" w:rsidRDefault="00D56BD8" w:rsidP="00D56BD8">
      <w:pPr>
        <w:autoSpaceDE w:val="0"/>
        <w:autoSpaceDN w:val="0"/>
        <w:adjustRightInd w:val="0"/>
        <w:ind w:left="426" w:hanging="426"/>
        <w:jc w:val="both"/>
      </w:pPr>
      <w:r w:rsidRPr="00820FC2">
        <w:t>Nurliastuti, Dewi dkk. 2018. “Penerapan Model PBLBernuansa Etnomatematika untuk Meningkatkan Kemampuan Pemecahan Masalah Matematis dan Motivasi Belajar Siswa”. Jurnal PRISMA, 1, hal. 99-104.</w:t>
      </w:r>
    </w:p>
    <w:p w14:paraId="6F83FE09" w14:textId="77777777" w:rsidR="00D56BD8" w:rsidRPr="00820FC2" w:rsidRDefault="00D56BD8" w:rsidP="00D56BD8">
      <w:pPr>
        <w:autoSpaceDE w:val="0"/>
        <w:autoSpaceDN w:val="0"/>
        <w:adjustRightInd w:val="0"/>
        <w:ind w:left="426" w:hanging="426"/>
        <w:jc w:val="both"/>
      </w:pPr>
    </w:p>
    <w:p w14:paraId="35B598A8" w14:textId="77777777" w:rsidR="00D56BD8" w:rsidRPr="00820FC2" w:rsidRDefault="00D56BD8" w:rsidP="00D56BD8">
      <w:pPr>
        <w:autoSpaceDE w:val="0"/>
        <w:autoSpaceDN w:val="0"/>
        <w:adjustRightInd w:val="0"/>
        <w:ind w:left="426" w:hanging="426"/>
        <w:jc w:val="both"/>
      </w:pPr>
      <w:r w:rsidRPr="00820FC2">
        <w:t xml:space="preserve">Pakguru (2024). Syarat Uji Independent T Test. pakguru.co.id. </w:t>
      </w:r>
      <w:hyperlink r:id="rId26" w:history="1">
        <w:r w:rsidRPr="00820FC2">
          <w:rPr>
            <w:rStyle w:val="Hyperlink"/>
          </w:rPr>
          <w:t>https://pakguru.co.id/syarat-uji-independent-t-test/</w:t>
        </w:r>
      </w:hyperlink>
      <w:r w:rsidRPr="00820FC2">
        <w:t xml:space="preserve"> (diakses 26-9-2024)</w:t>
      </w:r>
    </w:p>
    <w:p w14:paraId="12AE397B" w14:textId="77777777" w:rsidR="00D56BD8" w:rsidRPr="00820FC2" w:rsidRDefault="00D56BD8" w:rsidP="00D56BD8">
      <w:pPr>
        <w:autoSpaceDE w:val="0"/>
        <w:autoSpaceDN w:val="0"/>
        <w:adjustRightInd w:val="0"/>
        <w:ind w:left="426" w:hanging="426"/>
        <w:jc w:val="both"/>
      </w:pPr>
    </w:p>
    <w:p w14:paraId="40DFCBFF" w14:textId="77777777" w:rsidR="00D56BD8" w:rsidRPr="00820FC2" w:rsidRDefault="00D56BD8" w:rsidP="00D56BD8">
      <w:pPr>
        <w:autoSpaceDE w:val="0"/>
        <w:autoSpaceDN w:val="0"/>
        <w:adjustRightInd w:val="0"/>
        <w:ind w:left="426" w:hanging="426"/>
        <w:jc w:val="both"/>
      </w:pPr>
      <w:r w:rsidRPr="00820FC2">
        <w:t>Pangestu, R., &amp; Andriani S. (2020). Construct 2 Berbasis Android Sebagai Bahan Ajar Relasi Dan Fungsi. Jurnal Pemikiran dan Penelitian Pendidikan Matematika (JP3M), 3(1).</w:t>
      </w:r>
    </w:p>
    <w:p w14:paraId="64A1C4D6" w14:textId="77777777" w:rsidR="00D56BD8" w:rsidRPr="00820FC2" w:rsidRDefault="00D56BD8" w:rsidP="00D56BD8">
      <w:pPr>
        <w:autoSpaceDE w:val="0"/>
        <w:autoSpaceDN w:val="0"/>
        <w:adjustRightInd w:val="0"/>
        <w:ind w:left="426" w:hanging="426"/>
        <w:jc w:val="both"/>
      </w:pPr>
    </w:p>
    <w:p w14:paraId="2D091F5C" w14:textId="77777777" w:rsidR="00D56BD8" w:rsidRPr="00820FC2" w:rsidRDefault="00D56BD8" w:rsidP="00D56BD8">
      <w:pPr>
        <w:autoSpaceDE w:val="0"/>
        <w:autoSpaceDN w:val="0"/>
        <w:adjustRightInd w:val="0"/>
        <w:ind w:left="426" w:hanging="426"/>
        <w:jc w:val="both"/>
      </w:pPr>
      <w:r w:rsidRPr="00820FC2">
        <w:t>Peni, N. R. N., &amp; Baba, T. (2019). Consideration of curriculum approaches of employing ethnomathematics in mathematics classroom. Journal of Physics: Conference Series,1321(3), 1–5</w:t>
      </w:r>
    </w:p>
    <w:p w14:paraId="5204C930" w14:textId="77777777" w:rsidR="00D56BD8" w:rsidRPr="00820FC2" w:rsidRDefault="00D56BD8" w:rsidP="00D56BD8">
      <w:pPr>
        <w:autoSpaceDE w:val="0"/>
        <w:autoSpaceDN w:val="0"/>
        <w:adjustRightInd w:val="0"/>
        <w:ind w:left="426" w:hanging="426"/>
        <w:jc w:val="both"/>
      </w:pPr>
    </w:p>
    <w:p w14:paraId="1CA71C31" w14:textId="77777777" w:rsidR="00D56BD8" w:rsidRPr="00820FC2" w:rsidRDefault="00D56BD8" w:rsidP="00D56BD8">
      <w:pPr>
        <w:autoSpaceDE w:val="0"/>
        <w:autoSpaceDN w:val="0"/>
        <w:adjustRightInd w:val="0"/>
        <w:ind w:left="426" w:hanging="426"/>
        <w:jc w:val="both"/>
      </w:pPr>
      <w:r w:rsidRPr="00820FC2">
        <w:t xml:space="preserve">Prabawanto, S. (2012). Peningkatan Kemampuan Pemecahan Msalah Komunikasi dan </w:t>
      </w:r>
      <w:r w:rsidRPr="00820FC2">
        <w:rPr>
          <w:i/>
          <w:iCs/>
        </w:rPr>
        <w:t xml:space="preserve">Self-eficacy </w:t>
      </w:r>
      <w:r w:rsidRPr="00820FC2">
        <w:t xml:space="preserve">Matematis Mahasiswa Melalui Pembelajaran Dengan Pendekatan Metacognitive </w:t>
      </w:r>
      <w:r w:rsidRPr="00820FC2">
        <w:rPr>
          <w:i/>
          <w:iCs/>
        </w:rPr>
        <w:t>Scaffolding</w:t>
      </w:r>
      <w:r w:rsidRPr="00820FC2">
        <w:t>. Disertasi Doktor SPS UPI. Bandung. Tidak diterbitkan.</w:t>
      </w:r>
    </w:p>
    <w:p w14:paraId="51F150E7" w14:textId="77777777" w:rsidR="00D56BD8" w:rsidRPr="00820FC2" w:rsidRDefault="00D56BD8" w:rsidP="00D56BD8">
      <w:pPr>
        <w:autoSpaceDE w:val="0"/>
        <w:autoSpaceDN w:val="0"/>
        <w:adjustRightInd w:val="0"/>
        <w:ind w:left="426" w:hanging="426"/>
        <w:jc w:val="both"/>
      </w:pPr>
    </w:p>
    <w:p w14:paraId="31B9843D" w14:textId="77777777" w:rsidR="00D56BD8" w:rsidRPr="00820FC2" w:rsidRDefault="00D56BD8" w:rsidP="00D56BD8">
      <w:pPr>
        <w:ind w:left="426" w:hanging="426"/>
      </w:pPr>
      <w:bookmarkStart w:id="2" w:name="_Toc178789860"/>
      <w:r w:rsidRPr="00820FC2">
        <w:t xml:space="preserve">Pratama, R., A., &amp; Saregar, A. (2019). Pengembangan Lembar Kerja Peserta Didik (Lkpd) Berbasis Scaffolding Untuk Melatih Pemahaman Konsep. Indonesian Journal of Science and Mathematics Education. DOI: </w:t>
      </w:r>
      <w:hyperlink r:id="rId27" w:history="1">
        <w:r w:rsidRPr="00820FC2">
          <w:rPr>
            <w:rStyle w:val="Hyperlink"/>
          </w:rPr>
          <w:t>http://doi.org/10.24042/IJSME.V2I1.3975</w:t>
        </w:r>
        <w:bookmarkEnd w:id="2"/>
      </w:hyperlink>
      <w:r w:rsidRPr="00820FC2">
        <w:t xml:space="preserve"> </w:t>
      </w:r>
    </w:p>
    <w:p w14:paraId="3512D53A" w14:textId="77777777" w:rsidR="00D56BD8" w:rsidRPr="00820FC2" w:rsidRDefault="00D56BD8" w:rsidP="00D56BD8">
      <w:bookmarkStart w:id="3" w:name="_Toc178789861"/>
      <w:bookmarkEnd w:id="3"/>
    </w:p>
    <w:p w14:paraId="2E8AED56" w14:textId="77777777" w:rsidR="00D56BD8" w:rsidRPr="00820FC2" w:rsidRDefault="00D56BD8" w:rsidP="00D56BD8">
      <w:pPr>
        <w:tabs>
          <w:tab w:val="left" w:pos="5222"/>
        </w:tabs>
        <w:ind w:left="426" w:hanging="426"/>
        <w:rPr>
          <w:rStyle w:val="Hyperlink"/>
        </w:rPr>
      </w:pPr>
      <w:bookmarkStart w:id="4" w:name="_Toc178789862"/>
      <w:r w:rsidRPr="00820FC2">
        <w:t>Pratiwi I. D. &amp; Laksmiwati H (2016). Kepercayaan Diri dan Kemandirian Belajar Pada Siswa SMA Negeri “X”. Jurnal Psikologi Teori &amp;Terapan. 7(1). DOI: </w:t>
      </w:r>
      <w:hyperlink r:id="rId28" w:history="1">
        <w:r w:rsidRPr="00820FC2">
          <w:rPr>
            <w:rStyle w:val="Hyperlink"/>
          </w:rPr>
          <w:t>https://doi.org/10.26740/jptt.v7n1.p43-49</w:t>
        </w:r>
        <w:bookmarkEnd w:id="4"/>
      </w:hyperlink>
    </w:p>
    <w:p w14:paraId="22BFB8DC" w14:textId="77777777" w:rsidR="00D56BD8" w:rsidRPr="00820FC2" w:rsidRDefault="00D56BD8" w:rsidP="00D56BD8">
      <w:pPr>
        <w:ind w:left="426" w:hanging="426"/>
        <w:rPr>
          <w:rStyle w:val="Hyperlink"/>
        </w:rPr>
      </w:pPr>
    </w:p>
    <w:p w14:paraId="4C39A2EE" w14:textId="77777777" w:rsidR="00D56BD8" w:rsidRPr="00820FC2" w:rsidRDefault="00D56BD8" w:rsidP="00D56BD8">
      <w:pPr>
        <w:pStyle w:val="Default"/>
        <w:ind w:left="426" w:hanging="426"/>
        <w:jc w:val="both"/>
        <w:rPr>
          <w:rStyle w:val="value"/>
          <w:color w:val="0000FF"/>
          <w:shd w:val="clear" w:color="auto" w:fill="FFFFFF"/>
          <w:lang w:val="id-ID"/>
        </w:rPr>
      </w:pPr>
      <w:r w:rsidRPr="00820FC2">
        <w:rPr>
          <w:lang w:val="id-ID"/>
        </w:rPr>
        <w:t xml:space="preserve">Rachmawati, I. (2015). Eksplorasi Etnomatematika Masyarakat Sidoarjo. MATHEdunesa. </w:t>
      </w:r>
      <w:r w:rsidRPr="00820FC2">
        <w:rPr>
          <w:rStyle w:val="label"/>
          <w:shd w:val="clear" w:color="auto" w:fill="FFFFFF"/>
          <w:lang w:val="id-ID"/>
        </w:rPr>
        <w:t>DOI</w:t>
      </w:r>
      <w:r w:rsidRPr="00820FC2">
        <w:rPr>
          <w:rStyle w:val="label"/>
          <w:b/>
          <w:bCs/>
          <w:shd w:val="clear" w:color="auto" w:fill="FFFFFF"/>
          <w:lang w:val="id-ID"/>
        </w:rPr>
        <w:t>: </w:t>
      </w:r>
      <w:hyperlink r:id="rId29" w:history="1">
        <w:r w:rsidRPr="00820FC2">
          <w:rPr>
            <w:rStyle w:val="Hyperlink"/>
            <w:lang w:val="id-ID"/>
          </w:rPr>
          <w:t>https://doi.org/10.26740/mathedunesa.v1n1.p%25p</w:t>
        </w:r>
      </w:hyperlink>
      <w:r w:rsidRPr="00820FC2">
        <w:rPr>
          <w:rStyle w:val="value"/>
          <w:color w:val="0000FF"/>
          <w:shd w:val="clear" w:color="auto" w:fill="FFFFFF"/>
          <w:lang w:val="id-ID"/>
        </w:rPr>
        <w:t xml:space="preserve"> </w:t>
      </w:r>
    </w:p>
    <w:p w14:paraId="5A2C6EEF" w14:textId="77777777" w:rsidR="00D56BD8" w:rsidRPr="00820FC2" w:rsidRDefault="00D56BD8" w:rsidP="00D56BD8">
      <w:pPr>
        <w:pStyle w:val="Default"/>
        <w:ind w:left="426" w:hanging="426"/>
        <w:jc w:val="both"/>
        <w:rPr>
          <w:shd w:val="clear" w:color="auto" w:fill="FFFFFF"/>
          <w:lang w:val="id-ID"/>
        </w:rPr>
      </w:pPr>
    </w:p>
    <w:p w14:paraId="75A8A4EE" w14:textId="77777777" w:rsidR="00D56BD8" w:rsidRPr="00820FC2" w:rsidRDefault="00D56BD8" w:rsidP="00D56BD8">
      <w:pPr>
        <w:ind w:left="426" w:hanging="426"/>
        <w:jc w:val="both"/>
      </w:pPr>
      <w:r w:rsidRPr="00820FC2">
        <w:t xml:space="preserve">Rahayu, E. M. &amp; Rachbini, M. A. (2018). Meningkatkan Kemampuan Memahami Teks dengan Menggunakan Model Pembelajaran </w:t>
      </w:r>
      <w:r w:rsidRPr="00820FC2">
        <w:rPr>
          <w:i/>
          <w:iCs/>
        </w:rPr>
        <w:t>Scaffolding</w:t>
      </w:r>
      <w:r w:rsidRPr="00820FC2">
        <w:t xml:space="preserve"> pada Peserta Didik SMPN 22 Surabaya Tahun Akademik 2018-2019. Prosiding PDS UNP. Universitas Negeri Padang.</w:t>
      </w:r>
    </w:p>
    <w:p w14:paraId="61CC440E" w14:textId="77777777" w:rsidR="00D56BD8" w:rsidRPr="00820FC2" w:rsidRDefault="00D56BD8" w:rsidP="00D56BD8">
      <w:pPr>
        <w:ind w:left="426" w:hanging="426"/>
        <w:jc w:val="both"/>
      </w:pPr>
    </w:p>
    <w:p w14:paraId="745BC831" w14:textId="77777777" w:rsidR="00D56BD8" w:rsidRPr="00820FC2" w:rsidRDefault="00D56BD8" w:rsidP="00D56BD8">
      <w:pPr>
        <w:ind w:left="426" w:hanging="426"/>
        <w:jc w:val="both"/>
      </w:pPr>
      <w:r w:rsidRPr="00820FC2">
        <w:t>Reigeluth, C. M. (1983). Instructional Design Theories and Models. London: Lawrence Erlbaum Associates Publishers.</w:t>
      </w:r>
    </w:p>
    <w:p w14:paraId="001BEA5A" w14:textId="77777777" w:rsidR="00D56BD8" w:rsidRPr="00820FC2" w:rsidRDefault="00D56BD8" w:rsidP="00D56BD8">
      <w:pPr>
        <w:ind w:left="426" w:hanging="426"/>
        <w:jc w:val="both"/>
      </w:pPr>
    </w:p>
    <w:p w14:paraId="5BD54CDE" w14:textId="77777777" w:rsidR="00D56BD8" w:rsidRPr="00820FC2" w:rsidRDefault="00D56BD8" w:rsidP="00D56BD8">
      <w:pPr>
        <w:pStyle w:val="Default"/>
        <w:ind w:left="426" w:hanging="426"/>
        <w:jc w:val="both"/>
        <w:rPr>
          <w:lang w:val="id-ID"/>
        </w:rPr>
      </w:pPr>
      <w:r w:rsidRPr="00820FC2">
        <w:rPr>
          <w:lang w:val="id-ID"/>
        </w:rPr>
        <w:t>Rosidah (2017). Penalaran statistis siswa sma dalam pemecahan masalah statistia ditinjau dari perbedaan gender. Prosiding, Seminar Nasioanal. 2(1), 57-65.</w:t>
      </w:r>
    </w:p>
    <w:p w14:paraId="20F2B95E" w14:textId="77777777" w:rsidR="00D56BD8" w:rsidRPr="00820FC2" w:rsidRDefault="00D56BD8" w:rsidP="00D56BD8">
      <w:pPr>
        <w:pStyle w:val="Default"/>
        <w:ind w:left="426" w:hanging="426"/>
        <w:jc w:val="both"/>
        <w:rPr>
          <w:lang w:val="id-ID"/>
        </w:rPr>
      </w:pPr>
    </w:p>
    <w:p w14:paraId="1ABE0106" w14:textId="77777777" w:rsidR="00D56BD8" w:rsidRPr="00820FC2" w:rsidRDefault="00D56BD8" w:rsidP="00D56BD8">
      <w:pPr>
        <w:autoSpaceDE w:val="0"/>
        <w:autoSpaceDN w:val="0"/>
        <w:adjustRightInd w:val="0"/>
        <w:ind w:left="426" w:hanging="426"/>
        <w:jc w:val="both"/>
      </w:pPr>
      <w:r w:rsidRPr="00820FC2">
        <w:t xml:space="preserve">Rumsey, D. (2002). Statistical literacy as a goal for introductory statistics courses. </w:t>
      </w:r>
      <w:r w:rsidRPr="00820FC2">
        <w:rPr>
          <w:i/>
          <w:iCs/>
        </w:rPr>
        <w:t>Journal of Statistics Education</w:t>
      </w:r>
      <w:r w:rsidRPr="00820FC2">
        <w:t xml:space="preserve">, 10(3). [Online]. Tersedia: </w:t>
      </w:r>
      <w:hyperlink r:id="rId30" w:history="1">
        <w:r w:rsidRPr="00820FC2">
          <w:rPr>
            <w:rStyle w:val="Hyperlink"/>
          </w:rPr>
          <w:t>www.amsat.org/publicatins/jse/v10n3/rumsey2.html</w:t>
        </w:r>
      </w:hyperlink>
      <w:r w:rsidRPr="00820FC2">
        <w:t>.</w:t>
      </w:r>
    </w:p>
    <w:p w14:paraId="063A0DAA" w14:textId="77777777" w:rsidR="00D56BD8" w:rsidRPr="00820FC2" w:rsidRDefault="00D56BD8" w:rsidP="00D56BD8">
      <w:pPr>
        <w:autoSpaceDE w:val="0"/>
        <w:autoSpaceDN w:val="0"/>
        <w:adjustRightInd w:val="0"/>
        <w:ind w:left="426" w:hanging="426"/>
        <w:jc w:val="both"/>
        <w:rPr>
          <w:i/>
          <w:iCs/>
        </w:rPr>
      </w:pPr>
    </w:p>
    <w:p w14:paraId="7C2AD4FF" w14:textId="77777777" w:rsidR="00D56BD8" w:rsidRPr="00820FC2" w:rsidRDefault="00D56BD8" w:rsidP="00D56BD8">
      <w:pPr>
        <w:autoSpaceDE w:val="0"/>
        <w:autoSpaceDN w:val="0"/>
        <w:adjustRightInd w:val="0"/>
        <w:ind w:left="426" w:hanging="426"/>
        <w:jc w:val="both"/>
      </w:pPr>
      <w:r w:rsidRPr="00820FC2">
        <w:t>Sa’diyah, R. (2017). Pentingnya Melatih Kemandirian Anak. Kordinat: Jurnal Komunikasi Antar Perguruan Tinggi Agama Islam, 16(1), 31–46.</w:t>
      </w:r>
    </w:p>
    <w:p w14:paraId="123A3B37" w14:textId="77777777" w:rsidR="00D56BD8" w:rsidRPr="00820FC2" w:rsidRDefault="00D56BD8" w:rsidP="00D56BD8">
      <w:pPr>
        <w:pStyle w:val="Default"/>
        <w:ind w:left="426" w:hanging="426"/>
        <w:jc w:val="both"/>
        <w:rPr>
          <w:lang w:val="id-ID"/>
        </w:rPr>
      </w:pPr>
    </w:p>
    <w:p w14:paraId="5EFE7B21" w14:textId="77777777" w:rsidR="00D56BD8" w:rsidRPr="00820FC2" w:rsidRDefault="00D56BD8" w:rsidP="00D56BD8">
      <w:pPr>
        <w:pStyle w:val="Default"/>
        <w:ind w:left="426" w:hanging="426"/>
        <w:jc w:val="both"/>
        <w:rPr>
          <w:lang w:val="id-ID"/>
        </w:rPr>
      </w:pPr>
      <w:r w:rsidRPr="00820FC2">
        <w:rPr>
          <w:lang w:val="id-ID"/>
        </w:rPr>
        <w:t xml:space="preserve">Setiarsih. (2021). Peningkatan Kemandirian Belajar Matematika Melalui Penerapan </w:t>
      </w:r>
      <w:r w:rsidRPr="00820FC2">
        <w:rPr>
          <w:i/>
          <w:iCs/>
          <w:lang w:val="id-ID"/>
        </w:rPr>
        <w:t>Scaffolding</w:t>
      </w:r>
      <w:r w:rsidRPr="00820FC2">
        <w:rPr>
          <w:lang w:val="id-ID"/>
        </w:rPr>
        <w:t xml:space="preserve">. Jurnal Lingkar Mutu Pendidikan. 18(2). DOI: </w:t>
      </w:r>
      <w:hyperlink r:id="rId31" w:history="1">
        <w:r w:rsidRPr="00820FC2">
          <w:rPr>
            <w:rStyle w:val="Hyperlink"/>
            <w:lang w:val="id-ID"/>
          </w:rPr>
          <w:t>https://doi.org/10.54124/jlmp.v18i1.12</w:t>
        </w:r>
      </w:hyperlink>
      <w:r w:rsidRPr="00820FC2">
        <w:rPr>
          <w:lang w:val="id-ID"/>
        </w:rPr>
        <w:t xml:space="preserve"> </w:t>
      </w:r>
    </w:p>
    <w:p w14:paraId="63C68C22" w14:textId="77777777" w:rsidR="00D56BD8" w:rsidRPr="00820FC2" w:rsidRDefault="00D56BD8" w:rsidP="00D56BD8">
      <w:pPr>
        <w:pStyle w:val="Default"/>
        <w:ind w:left="426" w:hanging="426"/>
        <w:jc w:val="both"/>
        <w:rPr>
          <w:lang w:val="id-ID"/>
        </w:rPr>
      </w:pPr>
    </w:p>
    <w:p w14:paraId="52FAEAD0" w14:textId="77777777" w:rsidR="00D56BD8" w:rsidRPr="00820FC2" w:rsidRDefault="00D56BD8" w:rsidP="00D56BD8">
      <w:pPr>
        <w:pStyle w:val="Default"/>
        <w:ind w:left="426" w:hanging="426"/>
        <w:jc w:val="both"/>
        <w:rPr>
          <w:lang w:val="id-ID"/>
        </w:rPr>
      </w:pPr>
      <w:r w:rsidRPr="00820FC2">
        <w:rPr>
          <w:lang w:val="id-ID"/>
        </w:rPr>
        <w:t xml:space="preserve">Setyorini, I. A., Pramudya, I., &amp; Setiawan, R. (2017). Analisis pemahaman konsep siswa terhadap materi pokok statistika ditinjau dari kebiasaan belajar matematika pada siswa kelas XII IPS 1 SMA Negeri 6 Surakarta tahun pelajaran 2016/2017. </w:t>
      </w:r>
      <w:r w:rsidRPr="00820FC2">
        <w:rPr>
          <w:i/>
          <w:iCs/>
          <w:lang w:val="id-ID"/>
        </w:rPr>
        <w:t>Jurnal Pendidikan Matematika dan Matematika SOLUSI</w:t>
      </w:r>
      <w:r w:rsidRPr="00820FC2">
        <w:rPr>
          <w:lang w:val="id-ID"/>
        </w:rPr>
        <w:t xml:space="preserve">, </w:t>
      </w:r>
      <w:r w:rsidRPr="00820FC2">
        <w:rPr>
          <w:i/>
          <w:iCs/>
          <w:lang w:val="id-ID"/>
        </w:rPr>
        <w:t>1</w:t>
      </w:r>
      <w:r w:rsidRPr="00820FC2">
        <w:rPr>
          <w:lang w:val="id-ID"/>
        </w:rPr>
        <w:t>(4), 1-14.</w:t>
      </w:r>
    </w:p>
    <w:p w14:paraId="7F0F0E11" w14:textId="77777777" w:rsidR="00D56BD8" w:rsidRPr="00820FC2" w:rsidRDefault="00D56BD8" w:rsidP="00D56BD8">
      <w:pPr>
        <w:pStyle w:val="Default"/>
        <w:ind w:left="426" w:hanging="426"/>
        <w:jc w:val="both"/>
        <w:rPr>
          <w:lang w:val="id-ID"/>
        </w:rPr>
      </w:pPr>
    </w:p>
    <w:p w14:paraId="7F9BA094" w14:textId="77777777" w:rsidR="00D56BD8" w:rsidRPr="00820FC2" w:rsidRDefault="00D56BD8" w:rsidP="00D56BD8">
      <w:pPr>
        <w:autoSpaceDE w:val="0"/>
        <w:autoSpaceDN w:val="0"/>
        <w:adjustRightInd w:val="0"/>
        <w:ind w:left="426" w:hanging="426"/>
        <w:jc w:val="both"/>
      </w:pPr>
      <w:r w:rsidRPr="00820FC2">
        <w:t>Snee, R. (1990). Statistical Thinking and Its Contribution to Total Quality. The American Statistician Journal. Edition May 1, page 116-121.</w:t>
      </w:r>
    </w:p>
    <w:p w14:paraId="106C3818" w14:textId="77777777" w:rsidR="00D56BD8" w:rsidRPr="00820FC2" w:rsidRDefault="00D56BD8" w:rsidP="00D56BD8">
      <w:pPr>
        <w:autoSpaceDE w:val="0"/>
        <w:autoSpaceDN w:val="0"/>
        <w:adjustRightInd w:val="0"/>
        <w:ind w:left="426" w:hanging="426"/>
        <w:jc w:val="both"/>
      </w:pPr>
    </w:p>
    <w:p w14:paraId="22B09A9B" w14:textId="77777777" w:rsidR="00D56BD8" w:rsidRPr="00820FC2" w:rsidRDefault="00D56BD8" w:rsidP="00D56BD8">
      <w:pPr>
        <w:pStyle w:val="Default"/>
        <w:ind w:left="426" w:hanging="426"/>
        <w:rPr>
          <w:lang w:val="id-ID"/>
        </w:rPr>
      </w:pPr>
      <w:r w:rsidRPr="00820FC2">
        <w:rPr>
          <w:lang w:val="id-ID"/>
        </w:rPr>
        <w:t xml:space="preserve">Stuyf, V.D. 2002. </w:t>
      </w:r>
      <w:r w:rsidRPr="00820FC2">
        <w:rPr>
          <w:i/>
          <w:iCs/>
          <w:lang w:val="id-ID"/>
        </w:rPr>
        <w:t>Scaffolding</w:t>
      </w:r>
      <w:r w:rsidRPr="00820FC2">
        <w:rPr>
          <w:lang w:val="id-ID"/>
        </w:rPr>
        <w:t xml:space="preserve"> as a Teaching Strategy. Adolescent Learning and Development. Section 0500A-Fall 2002.</w:t>
      </w:r>
    </w:p>
    <w:p w14:paraId="6C27F463" w14:textId="77777777" w:rsidR="00D56BD8" w:rsidRPr="00820FC2" w:rsidRDefault="00D56BD8" w:rsidP="00D56BD8">
      <w:pPr>
        <w:pStyle w:val="Default"/>
        <w:ind w:left="426" w:hanging="426"/>
        <w:rPr>
          <w:lang w:val="id-ID"/>
        </w:rPr>
      </w:pPr>
    </w:p>
    <w:p w14:paraId="53D77020" w14:textId="77777777" w:rsidR="00D56BD8" w:rsidRPr="00820FC2" w:rsidRDefault="00D56BD8" w:rsidP="00D56BD8">
      <w:pPr>
        <w:autoSpaceDE w:val="0"/>
        <w:autoSpaceDN w:val="0"/>
        <w:adjustRightInd w:val="0"/>
        <w:ind w:left="426" w:hanging="426"/>
        <w:jc w:val="both"/>
      </w:pPr>
      <w:r w:rsidRPr="00820FC2">
        <w:t xml:space="preserve">Sumarni, N. W. Suharsono, N. Warpala, I. W. S. (2013). Pengaruh Pembelajaran </w:t>
      </w:r>
      <w:r w:rsidRPr="00820FC2">
        <w:rPr>
          <w:i/>
          <w:iCs/>
        </w:rPr>
        <w:t>Scaffolding</w:t>
      </w:r>
      <w:r w:rsidRPr="00820FC2">
        <w:t xml:space="preserve"> Terhadap Keterampilan Menulis Teks Recount Berbahasa Inggris Dan Kreativitas Siswa Kelas VIII SMP Negeri 2 Manggis. e-Journal Program Pascasarjana Universitas Pendidikan Ganesha. </w:t>
      </w:r>
    </w:p>
    <w:p w14:paraId="0AF566B3" w14:textId="77777777" w:rsidR="00D56BD8" w:rsidRPr="00820FC2" w:rsidRDefault="00D56BD8" w:rsidP="00D56BD8">
      <w:pPr>
        <w:pStyle w:val="Default"/>
        <w:ind w:left="426" w:hanging="426"/>
        <w:jc w:val="both"/>
        <w:rPr>
          <w:lang w:val="id-ID"/>
        </w:rPr>
      </w:pPr>
    </w:p>
    <w:p w14:paraId="0371AA29" w14:textId="77777777" w:rsidR="00D56BD8" w:rsidRPr="00820FC2" w:rsidRDefault="00D56BD8" w:rsidP="00D56BD8">
      <w:pPr>
        <w:autoSpaceDE w:val="0"/>
        <w:autoSpaceDN w:val="0"/>
        <w:adjustRightInd w:val="0"/>
        <w:ind w:left="426" w:hanging="426"/>
        <w:jc w:val="both"/>
      </w:pPr>
      <w:r w:rsidRPr="00820FC2">
        <w:t xml:space="preserve">Sunaryo, Y., &amp; Fatimah, A. T. (2018). Implementasi Pendekatan Kontekstual Pada Model Pembelajaran </w:t>
      </w:r>
      <w:r w:rsidRPr="00820FC2">
        <w:rPr>
          <w:i/>
          <w:iCs/>
        </w:rPr>
        <w:t>Scaffolding</w:t>
      </w:r>
      <w:r w:rsidRPr="00820FC2">
        <w:t xml:space="preserve">. </w:t>
      </w:r>
      <w:r w:rsidRPr="00820FC2">
        <w:rPr>
          <w:i/>
          <w:iCs/>
        </w:rPr>
        <w:t>Jurnal Penelitian Pendidikan Dan Pengajaran Matemetika</w:t>
      </w:r>
      <w:r w:rsidRPr="00820FC2">
        <w:t xml:space="preserve">, </w:t>
      </w:r>
      <w:r w:rsidRPr="00820FC2">
        <w:rPr>
          <w:i/>
          <w:iCs/>
        </w:rPr>
        <w:t>4</w:t>
      </w:r>
      <w:r w:rsidRPr="00820FC2">
        <w:t>, 87–96.</w:t>
      </w:r>
    </w:p>
    <w:p w14:paraId="3A99A529" w14:textId="77777777" w:rsidR="00D56BD8" w:rsidRPr="00820FC2" w:rsidRDefault="00D56BD8" w:rsidP="00D56BD8">
      <w:pPr>
        <w:autoSpaceDE w:val="0"/>
        <w:autoSpaceDN w:val="0"/>
        <w:adjustRightInd w:val="0"/>
        <w:ind w:left="426" w:hanging="426"/>
        <w:jc w:val="both"/>
      </w:pPr>
    </w:p>
    <w:p w14:paraId="3361ED90" w14:textId="77777777" w:rsidR="00D56BD8" w:rsidRPr="00820FC2" w:rsidRDefault="00D56BD8" w:rsidP="00D56BD8">
      <w:pPr>
        <w:autoSpaceDE w:val="0"/>
        <w:autoSpaceDN w:val="0"/>
        <w:adjustRightInd w:val="0"/>
        <w:ind w:left="426" w:hanging="426"/>
        <w:jc w:val="both"/>
      </w:pPr>
      <w:r w:rsidRPr="00820FC2">
        <w:t xml:space="preserve">Sunaryo, Y., &amp; Fatimah, A. T. (2019). Pendekatan Kontekstual dengan Scaffolding untuk Meningkatkan Kemampuan Berpikir Kritis Matematis. JNPM (Jurnal Nasional Pendidikan Matematika). 3(1). </w:t>
      </w:r>
      <w:r w:rsidRPr="00820FC2">
        <w:rPr>
          <w:color w:val="333333"/>
          <w:shd w:val="clear" w:color="auto" w:fill="FFFFFF"/>
        </w:rPr>
        <w:t>DOI: </w:t>
      </w:r>
      <w:hyperlink r:id="rId32" w:history="1">
        <w:r w:rsidRPr="00820FC2">
          <w:rPr>
            <w:rStyle w:val="Hyperlink"/>
            <w:shd w:val="clear" w:color="auto" w:fill="FFFFFF"/>
          </w:rPr>
          <w:t>http://dx.doi.org/10.33603/jnpm.v3i1.1468</w:t>
        </w:r>
      </w:hyperlink>
    </w:p>
    <w:p w14:paraId="4EE374B8" w14:textId="77777777" w:rsidR="00D56BD8" w:rsidRPr="00820FC2" w:rsidRDefault="00D56BD8" w:rsidP="00D56BD8">
      <w:pPr>
        <w:autoSpaceDE w:val="0"/>
        <w:autoSpaceDN w:val="0"/>
        <w:adjustRightInd w:val="0"/>
        <w:ind w:left="426" w:hanging="426"/>
        <w:jc w:val="both"/>
      </w:pPr>
    </w:p>
    <w:p w14:paraId="070194A8" w14:textId="77777777" w:rsidR="00D56BD8" w:rsidRPr="00820FC2" w:rsidRDefault="00D56BD8" w:rsidP="00D56BD8">
      <w:pPr>
        <w:autoSpaceDE w:val="0"/>
        <w:autoSpaceDN w:val="0"/>
        <w:adjustRightInd w:val="0"/>
        <w:ind w:left="426" w:hanging="426"/>
        <w:jc w:val="both"/>
      </w:pPr>
      <w:r w:rsidRPr="00820FC2">
        <w:t xml:space="preserve">Suprihatin, E., Rosita, D. (2020). Penerapan Teknik Scaffolding Sebagai Upaya Meningkatkan Kemandirian Belajar Anak Usia 5-6 Tahun Di TK Kristen Kadasituru Terpadu. Journal og Christian Education and Leadership: EDULEAD. 1(1). </w:t>
      </w:r>
      <w:r w:rsidRPr="00820FC2">
        <w:rPr>
          <w:color w:val="333333"/>
          <w:shd w:val="clear" w:color="auto" w:fill="FFFFFF"/>
        </w:rPr>
        <w:t>DOI: </w:t>
      </w:r>
      <w:hyperlink r:id="rId33" w:history="1">
        <w:r w:rsidRPr="00820FC2">
          <w:rPr>
            <w:rStyle w:val="Hyperlink"/>
            <w:shd w:val="clear" w:color="auto" w:fill="FFFFFF"/>
          </w:rPr>
          <w:t>https://doi.org/10.47530/edulead.v1i1.17</w:t>
        </w:r>
      </w:hyperlink>
      <w:r w:rsidRPr="00820FC2">
        <w:t xml:space="preserve"> </w:t>
      </w:r>
    </w:p>
    <w:p w14:paraId="62B0B464" w14:textId="77777777" w:rsidR="00D56BD8" w:rsidRPr="00820FC2" w:rsidRDefault="00D56BD8" w:rsidP="00D56BD8">
      <w:pPr>
        <w:autoSpaceDE w:val="0"/>
        <w:autoSpaceDN w:val="0"/>
        <w:adjustRightInd w:val="0"/>
        <w:ind w:left="426" w:hanging="426"/>
        <w:jc w:val="both"/>
      </w:pPr>
    </w:p>
    <w:p w14:paraId="3005457C" w14:textId="77777777" w:rsidR="00D56BD8" w:rsidRPr="00820FC2" w:rsidRDefault="00D56BD8" w:rsidP="00D56BD8">
      <w:pPr>
        <w:pStyle w:val="Default"/>
        <w:ind w:left="426" w:hanging="426"/>
        <w:jc w:val="both"/>
        <w:rPr>
          <w:lang w:val="id-ID"/>
        </w:rPr>
      </w:pPr>
      <w:r w:rsidRPr="00820FC2">
        <w:rPr>
          <w:lang w:val="id-ID"/>
        </w:rPr>
        <w:t>Sugiyono (2019). Metode Penelitian Kuantitatif, Kualitatif, dan R&amp;D. Bandung: Alphabet. Hal 167</w:t>
      </w:r>
    </w:p>
    <w:p w14:paraId="554761C4" w14:textId="77777777" w:rsidR="00D56BD8" w:rsidRPr="00820FC2" w:rsidRDefault="00D56BD8" w:rsidP="00D56BD8">
      <w:pPr>
        <w:pStyle w:val="Default"/>
        <w:ind w:left="426" w:hanging="426"/>
        <w:jc w:val="both"/>
        <w:rPr>
          <w:lang w:val="id-ID"/>
        </w:rPr>
      </w:pPr>
    </w:p>
    <w:p w14:paraId="3ABF2186" w14:textId="77777777" w:rsidR="00D56BD8" w:rsidRPr="00820FC2" w:rsidRDefault="00D56BD8" w:rsidP="00293930">
      <w:pPr>
        <w:autoSpaceDE w:val="0"/>
        <w:autoSpaceDN w:val="0"/>
        <w:adjustRightInd w:val="0"/>
        <w:jc w:val="both"/>
      </w:pPr>
      <w:r w:rsidRPr="00820FC2">
        <w:t>Sudijono, A. (2006). Pengantar Evaluasi Pendidikan. Jakarta: Raja Grafindo Persada. Hal 389.</w:t>
      </w:r>
    </w:p>
    <w:p w14:paraId="5175D9AF" w14:textId="77777777" w:rsidR="00D56BD8" w:rsidRPr="00820FC2" w:rsidRDefault="00D56BD8" w:rsidP="00D56BD8">
      <w:pPr>
        <w:autoSpaceDE w:val="0"/>
        <w:autoSpaceDN w:val="0"/>
        <w:adjustRightInd w:val="0"/>
        <w:ind w:left="426" w:hanging="426"/>
        <w:jc w:val="both"/>
      </w:pPr>
    </w:p>
    <w:p w14:paraId="312CFDC5" w14:textId="77777777" w:rsidR="00D56BD8" w:rsidRPr="00820FC2" w:rsidRDefault="00D56BD8" w:rsidP="00D56BD8">
      <w:pPr>
        <w:autoSpaceDE w:val="0"/>
        <w:autoSpaceDN w:val="0"/>
        <w:adjustRightInd w:val="0"/>
        <w:ind w:left="426" w:hanging="426"/>
        <w:jc w:val="both"/>
      </w:pPr>
      <w:r w:rsidRPr="00820FC2">
        <w:t>Sumantri, Mohamad Syarif. 2015. Strategi Pembelajaran. Cet I; Jakarta: Rajawali Pers.</w:t>
      </w:r>
    </w:p>
    <w:p w14:paraId="26103753" w14:textId="77777777" w:rsidR="00D56BD8" w:rsidRPr="00820FC2" w:rsidRDefault="00D56BD8" w:rsidP="00D56BD8">
      <w:pPr>
        <w:autoSpaceDE w:val="0"/>
        <w:autoSpaceDN w:val="0"/>
        <w:adjustRightInd w:val="0"/>
        <w:ind w:left="426" w:hanging="426"/>
        <w:jc w:val="both"/>
      </w:pPr>
    </w:p>
    <w:p w14:paraId="3337C6B2" w14:textId="77777777" w:rsidR="00D56BD8" w:rsidRPr="00820FC2" w:rsidRDefault="00D56BD8" w:rsidP="00D56BD8">
      <w:pPr>
        <w:autoSpaceDE w:val="0"/>
        <w:autoSpaceDN w:val="0"/>
        <w:adjustRightInd w:val="0"/>
        <w:ind w:left="426" w:hanging="426"/>
        <w:jc w:val="both"/>
      </w:pPr>
      <w:r w:rsidRPr="00820FC2">
        <w:t>Ulpah, M. (2013). Peningkatan Kemampuan Penalaran Statistis Dan Self-Efficacy Siswa Madrasah Aliyah Melalui Pembelajaran Kontekstual</w:t>
      </w:r>
      <w:r w:rsidRPr="00820FC2">
        <w:rPr>
          <w:i/>
          <w:iCs/>
        </w:rPr>
        <w:t>. Repository UPI Central Library.</w:t>
      </w:r>
      <w:r w:rsidRPr="00820FC2">
        <w:t>193-197.</w:t>
      </w:r>
    </w:p>
    <w:p w14:paraId="7DCE570E" w14:textId="77777777" w:rsidR="00D56BD8" w:rsidRPr="00820FC2" w:rsidRDefault="00D56BD8" w:rsidP="00D56BD8">
      <w:pPr>
        <w:autoSpaceDE w:val="0"/>
        <w:autoSpaceDN w:val="0"/>
        <w:adjustRightInd w:val="0"/>
        <w:ind w:left="426" w:hanging="426"/>
        <w:jc w:val="both"/>
      </w:pPr>
    </w:p>
    <w:p w14:paraId="061C55E9" w14:textId="77777777" w:rsidR="00D56BD8" w:rsidRPr="00820FC2" w:rsidRDefault="00D56BD8" w:rsidP="00D56BD8">
      <w:pPr>
        <w:ind w:left="426" w:hanging="426"/>
        <w:rPr>
          <w:rStyle w:val="Hyperlink"/>
        </w:rPr>
      </w:pPr>
      <w:bookmarkStart w:id="5" w:name="_Toc178789864"/>
      <w:r w:rsidRPr="00820FC2">
        <w:t xml:space="preserve">Yusuf, Yusfita (2017). Konstruksi penalaran statistis pada statistika penelitian. </w:t>
      </w:r>
      <w:r w:rsidRPr="00820FC2">
        <w:rPr>
          <w:i/>
          <w:iCs/>
        </w:rPr>
        <w:t>Scholaria</w:t>
      </w:r>
      <w:r w:rsidRPr="00820FC2">
        <w:t>, 7(1), 60</w:t>
      </w:r>
      <w:r w:rsidRPr="00820FC2">
        <w:rPr>
          <w:rFonts w:eastAsia="TimesNewRomanPSMT"/>
        </w:rPr>
        <w:t>–</w:t>
      </w:r>
      <w:r w:rsidRPr="00820FC2">
        <w:t>69. DOI: </w:t>
      </w:r>
      <w:hyperlink r:id="rId34" w:history="1">
        <w:r w:rsidRPr="00820FC2">
          <w:rPr>
            <w:rStyle w:val="Hyperlink"/>
          </w:rPr>
          <w:t>https://doi.org/10.24246/j.scholaria.2017.v7.i1.p60-69</w:t>
        </w:r>
        <w:bookmarkEnd w:id="5"/>
      </w:hyperlink>
    </w:p>
    <w:p w14:paraId="0818760F" w14:textId="77777777" w:rsidR="00D56BD8" w:rsidRPr="00820FC2" w:rsidRDefault="00D56BD8" w:rsidP="00D56BD8"/>
    <w:p w14:paraId="2D75C995" w14:textId="77777777" w:rsidR="00D56BD8" w:rsidRPr="00820FC2" w:rsidRDefault="00D56BD8" w:rsidP="00D56BD8">
      <w:pPr>
        <w:ind w:left="567" w:hanging="567"/>
        <w:jc w:val="both"/>
      </w:pPr>
      <w:r w:rsidRPr="00820FC2">
        <w:lastRenderedPageBreak/>
        <w:t xml:space="preserve">Zahroh. U. (2018). Penerapan Pembelajaran Berbasis Ethnomatika. </w:t>
      </w:r>
      <w:hyperlink r:id="rId35" w:history="1">
        <w:r w:rsidRPr="00820FC2">
          <w:rPr>
            <w:rStyle w:val="Hyperlink"/>
          </w:rPr>
          <w:t>http://blog.iain-tulungagung.ac.id/red-c/wp-content/uploads/sites/109/2018/04/RED-C_Penerapan-Pembelajaran-Etnomatematika.pdf</w:t>
        </w:r>
      </w:hyperlink>
    </w:p>
    <w:p w14:paraId="1AC33272" w14:textId="77777777" w:rsidR="00D56BD8" w:rsidRPr="00820FC2" w:rsidRDefault="00D56BD8" w:rsidP="00D56BD8"/>
    <w:p w14:paraId="4D7306AC" w14:textId="77777777" w:rsidR="00D56BD8" w:rsidRPr="00820FC2" w:rsidRDefault="00D56BD8" w:rsidP="00D56BD8">
      <w:pPr>
        <w:ind w:left="426" w:hanging="426"/>
        <w:jc w:val="both"/>
        <w:rPr>
          <w:rStyle w:val="Hyperlink"/>
        </w:rPr>
      </w:pPr>
      <w:r w:rsidRPr="00820FC2">
        <w:t xml:space="preserve">Zhang, C., Wijaya, T. T., Zhou, Y., Chen, J., &amp; Ning, Y. (2021). Ethnomathematics values in temple of Heaven: An imperial sacrificial altar in Beijing, China. </w:t>
      </w:r>
      <w:r w:rsidRPr="00820FC2">
        <w:rPr>
          <w:i/>
          <w:iCs/>
        </w:rPr>
        <w:t>Journal of Physics: Conference Series</w:t>
      </w:r>
      <w:r w:rsidRPr="00820FC2">
        <w:t xml:space="preserve">, </w:t>
      </w:r>
      <w:r w:rsidRPr="00820FC2">
        <w:rPr>
          <w:i/>
          <w:iCs/>
        </w:rPr>
        <w:t>2084</w:t>
      </w:r>
      <w:r w:rsidRPr="00820FC2">
        <w:t xml:space="preserve">(1). </w:t>
      </w:r>
      <w:hyperlink r:id="rId36" w:history="1">
        <w:r w:rsidRPr="00820FC2">
          <w:rPr>
            <w:rStyle w:val="Hyperlink"/>
          </w:rPr>
          <w:t>https://doi.org/10.1088/1742-6596/2084/1/012015</w:t>
        </w:r>
      </w:hyperlink>
    </w:p>
    <w:p w14:paraId="50D3C45B" w14:textId="77777777" w:rsidR="00D56BD8" w:rsidRPr="00820FC2" w:rsidRDefault="00D56BD8" w:rsidP="00D56BD8">
      <w:pPr>
        <w:ind w:left="426" w:hanging="426"/>
        <w:jc w:val="both"/>
        <w:rPr>
          <w:color w:val="0000FF"/>
          <w:u w:val="single"/>
        </w:rPr>
      </w:pPr>
    </w:p>
    <w:p w14:paraId="6720C906" w14:textId="77777777" w:rsidR="00D56BD8" w:rsidRPr="00820FC2" w:rsidRDefault="00D56BD8" w:rsidP="00D56BD8">
      <w:pPr>
        <w:ind w:left="426" w:hanging="426"/>
        <w:jc w:val="both"/>
        <w:rPr>
          <w:rStyle w:val="Hyperlink"/>
        </w:rPr>
      </w:pPr>
      <w:r w:rsidRPr="00820FC2">
        <w:t xml:space="preserve">Zahner, D., &amp; Corter, J. E. (2010). The process of probability problem solving: Use of external visual representations. </w:t>
      </w:r>
      <w:r w:rsidRPr="00820FC2">
        <w:rPr>
          <w:i/>
          <w:iCs/>
        </w:rPr>
        <w:t>Mathematical Thinking and Learning</w:t>
      </w:r>
      <w:r w:rsidRPr="00820FC2">
        <w:rPr>
          <w:color w:val="0000FF"/>
        </w:rPr>
        <w:t xml:space="preserve">. </w:t>
      </w:r>
      <w:hyperlink r:id="rId37" w:history="1">
        <w:r w:rsidRPr="00820FC2">
          <w:rPr>
            <w:rStyle w:val="Hyperlink"/>
          </w:rPr>
          <w:t>https://doi.org/10.1080/10986061003654240</w:t>
        </w:r>
      </w:hyperlink>
    </w:p>
    <w:p w14:paraId="1F934176" w14:textId="77777777" w:rsidR="00D56BD8" w:rsidRPr="00820FC2" w:rsidRDefault="00D56BD8" w:rsidP="00257E49">
      <w:pPr>
        <w:jc w:val="both"/>
      </w:pPr>
    </w:p>
    <w:p w14:paraId="6F430928" w14:textId="77777777" w:rsidR="00D56BD8" w:rsidRPr="00820FC2" w:rsidRDefault="00D56BD8" w:rsidP="00D56BD8">
      <w:pPr>
        <w:ind w:left="426" w:hanging="426"/>
        <w:jc w:val="both"/>
      </w:pPr>
      <w:r w:rsidRPr="00820FC2">
        <w:t xml:space="preserve">Wahyuni, A., Aji, A., Tias, W., &amp; Sani, B. (2013). P – 15 peran etnomatematika dalam membangun karakter bangsa. </w:t>
      </w:r>
      <w:r w:rsidRPr="00820FC2">
        <w:rPr>
          <w:i/>
          <w:iCs/>
        </w:rPr>
        <w:t>Prosiding</w:t>
      </w:r>
      <w:r w:rsidRPr="00820FC2">
        <w:t xml:space="preserve">, </w:t>
      </w:r>
      <w:r w:rsidRPr="00820FC2">
        <w:rPr>
          <w:i/>
          <w:iCs/>
        </w:rPr>
        <w:t>November</w:t>
      </w:r>
      <w:r w:rsidRPr="00820FC2">
        <w:t>, 978–979.</w:t>
      </w:r>
    </w:p>
    <w:p w14:paraId="79C333B2" w14:textId="77777777" w:rsidR="00D56BD8" w:rsidRPr="00820FC2" w:rsidRDefault="00D56BD8" w:rsidP="00D56BD8">
      <w:pPr>
        <w:ind w:left="426" w:hanging="426"/>
        <w:jc w:val="both"/>
      </w:pPr>
    </w:p>
    <w:p w14:paraId="2347DEFA" w14:textId="77777777" w:rsidR="00D56BD8" w:rsidRPr="00820FC2" w:rsidRDefault="00D56BD8" w:rsidP="00D56BD8">
      <w:pPr>
        <w:autoSpaceDE w:val="0"/>
        <w:autoSpaceDN w:val="0"/>
        <w:adjustRightInd w:val="0"/>
        <w:ind w:left="426" w:hanging="426"/>
        <w:jc w:val="both"/>
      </w:pPr>
    </w:p>
    <w:p w14:paraId="1741F517" w14:textId="77777777" w:rsidR="00D56BD8" w:rsidRPr="00820FC2" w:rsidRDefault="00D56BD8" w:rsidP="00D56BD8">
      <w:pPr>
        <w:autoSpaceDE w:val="0"/>
        <w:autoSpaceDN w:val="0"/>
        <w:adjustRightInd w:val="0"/>
        <w:ind w:left="426" w:hanging="426"/>
        <w:jc w:val="both"/>
      </w:pPr>
    </w:p>
    <w:p w14:paraId="586425C8" w14:textId="77777777" w:rsidR="00D56BD8" w:rsidRPr="00820FC2" w:rsidRDefault="00D56BD8" w:rsidP="00D56BD8">
      <w:pPr>
        <w:autoSpaceDE w:val="0"/>
        <w:autoSpaceDN w:val="0"/>
        <w:adjustRightInd w:val="0"/>
        <w:ind w:left="426" w:hanging="426"/>
        <w:jc w:val="both"/>
      </w:pPr>
    </w:p>
    <w:p w14:paraId="150A4CDD" w14:textId="77777777" w:rsidR="00D56BD8" w:rsidRPr="00820FC2" w:rsidRDefault="00D56BD8" w:rsidP="00D56BD8">
      <w:pPr>
        <w:autoSpaceDE w:val="0"/>
        <w:autoSpaceDN w:val="0"/>
        <w:adjustRightInd w:val="0"/>
        <w:ind w:left="426" w:hanging="426"/>
        <w:jc w:val="both"/>
      </w:pPr>
    </w:p>
    <w:p w14:paraId="473380A5" w14:textId="77777777" w:rsidR="00D56BD8" w:rsidRPr="00820FC2" w:rsidRDefault="00D56BD8" w:rsidP="00D56BD8">
      <w:pPr>
        <w:autoSpaceDE w:val="0"/>
        <w:autoSpaceDN w:val="0"/>
        <w:adjustRightInd w:val="0"/>
        <w:ind w:left="426" w:hanging="426"/>
        <w:jc w:val="both"/>
      </w:pPr>
    </w:p>
    <w:p w14:paraId="1DDB02ED" w14:textId="77777777" w:rsidR="00D56BD8" w:rsidRPr="00820FC2" w:rsidRDefault="00D56BD8" w:rsidP="00D56BD8">
      <w:pPr>
        <w:autoSpaceDE w:val="0"/>
        <w:autoSpaceDN w:val="0"/>
        <w:adjustRightInd w:val="0"/>
        <w:ind w:left="426" w:hanging="426"/>
        <w:jc w:val="both"/>
      </w:pPr>
    </w:p>
    <w:p w14:paraId="760BEE6C" w14:textId="77777777" w:rsidR="00D56BD8" w:rsidRPr="00820FC2" w:rsidRDefault="00D56BD8" w:rsidP="00D56BD8">
      <w:pPr>
        <w:autoSpaceDE w:val="0"/>
        <w:autoSpaceDN w:val="0"/>
        <w:adjustRightInd w:val="0"/>
        <w:ind w:left="426" w:hanging="426"/>
        <w:jc w:val="both"/>
      </w:pPr>
    </w:p>
    <w:p w14:paraId="42C6AB82" w14:textId="77777777" w:rsidR="00D56BD8" w:rsidRPr="00820FC2" w:rsidRDefault="00D56BD8" w:rsidP="00D56BD8">
      <w:pPr>
        <w:autoSpaceDE w:val="0"/>
        <w:autoSpaceDN w:val="0"/>
        <w:adjustRightInd w:val="0"/>
        <w:ind w:left="426" w:hanging="426"/>
        <w:jc w:val="both"/>
      </w:pPr>
    </w:p>
    <w:p w14:paraId="5AAE60E2" w14:textId="77777777" w:rsidR="00D56BD8" w:rsidRPr="00820FC2" w:rsidRDefault="00D56BD8" w:rsidP="00D56BD8">
      <w:pPr>
        <w:autoSpaceDE w:val="0"/>
        <w:autoSpaceDN w:val="0"/>
        <w:adjustRightInd w:val="0"/>
        <w:ind w:left="426" w:hanging="426"/>
        <w:jc w:val="both"/>
      </w:pPr>
    </w:p>
    <w:p w14:paraId="6EC7A2F4" w14:textId="77777777" w:rsidR="00D56BD8" w:rsidRPr="00820FC2" w:rsidRDefault="00D56BD8" w:rsidP="00D56BD8">
      <w:pPr>
        <w:autoSpaceDE w:val="0"/>
        <w:autoSpaceDN w:val="0"/>
        <w:adjustRightInd w:val="0"/>
        <w:ind w:left="426" w:hanging="426"/>
        <w:jc w:val="both"/>
      </w:pPr>
    </w:p>
    <w:p w14:paraId="7BC35735" w14:textId="77777777" w:rsidR="00D56BD8" w:rsidRPr="00820FC2" w:rsidRDefault="00D56BD8" w:rsidP="00D56BD8">
      <w:pPr>
        <w:autoSpaceDE w:val="0"/>
        <w:autoSpaceDN w:val="0"/>
        <w:adjustRightInd w:val="0"/>
        <w:ind w:left="426" w:hanging="426"/>
        <w:jc w:val="both"/>
      </w:pPr>
    </w:p>
    <w:p w14:paraId="0FF5941A" w14:textId="77777777" w:rsidR="00D56BD8" w:rsidRPr="00820FC2" w:rsidRDefault="00D56BD8" w:rsidP="00D56BD8">
      <w:pPr>
        <w:autoSpaceDE w:val="0"/>
        <w:autoSpaceDN w:val="0"/>
        <w:adjustRightInd w:val="0"/>
        <w:ind w:left="426" w:hanging="426"/>
        <w:jc w:val="both"/>
      </w:pPr>
    </w:p>
    <w:p w14:paraId="5B3F690F" w14:textId="77777777" w:rsidR="00D56BD8" w:rsidRPr="00820FC2" w:rsidRDefault="00D56BD8" w:rsidP="00D56BD8">
      <w:pPr>
        <w:autoSpaceDE w:val="0"/>
        <w:autoSpaceDN w:val="0"/>
        <w:adjustRightInd w:val="0"/>
        <w:ind w:left="426" w:hanging="426"/>
        <w:jc w:val="both"/>
      </w:pPr>
    </w:p>
    <w:p w14:paraId="2AAE4675" w14:textId="77777777" w:rsidR="00D56BD8" w:rsidRPr="00820FC2" w:rsidRDefault="00D56BD8" w:rsidP="00D56BD8">
      <w:pPr>
        <w:autoSpaceDE w:val="0"/>
        <w:autoSpaceDN w:val="0"/>
        <w:adjustRightInd w:val="0"/>
        <w:ind w:left="426" w:hanging="426"/>
        <w:jc w:val="both"/>
      </w:pPr>
    </w:p>
    <w:p w14:paraId="7AD1C074" w14:textId="77777777" w:rsidR="00D56BD8" w:rsidRPr="00820FC2" w:rsidRDefault="00D56BD8" w:rsidP="00D56BD8">
      <w:pPr>
        <w:autoSpaceDE w:val="0"/>
        <w:autoSpaceDN w:val="0"/>
        <w:adjustRightInd w:val="0"/>
        <w:ind w:left="426" w:hanging="426"/>
        <w:jc w:val="both"/>
      </w:pPr>
    </w:p>
    <w:p w14:paraId="5BD12D0E" w14:textId="77777777" w:rsidR="00D56BD8" w:rsidRPr="00820FC2" w:rsidRDefault="00D56BD8" w:rsidP="00D56BD8">
      <w:pPr>
        <w:autoSpaceDE w:val="0"/>
        <w:autoSpaceDN w:val="0"/>
        <w:adjustRightInd w:val="0"/>
        <w:ind w:left="426" w:hanging="426"/>
        <w:jc w:val="both"/>
      </w:pPr>
    </w:p>
    <w:p w14:paraId="02BA694D" w14:textId="77777777" w:rsidR="00D56BD8" w:rsidRPr="00820FC2" w:rsidRDefault="00D56BD8" w:rsidP="00D56BD8">
      <w:pPr>
        <w:autoSpaceDE w:val="0"/>
        <w:autoSpaceDN w:val="0"/>
        <w:adjustRightInd w:val="0"/>
        <w:ind w:left="426" w:hanging="426"/>
        <w:jc w:val="both"/>
      </w:pPr>
    </w:p>
    <w:p w14:paraId="44666213" w14:textId="77777777" w:rsidR="00D56BD8" w:rsidRPr="00820FC2" w:rsidRDefault="00D56BD8" w:rsidP="00D56BD8">
      <w:pPr>
        <w:autoSpaceDE w:val="0"/>
        <w:autoSpaceDN w:val="0"/>
        <w:adjustRightInd w:val="0"/>
        <w:ind w:left="426" w:hanging="426"/>
        <w:jc w:val="both"/>
      </w:pPr>
    </w:p>
    <w:p w14:paraId="4430BEED" w14:textId="77777777" w:rsidR="00B4579E" w:rsidRPr="00A71E9E" w:rsidRDefault="00B4579E" w:rsidP="00D56BD8">
      <w:pPr>
        <w:spacing w:line="360" w:lineRule="auto"/>
        <w:jc w:val="both"/>
        <w:rPr>
          <w:lang w:val="en-US"/>
        </w:rPr>
      </w:pPr>
    </w:p>
    <w:sectPr w:rsidR="00B4579E" w:rsidRPr="00A71E9E">
      <w:type w:val="continuous"/>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32B63" w14:textId="77777777" w:rsidR="00262DA4" w:rsidRDefault="00262DA4">
      <w:r>
        <w:separator/>
      </w:r>
    </w:p>
  </w:endnote>
  <w:endnote w:type="continuationSeparator" w:id="0">
    <w:p w14:paraId="25955A6D" w14:textId="77777777" w:rsidR="00262DA4" w:rsidRDefault="0026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voy">
    <w:altName w:val="Calibri"/>
    <w:charset w:val="00"/>
    <w:family w:val="auto"/>
    <w:pitch w:val="variable"/>
    <w:sig w:usb0="A00002FF" w:usb1="500000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Klee One"/>
    <w:charset w:val="80"/>
    <w:family w:val="auto"/>
    <w:pitch w:val="default"/>
    <w:sig w:usb0="00000000" w:usb1="00000000" w:usb2="00000010" w:usb3="00000000" w:csb0="00020008"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BA11B" w14:textId="77777777" w:rsidR="00262DA4" w:rsidRDefault="00262DA4">
      <w:r>
        <w:separator/>
      </w:r>
    </w:p>
  </w:footnote>
  <w:footnote w:type="continuationSeparator" w:id="0">
    <w:p w14:paraId="23BB3D62" w14:textId="77777777" w:rsidR="00262DA4" w:rsidRDefault="0026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9F7C" w14:textId="77777777" w:rsidR="009D757C" w:rsidRDefault="009D757C">
    <w:pPr>
      <w:pBdr>
        <w:top w:val="nil"/>
        <w:left w:val="nil"/>
        <w:bottom w:val="nil"/>
        <w:right w:val="nil"/>
        <w:between w:val="nil"/>
      </w:pBdr>
      <w:tabs>
        <w:tab w:val="center" w:pos="4320"/>
        <w:tab w:val="right" w:pos="8640"/>
      </w:tabs>
      <w:ind w:hanging="2"/>
      <w:jc w:val="right"/>
      <w:rPr>
        <w:rFonts w:ascii="Savoy" w:eastAsia="Savoy" w:hAnsi="Savoy" w:cs="Savoy"/>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47EC" w14:textId="77777777" w:rsidR="009D757C" w:rsidRDefault="009D757C">
    <w:pPr>
      <w:pBdr>
        <w:top w:val="nil"/>
        <w:left w:val="nil"/>
        <w:bottom w:val="nil"/>
        <w:right w:val="nil"/>
        <w:between w:val="nil"/>
      </w:pBdr>
      <w:tabs>
        <w:tab w:val="center" w:pos="4320"/>
        <w:tab w:val="right" w:pos="8640"/>
      </w:tabs>
      <w:ind w:hanging="2"/>
      <w:rPr>
        <w:sz w:val="20"/>
        <w:szCs w:val="20"/>
      </w:rPr>
    </w:pPr>
  </w:p>
  <w:p w14:paraId="5DB80126" w14:textId="77777777" w:rsidR="009D757C" w:rsidRDefault="009D757C">
    <w:pPr>
      <w:pBdr>
        <w:top w:val="nil"/>
        <w:left w:val="nil"/>
        <w:bottom w:val="nil"/>
        <w:right w:val="nil"/>
        <w:between w:val="nil"/>
      </w:pBdr>
      <w:tabs>
        <w:tab w:val="center" w:pos="4320"/>
        <w:tab w:val="right" w:pos="8640"/>
      </w:tabs>
      <w:ind w:hanging="2"/>
      <w:rPr>
        <w:rFonts w:ascii="Savoy" w:eastAsia="Savoy" w:hAnsi="Savoy" w:cs="Savoy"/>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6143B"/>
    <w:multiLevelType w:val="multilevel"/>
    <w:tmpl w:val="B2E8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A6173B"/>
    <w:multiLevelType w:val="multilevel"/>
    <w:tmpl w:val="B182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814D2"/>
    <w:multiLevelType w:val="multilevel"/>
    <w:tmpl w:val="C6E0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0D"/>
    <w:multiLevelType w:val="multilevel"/>
    <w:tmpl w:val="80F8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758493">
    <w:abstractNumId w:val="1"/>
  </w:num>
  <w:num w:numId="2" w16cid:durableId="1833984379">
    <w:abstractNumId w:val="2"/>
  </w:num>
  <w:num w:numId="3" w16cid:durableId="326247876">
    <w:abstractNumId w:val="3"/>
  </w:num>
  <w:num w:numId="4" w16cid:durableId="3324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E8"/>
    <w:rsid w:val="000B39AD"/>
    <w:rsid w:val="000D038F"/>
    <w:rsid w:val="000D4381"/>
    <w:rsid w:val="000E56AF"/>
    <w:rsid w:val="0011299A"/>
    <w:rsid w:val="00116937"/>
    <w:rsid w:val="0014052F"/>
    <w:rsid w:val="0014397D"/>
    <w:rsid w:val="002255B2"/>
    <w:rsid w:val="00257E49"/>
    <w:rsid w:val="00262DA4"/>
    <w:rsid w:val="00280007"/>
    <w:rsid w:val="00293930"/>
    <w:rsid w:val="002E064A"/>
    <w:rsid w:val="00325275"/>
    <w:rsid w:val="00343588"/>
    <w:rsid w:val="00366229"/>
    <w:rsid w:val="003A3820"/>
    <w:rsid w:val="003B1F2C"/>
    <w:rsid w:val="00433943"/>
    <w:rsid w:val="0043561A"/>
    <w:rsid w:val="00470675"/>
    <w:rsid w:val="00502100"/>
    <w:rsid w:val="0050387F"/>
    <w:rsid w:val="00541107"/>
    <w:rsid w:val="00584A27"/>
    <w:rsid w:val="00613765"/>
    <w:rsid w:val="006A5845"/>
    <w:rsid w:val="00730F99"/>
    <w:rsid w:val="0074157C"/>
    <w:rsid w:val="00764ECC"/>
    <w:rsid w:val="007B0590"/>
    <w:rsid w:val="0083757B"/>
    <w:rsid w:val="00854038"/>
    <w:rsid w:val="00880F60"/>
    <w:rsid w:val="00893C12"/>
    <w:rsid w:val="008A4769"/>
    <w:rsid w:val="008B5FA2"/>
    <w:rsid w:val="008F4D7F"/>
    <w:rsid w:val="00924C15"/>
    <w:rsid w:val="0095004A"/>
    <w:rsid w:val="00957A2F"/>
    <w:rsid w:val="00961BA7"/>
    <w:rsid w:val="009D757C"/>
    <w:rsid w:val="009E09EB"/>
    <w:rsid w:val="00A27690"/>
    <w:rsid w:val="00A60956"/>
    <w:rsid w:val="00A71E9E"/>
    <w:rsid w:val="00A8683C"/>
    <w:rsid w:val="00B4579E"/>
    <w:rsid w:val="00BE72CB"/>
    <w:rsid w:val="00BF32DC"/>
    <w:rsid w:val="00C26E11"/>
    <w:rsid w:val="00C35BC4"/>
    <w:rsid w:val="00C7323B"/>
    <w:rsid w:val="00C842E8"/>
    <w:rsid w:val="00D03317"/>
    <w:rsid w:val="00D0774C"/>
    <w:rsid w:val="00D3597E"/>
    <w:rsid w:val="00D56BD8"/>
    <w:rsid w:val="00DC74DB"/>
    <w:rsid w:val="00E0273A"/>
    <w:rsid w:val="00E1172B"/>
    <w:rsid w:val="00E123AC"/>
    <w:rsid w:val="00E33F6C"/>
    <w:rsid w:val="00E56625"/>
    <w:rsid w:val="00E75592"/>
    <w:rsid w:val="00E825F8"/>
    <w:rsid w:val="00EA7B7D"/>
    <w:rsid w:val="00F160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AAC"/>
  <w15:chartTrackingRefBased/>
  <w15:docId w15:val="{5C3463B6-2F21-F646-8ADE-7D5CB9E4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E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C842E8"/>
    <w:rPr>
      <w:color w:val="0000FF"/>
      <w:w w:val="100"/>
      <w:position w:val="-1"/>
      <w:u w:val="single"/>
      <w:effect w:val="none"/>
      <w:vertAlign w:val="baseline"/>
      <w:cs w:val="0"/>
      <w:em w:val="none"/>
    </w:rPr>
  </w:style>
  <w:style w:type="paragraph" w:customStyle="1" w:styleId="whitespace-pre-wrap">
    <w:name w:val="whitespace-pre-wrap"/>
    <w:basedOn w:val="Normal"/>
    <w:rsid w:val="00C842E8"/>
    <w:pPr>
      <w:spacing w:before="100" w:beforeAutospacing="1" w:after="100" w:afterAutospacing="1"/>
    </w:pPr>
  </w:style>
  <w:style w:type="character" w:styleId="CommentReference">
    <w:name w:val="annotation reference"/>
    <w:basedOn w:val="DefaultParagraphFont"/>
    <w:uiPriority w:val="99"/>
    <w:semiHidden/>
    <w:unhideWhenUsed/>
    <w:rsid w:val="00E1172B"/>
    <w:rPr>
      <w:sz w:val="16"/>
      <w:szCs w:val="16"/>
    </w:rPr>
  </w:style>
  <w:style w:type="paragraph" w:styleId="CommentText">
    <w:name w:val="annotation text"/>
    <w:basedOn w:val="Normal"/>
    <w:link w:val="CommentTextChar"/>
    <w:uiPriority w:val="99"/>
    <w:semiHidden/>
    <w:unhideWhenUsed/>
    <w:rsid w:val="00E1172B"/>
    <w:rPr>
      <w:sz w:val="20"/>
      <w:szCs w:val="20"/>
    </w:rPr>
  </w:style>
  <w:style w:type="character" w:customStyle="1" w:styleId="CommentTextChar">
    <w:name w:val="Comment Text Char"/>
    <w:basedOn w:val="DefaultParagraphFont"/>
    <w:link w:val="CommentText"/>
    <w:uiPriority w:val="99"/>
    <w:semiHidden/>
    <w:rsid w:val="00E117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72B"/>
    <w:rPr>
      <w:b/>
      <w:bCs/>
    </w:rPr>
  </w:style>
  <w:style w:type="character" w:customStyle="1" w:styleId="CommentSubjectChar">
    <w:name w:val="Comment Subject Char"/>
    <w:basedOn w:val="CommentTextChar"/>
    <w:link w:val="CommentSubject"/>
    <w:uiPriority w:val="99"/>
    <w:semiHidden/>
    <w:rsid w:val="00E1172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75592"/>
    <w:rPr>
      <w:color w:val="605E5C"/>
      <w:shd w:val="clear" w:color="auto" w:fill="E1DFDD"/>
    </w:rPr>
  </w:style>
  <w:style w:type="character" w:styleId="FollowedHyperlink">
    <w:name w:val="FollowedHyperlink"/>
    <w:basedOn w:val="DefaultParagraphFont"/>
    <w:uiPriority w:val="99"/>
    <w:semiHidden/>
    <w:unhideWhenUsed/>
    <w:rsid w:val="00E75592"/>
    <w:rPr>
      <w:color w:val="954F72" w:themeColor="followedHyperlink"/>
      <w:u w:val="single"/>
    </w:rPr>
  </w:style>
  <w:style w:type="paragraph" w:styleId="Footer">
    <w:name w:val="footer"/>
    <w:basedOn w:val="Normal"/>
    <w:link w:val="FooterChar"/>
    <w:uiPriority w:val="99"/>
    <w:unhideWhenUsed/>
    <w:rsid w:val="003B1F2C"/>
    <w:pPr>
      <w:tabs>
        <w:tab w:val="center" w:pos="4680"/>
        <w:tab w:val="right" w:pos="9360"/>
      </w:tabs>
    </w:pPr>
  </w:style>
  <w:style w:type="character" w:customStyle="1" w:styleId="FooterChar">
    <w:name w:val="Footer Char"/>
    <w:basedOn w:val="DefaultParagraphFont"/>
    <w:link w:val="Footer"/>
    <w:uiPriority w:val="99"/>
    <w:rsid w:val="003B1F2C"/>
    <w:rPr>
      <w:rFonts w:ascii="Times New Roman" w:eastAsia="Times New Roman" w:hAnsi="Times New Roman" w:cs="Times New Roman"/>
    </w:rPr>
  </w:style>
  <w:style w:type="paragraph" w:styleId="Header">
    <w:name w:val="header"/>
    <w:basedOn w:val="Normal"/>
    <w:link w:val="HeaderChar"/>
    <w:uiPriority w:val="99"/>
    <w:unhideWhenUsed/>
    <w:rsid w:val="003B1F2C"/>
    <w:pPr>
      <w:tabs>
        <w:tab w:val="center" w:pos="4680"/>
        <w:tab w:val="right" w:pos="9360"/>
      </w:tabs>
    </w:pPr>
  </w:style>
  <w:style w:type="character" w:customStyle="1" w:styleId="HeaderChar">
    <w:name w:val="Header Char"/>
    <w:basedOn w:val="DefaultParagraphFont"/>
    <w:link w:val="Header"/>
    <w:uiPriority w:val="99"/>
    <w:rsid w:val="003B1F2C"/>
    <w:rPr>
      <w:rFonts w:ascii="Times New Roman" w:eastAsia="Times New Roman" w:hAnsi="Times New Roman" w:cs="Times New Roman"/>
    </w:rPr>
  </w:style>
  <w:style w:type="paragraph" w:styleId="ListParagraph">
    <w:name w:val="List Paragraph"/>
    <w:aliases w:val="Body of text,List Paragraph1"/>
    <w:basedOn w:val="Normal"/>
    <w:link w:val="ListParagraphChar"/>
    <w:uiPriority w:val="34"/>
    <w:qFormat/>
    <w:rsid w:val="002E064A"/>
    <w:pPr>
      <w:spacing w:after="120" w:line="264" w:lineRule="auto"/>
      <w:ind w:left="720"/>
      <w:contextualSpacing/>
    </w:pPr>
    <w:rPr>
      <w:rFonts w:asciiTheme="minorHAnsi" w:eastAsiaTheme="minorEastAsia" w:hAnsiTheme="minorHAnsi" w:cstheme="minorBidi"/>
      <w:sz w:val="20"/>
      <w:szCs w:val="20"/>
      <w:lang w:val="id-ID"/>
    </w:rPr>
  </w:style>
  <w:style w:type="character" w:customStyle="1" w:styleId="ListParagraphChar">
    <w:name w:val="List Paragraph Char"/>
    <w:aliases w:val="Body of text Char,List Paragraph1 Char"/>
    <w:link w:val="ListParagraph"/>
    <w:uiPriority w:val="34"/>
    <w:locked/>
    <w:rsid w:val="002E064A"/>
    <w:rPr>
      <w:rFonts w:eastAsiaTheme="minorEastAsia"/>
      <w:sz w:val="20"/>
      <w:szCs w:val="20"/>
      <w:lang w:val="id-ID"/>
    </w:rPr>
  </w:style>
  <w:style w:type="paragraph" w:customStyle="1" w:styleId="Default">
    <w:name w:val="Default"/>
    <w:rsid w:val="00D56BD8"/>
    <w:pPr>
      <w:autoSpaceDE w:val="0"/>
      <w:autoSpaceDN w:val="0"/>
      <w:adjustRightInd w:val="0"/>
    </w:pPr>
    <w:rPr>
      <w:rFonts w:ascii="Times New Roman" w:eastAsiaTheme="minorEastAsia" w:hAnsi="Times New Roman" w:cs="Times New Roman"/>
      <w:color w:val="000000"/>
      <w:lang w:val="en-US"/>
    </w:rPr>
  </w:style>
  <w:style w:type="character" w:customStyle="1" w:styleId="value">
    <w:name w:val="value"/>
    <w:basedOn w:val="DefaultParagraphFont"/>
    <w:rsid w:val="00D56BD8"/>
  </w:style>
  <w:style w:type="character" w:customStyle="1" w:styleId="label">
    <w:name w:val="label"/>
    <w:basedOn w:val="DefaultParagraphFont"/>
    <w:rsid w:val="00D5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8357">
      <w:bodyDiv w:val="1"/>
      <w:marLeft w:val="0"/>
      <w:marRight w:val="0"/>
      <w:marTop w:val="0"/>
      <w:marBottom w:val="0"/>
      <w:divBdr>
        <w:top w:val="none" w:sz="0" w:space="0" w:color="auto"/>
        <w:left w:val="none" w:sz="0" w:space="0" w:color="auto"/>
        <w:bottom w:val="none" w:sz="0" w:space="0" w:color="auto"/>
        <w:right w:val="none" w:sz="0" w:space="0" w:color="auto"/>
      </w:divBdr>
    </w:div>
    <w:div w:id="13117381">
      <w:bodyDiv w:val="1"/>
      <w:marLeft w:val="0"/>
      <w:marRight w:val="0"/>
      <w:marTop w:val="0"/>
      <w:marBottom w:val="0"/>
      <w:divBdr>
        <w:top w:val="none" w:sz="0" w:space="0" w:color="auto"/>
        <w:left w:val="none" w:sz="0" w:space="0" w:color="auto"/>
        <w:bottom w:val="none" w:sz="0" w:space="0" w:color="auto"/>
        <w:right w:val="none" w:sz="0" w:space="0" w:color="auto"/>
      </w:divBdr>
    </w:div>
    <w:div w:id="38476789">
      <w:bodyDiv w:val="1"/>
      <w:marLeft w:val="0"/>
      <w:marRight w:val="0"/>
      <w:marTop w:val="0"/>
      <w:marBottom w:val="0"/>
      <w:divBdr>
        <w:top w:val="none" w:sz="0" w:space="0" w:color="auto"/>
        <w:left w:val="none" w:sz="0" w:space="0" w:color="auto"/>
        <w:bottom w:val="none" w:sz="0" w:space="0" w:color="auto"/>
        <w:right w:val="none" w:sz="0" w:space="0" w:color="auto"/>
      </w:divBdr>
      <w:divsChild>
        <w:div w:id="2013484141">
          <w:marLeft w:val="0"/>
          <w:marRight w:val="0"/>
          <w:marTop w:val="0"/>
          <w:marBottom w:val="0"/>
          <w:divBdr>
            <w:top w:val="none" w:sz="0" w:space="0" w:color="auto"/>
            <w:left w:val="none" w:sz="0" w:space="0" w:color="auto"/>
            <w:bottom w:val="none" w:sz="0" w:space="0" w:color="auto"/>
            <w:right w:val="none" w:sz="0" w:space="0" w:color="auto"/>
          </w:divBdr>
          <w:divsChild>
            <w:div w:id="1115254638">
              <w:marLeft w:val="0"/>
              <w:marRight w:val="0"/>
              <w:marTop w:val="0"/>
              <w:marBottom w:val="0"/>
              <w:divBdr>
                <w:top w:val="none" w:sz="0" w:space="0" w:color="auto"/>
                <w:left w:val="none" w:sz="0" w:space="0" w:color="auto"/>
                <w:bottom w:val="none" w:sz="0" w:space="0" w:color="auto"/>
                <w:right w:val="none" w:sz="0" w:space="0" w:color="auto"/>
              </w:divBdr>
              <w:divsChild>
                <w:div w:id="652836724">
                  <w:marLeft w:val="0"/>
                  <w:marRight w:val="0"/>
                  <w:marTop w:val="0"/>
                  <w:marBottom w:val="0"/>
                  <w:divBdr>
                    <w:top w:val="none" w:sz="0" w:space="0" w:color="auto"/>
                    <w:left w:val="none" w:sz="0" w:space="0" w:color="auto"/>
                    <w:bottom w:val="none" w:sz="0" w:space="0" w:color="auto"/>
                    <w:right w:val="none" w:sz="0" w:space="0" w:color="auto"/>
                  </w:divBdr>
                  <w:divsChild>
                    <w:div w:id="9694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5775">
          <w:marLeft w:val="0"/>
          <w:marRight w:val="0"/>
          <w:marTop w:val="0"/>
          <w:marBottom w:val="0"/>
          <w:divBdr>
            <w:top w:val="none" w:sz="0" w:space="0" w:color="auto"/>
            <w:left w:val="none" w:sz="0" w:space="0" w:color="auto"/>
            <w:bottom w:val="none" w:sz="0" w:space="0" w:color="auto"/>
            <w:right w:val="none" w:sz="0" w:space="0" w:color="auto"/>
          </w:divBdr>
          <w:divsChild>
            <w:div w:id="316881662">
              <w:marLeft w:val="0"/>
              <w:marRight w:val="0"/>
              <w:marTop w:val="0"/>
              <w:marBottom w:val="0"/>
              <w:divBdr>
                <w:top w:val="none" w:sz="0" w:space="0" w:color="auto"/>
                <w:left w:val="none" w:sz="0" w:space="0" w:color="auto"/>
                <w:bottom w:val="none" w:sz="0" w:space="0" w:color="auto"/>
                <w:right w:val="none" w:sz="0" w:space="0" w:color="auto"/>
              </w:divBdr>
              <w:divsChild>
                <w:div w:id="1591038502">
                  <w:marLeft w:val="0"/>
                  <w:marRight w:val="0"/>
                  <w:marTop w:val="0"/>
                  <w:marBottom w:val="0"/>
                  <w:divBdr>
                    <w:top w:val="none" w:sz="0" w:space="0" w:color="auto"/>
                    <w:left w:val="none" w:sz="0" w:space="0" w:color="auto"/>
                    <w:bottom w:val="none" w:sz="0" w:space="0" w:color="auto"/>
                    <w:right w:val="none" w:sz="0" w:space="0" w:color="auto"/>
                  </w:divBdr>
                  <w:divsChild>
                    <w:div w:id="17567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604">
      <w:bodyDiv w:val="1"/>
      <w:marLeft w:val="0"/>
      <w:marRight w:val="0"/>
      <w:marTop w:val="0"/>
      <w:marBottom w:val="0"/>
      <w:divBdr>
        <w:top w:val="none" w:sz="0" w:space="0" w:color="auto"/>
        <w:left w:val="none" w:sz="0" w:space="0" w:color="auto"/>
        <w:bottom w:val="none" w:sz="0" w:space="0" w:color="auto"/>
        <w:right w:val="none" w:sz="0" w:space="0" w:color="auto"/>
      </w:divBdr>
    </w:div>
    <w:div w:id="50927834">
      <w:bodyDiv w:val="1"/>
      <w:marLeft w:val="0"/>
      <w:marRight w:val="0"/>
      <w:marTop w:val="0"/>
      <w:marBottom w:val="0"/>
      <w:divBdr>
        <w:top w:val="none" w:sz="0" w:space="0" w:color="auto"/>
        <w:left w:val="none" w:sz="0" w:space="0" w:color="auto"/>
        <w:bottom w:val="none" w:sz="0" w:space="0" w:color="auto"/>
        <w:right w:val="none" w:sz="0" w:space="0" w:color="auto"/>
      </w:divBdr>
    </w:div>
    <w:div w:id="60910462">
      <w:bodyDiv w:val="1"/>
      <w:marLeft w:val="0"/>
      <w:marRight w:val="0"/>
      <w:marTop w:val="0"/>
      <w:marBottom w:val="0"/>
      <w:divBdr>
        <w:top w:val="none" w:sz="0" w:space="0" w:color="auto"/>
        <w:left w:val="none" w:sz="0" w:space="0" w:color="auto"/>
        <w:bottom w:val="none" w:sz="0" w:space="0" w:color="auto"/>
        <w:right w:val="none" w:sz="0" w:space="0" w:color="auto"/>
      </w:divBdr>
    </w:div>
    <w:div w:id="109473722">
      <w:bodyDiv w:val="1"/>
      <w:marLeft w:val="0"/>
      <w:marRight w:val="0"/>
      <w:marTop w:val="0"/>
      <w:marBottom w:val="0"/>
      <w:divBdr>
        <w:top w:val="none" w:sz="0" w:space="0" w:color="auto"/>
        <w:left w:val="none" w:sz="0" w:space="0" w:color="auto"/>
        <w:bottom w:val="none" w:sz="0" w:space="0" w:color="auto"/>
        <w:right w:val="none" w:sz="0" w:space="0" w:color="auto"/>
      </w:divBdr>
    </w:div>
    <w:div w:id="396324404">
      <w:bodyDiv w:val="1"/>
      <w:marLeft w:val="0"/>
      <w:marRight w:val="0"/>
      <w:marTop w:val="0"/>
      <w:marBottom w:val="0"/>
      <w:divBdr>
        <w:top w:val="none" w:sz="0" w:space="0" w:color="auto"/>
        <w:left w:val="none" w:sz="0" w:space="0" w:color="auto"/>
        <w:bottom w:val="none" w:sz="0" w:space="0" w:color="auto"/>
        <w:right w:val="none" w:sz="0" w:space="0" w:color="auto"/>
      </w:divBdr>
    </w:div>
    <w:div w:id="418411552">
      <w:bodyDiv w:val="1"/>
      <w:marLeft w:val="0"/>
      <w:marRight w:val="0"/>
      <w:marTop w:val="0"/>
      <w:marBottom w:val="0"/>
      <w:divBdr>
        <w:top w:val="none" w:sz="0" w:space="0" w:color="auto"/>
        <w:left w:val="none" w:sz="0" w:space="0" w:color="auto"/>
        <w:bottom w:val="none" w:sz="0" w:space="0" w:color="auto"/>
        <w:right w:val="none" w:sz="0" w:space="0" w:color="auto"/>
      </w:divBdr>
    </w:div>
    <w:div w:id="598684179">
      <w:bodyDiv w:val="1"/>
      <w:marLeft w:val="0"/>
      <w:marRight w:val="0"/>
      <w:marTop w:val="0"/>
      <w:marBottom w:val="0"/>
      <w:divBdr>
        <w:top w:val="none" w:sz="0" w:space="0" w:color="auto"/>
        <w:left w:val="none" w:sz="0" w:space="0" w:color="auto"/>
        <w:bottom w:val="none" w:sz="0" w:space="0" w:color="auto"/>
        <w:right w:val="none" w:sz="0" w:space="0" w:color="auto"/>
      </w:divBdr>
    </w:div>
    <w:div w:id="649481080">
      <w:bodyDiv w:val="1"/>
      <w:marLeft w:val="0"/>
      <w:marRight w:val="0"/>
      <w:marTop w:val="0"/>
      <w:marBottom w:val="0"/>
      <w:divBdr>
        <w:top w:val="none" w:sz="0" w:space="0" w:color="auto"/>
        <w:left w:val="none" w:sz="0" w:space="0" w:color="auto"/>
        <w:bottom w:val="none" w:sz="0" w:space="0" w:color="auto"/>
        <w:right w:val="none" w:sz="0" w:space="0" w:color="auto"/>
      </w:divBdr>
    </w:div>
    <w:div w:id="750810313">
      <w:bodyDiv w:val="1"/>
      <w:marLeft w:val="0"/>
      <w:marRight w:val="0"/>
      <w:marTop w:val="0"/>
      <w:marBottom w:val="0"/>
      <w:divBdr>
        <w:top w:val="none" w:sz="0" w:space="0" w:color="auto"/>
        <w:left w:val="none" w:sz="0" w:space="0" w:color="auto"/>
        <w:bottom w:val="none" w:sz="0" w:space="0" w:color="auto"/>
        <w:right w:val="none" w:sz="0" w:space="0" w:color="auto"/>
      </w:divBdr>
    </w:div>
    <w:div w:id="846990478">
      <w:bodyDiv w:val="1"/>
      <w:marLeft w:val="0"/>
      <w:marRight w:val="0"/>
      <w:marTop w:val="0"/>
      <w:marBottom w:val="0"/>
      <w:divBdr>
        <w:top w:val="none" w:sz="0" w:space="0" w:color="auto"/>
        <w:left w:val="none" w:sz="0" w:space="0" w:color="auto"/>
        <w:bottom w:val="none" w:sz="0" w:space="0" w:color="auto"/>
        <w:right w:val="none" w:sz="0" w:space="0" w:color="auto"/>
      </w:divBdr>
    </w:div>
    <w:div w:id="1010527700">
      <w:bodyDiv w:val="1"/>
      <w:marLeft w:val="0"/>
      <w:marRight w:val="0"/>
      <w:marTop w:val="0"/>
      <w:marBottom w:val="0"/>
      <w:divBdr>
        <w:top w:val="none" w:sz="0" w:space="0" w:color="auto"/>
        <w:left w:val="none" w:sz="0" w:space="0" w:color="auto"/>
        <w:bottom w:val="none" w:sz="0" w:space="0" w:color="auto"/>
        <w:right w:val="none" w:sz="0" w:space="0" w:color="auto"/>
      </w:divBdr>
    </w:div>
    <w:div w:id="1055007426">
      <w:bodyDiv w:val="1"/>
      <w:marLeft w:val="0"/>
      <w:marRight w:val="0"/>
      <w:marTop w:val="0"/>
      <w:marBottom w:val="0"/>
      <w:divBdr>
        <w:top w:val="none" w:sz="0" w:space="0" w:color="auto"/>
        <w:left w:val="none" w:sz="0" w:space="0" w:color="auto"/>
        <w:bottom w:val="none" w:sz="0" w:space="0" w:color="auto"/>
        <w:right w:val="none" w:sz="0" w:space="0" w:color="auto"/>
      </w:divBdr>
    </w:div>
    <w:div w:id="1145776552">
      <w:bodyDiv w:val="1"/>
      <w:marLeft w:val="0"/>
      <w:marRight w:val="0"/>
      <w:marTop w:val="0"/>
      <w:marBottom w:val="0"/>
      <w:divBdr>
        <w:top w:val="none" w:sz="0" w:space="0" w:color="auto"/>
        <w:left w:val="none" w:sz="0" w:space="0" w:color="auto"/>
        <w:bottom w:val="none" w:sz="0" w:space="0" w:color="auto"/>
        <w:right w:val="none" w:sz="0" w:space="0" w:color="auto"/>
      </w:divBdr>
      <w:divsChild>
        <w:div w:id="1160345627">
          <w:marLeft w:val="0"/>
          <w:marRight w:val="0"/>
          <w:marTop w:val="0"/>
          <w:marBottom w:val="0"/>
          <w:divBdr>
            <w:top w:val="none" w:sz="0" w:space="0" w:color="auto"/>
            <w:left w:val="none" w:sz="0" w:space="0" w:color="auto"/>
            <w:bottom w:val="none" w:sz="0" w:space="0" w:color="auto"/>
            <w:right w:val="none" w:sz="0" w:space="0" w:color="auto"/>
          </w:divBdr>
          <w:divsChild>
            <w:div w:id="530344349">
              <w:marLeft w:val="0"/>
              <w:marRight w:val="0"/>
              <w:marTop w:val="0"/>
              <w:marBottom w:val="0"/>
              <w:divBdr>
                <w:top w:val="none" w:sz="0" w:space="0" w:color="auto"/>
                <w:left w:val="none" w:sz="0" w:space="0" w:color="auto"/>
                <w:bottom w:val="none" w:sz="0" w:space="0" w:color="auto"/>
                <w:right w:val="none" w:sz="0" w:space="0" w:color="auto"/>
              </w:divBdr>
              <w:divsChild>
                <w:div w:id="17225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49387">
      <w:bodyDiv w:val="1"/>
      <w:marLeft w:val="0"/>
      <w:marRight w:val="0"/>
      <w:marTop w:val="0"/>
      <w:marBottom w:val="0"/>
      <w:divBdr>
        <w:top w:val="none" w:sz="0" w:space="0" w:color="auto"/>
        <w:left w:val="none" w:sz="0" w:space="0" w:color="auto"/>
        <w:bottom w:val="none" w:sz="0" w:space="0" w:color="auto"/>
        <w:right w:val="none" w:sz="0" w:space="0" w:color="auto"/>
      </w:divBdr>
    </w:div>
    <w:div w:id="1199665085">
      <w:bodyDiv w:val="1"/>
      <w:marLeft w:val="0"/>
      <w:marRight w:val="0"/>
      <w:marTop w:val="0"/>
      <w:marBottom w:val="0"/>
      <w:divBdr>
        <w:top w:val="none" w:sz="0" w:space="0" w:color="auto"/>
        <w:left w:val="none" w:sz="0" w:space="0" w:color="auto"/>
        <w:bottom w:val="none" w:sz="0" w:space="0" w:color="auto"/>
        <w:right w:val="none" w:sz="0" w:space="0" w:color="auto"/>
      </w:divBdr>
    </w:div>
    <w:div w:id="1209954510">
      <w:bodyDiv w:val="1"/>
      <w:marLeft w:val="0"/>
      <w:marRight w:val="0"/>
      <w:marTop w:val="0"/>
      <w:marBottom w:val="0"/>
      <w:divBdr>
        <w:top w:val="none" w:sz="0" w:space="0" w:color="auto"/>
        <w:left w:val="none" w:sz="0" w:space="0" w:color="auto"/>
        <w:bottom w:val="none" w:sz="0" w:space="0" w:color="auto"/>
        <w:right w:val="none" w:sz="0" w:space="0" w:color="auto"/>
      </w:divBdr>
    </w:div>
    <w:div w:id="1356079829">
      <w:bodyDiv w:val="1"/>
      <w:marLeft w:val="0"/>
      <w:marRight w:val="0"/>
      <w:marTop w:val="0"/>
      <w:marBottom w:val="0"/>
      <w:divBdr>
        <w:top w:val="none" w:sz="0" w:space="0" w:color="auto"/>
        <w:left w:val="none" w:sz="0" w:space="0" w:color="auto"/>
        <w:bottom w:val="none" w:sz="0" w:space="0" w:color="auto"/>
        <w:right w:val="none" w:sz="0" w:space="0" w:color="auto"/>
      </w:divBdr>
    </w:div>
    <w:div w:id="1435202968">
      <w:bodyDiv w:val="1"/>
      <w:marLeft w:val="0"/>
      <w:marRight w:val="0"/>
      <w:marTop w:val="0"/>
      <w:marBottom w:val="0"/>
      <w:divBdr>
        <w:top w:val="none" w:sz="0" w:space="0" w:color="auto"/>
        <w:left w:val="none" w:sz="0" w:space="0" w:color="auto"/>
        <w:bottom w:val="none" w:sz="0" w:space="0" w:color="auto"/>
        <w:right w:val="none" w:sz="0" w:space="0" w:color="auto"/>
      </w:divBdr>
    </w:div>
    <w:div w:id="1443912916">
      <w:bodyDiv w:val="1"/>
      <w:marLeft w:val="0"/>
      <w:marRight w:val="0"/>
      <w:marTop w:val="0"/>
      <w:marBottom w:val="0"/>
      <w:divBdr>
        <w:top w:val="none" w:sz="0" w:space="0" w:color="auto"/>
        <w:left w:val="none" w:sz="0" w:space="0" w:color="auto"/>
        <w:bottom w:val="none" w:sz="0" w:space="0" w:color="auto"/>
        <w:right w:val="none" w:sz="0" w:space="0" w:color="auto"/>
      </w:divBdr>
    </w:div>
    <w:div w:id="1594628285">
      <w:bodyDiv w:val="1"/>
      <w:marLeft w:val="0"/>
      <w:marRight w:val="0"/>
      <w:marTop w:val="0"/>
      <w:marBottom w:val="0"/>
      <w:divBdr>
        <w:top w:val="none" w:sz="0" w:space="0" w:color="auto"/>
        <w:left w:val="none" w:sz="0" w:space="0" w:color="auto"/>
        <w:bottom w:val="none" w:sz="0" w:space="0" w:color="auto"/>
        <w:right w:val="none" w:sz="0" w:space="0" w:color="auto"/>
      </w:divBdr>
    </w:div>
    <w:div w:id="1600019606">
      <w:bodyDiv w:val="1"/>
      <w:marLeft w:val="0"/>
      <w:marRight w:val="0"/>
      <w:marTop w:val="0"/>
      <w:marBottom w:val="0"/>
      <w:divBdr>
        <w:top w:val="none" w:sz="0" w:space="0" w:color="auto"/>
        <w:left w:val="none" w:sz="0" w:space="0" w:color="auto"/>
        <w:bottom w:val="none" w:sz="0" w:space="0" w:color="auto"/>
        <w:right w:val="none" w:sz="0" w:space="0" w:color="auto"/>
      </w:divBdr>
    </w:div>
    <w:div w:id="1802460639">
      <w:bodyDiv w:val="1"/>
      <w:marLeft w:val="0"/>
      <w:marRight w:val="0"/>
      <w:marTop w:val="0"/>
      <w:marBottom w:val="0"/>
      <w:divBdr>
        <w:top w:val="none" w:sz="0" w:space="0" w:color="auto"/>
        <w:left w:val="none" w:sz="0" w:space="0" w:color="auto"/>
        <w:bottom w:val="none" w:sz="0" w:space="0" w:color="auto"/>
        <w:right w:val="none" w:sz="0" w:space="0" w:color="auto"/>
      </w:divBdr>
      <w:divsChild>
        <w:div w:id="1258052325">
          <w:marLeft w:val="0"/>
          <w:marRight w:val="0"/>
          <w:marTop w:val="0"/>
          <w:marBottom w:val="0"/>
          <w:divBdr>
            <w:top w:val="none" w:sz="0" w:space="0" w:color="auto"/>
            <w:left w:val="none" w:sz="0" w:space="0" w:color="auto"/>
            <w:bottom w:val="none" w:sz="0" w:space="0" w:color="auto"/>
            <w:right w:val="none" w:sz="0" w:space="0" w:color="auto"/>
          </w:divBdr>
          <w:divsChild>
            <w:div w:id="170150425">
              <w:marLeft w:val="0"/>
              <w:marRight w:val="0"/>
              <w:marTop w:val="0"/>
              <w:marBottom w:val="0"/>
              <w:divBdr>
                <w:top w:val="none" w:sz="0" w:space="0" w:color="auto"/>
                <w:left w:val="none" w:sz="0" w:space="0" w:color="auto"/>
                <w:bottom w:val="none" w:sz="0" w:space="0" w:color="auto"/>
                <w:right w:val="none" w:sz="0" w:space="0" w:color="auto"/>
              </w:divBdr>
              <w:divsChild>
                <w:div w:id="2050253721">
                  <w:marLeft w:val="0"/>
                  <w:marRight w:val="0"/>
                  <w:marTop w:val="0"/>
                  <w:marBottom w:val="0"/>
                  <w:divBdr>
                    <w:top w:val="none" w:sz="0" w:space="0" w:color="auto"/>
                    <w:left w:val="none" w:sz="0" w:space="0" w:color="auto"/>
                    <w:bottom w:val="none" w:sz="0" w:space="0" w:color="auto"/>
                    <w:right w:val="none" w:sz="0" w:space="0" w:color="auto"/>
                  </w:divBdr>
                  <w:divsChild>
                    <w:div w:id="20311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5565">
          <w:marLeft w:val="0"/>
          <w:marRight w:val="0"/>
          <w:marTop w:val="0"/>
          <w:marBottom w:val="0"/>
          <w:divBdr>
            <w:top w:val="none" w:sz="0" w:space="0" w:color="auto"/>
            <w:left w:val="none" w:sz="0" w:space="0" w:color="auto"/>
            <w:bottom w:val="none" w:sz="0" w:space="0" w:color="auto"/>
            <w:right w:val="none" w:sz="0" w:space="0" w:color="auto"/>
          </w:divBdr>
          <w:divsChild>
            <w:div w:id="2047485766">
              <w:marLeft w:val="0"/>
              <w:marRight w:val="0"/>
              <w:marTop w:val="0"/>
              <w:marBottom w:val="0"/>
              <w:divBdr>
                <w:top w:val="none" w:sz="0" w:space="0" w:color="auto"/>
                <w:left w:val="none" w:sz="0" w:space="0" w:color="auto"/>
                <w:bottom w:val="none" w:sz="0" w:space="0" w:color="auto"/>
                <w:right w:val="none" w:sz="0" w:space="0" w:color="auto"/>
              </w:divBdr>
              <w:divsChild>
                <w:div w:id="24719737">
                  <w:marLeft w:val="0"/>
                  <w:marRight w:val="0"/>
                  <w:marTop w:val="0"/>
                  <w:marBottom w:val="0"/>
                  <w:divBdr>
                    <w:top w:val="none" w:sz="0" w:space="0" w:color="auto"/>
                    <w:left w:val="none" w:sz="0" w:space="0" w:color="auto"/>
                    <w:bottom w:val="none" w:sz="0" w:space="0" w:color="auto"/>
                    <w:right w:val="none" w:sz="0" w:space="0" w:color="auto"/>
                  </w:divBdr>
                  <w:divsChild>
                    <w:div w:id="7940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2209">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
    <w:div w:id="2039964830">
      <w:bodyDiv w:val="1"/>
      <w:marLeft w:val="0"/>
      <w:marRight w:val="0"/>
      <w:marTop w:val="0"/>
      <w:marBottom w:val="0"/>
      <w:divBdr>
        <w:top w:val="none" w:sz="0" w:space="0" w:color="auto"/>
        <w:left w:val="none" w:sz="0" w:space="0" w:color="auto"/>
        <w:bottom w:val="none" w:sz="0" w:space="0" w:color="auto"/>
        <w:right w:val="none" w:sz="0" w:space="0" w:color="auto"/>
      </w:divBdr>
    </w:div>
    <w:div w:id="2046060679">
      <w:bodyDiv w:val="1"/>
      <w:marLeft w:val="0"/>
      <w:marRight w:val="0"/>
      <w:marTop w:val="0"/>
      <w:marBottom w:val="0"/>
      <w:divBdr>
        <w:top w:val="none" w:sz="0" w:space="0" w:color="auto"/>
        <w:left w:val="none" w:sz="0" w:space="0" w:color="auto"/>
        <w:bottom w:val="none" w:sz="0" w:space="0" w:color="auto"/>
        <w:right w:val="none" w:sz="0" w:space="0" w:color="auto"/>
      </w:divBdr>
    </w:div>
    <w:div w:id="20962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sitory.uinjambi.ac.id/4379/" TargetMode="External"/><Relationship Id="rId18" Type="http://schemas.openxmlformats.org/officeDocument/2006/relationships/hyperlink" Target="https://doi.org/10.1016/j.jmathb.2020.100824" TargetMode="External"/><Relationship Id="rId26" Type="http://schemas.openxmlformats.org/officeDocument/2006/relationships/hyperlink" Target="https://pakguru.co.id/syarat-uji-independent-t-test/" TargetMode="External"/><Relationship Id="rId39" Type="http://schemas.openxmlformats.org/officeDocument/2006/relationships/theme" Target="theme/theme1.xml"/><Relationship Id="rId21" Type="http://schemas.openxmlformats.org/officeDocument/2006/relationships/hyperlink" Target="https://doi.org/10.1007/s11858-017-0874-4" TargetMode="External"/><Relationship Id="rId34" Type="http://schemas.openxmlformats.org/officeDocument/2006/relationships/hyperlink" Target="https://doi.org/10.24246/j.scholaria.2017.v7.i1.p60-6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mstat.org/publications/jse/v10-n3/delmas_discussion.html" TargetMode="External"/><Relationship Id="rId25" Type="http://schemas.openxmlformats.org/officeDocument/2006/relationships/hyperlink" Target="https://doi.org/10.37058/jp3m.v3i1.197" TargetMode="External"/><Relationship Id="rId33" Type="http://schemas.openxmlformats.org/officeDocument/2006/relationships/hyperlink" Target="https://doi.org/10.47530/edulead.v1i1.1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stat.-org/publications%20/jse/%20v10n3/chance.html" TargetMode="External"/><Relationship Id="rId20" Type="http://schemas.openxmlformats.org/officeDocument/2006/relationships/hyperlink" Target="http://dx.doi.org/10.23960/jmmp.v8.i2.202005" TargetMode="External"/><Relationship Id="rId29" Type="http://schemas.openxmlformats.org/officeDocument/2006/relationships/hyperlink" Target="https://doi.org/10.26740/mathedunesa.v1n1.p%25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journal.an-nur.ac.id/index.php/ALF" TargetMode="External"/><Relationship Id="rId32" Type="http://schemas.openxmlformats.org/officeDocument/2006/relationships/hyperlink" Target="https://dx.doi.org/10.33603/jnpm.v3i1.1468" TargetMode="External"/><Relationship Id="rId37" Type="http://schemas.openxmlformats.org/officeDocument/2006/relationships/hyperlink" Target="https://doi.org/10.1080/10986061003654240" TargetMode="External"/><Relationship Id="rId5" Type="http://schemas.openxmlformats.org/officeDocument/2006/relationships/webSettings" Target="webSettings.xml"/><Relationship Id="rId15" Type="http://schemas.openxmlformats.org/officeDocument/2006/relationships/hyperlink" Target="https://www.stat.auckland.ac.nz/~iase/publications/17/6G3_BUDE.pdf" TargetMode="External"/><Relationship Id="rId23" Type="http://schemas.openxmlformats.org/officeDocument/2006/relationships/hyperlink" Target="https://doi.org/10.24832/jpnk.v20i4.156" TargetMode="External"/><Relationship Id="rId28" Type="http://schemas.openxmlformats.org/officeDocument/2006/relationships/hyperlink" Target="https://doi.org/10.26740/jptt.v7n1.p43-49" TargetMode="External"/><Relationship Id="rId36" Type="http://schemas.openxmlformats.org/officeDocument/2006/relationships/hyperlink" Target="https://doi.org/10.1088/1742-6596/2084/1/012015" TargetMode="External"/><Relationship Id="rId10" Type="http://schemas.openxmlformats.org/officeDocument/2006/relationships/hyperlink" Target="https://www.elsevier.com/authors/policies-and-guidelines/credit-author-statement" TargetMode="External"/><Relationship Id="rId19" Type="http://schemas.openxmlformats.org/officeDocument/2006/relationships/hyperlink" Target="https://doi.org/10.5035/pjme.v10i2.2741" TargetMode="External"/><Relationship Id="rId31" Type="http://schemas.openxmlformats.org/officeDocument/2006/relationships/hyperlink" Target="https://doi.org/10.54124/jlmp.v18i1.12" TargetMode="External"/><Relationship Id="rId4" Type="http://schemas.openxmlformats.org/officeDocument/2006/relationships/settings" Target="settings.xml"/><Relationship Id="rId9" Type="http://schemas.openxmlformats.org/officeDocument/2006/relationships/hyperlink" Target="https://scholar.google.com/citations?hl=id&amp;user=Zb3UjxMAAAAJ" TargetMode="External"/><Relationship Id="rId14" Type="http://schemas.openxmlformats.org/officeDocument/2006/relationships/hyperlink" Target="https://doi.org/10.23969/pjme.v11i2.4529" TargetMode="External"/><Relationship Id="rId22" Type="http://schemas.openxmlformats.org/officeDocument/2006/relationships/hyperlink" Target="https://doi.org/10.46306/lb.v2i2.81" TargetMode="External"/><Relationship Id="rId27" Type="http://schemas.openxmlformats.org/officeDocument/2006/relationships/hyperlink" Target="http://doi.org/10.24042/IJSME.V2I1.3975" TargetMode="External"/><Relationship Id="rId30" Type="http://schemas.openxmlformats.org/officeDocument/2006/relationships/hyperlink" Target="http://www.amsat.org/publicatins/jse/v10n3/rumsey2.html" TargetMode="External"/><Relationship Id="rId35" Type="http://schemas.openxmlformats.org/officeDocument/2006/relationships/hyperlink" Target="http://blog.iain-tulungagung.ac.id/red-c/wp-content/uploads/sites/109/2018/04/RED-C_Penerapan-Pembelajaran-Etnomatematika.pdf" TargetMode="External"/><Relationship Id="rId8" Type="http://schemas.openxmlformats.org/officeDocument/2006/relationships/hyperlink" Target="https://sinta.kemdikbud.go.id/authors/profile/6650831/?view=research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3DFD-476A-4B93-9B1F-23935959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5961</Words>
  <Characters>33980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Psikopedagogia</dc:creator>
  <cp:keywords/>
  <dc:description/>
  <cp:lastModifiedBy>Chandra Siti Suminar</cp:lastModifiedBy>
  <cp:revision>9</cp:revision>
  <dcterms:created xsi:type="dcterms:W3CDTF">2024-06-01T12:42:00Z</dcterms:created>
  <dcterms:modified xsi:type="dcterms:W3CDTF">2024-10-08T23:03:00Z</dcterms:modified>
</cp:coreProperties>
</file>