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3706" w14:textId="77777777" w:rsidR="003E1178" w:rsidRPr="00955064" w:rsidRDefault="003E1178" w:rsidP="003E1178">
      <w:pPr>
        <w:pStyle w:val="Heading1"/>
        <w:spacing w:after="480" w:line="360" w:lineRule="auto"/>
        <w:ind w:left="0" w:firstLine="0"/>
        <w:rPr>
          <w:b w:val="0"/>
          <w:bCs w:val="0"/>
          <w:sz w:val="24"/>
        </w:rPr>
      </w:pPr>
      <w:bookmarkStart w:id="0" w:name="_Toc177818233"/>
      <w:r w:rsidRPr="00955064">
        <w:rPr>
          <w:sz w:val="24"/>
        </w:rPr>
        <w:t>BAB II</w:t>
      </w:r>
      <w:bookmarkEnd w:id="0"/>
    </w:p>
    <w:p w14:paraId="6E65D025" w14:textId="77777777" w:rsidR="003E1178" w:rsidRPr="00955064" w:rsidRDefault="003E1178" w:rsidP="003E1178">
      <w:pPr>
        <w:pStyle w:val="Heading1"/>
        <w:spacing w:after="480" w:line="360" w:lineRule="auto"/>
        <w:ind w:left="0" w:firstLine="0"/>
        <w:rPr>
          <w:b w:val="0"/>
          <w:bCs w:val="0"/>
          <w:sz w:val="24"/>
        </w:rPr>
      </w:pPr>
      <w:bookmarkStart w:id="1" w:name="_Toc177818234"/>
      <w:r w:rsidRPr="00955064">
        <w:rPr>
          <w:sz w:val="24"/>
        </w:rPr>
        <w:t>TINJAUAN PUSTAKA</w:t>
      </w:r>
      <w:bookmarkEnd w:id="1"/>
    </w:p>
    <w:p w14:paraId="52EF1C04" w14:textId="77777777" w:rsidR="003E1178" w:rsidRDefault="003E1178" w:rsidP="003E1178">
      <w:pPr>
        <w:pStyle w:val="ListParagraph"/>
        <w:numPr>
          <w:ilvl w:val="1"/>
          <w:numId w:val="25"/>
        </w:numPr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Toc177818235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r w:rsidRPr="0095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t>Literatur</w:t>
      </w:r>
      <w:bookmarkEnd w:id="2"/>
      <w:proofErr w:type="spellEnd"/>
    </w:p>
    <w:p w14:paraId="3A12B9F8" w14:textId="77777777" w:rsidR="003E1178" w:rsidRPr="008C466E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8C466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66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 w:rsidRPr="008C466E">
        <w:rPr>
          <w:rFonts w:ascii="Times New Roman" w:hAnsi="Times New Roman" w:cs="Times New Roman"/>
          <w:sz w:val="24"/>
          <w:szCs w:val="24"/>
        </w:rPr>
        <w:t xml:space="preserve"> Net-Zero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Emmision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4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karenanya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peneliti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mencoba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merujuk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kepada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beberapa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terkait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adanya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beberapa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rujukan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kiranya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kotribusi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melengkapi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dan juga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referensi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penulis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sehingga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dapat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membuat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8C466E">
        <w:rPr>
          <w:rFonts w:ascii="Times New Roman" w:hAnsi="Times New Roman" w:cs="Times New Roman"/>
          <w:sz w:val="24"/>
          <w:szCs w:val="24"/>
          <w:lang w:val="es-ES"/>
        </w:rPr>
        <w:t>baik</w:t>
      </w:r>
      <w:proofErr w:type="spellEnd"/>
      <w:r w:rsidRPr="008C466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B7523E0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>Literatur</w:t>
      </w:r>
      <w:proofErr w:type="spellEnd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>pertama</w:t>
      </w:r>
      <w:proofErr w:type="spellEnd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" </w:t>
      </w:r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Green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diplomacy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as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an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effort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by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Indonesian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government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Realizing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Net Zero </w:t>
      </w:r>
      <w:proofErr w:type="spellStart"/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>Emission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(NZE) in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year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2060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”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ditulis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Haryo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Prasodjo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tentang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konsumsi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terbesar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ASEAN,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mewujudkan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net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zero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(NZE) pada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tahun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2060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diplomasi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menggunakan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metode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deskriptif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kualitatif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literatur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hasil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tulisan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dilakukan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yaitu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eksternal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Isu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menjadi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fokus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global,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mulai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pola cuaca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mengancam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produksi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pangan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hingga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kenaikan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permukaan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air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laut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meningkatkan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risiko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bencana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banjir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bencana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lainnya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mengancam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kehidupan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makhluk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hidup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mempunyai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cakupan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global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skala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belum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pernah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terjadi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sebelumnya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sehingga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menjadi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fokus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eksternal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dalampenelitiannya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dilakukan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menjalin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hubungan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kerja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sama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beberapa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mitra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memperoleh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pendanaan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investasi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transfer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ramah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lastRenderedPageBreak/>
        <w:t>lingkungan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industri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Sedangkan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berupa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lintas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implementasi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NZE 2060.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dapat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mewujudkan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NZE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tanpa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dukungan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harmonisasi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ada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negeri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Prasodjo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2023). </w:t>
      </w:r>
    </w:p>
    <w:p w14:paraId="57EE3ED6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2A7B48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  <w:r w:rsidRPr="002A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</w:rPr>
        <w:t>kedua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Sabila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Syarifa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Qalbie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B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r w:rsidRPr="002A7B48">
        <w:rPr>
          <w:rFonts w:ascii="Times New Roman" w:hAnsi="Times New Roman" w:cs="Times New Roman"/>
          <w:i/>
          <w:iCs/>
          <w:sz w:val="24"/>
          <w:szCs w:val="24"/>
        </w:rPr>
        <w:t xml:space="preserve">The Opportunity to Achieve </w:t>
      </w:r>
      <w:r w:rsidRPr="008255F3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2A7B48">
        <w:rPr>
          <w:rFonts w:ascii="Times New Roman" w:hAnsi="Times New Roman" w:cs="Times New Roman"/>
          <w:i/>
          <w:iCs/>
          <w:sz w:val="24"/>
          <w:szCs w:val="24"/>
        </w:rPr>
        <w:t>s in Indonesia Through Green Economy Implementation to Address Climate Change</w:t>
      </w:r>
      <w:r w:rsidRPr="002A7B48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mengeksplorasi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potensi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penerapan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nol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mengatasi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secara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efektif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menggunakan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kualitatif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memanfaatkan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tinjauan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literatur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kasus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penerapan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sektor-sektor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penting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perekonomian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penelitannya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menunjukkan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mempunyai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potensi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besar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mengadopsi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Namun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ada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beberapa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menghambat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keberhasilan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penerapan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Indonesia.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wawasan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berharga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potensi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nol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bersih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Pemerintah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menjalin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beberapa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kemitraan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kolaboratif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lastRenderedPageBreak/>
        <w:t>melibatkan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berbagai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kementerian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Republik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Indonesia,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pemangku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kepentingan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negeri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Qalbie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&amp;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Rahmaniah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2023). </w:t>
      </w:r>
    </w:p>
    <w:p w14:paraId="69ED7853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2A7B48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  <w:r w:rsidRPr="002A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</w:rPr>
        <w:t>ketiga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oleh Benjamin K.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Sovacool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, Dylan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Furszyfer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Del Rio dan Weimin Zhang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B4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2A7B48">
        <w:rPr>
          <w:rFonts w:ascii="Times New Roman" w:hAnsi="Times New Roman" w:cs="Times New Roman"/>
          <w:i/>
          <w:iCs/>
          <w:sz w:val="24"/>
          <w:szCs w:val="24"/>
        </w:rPr>
        <w:t xml:space="preserve"> political economy of net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A7B48">
        <w:rPr>
          <w:rFonts w:ascii="Times New Roman" w:hAnsi="Times New Roman" w:cs="Times New Roman"/>
          <w:i/>
          <w:iCs/>
          <w:sz w:val="24"/>
          <w:szCs w:val="24"/>
        </w:rPr>
        <w:t>zero transitions: Policy drivers, barriers, and justice benefits to decarbonization in eight carbon-neutral countries</w:t>
      </w:r>
      <w:r w:rsidRPr="002A7B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dekarbonisasi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2021/2022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</w:rPr>
        <w:t xml:space="preserve"> net-zero. 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Negara-negara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Bhutan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Suriname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Panama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Guyana,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Komoro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Gabon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Madagaskar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Niue.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mereka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menggunakan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metode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analitis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tinjauan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literatur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interdisipliner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sistematis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terintegrasi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tematik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masing-masing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mengkaji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faktor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pendorong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motivasi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balik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kemajuan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net-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zero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termasuk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timeline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kejadiannya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hambatan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harus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diatasi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;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manfaat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dekarbonisasi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kesetaraan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Tujuan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utama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memperluas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basis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bukti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rendah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luar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negara-negara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Barat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Terpelajar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Industrialisasi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Demokrasi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WEIRD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sering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terlalu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banyak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diteliti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menawarkan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data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empiris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baru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strategi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nyata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mengkaji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delapan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pertama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keberhasilan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net-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zero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era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modern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Sovacool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>., 2023).</w:t>
      </w:r>
    </w:p>
    <w:p w14:paraId="562DE729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Tambahannya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menemukan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kedelapan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menggunakan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gabungan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sembilan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intervensi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serupa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melibatkan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penggunaan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pengelolaan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limbah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Hambatan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umum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dihadapi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mencakup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kerentanan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peristiwa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lastRenderedPageBreak/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ekstrem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bencana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misalnya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tanah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longsor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banjir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degradasi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ekosistem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misalnya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pengasaman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laut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erosi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pantai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hilangnya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hutan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Terlepas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hambatan-hambatan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net-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zero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positif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kepada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terpinggirkan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distribusi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manfaat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adil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memitigasi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buruk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kesehatan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mengurangi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kesenjangan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khususnya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wilayah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berpenghasilan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rendah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Sovacool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., 2023). </w:t>
      </w:r>
    </w:p>
    <w:p w14:paraId="3A09F606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b/>
          <w:bCs/>
          <w:sz w:val="24"/>
          <w:szCs w:val="24"/>
          <w:lang w:val="es-ES"/>
        </w:rPr>
        <w:t>selanjutnya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berjudul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Environment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and natural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resources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degradation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under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COVID-19 crises: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Recovery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post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pandemic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ditulis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Jiaqi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Li,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Yushan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Li,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Ziqi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Zheng,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Xiaoyu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Si.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kajian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menjelaskan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Stabilitas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meningkat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selama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pandemi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COVID-19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ketika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aktivitas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produksi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industri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proses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penipisan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terhenti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selama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lockdown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seluruh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namun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berdasarkan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penilaian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COP26 dan COP27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baru-baru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degradasi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meningkat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pascapandemi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karena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para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pembuat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kembali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memfokuskan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perhatian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mereka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faktor-faktor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penentu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CO2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perekonomian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karena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menyelidiki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hubungan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antara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termasuk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minyak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rente mineral, dan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bara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negara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berpendapatan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menengah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ke atas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tahun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1984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hingga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2021.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memasukkan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pertumbuhan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faktor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penentu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tambahan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menyajikan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metode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deret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waktu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terperinci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membantu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memeriksa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karakteristik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variabel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dimodelkan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yaitu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ADF dan ADF-GLS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akar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variabel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data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mempertimbangkan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stasioneritasnya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kointegrasi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Johansen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kointegrasi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lastRenderedPageBreak/>
        <w:t>jangka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panjang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antar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variabel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FMOLS, DOLS dan CCR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elastisitas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jangka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panjang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antara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variabel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dependen dan independen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uji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kausalitas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Granger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berbagai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metode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(Li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., 2023). </w:t>
      </w:r>
    </w:p>
    <w:p w14:paraId="2B300DC3" w14:textId="77777777" w:rsidR="003E1178" w:rsidRPr="002A7B4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Robustness</w:t>
      </w:r>
      <w:proofErr w:type="spellEnd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i/>
          <w:iCs/>
          <w:sz w:val="24"/>
          <w:szCs w:val="24"/>
          <w:lang w:val="es-ES"/>
        </w:rPr>
        <w:t>Check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dilakukan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non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parametrik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regresi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kuantil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regresi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strong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Hasil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menunjukkan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dua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yaitu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minyak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rente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batubara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mempunyai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buruk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keduanya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bersifat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positif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signifikan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Sebaliknya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mineral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memiliki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signifikansi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statistik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negara-negara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berpendapatan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menengah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ke atas.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Selain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pertumbuhan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berdampak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positif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signifikan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Analisis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kausalitas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Granger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menyatakan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kecuali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sewa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mineral,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pertumbuhan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semuanya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menyebabkan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CO2,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umpan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baliknya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benar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Temuan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relevan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cocok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pembuat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negara-negara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berpendapatan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menengah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ke atas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memastikan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kelestarian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di negara-negara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berpendapatan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menengah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ke atas (Li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., 2023). </w:t>
      </w:r>
    </w:p>
    <w:p w14:paraId="6D8CB38D" w14:textId="77777777" w:rsidR="003E1178" w:rsidRPr="00985C6E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>Selanjutnya</w:t>
      </w:r>
      <w:proofErr w:type="spellEnd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</w:t>
      </w:r>
      <w:proofErr w:type="spellEnd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</w:t>
      </w:r>
      <w:proofErr w:type="spellEnd"/>
      <w:r w:rsidRPr="00985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 lima</w:t>
      </w:r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oleh Ken Oshiro dan Shinichiro Fujimori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C6E">
        <w:rPr>
          <w:rFonts w:ascii="Times New Roman" w:hAnsi="Times New Roman" w:cs="Times New Roman"/>
          <w:i/>
          <w:iCs/>
          <w:sz w:val="24"/>
          <w:szCs w:val="24"/>
          <w:lang w:val="en-US"/>
        </w:rPr>
        <w:t>Mid-century net-zero emissions pathways for Japan: Potential roles of global mitigation scenarios in informing national decarbonization strategies</w:t>
      </w:r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. Dalam penelitian ini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2050.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target ini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penghilangan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dioksida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(CDR). Selain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mitigasi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dalam negeri,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impor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bahan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hidrogen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dan synfuel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lastRenderedPageBreak/>
        <w:t>mencapai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net-zero di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tindakantindakan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global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berpotensi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diinformasikan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oleh model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global,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 tidak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dipertimbangkan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ini. Studi ini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mengeksplorasi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2050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menggunakan model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global. Kami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elektrifikasi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100 Mt-CO 2 atau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CO 2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 per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CDR,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setara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, sangat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net-zero.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bahan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hidrogen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di dalam negeri dan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ketergantungan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pada CDR (Oshiro &amp; Fujimori, 2024). </w:t>
      </w:r>
    </w:p>
    <w:p w14:paraId="49D10D87" w14:textId="77777777" w:rsidR="003E117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Oshiro dan Fujimori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menerangkan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impor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pembawa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hidrogen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impor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melebihi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impor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bahan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fosil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C6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85C6E">
        <w:rPr>
          <w:rFonts w:ascii="Times New Roman" w:hAnsi="Times New Roman" w:cs="Times New Roman"/>
          <w:sz w:val="24"/>
          <w:szCs w:val="24"/>
          <w:lang w:val="en-US"/>
        </w:rPr>
        <w:t xml:space="preserve"> ini.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Selain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ketergantungan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impor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sekitar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50%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skenario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bergantung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impor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hidrogen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Studi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menyoroti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mempertimbangkan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perdagangan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ketika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mengembangkan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skenario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nol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bersih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nasional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menjelaskan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potensi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baru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model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global (</w:t>
      </w:r>
      <w:proofErr w:type="spellStart"/>
      <w:r w:rsidRPr="002A7B48">
        <w:rPr>
          <w:rFonts w:ascii="Times New Roman" w:hAnsi="Times New Roman" w:cs="Times New Roman"/>
          <w:sz w:val="24"/>
          <w:szCs w:val="24"/>
          <w:lang w:val="es-ES"/>
        </w:rPr>
        <w:t>Oshiro</w:t>
      </w:r>
      <w:proofErr w:type="spellEnd"/>
      <w:r w:rsidRPr="002A7B48">
        <w:rPr>
          <w:rFonts w:ascii="Times New Roman" w:hAnsi="Times New Roman" w:cs="Times New Roman"/>
          <w:sz w:val="24"/>
          <w:szCs w:val="24"/>
          <w:lang w:val="es-ES"/>
        </w:rPr>
        <w:t xml:space="preserve"> &amp; Fujimori, 2024).</w:t>
      </w:r>
    </w:p>
    <w:p w14:paraId="7400BDB2" w14:textId="77777777" w:rsidR="003E1178" w:rsidRPr="00707422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literatura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i/>
          <w:iCs/>
          <w:sz w:val="24"/>
          <w:szCs w:val="24"/>
          <w:lang w:val="es-ES"/>
        </w:rPr>
        <w:t>novelty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kebaharuan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hukum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komprehensif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unik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</w:t>
      </w:r>
      <w:r w:rsidRPr="00707422">
        <w:rPr>
          <w:rFonts w:ascii="Times New Roman" w:hAnsi="Times New Roman" w:cs="Times New Roman"/>
          <w:sz w:val="24"/>
          <w:szCs w:val="24"/>
          <w:lang w:val="es-ES"/>
        </w:rPr>
        <w:t>onteks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maju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lastRenderedPageBreak/>
        <w:t>menghadapi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peluang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berbeda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NZE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dibandingkan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negara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berkembang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707422">
        <w:rPr>
          <w:rFonts w:ascii="Times New Roman" w:hAnsi="Times New Roman" w:cs="Times New Roman"/>
          <w:sz w:val="24"/>
          <w:szCs w:val="24"/>
          <w:lang w:val="es-ES"/>
        </w:rPr>
        <w:t>endekatan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implementasi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domestik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memperhatikan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intervensi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regulatif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kepemimpinan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menjelaskan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undang-undang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spesifik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langkah-langkah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implementatif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belum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banyak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diulas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literatur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lain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berfokus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pada negara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berkembang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707422">
        <w:rPr>
          <w:rFonts w:ascii="Times New Roman" w:hAnsi="Times New Roman" w:cs="Times New Roman"/>
          <w:sz w:val="24"/>
          <w:szCs w:val="24"/>
          <w:lang w:val="es-ES"/>
        </w:rPr>
        <w:t>berbeda</w:t>
      </w:r>
      <w:proofErr w:type="spellEnd"/>
      <w:r w:rsidRPr="0070742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B7A44B5" w14:textId="77777777" w:rsidR="003E1178" w:rsidRPr="004F3129" w:rsidRDefault="003E1178" w:rsidP="003E1178">
      <w:pPr>
        <w:ind w:left="0" w:firstLine="0"/>
        <w:rPr>
          <w:rFonts w:ascii="Times New Roman" w:hAnsi="Times New Roman" w:cs="Times New Roman"/>
          <w:sz w:val="24"/>
          <w:szCs w:val="24"/>
          <w:lang w:val="fi-FI"/>
        </w:rPr>
        <w:sectPr w:rsidR="003E1178" w:rsidRPr="004F3129" w:rsidSect="00DB3293">
          <w:headerReference w:type="default" r:id="rId8"/>
          <w:pgSz w:w="11906" w:h="16838" w:code="9"/>
          <w:pgMar w:top="1699" w:right="1699" w:bottom="1699" w:left="2275" w:header="706" w:footer="706" w:gutter="0"/>
          <w:cols w:space="708"/>
          <w:titlePg/>
          <w:docGrid w:linePitch="360"/>
        </w:sectPr>
      </w:pPr>
    </w:p>
    <w:p w14:paraId="7CAAB515" w14:textId="77777777" w:rsidR="003E1178" w:rsidRDefault="003E1178" w:rsidP="003E1178">
      <w:pPr>
        <w:pStyle w:val="ListParagraph"/>
        <w:numPr>
          <w:ilvl w:val="1"/>
          <w:numId w:val="25"/>
        </w:numPr>
        <w:ind w:left="0" w:hanging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77818236"/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95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bookmarkEnd w:id="3"/>
      <w:proofErr w:type="spellEnd"/>
    </w:p>
    <w:p w14:paraId="3BF1E4F5" w14:textId="77777777" w:rsidR="003E1178" w:rsidRPr="00024903" w:rsidRDefault="003E1178" w:rsidP="003E1178">
      <w:pPr>
        <w:pStyle w:val="ListParagraph"/>
        <w:numPr>
          <w:ilvl w:val="2"/>
          <w:numId w:val="25"/>
        </w:numPr>
        <w:ind w:left="540" w:hanging="56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bookmarkStart w:id="4" w:name="_Toc177818237"/>
      <w:r w:rsidRPr="00024903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Green </w:t>
      </w:r>
      <w:proofErr w:type="spellStart"/>
      <w:r w:rsidRPr="00024903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Politics</w:t>
      </w:r>
      <w:bookmarkEnd w:id="4"/>
      <w:proofErr w:type="spellEnd"/>
    </w:p>
    <w:p w14:paraId="49E96E6F" w14:textId="77777777" w:rsidR="003E117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Ekologisme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aliran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pemikiran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terkini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Di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satu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sisi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fokusnya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isu-isu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sudah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sangat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tua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bidang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penyelidikan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filosofis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hubungan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antara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manusia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non-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manusia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status moral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hewan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apa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dimaksud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kehidupan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baik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etika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inovasi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Namun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sisi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lain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ditandai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permasalahan-permasalahan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kontemporer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dampak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puncak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konsumsi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minyak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konsumsi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berlebihan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persaingan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konflik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daya,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meningkatnya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tingkat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kesenjangan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global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nasional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B3E7397" w14:textId="77777777" w:rsidR="003E1178" w:rsidRPr="00DB329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aliran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pemikiran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sangat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luas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mencakup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beragam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permasalahan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berisi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sejumlah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sub-aliran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pemikiran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berbeda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(di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sini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memiliki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kesamaan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ideologi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lainnya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)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menggabungkan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unsur-unsur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ilmiah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normatif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empiris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cara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unik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berbeda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ideologi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lainnya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Pertama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sepatah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kata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tentang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definisi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Ada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sejumlah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istilah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digunakan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menggambarkan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menurut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293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Barry dan Dobson,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mulai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ecologisme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hingga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environmentalism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ekologi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proofErr w:type="gramStart"/>
      <w:r w:rsidRPr="00DB3293">
        <w:rPr>
          <w:rFonts w:ascii="Times New Roman" w:hAnsi="Times New Roman" w:cs="Times New Roman"/>
          <w:sz w:val="24"/>
          <w:szCs w:val="24"/>
          <w:lang w:val="es-ES"/>
        </w:rPr>
        <w:t>F.Gaus</w:t>
      </w:r>
      <w:proofErr w:type="spellEnd"/>
      <w:proofErr w:type="gram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&amp;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Kukathas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>, 2012).</w:t>
      </w:r>
    </w:p>
    <w:p w14:paraId="45E52479" w14:textId="77777777" w:rsidR="003E1178" w:rsidRPr="00DB329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Green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berfokus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integrasi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isu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aspek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baik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tingkat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domestik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maupun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Green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mengedepankan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keberlanjutan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perlindungan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prinsip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utama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perumusan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publik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berargumen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harus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dirancang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menyeimbangkan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kebutuhan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keberlanjutan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ekologis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mempromosikan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(Falkner, 2021).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Menurut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Keohane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Victor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(2011),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menangani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isu-isu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lintas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batas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memerlukan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adaptif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DB3293">
        <w:rPr>
          <w:rFonts w:ascii="Times New Roman" w:hAnsi="Times New Roman" w:cs="Times New Roman"/>
          <w:sz w:val="24"/>
          <w:szCs w:val="24"/>
          <w:lang w:val="es-ES"/>
        </w:rPr>
        <w:t>fleksibel</w:t>
      </w:r>
      <w:proofErr w:type="spellEnd"/>
      <w:r w:rsidRPr="00DB329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B50DC7" w14:textId="77777777" w:rsidR="003E1178" w:rsidRPr="0002490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konteks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Green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mengadopsi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kuat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2008,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langkah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signifikan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Net Zero </w:t>
      </w:r>
      <w:proofErr w:type="spellStart"/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>Emission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(NZE).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contoh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konkret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penerapan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prinsip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di mana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pemerintah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menetapkan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target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pengurangan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ambisius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menyusun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hukum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menuju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rendah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(Helm, 2020).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Undang-undang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menggarisbawahi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komitmen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keberlanjutan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mengintegrasikan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strategi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NZE.</w:t>
      </w:r>
    </w:p>
    <w:p w14:paraId="76DE3A45" w14:textId="77777777" w:rsidR="003E1178" w:rsidRPr="0002490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Green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partisipasi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keberlanjutan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mengadopsi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partisipasi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insentif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lastRenderedPageBreak/>
        <w:t>fiskal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investasi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(Helm, 2020).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sejalan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menciptakan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berkelanjutan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insentif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menciptakan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regulasi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stabil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mendorong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berkontribusi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target NZE.</w:t>
      </w:r>
    </w:p>
    <w:p w14:paraId="466E6500" w14:textId="77777777" w:rsidR="003E1178" w:rsidRPr="0002490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Di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tingkat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Green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mendorong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mengatasi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isu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lainnya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Giddens (2009)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menyatakan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masalah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memerlukan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solusi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termasuk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pengembangan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baru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pendanaan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bersama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memainkan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aktif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diplomasi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menggunakan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posisinya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mempromosikan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komitmen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terhadap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pengurangan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mencerminkan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prinsip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kolaborasi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menangani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4258C31" w14:textId="77777777" w:rsidR="003E117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Sementara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Sovacool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(2023)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menunjukkan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negara-negara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berhasil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net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zero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memiliki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melibatkan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penggunaan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lahan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pengelolaan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limbah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mengikuti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prinsip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mengintegrasikan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mencakup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berbagai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aspek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hingga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pengelolaan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karbon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menggarisbawahi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bagaimana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prinsip-prinsip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diterapkan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praktik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fokus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menyeluruh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NZE.</w:t>
      </w:r>
    </w:p>
    <w:p w14:paraId="7F7FE972" w14:textId="77777777" w:rsidR="003E1178" w:rsidRPr="00024903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</w:p>
    <w:p w14:paraId="692BBCB6" w14:textId="77777777" w:rsidR="003E1178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lastRenderedPageBreak/>
        <w:t>Teori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Green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memberikan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kerja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yang relevan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memahami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pencapaian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NZE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integrasi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mendorong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partisipasi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swasta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telah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mengimplementasikan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prinsip-prinsip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hukum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publiknya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hanya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pencapaian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target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domestik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tetapi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memperkuat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diplomasi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24903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024903">
        <w:rPr>
          <w:rFonts w:ascii="Times New Roman" w:hAnsi="Times New Roman" w:cs="Times New Roman"/>
          <w:sz w:val="24"/>
          <w:szCs w:val="24"/>
          <w:lang w:val="es-ES"/>
        </w:rPr>
        <w:t xml:space="preserve"> global.</w:t>
      </w:r>
    </w:p>
    <w:p w14:paraId="4DF38D86" w14:textId="77777777" w:rsidR="003E1178" w:rsidRPr="00B83DA2" w:rsidRDefault="003E1178" w:rsidP="003E1178">
      <w:pPr>
        <w:ind w:left="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Menurut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Andrew 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bukunya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"Green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Political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Thought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" (2007),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prinsip-prinsip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utama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green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berkisar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hubungan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antara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manusia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konsep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kerangka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keberlanjutan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mendefinisikan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green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radikal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mengusulkan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besar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cara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manusia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hidup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Prinsip-prinsip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utama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menurut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meliputi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3892DBE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Ekologisme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Radikal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Radical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Ecologism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0AC8042" w14:textId="77777777" w:rsidR="003E1178" w:rsidRDefault="003E1178" w:rsidP="003E1178">
      <w:pPr>
        <w:ind w:left="36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membedakan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antara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ekologisme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environmentalisme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Environmentalisme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berfokus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solusi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reformasi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tanpa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mengubah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struktur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sosial-ekonomi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mendasari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masalah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Sebaliknya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ekologisme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radikal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menuntut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mendasar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cara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beroperasi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berinteraksi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Ekologisme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mempromosikan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pemikiran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krisis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hasil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cara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hidup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pola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produksi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saat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berkelanjutan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4C11A3A" w14:textId="77777777" w:rsidR="003E1178" w:rsidRPr="00B83DA2" w:rsidRDefault="003E1178" w:rsidP="003E1178">
      <w:pPr>
        <w:ind w:left="360" w:firstLine="630"/>
        <w:rPr>
          <w:rFonts w:ascii="Times New Roman" w:hAnsi="Times New Roman" w:cs="Times New Roman"/>
          <w:sz w:val="24"/>
          <w:szCs w:val="24"/>
          <w:lang w:val="es-ES"/>
        </w:rPr>
      </w:pPr>
    </w:p>
    <w:p w14:paraId="3F17EA07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lastRenderedPageBreak/>
        <w:t>Kesetaraan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Environmental</w:t>
      </w:r>
      <w:proofErr w:type="spellEnd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Justice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379E8E9" w14:textId="77777777" w:rsidR="003E1178" w:rsidRPr="00B83DA2" w:rsidRDefault="003E1178" w:rsidP="003E1178">
      <w:pPr>
        <w:ind w:left="36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berpendapat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eksploitasi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sering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kali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terkait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ketidaksetaraan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di mana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kelompok-kelompok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paling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rentan (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misalnya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miskin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kelompok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minoritas)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sering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menderita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akibat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degradasi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berusaha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mengatasi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ketidakadilan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mempromosikan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distribusi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daya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adil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mengakui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hak-hak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semua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makhluk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hidup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bukan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manusia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E8E85E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83DA2"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(</w:t>
      </w:r>
      <w:r w:rsidRPr="00B83DA2">
        <w:rPr>
          <w:rFonts w:ascii="Times New Roman" w:hAnsi="Times New Roman" w:cs="Times New Roman"/>
          <w:i/>
          <w:iCs/>
          <w:sz w:val="24"/>
          <w:szCs w:val="24"/>
        </w:rPr>
        <w:t>Limits to Growth</w:t>
      </w:r>
      <w:r w:rsidRPr="00B83DA2">
        <w:rPr>
          <w:rFonts w:ascii="Times New Roman" w:hAnsi="Times New Roman" w:cs="Times New Roman"/>
          <w:sz w:val="24"/>
          <w:szCs w:val="24"/>
        </w:rPr>
        <w:t>)</w:t>
      </w:r>
    </w:p>
    <w:p w14:paraId="7027410D" w14:textId="77777777" w:rsidR="003E1178" w:rsidRPr="00B83DA2" w:rsidRDefault="003E1178" w:rsidP="003E1178">
      <w:pPr>
        <w:ind w:left="36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ide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ada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batas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alami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pertumbuhan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material.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merujuk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gagasan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buku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terkenal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"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Limits</w:t>
      </w:r>
      <w:proofErr w:type="spellEnd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to</w:t>
      </w:r>
      <w:proofErr w:type="spellEnd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Growth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" (1972),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menyatakan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pertumbuhan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terkendali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menghabiskan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menghancurkan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ekosistem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planet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Green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perlunya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pola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hidup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sederhana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berkelanjutan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mengurangi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konsumsi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produksi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berlebihan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CF786EF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Demokrasi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Partisipatif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3D0A45">
        <w:rPr>
          <w:rFonts w:ascii="Times New Roman" w:hAnsi="Times New Roman" w:cs="Times New Roman"/>
          <w:i/>
          <w:iCs/>
          <w:sz w:val="24"/>
          <w:szCs w:val="24"/>
          <w:lang w:val="es-ES"/>
        </w:rPr>
        <w:t>Participatory</w:t>
      </w:r>
      <w:proofErr w:type="spellEnd"/>
      <w:r w:rsidRPr="003D0A4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D0A45">
        <w:rPr>
          <w:rFonts w:ascii="Times New Roman" w:hAnsi="Times New Roman" w:cs="Times New Roman"/>
          <w:i/>
          <w:iCs/>
          <w:sz w:val="24"/>
          <w:szCs w:val="24"/>
          <w:lang w:val="es-ES"/>
        </w:rPr>
        <w:t>Democracy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2F00585D" w14:textId="77777777" w:rsidR="003E1178" w:rsidRPr="00B83DA2" w:rsidRDefault="003E1178" w:rsidP="003E1178">
      <w:pPr>
        <w:ind w:left="450" w:firstLine="630"/>
        <w:rPr>
          <w:rFonts w:ascii="Times New Roman" w:hAnsi="Times New Roman" w:cs="Times New Roman"/>
          <w:sz w:val="24"/>
          <w:szCs w:val="24"/>
          <w:lang w:val="es-ES"/>
        </w:rPr>
      </w:pPr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Dobson juga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demokrasi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partisipatif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bagian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integral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green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percaya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keputusan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harus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melibatkan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semua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warga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negara secara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aktif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langsung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Demokrasi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partisipatif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bertujuan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memastikan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keputusan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penting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dibuat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elite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atau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tetapi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melibatkan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masyarakat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luas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terpengaruh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keputusan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4AC3F3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lastRenderedPageBreak/>
        <w:t>Tanggung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Jawab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Global (</w:t>
      </w:r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Global </w:t>
      </w:r>
      <w:proofErr w:type="spellStart"/>
      <w:r w:rsidRPr="00B83DA2">
        <w:rPr>
          <w:rFonts w:ascii="Times New Roman" w:hAnsi="Times New Roman" w:cs="Times New Roman"/>
          <w:i/>
          <w:iCs/>
          <w:sz w:val="24"/>
          <w:szCs w:val="24"/>
          <w:lang w:val="es-ES"/>
        </w:rPr>
        <w:t>Responsibility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3E4C04CA" w14:textId="77777777" w:rsidR="003E1178" w:rsidRPr="00B83DA2" w:rsidRDefault="003E1178" w:rsidP="003E1178">
      <w:pPr>
        <w:ind w:left="360" w:firstLine="63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Politik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menegaskan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masalah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bersifat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global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memerlukan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tanggung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jawab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kerja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sama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lintas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batas negara. Dobson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menyatakan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karena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polusi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kehilangan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keanekaragaman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hayati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bersifat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lintas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batas,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mengatasinya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harus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bersifat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global. Negara-negara,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terutama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maju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berkontribusi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masalah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memiliki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tanggung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jawab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besar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  <w:lang w:val="es-ES"/>
        </w:rPr>
        <w:t>solusi</w:t>
      </w:r>
      <w:proofErr w:type="spellEnd"/>
      <w:r w:rsidRPr="00B83DA2">
        <w:rPr>
          <w:rFonts w:ascii="Times New Roman" w:hAnsi="Times New Roman" w:cs="Times New Roman"/>
          <w:sz w:val="24"/>
          <w:szCs w:val="24"/>
          <w:lang w:val="es-ES"/>
        </w:rPr>
        <w:t xml:space="preserve"> global.</w:t>
      </w:r>
    </w:p>
    <w:p w14:paraId="0560861D" w14:textId="77777777" w:rsidR="003E1178" w:rsidRPr="00B83DA2" w:rsidRDefault="003E1178" w:rsidP="003E1178">
      <w:pPr>
        <w:pStyle w:val="ListParagraph"/>
        <w:numPr>
          <w:ilvl w:val="2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Panjang (</w:t>
      </w:r>
      <w:r w:rsidRPr="003D0A45">
        <w:rPr>
          <w:rFonts w:ascii="Times New Roman" w:hAnsi="Times New Roman" w:cs="Times New Roman"/>
          <w:i/>
          <w:iCs/>
          <w:sz w:val="24"/>
          <w:szCs w:val="24"/>
        </w:rPr>
        <w:t>Intergenerational Justice</w:t>
      </w:r>
      <w:r w:rsidRPr="00B83DA2">
        <w:rPr>
          <w:rFonts w:ascii="Times New Roman" w:hAnsi="Times New Roman" w:cs="Times New Roman"/>
          <w:sz w:val="24"/>
          <w:szCs w:val="24"/>
        </w:rPr>
        <w:t>)</w:t>
      </w:r>
    </w:p>
    <w:p w14:paraId="6305BA02" w14:textId="77777777" w:rsidR="003E1178" w:rsidRDefault="003E1178" w:rsidP="003E1178">
      <w:pPr>
        <w:ind w:left="450" w:firstLine="630"/>
        <w:rPr>
          <w:rFonts w:ascii="Times New Roman" w:hAnsi="Times New Roman" w:cs="Times New Roman"/>
          <w:sz w:val="24"/>
          <w:szCs w:val="24"/>
          <w:lang w:val="en-US"/>
        </w:rPr>
      </w:pPr>
      <w:r w:rsidRPr="003D0A45">
        <w:rPr>
          <w:rFonts w:ascii="Times New Roman" w:hAnsi="Times New Roman" w:cs="Times New Roman"/>
          <w:i/>
          <w:iCs/>
          <w:sz w:val="24"/>
          <w:szCs w:val="24"/>
        </w:rPr>
        <w:t>Green politics</w:t>
      </w:r>
      <w:r w:rsidRPr="00B83DA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antar-generasi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cucu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lestari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>.</w:t>
      </w:r>
    </w:p>
    <w:p w14:paraId="6DBDD6C2" w14:textId="77777777" w:rsidR="003E1178" w:rsidRDefault="003E1178" w:rsidP="003E1178">
      <w:pPr>
        <w:ind w:left="450"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r w:rsidRPr="003D0A45">
        <w:rPr>
          <w:rFonts w:ascii="Times New Roman" w:hAnsi="Times New Roman" w:cs="Times New Roman"/>
          <w:i/>
          <w:iCs/>
          <w:sz w:val="24"/>
          <w:szCs w:val="24"/>
        </w:rPr>
        <w:t>green politics</w:t>
      </w:r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Dobson sangat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r w:rsidRPr="00DB3293">
        <w:rPr>
          <w:rFonts w:ascii="Times New Roman" w:hAnsi="Times New Roman" w:cs="Times New Roman"/>
          <w:i/>
          <w:iCs/>
          <w:sz w:val="24"/>
          <w:szCs w:val="24"/>
        </w:rPr>
        <w:t>Climate Change Act</w:t>
      </w:r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B83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ditargetkan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planet.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global juga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antar-generasi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A2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B83DA2">
        <w:rPr>
          <w:rFonts w:ascii="Times New Roman" w:hAnsi="Times New Roman" w:cs="Times New Roman"/>
          <w:sz w:val="24"/>
          <w:szCs w:val="24"/>
        </w:rPr>
        <w:t>.</w:t>
      </w:r>
    </w:p>
    <w:p w14:paraId="26E4D03B" w14:textId="77777777" w:rsidR="003E1178" w:rsidRPr="00024903" w:rsidRDefault="003E1178" w:rsidP="003E1178">
      <w:pPr>
        <w:ind w:left="450" w:firstLine="630"/>
        <w:rPr>
          <w:rFonts w:ascii="Times New Roman" w:hAnsi="Times New Roman" w:cs="Times New Roman"/>
          <w:sz w:val="24"/>
          <w:szCs w:val="24"/>
        </w:rPr>
      </w:pPr>
    </w:p>
    <w:p w14:paraId="331535BC" w14:textId="77777777" w:rsidR="003E1178" w:rsidRPr="003E2544" w:rsidRDefault="003E1178" w:rsidP="003E1178">
      <w:pPr>
        <w:pStyle w:val="ListParagraph"/>
        <w:numPr>
          <w:ilvl w:val="2"/>
          <w:numId w:val="25"/>
        </w:numPr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Toc177818238"/>
      <w:r w:rsidRPr="003E254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Net-Zero-Emission</w:t>
      </w:r>
      <w:bookmarkEnd w:id="5"/>
    </w:p>
    <w:p w14:paraId="4FBB4004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diinvestigasi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3E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3E25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Paris Agreement (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Tokimatsu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E2544">
        <w:rPr>
          <w:rFonts w:ascii="Times New Roman" w:hAnsi="Times New Roman" w:cs="Times New Roman"/>
          <w:sz w:val="24"/>
          <w:szCs w:val="24"/>
        </w:rPr>
        <w:t xml:space="preserve">., 2016). Net-Zero Emission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gasrumah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diurangkan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tekad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2544">
        <w:rPr>
          <w:rFonts w:ascii="Times New Roman" w:hAnsi="Times New Roman" w:cs="Times New Roman"/>
          <w:sz w:val="24"/>
          <w:szCs w:val="24"/>
        </w:rPr>
        <w:t>Tokimatsu</w:t>
      </w:r>
      <w:proofErr w:type="spellEnd"/>
      <w:r w:rsidRPr="003E2544">
        <w:rPr>
          <w:rFonts w:ascii="Times New Roman" w:hAnsi="Times New Roman" w:cs="Times New Roman"/>
          <w:sz w:val="24"/>
          <w:szCs w:val="24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E2544">
        <w:rPr>
          <w:rFonts w:ascii="Times New Roman" w:hAnsi="Times New Roman" w:cs="Times New Roman"/>
          <w:sz w:val="24"/>
          <w:szCs w:val="24"/>
        </w:rPr>
        <w:t xml:space="preserve">., 2020). </w:t>
      </w:r>
    </w:p>
    <w:p w14:paraId="5D93C7AC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55F3">
        <w:rPr>
          <w:rFonts w:ascii="Times New Roman" w:hAnsi="Times New Roman" w:cs="Times New Roman"/>
          <w:i/>
          <w:iCs/>
          <w:sz w:val="24"/>
          <w:szCs w:val="24"/>
          <w:lang w:val="en-US"/>
        </w:rPr>
        <w:t>Net Zero Emission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(NZE)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gas rumah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negara,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atau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entitas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diimbangi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penyerapan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besarnya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jumlahnya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diimbangi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oleh berbagai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penanaman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atau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Sovacool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(2023)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menyeluruh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penyerapan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yang sangat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global.</w:t>
      </w:r>
    </w:p>
    <w:p w14:paraId="095FF2BF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lastRenderedPageBreak/>
        <w:t>Menurut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Anderson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(2020),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kenaikan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1,5°C sesuai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Paris 2015.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ini, negara-negara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di semua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sambil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penyerapan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reboisasi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terbarukan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Anderson juga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F03405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Friedlingstein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36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(2022),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menyoroti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terbarukan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memobilisasi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dana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proyek-proyek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dekarbonisasi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Friedlingstein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memastikan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adil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tidak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ketidaksetaraan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baru,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088B37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Lebih jauh, IPCC (2021)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tidak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ketahanan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terhadap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Hal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penyesuaian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tidak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global,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kekeringan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kenaikan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IPCC,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ambisius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sebelum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2050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terburuk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D1B04C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B651BFD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Giddens (2009)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juga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memainkan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sentral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peralihan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ke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insentif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berinvestasi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memandu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ini. Hal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tata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kelola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target NZE.</w:t>
      </w:r>
    </w:p>
    <w:p w14:paraId="00EFA496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Teori </w:t>
      </w:r>
      <w:r w:rsidRPr="008255F3">
        <w:rPr>
          <w:rFonts w:ascii="Times New Roman" w:hAnsi="Times New Roman" w:cs="Times New Roman"/>
          <w:i/>
          <w:iCs/>
          <w:sz w:val="24"/>
          <w:szCs w:val="24"/>
          <w:lang w:val="en-US"/>
        </w:rPr>
        <w:t>Net Zero Emission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329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Climate Change Act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2008 di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target NZE pada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2050. </w:t>
      </w:r>
      <w:r w:rsidRPr="00DB329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Climate Change Act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progresif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gas rumah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bertahap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serangkaian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mengikat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Dengan menggunakan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sektor-sektor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dekarbonisasi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89C2A5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Selain itu,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penyeimbangan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B329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Climate Change Act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mengintegrasikan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terbarukan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NZE untuk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FCF79B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Lebih jauh, NZE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menggarisbawahi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kolaborasi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yang juga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perannya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diplomasi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global. </w:t>
      </w:r>
      <w:r w:rsidRPr="00DB329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Climate Change Act</w:t>
      </w:r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lastRenderedPageBreak/>
        <w:t>diplomasi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negara lain,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n-US"/>
        </w:rPr>
        <w:t xml:space="preserve"> Paris.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Hal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sesuai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diperlukan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keberhasilan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pengurangan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3136E">
        <w:rPr>
          <w:rFonts w:ascii="Times New Roman" w:hAnsi="Times New Roman" w:cs="Times New Roman"/>
          <w:sz w:val="24"/>
          <w:szCs w:val="24"/>
          <w:lang w:val="es-ES"/>
        </w:rPr>
        <w:t>emisi</w:t>
      </w:r>
      <w:proofErr w:type="spellEnd"/>
      <w:r w:rsidRPr="00C3136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B3B51C" w14:textId="77777777" w:rsidR="003E1178" w:rsidRPr="0048727B" w:rsidRDefault="003E1178" w:rsidP="003E1178">
      <w:pPr>
        <w:pStyle w:val="ListParagraph"/>
        <w:numPr>
          <w:ilvl w:val="2"/>
          <w:numId w:val="25"/>
        </w:num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781823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Teori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Energi</w:t>
      </w:r>
      <w:bookmarkEnd w:id="6"/>
      <w:proofErr w:type="spellEnd"/>
    </w:p>
    <w:p w14:paraId="2B37A56A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</w:rPr>
      </w:pPr>
      <w:r w:rsidRPr="0048727B"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(HI)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negara,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>.</w:t>
      </w:r>
    </w:p>
    <w:p w14:paraId="10D1921D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Sovacool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pasar,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Sovacool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>.</w:t>
      </w:r>
    </w:p>
    <w:p w14:paraId="52DF2003" w14:textId="77777777" w:rsidR="003E1178" w:rsidRPr="00DB3293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48727B">
        <w:rPr>
          <w:rFonts w:ascii="Times New Roman" w:hAnsi="Times New Roman" w:cs="Times New Roman"/>
          <w:sz w:val="24"/>
          <w:szCs w:val="24"/>
        </w:rPr>
        <w:t xml:space="preserve">Benjamin K.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Sovacool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Mart J. Cohen (2020)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. Negara-negara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pada negara-negara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, </w:t>
      </w:r>
      <w:r w:rsidRPr="0048727B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menegosiasikan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mencakup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kerja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sama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lintas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batas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penelitian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pengembangan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transfer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bersih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4DC017F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Keohane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Victor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(2011)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melihat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bagian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tantangan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global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membutuhkan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multilateral.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masalah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sehingga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efektif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memerlukan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kerja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sama di antara negara-negara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berbagi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membiayai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proyek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bersih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menciptakan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aturan global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peralihan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ke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Mereka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fleksibilitas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pendekatan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mengingat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perbedaan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kapasitas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sumber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daya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antar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negara.</w:t>
      </w:r>
    </w:p>
    <w:p w14:paraId="17324499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Goldthau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Sitter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(2019) juga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mengemukakan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berdampak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keseimbangan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kekuatan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geopolitik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Mereka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berpendapat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pergeseran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ke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memengaruhi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distribusi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kekuatan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global,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terutama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negara-negara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sebelumnya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sangat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bergantung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ekspor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dapat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mengubah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struktur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aliansi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negara-negara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cepat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beradaptasi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menjadi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pemimpin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E7E64CA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konteks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2008 di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sangat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berguna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memahami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langkah-langkah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diambil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pemerintah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mencapai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Net Zero </w:t>
      </w:r>
      <w:proofErr w:type="spellStart"/>
      <w:r w:rsidRPr="008255F3">
        <w:rPr>
          <w:rFonts w:ascii="Times New Roman" w:hAnsi="Times New Roman" w:cs="Times New Roman"/>
          <w:i/>
          <w:iCs/>
          <w:sz w:val="24"/>
          <w:szCs w:val="24"/>
          <w:lang w:val="es-ES"/>
        </w:rPr>
        <w:t>Emission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(NZE) pada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tahun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2050.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adalah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undang-undang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pertama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mengikat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secara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hukum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menetapkan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jalur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beralih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berbasis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bakar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ke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1ED96F6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lastRenderedPageBreak/>
        <w:t>Teori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menjelaskan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bagaimana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mengarahkan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peralihan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sistem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menargetkan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dekarbonisasi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sektor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transportasi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industri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Berdasarkan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Sovacool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(2016)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menekankan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transformasi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sistem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bergantung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inovasi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kebijakan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ekonomi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perubahan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sosial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yang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semuanya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diintegrasikan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strategi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insentif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fiskal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subsidi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regulasi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ketat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berusaha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mempercepat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adopsi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tenaga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angin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surya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2C545B1" w14:textId="77777777" w:rsidR="003E1178" w:rsidRPr="0048727B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Lebih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jauh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juga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berguna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menganalisis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geopolitik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global.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Keohane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Victor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(2011)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menggarisbawahi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pentingnya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kerjasama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multilateral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tercermin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upaya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untuk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berperan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sebagai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pemimpin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diplomasi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iklim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mendukung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perjanjian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internasional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seperti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Paris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Agreement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memperkuat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posisinya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panggung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mempromosikan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penggunaan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teknologi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hijau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seluruh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dunia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50F677A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Selain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itu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teori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membantu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menjelaskan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bagaimana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Climate</w:t>
      </w:r>
      <w:proofErr w:type="spellEnd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Change </w:t>
      </w:r>
      <w:proofErr w:type="spellStart"/>
      <w:r w:rsidRPr="00DB3293">
        <w:rPr>
          <w:rFonts w:ascii="Times New Roman" w:hAnsi="Times New Roman" w:cs="Times New Roman"/>
          <w:i/>
          <w:iCs/>
          <w:sz w:val="24"/>
          <w:szCs w:val="24"/>
          <w:lang w:val="es-ES"/>
        </w:rPr>
        <w:t>Act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berperan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mengurangi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ketergantungan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bakar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fosil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meningkatkan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ketahanan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Goldthau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Sitter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(2019)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menunjukkan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bahwa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transisi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memiliki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implikasi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besar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bagi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keamanan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di mana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melalui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undang-undang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mencoba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memperkuat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terbarukan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domestik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mengurangi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impor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minyak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serta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gas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luar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negeri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demikian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Inggris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mampu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mengurangi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risiko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ketidakstabilan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energi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 xml:space="preserve"> di masa </w:t>
      </w:r>
      <w:proofErr w:type="spellStart"/>
      <w:r w:rsidRPr="0048727B">
        <w:rPr>
          <w:rFonts w:ascii="Times New Roman" w:hAnsi="Times New Roman" w:cs="Times New Roman"/>
          <w:sz w:val="24"/>
          <w:szCs w:val="24"/>
          <w:lang w:val="es-ES"/>
        </w:rPr>
        <w:t>depan</w:t>
      </w:r>
      <w:proofErr w:type="spellEnd"/>
      <w:r w:rsidRPr="0048727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01746F" w14:textId="77777777" w:rsidR="003E1178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41DC9A3E" w14:textId="77777777" w:rsidR="003E1178" w:rsidRPr="00C3136E" w:rsidRDefault="003E1178" w:rsidP="003E1178">
      <w:pPr>
        <w:pStyle w:val="ListParagraph"/>
        <w:ind w:left="0" w:right="-15"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47162725" w14:textId="77777777" w:rsidR="003E1178" w:rsidRPr="00955064" w:rsidRDefault="003E1178" w:rsidP="003E1178">
      <w:pPr>
        <w:pStyle w:val="ListParagraph"/>
        <w:numPr>
          <w:ilvl w:val="1"/>
          <w:numId w:val="25"/>
        </w:numPr>
        <w:ind w:left="0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77818240"/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Asumsi</w:t>
      </w:r>
      <w:proofErr w:type="spellEnd"/>
      <w:r w:rsidRPr="0095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7"/>
      <w:proofErr w:type="spellEnd"/>
    </w:p>
    <w:p w14:paraId="37E8A27D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adopsi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E6C66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AA229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r w:rsidRPr="00AA229D">
        <w:rPr>
          <w:rFonts w:ascii="Times New Roman" w:hAnsi="Times New Roman" w:cs="Times New Roman"/>
          <w:i/>
          <w:iCs/>
          <w:sz w:val="24"/>
          <w:szCs w:val="24"/>
        </w:rPr>
        <w:t>Climate Change Act</w:t>
      </w:r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r w:rsidRPr="00AA229D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AA2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dan target yang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r w:rsidRPr="00AA229D">
        <w:rPr>
          <w:rFonts w:ascii="Times New Roman" w:hAnsi="Times New Roman" w:cs="Times New Roman"/>
          <w:i/>
          <w:iCs/>
          <w:sz w:val="24"/>
          <w:szCs w:val="24"/>
        </w:rPr>
        <w:t>Climate Change Act</w:t>
      </w:r>
      <w:r w:rsidRPr="00AA22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sektor-sektor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A229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A229D">
        <w:rPr>
          <w:rFonts w:ascii="Times New Roman" w:hAnsi="Times New Roman" w:cs="Times New Roman"/>
          <w:sz w:val="24"/>
          <w:szCs w:val="24"/>
        </w:rPr>
        <w:t xml:space="preserve"> </w:t>
      </w:r>
      <w:r w:rsidRPr="00AA229D">
        <w:rPr>
          <w:rFonts w:ascii="Times New Roman" w:hAnsi="Times New Roman" w:cs="Times New Roman"/>
          <w:i/>
          <w:iCs/>
          <w:sz w:val="24"/>
          <w:szCs w:val="24"/>
        </w:rPr>
        <w:t>Net Zero Emission</w:t>
      </w:r>
      <w:r w:rsidRPr="00545A1E">
        <w:rPr>
          <w:rFonts w:ascii="Times New Roman" w:hAnsi="Times New Roman" w:cs="Times New Roman"/>
          <w:sz w:val="24"/>
          <w:szCs w:val="24"/>
        </w:rPr>
        <w:t>.</w:t>
      </w:r>
    </w:p>
    <w:p w14:paraId="288180D7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B386E48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EEB8026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B9FE9EC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0DE04CF" w14:textId="77777777" w:rsidR="003E1178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06B5FA1" w14:textId="77777777" w:rsidR="003E1178" w:rsidRPr="00545A1E" w:rsidRDefault="003E1178" w:rsidP="003E1178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2406294" w14:textId="77777777" w:rsidR="003E1178" w:rsidRPr="00955064" w:rsidRDefault="003E1178" w:rsidP="003E1178">
      <w:pPr>
        <w:pStyle w:val="ListParagraph"/>
        <w:numPr>
          <w:ilvl w:val="1"/>
          <w:numId w:val="25"/>
        </w:numPr>
        <w:ind w:left="0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77818241"/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 w:rsidRPr="0095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5064">
        <w:rPr>
          <w:rFonts w:ascii="Times New Roman" w:hAnsi="Times New Roman" w:cs="Times New Roman"/>
          <w:b/>
          <w:bCs/>
          <w:sz w:val="24"/>
          <w:szCs w:val="24"/>
        </w:rPr>
        <w:t>Analisis</w:t>
      </w:r>
      <w:bookmarkEnd w:id="8"/>
      <w:proofErr w:type="spellEnd"/>
    </w:p>
    <w:p w14:paraId="0B129F5C" w14:textId="77777777" w:rsidR="003E1178" w:rsidRPr="00955064" w:rsidRDefault="003E1178" w:rsidP="003E1178">
      <w:p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  <w:sectPr w:rsidR="003E1178" w:rsidRPr="00955064" w:rsidSect="00DB3293">
          <w:type w:val="continuous"/>
          <w:pgSz w:w="11906" w:h="16838" w:code="9"/>
          <w:pgMar w:top="1699" w:right="1699" w:bottom="1699" w:left="2275" w:header="706" w:footer="706" w:gutter="0"/>
          <w:cols w:space="708"/>
          <w:titlePg/>
          <w:docGrid w:linePitch="360"/>
        </w:sectPr>
      </w:pPr>
    </w:p>
    <w:p w14:paraId="64784CDC" w14:textId="77777777" w:rsidR="003E1178" w:rsidRPr="00955064" w:rsidRDefault="003E1178" w:rsidP="003E1178">
      <w:pPr>
        <w:ind w:left="0" w:firstLine="0"/>
        <w:jc w:val="center"/>
        <w:sectPr w:rsidR="003E1178" w:rsidRPr="00955064" w:rsidSect="00C051A0">
          <w:type w:val="continuous"/>
          <w:pgSz w:w="11906" w:h="16838" w:code="9"/>
          <w:pgMar w:top="1699" w:right="2275" w:bottom="1699" w:left="1699" w:header="706" w:footer="706" w:gutter="0"/>
          <w:cols w:space="708"/>
          <w:titlePg/>
          <w:docGrid w:linePitch="360"/>
        </w:sectPr>
      </w:pPr>
      <w:r w:rsidRPr="00DF0016">
        <w:rPr>
          <w:noProof/>
        </w:rPr>
        <w:drawing>
          <wp:inline distT="0" distB="0" distL="0" distR="0" wp14:anchorId="762975DA" wp14:editId="2F9B158C">
            <wp:extent cx="3165396" cy="3888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7595" cy="39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4BA1" w14:textId="0401BDFD" w:rsidR="00424B5A" w:rsidRPr="003E1178" w:rsidRDefault="00424B5A" w:rsidP="003E1178">
      <w:pPr>
        <w:ind w:left="0" w:firstLine="0"/>
      </w:pPr>
    </w:p>
    <w:sectPr w:rsidR="00424B5A" w:rsidRPr="003E1178" w:rsidSect="00746AC4">
      <w:footerReference w:type="default" r:id="rId10"/>
      <w:pgSz w:w="11906" w:h="16838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CC0A" w14:textId="77777777" w:rsidR="00CB6ECB" w:rsidRDefault="00CB6ECB" w:rsidP="00620D6F">
      <w:pPr>
        <w:spacing w:line="240" w:lineRule="auto"/>
      </w:pPr>
      <w:r>
        <w:separator/>
      </w:r>
    </w:p>
  </w:endnote>
  <w:endnote w:type="continuationSeparator" w:id="0">
    <w:p w14:paraId="026A5B94" w14:textId="77777777" w:rsidR="00CB6ECB" w:rsidRDefault="00CB6ECB" w:rsidP="00620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26828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8849C" w14:textId="2C02415F" w:rsidR="00682D46" w:rsidRPr="00734E36" w:rsidRDefault="004F737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4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4E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4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4E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4E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F8437DC" w14:textId="77777777" w:rsidR="00682D46" w:rsidRDefault="00CB6ECB">
    <w:pPr>
      <w:pStyle w:val="Footer"/>
    </w:pPr>
  </w:p>
  <w:p w14:paraId="3D9915A0" w14:textId="77777777" w:rsidR="00AB0866" w:rsidRDefault="00AB08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F43" w14:textId="77777777" w:rsidR="00CB6ECB" w:rsidRDefault="00CB6ECB" w:rsidP="00620D6F">
      <w:pPr>
        <w:spacing w:line="240" w:lineRule="auto"/>
      </w:pPr>
      <w:r>
        <w:separator/>
      </w:r>
    </w:p>
  </w:footnote>
  <w:footnote w:type="continuationSeparator" w:id="0">
    <w:p w14:paraId="56465DCC" w14:textId="77777777" w:rsidR="00CB6ECB" w:rsidRDefault="00CB6ECB" w:rsidP="00620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5E52" w14:textId="77777777" w:rsidR="003E1178" w:rsidRDefault="003E1178" w:rsidP="00193CD1">
    <w:pPr>
      <w:pStyle w:val="Header"/>
      <w:ind w:left="0" w:firstLine="0"/>
    </w:pPr>
  </w:p>
  <w:p w14:paraId="02AD4E0E" w14:textId="77777777" w:rsidR="003E1178" w:rsidRDefault="003E1178" w:rsidP="00193CD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D1"/>
    <w:multiLevelType w:val="hybridMultilevel"/>
    <w:tmpl w:val="9F948064"/>
    <w:lvl w:ilvl="0" w:tplc="41E8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BCE"/>
    <w:multiLevelType w:val="multilevel"/>
    <w:tmpl w:val="9D2E6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B75B60"/>
    <w:multiLevelType w:val="hybridMultilevel"/>
    <w:tmpl w:val="DB6C3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4A4"/>
    <w:multiLevelType w:val="hybridMultilevel"/>
    <w:tmpl w:val="AA04C9FC"/>
    <w:lvl w:ilvl="0" w:tplc="D0F4A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2C03C7"/>
    <w:multiLevelType w:val="multilevel"/>
    <w:tmpl w:val="8E5CF278"/>
    <w:numStyleLink w:val="Style1"/>
  </w:abstractNum>
  <w:abstractNum w:abstractNumId="5" w15:restartNumberingAfterBreak="0">
    <w:nsid w:val="1FE269E0"/>
    <w:multiLevelType w:val="multilevel"/>
    <w:tmpl w:val="CAB87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32A9E"/>
    <w:multiLevelType w:val="multilevel"/>
    <w:tmpl w:val="64A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94DED"/>
    <w:multiLevelType w:val="multilevel"/>
    <w:tmpl w:val="8E5CF27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154ADB"/>
    <w:multiLevelType w:val="hybridMultilevel"/>
    <w:tmpl w:val="97AE6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5A40"/>
    <w:multiLevelType w:val="hybridMultilevel"/>
    <w:tmpl w:val="5CC8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D7B"/>
    <w:multiLevelType w:val="multilevel"/>
    <w:tmpl w:val="ECCA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B475D2"/>
    <w:multiLevelType w:val="hybridMultilevel"/>
    <w:tmpl w:val="044C4C86"/>
    <w:lvl w:ilvl="0" w:tplc="28CA4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4A54"/>
    <w:multiLevelType w:val="hybridMultilevel"/>
    <w:tmpl w:val="1608B7D6"/>
    <w:lvl w:ilvl="0" w:tplc="0632FF52">
      <w:numFmt w:val="bullet"/>
      <w:lvlText w:val="-"/>
      <w:lvlJc w:val="left"/>
      <w:pPr>
        <w:ind w:left="14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 w15:restartNumberingAfterBreak="0">
    <w:nsid w:val="4EAA0D30"/>
    <w:multiLevelType w:val="multilevel"/>
    <w:tmpl w:val="0786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512DE3"/>
    <w:multiLevelType w:val="multilevel"/>
    <w:tmpl w:val="960255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BA496B"/>
    <w:multiLevelType w:val="hybridMultilevel"/>
    <w:tmpl w:val="27FC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841E5"/>
    <w:multiLevelType w:val="multilevel"/>
    <w:tmpl w:val="8E5CF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61B13FD"/>
    <w:multiLevelType w:val="hybridMultilevel"/>
    <w:tmpl w:val="06DED328"/>
    <w:lvl w:ilvl="0" w:tplc="04090019">
      <w:start w:val="1"/>
      <w:numFmt w:val="lowerLetter"/>
      <w:lvlText w:val="%1."/>
      <w:lvlJc w:val="left"/>
      <w:pPr>
        <w:ind w:left="1322" w:hanging="360"/>
      </w:pPr>
    </w:lvl>
    <w:lvl w:ilvl="1" w:tplc="0A88713C">
      <w:start w:val="1"/>
      <w:numFmt w:val="lowerLetter"/>
      <w:lvlText w:val="%2."/>
      <w:lvlJc w:val="left"/>
      <w:pPr>
        <w:ind w:left="2042" w:hanging="360"/>
      </w:pPr>
      <w:rPr>
        <w:rFonts w:hint="default"/>
      </w:rPr>
    </w:lvl>
    <w:lvl w:ilvl="2" w:tplc="FAC2A396">
      <w:start w:val="1"/>
      <w:numFmt w:val="decimal"/>
      <w:lvlText w:val="%3."/>
      <w:lvlJc w:val="left"/>
      <w:pPr>
        <w:ind w:left="29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8" w15:restartNumberingAfterBreak="0">
    <w:nsid w:val="57756EE7"/>
    <w:multiLevelType w:val="multilevel"/>
    <w:tmpl w:val="9BBCE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1D1135"/>
    <w:multiLevelType w:val="hybridMultilevel"/>
    <w:tmpl w:val="483ED878"/>
    <w:lvl w:ilvl="0" w:tplc="1FE29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2772F3"/>
    <w:multiLevelType w:val="hybridMultilevel"/>
    <w:tmpl w:val="3F46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52B64"/>
    <w:multiLevelType w:val="hybridMultilevel"/>
    <w:tmpl w:val="A3E40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C6D6C"/>
    <w:multiLevelType w:val="hybridMultilevel"/>
    <w:tmpl w:val="6D6660BA"/>
    <w:lvl w:ilvl="0" w:tplc="0EA2C1E8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6544348C"/>
    <w:multiLevelType w:val="multilevel"/>
    <w:tmpl w:val="545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1D3E39"/>
    <w:multiLevelType w:val="hybridMultilevel"/>
    <w:tmpl w:val="10C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806"/>
    <w:multiLevelType w:val="hybridMultilevel"/>
    <w:tmpl w:val="29169032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835B1E"/>
    <w:multiLevelType w:val="multilevel"/>
    <w:tmpl w:val="588A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3D5A39"/>
    <w:multiLevelType w:val="hybridMultilevel"/>
    <w:tmpl w:val="76921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C70"/>
    <w:multiLevelType w:val="hybridMultilevel"/>
    <w:tmpl w:val="143A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E8D"/>
    <w:multiLevelType w:val="multilevel"/>
    <w:tmpl w:val="68CCC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25"/>
  </w:num>
  <w:num w:numId="9">
    <w:abstractNumId w:val="8"/>
  </w:num>
  <w:num w:numId="10">
    <w:abstractNumId w:val="1"/>
  </w:num>
  <w:num w:numId="11">
    <w:abstractNumId w:val="24"/>
  </w:num>
  <w:num w:numId="12">
    <w:abstractNumId w:val="3"/>
  </w:num>
  <w:num w:numId="13">
    <w:abstractNumId w:val="20"/>
  </w:num>
  <w:num w:numId="14">
    <w:abstractNumId w:val="6"/>
  </w:num>
  <w:num w:numId="15">
    <w:abstractNumId w:val="9"/>
  </w:num>
  <w:num w:numId="16">
    <w:abstractNumId w:val="2"/>
  </w:num>
  <w:num w:numId="17">
    <w:abstractNumId w:val="21"/>
  </w:num>
  <w:num w:numId="18">
    <w:abstractNumId w:val="11"/>
  </w:num>
  <w:num w:numId="19">
    <w:abstractNumId w:val="0"/>
  </w:num>
  <w:num w:numId="20">
    <w:abstractNumId w:val="15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6"/>
  </w:num>
  <w:num w:numId="26">
    <w:abstractNumId w:val="27"/>
  </w:num>
  <w:num w:numId="27">
    <w:abstractNumId w:val="18"/>
  </w:num>
  <w:num w:numId="28">
    <w:abstractNumId w:val="23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C4"/>
    <w:rsid w:val="00045F91"/>
    <w:rsid w:val="00082566"/>
    <w:rsid w:val="000A596F"/>
    <w:rsid w:val="000B0C23"/>
    <w:rsid w:val="00104099"/>
    <w:rsid w:val="00120B43"/>
    <w:rsid w:val="00131B59"/>
    <w:rsid w:val="0014540D"/>
    <w:rsid w:val="0023290B"/>
    <w:rsid w:val="00286A06"/>
    <w:rsid w:val="002E47C3"/>
    <w:rsid w:val="0031642C"/>
    <w:rsid w:val="003E1178"/>
    <w:rsid w:val="003F19AE"/>
    <w:rsid w:val="00424B5A"/>
    <w:rsid w:val="004F737D"/>
    <w:rsid w:val="00546654"/>
    <w:rsid w:val="005651E7"/>
    <w:rsid w:val="00620D6F"/>
    <w:rsid w:val="006444AF"/>
    <w:rsid w:val="00656CB0"/>
    <w:rsid w:val="0066459F"/>
    <w:rsid w:val="006963BE"/>
    <w:rsid w:val="006C17A0"/>
    <w:rsid w:val="00746AC4"/>
    <w:rsid w:val="00793E45"/>
    <w:rsid w:val="007A0844"/>
    <w:rsid w:val="007B6BDE"/>
    <w:rsid w:val="008A3E3A"/>
    <w:rsid w:val="009C2207"/>
    <w:rsid w:val="00A615BE"/>
    <w:rsid w:val="00AB0866"/>
    <w:rsid w:val="00AE3343"/>
    <w:rsid w:val="00BC3994"/>
    <w:rsid w:val="00C62A1C"/>
    <w:rsid w:val="00CB6ECB"/>
    <w:rsid w:val="00D31CBF"/>
    <w:rsid w:val="00DF3445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A0D"/>
  <w15:chartTrackingRefBased/>
  <w15:docId w15:val="{CC3B903A-2764-43E9-B162-144AD9D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78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96F"/>
    <w:pPr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96F"/>
    <w:rPr>
      <w:rFonts w:ascii="Times New Roman" w:hAnsi="Times New Roman" w:cs="Times New Roman"/>
      <w:b/>
      <w:bCs/>
      <w:sz w:val="28"/>
      <w:szCs w:val="24"/>
      <w:lang w:val="id-ID"/>
    </w:rPr>
  </w:style>
  <w:style w:type="paragraph" w:styleId="NoSpacing">
    <w:name w:val="No Spacing"/>
    <w:uiPriority w:val="1"/>
    <w:qFormat/>
    <w:rsid w:val="009C2207"/>
    <w:pPr>
      <w:spacing w:after="0" w:line="240" w:lineRule="auto"/>
    </w:pPr>
    <w:rPr>
      <w:rFonts w:ascii="Calibri" w:eastAsia="Times New Roman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B6B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DE"/>
    <w:rPr>
      <w:lang w:val="en-ID"/>
    </w:rPr>
  </w:style>
  <w:style w:type="paragraph" w:styleId="ListParagraph">
    <w:name w:val="List Paragraph"/>
    <w:basedOn w:val="Normal"/>
    <w:uiPriority w:val="34"/>
    <w:qFormat/>
    <w:rsid w:val="006444A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B659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9AE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19AE"/>
    <w:pPr>
      <w:tabs>
        <w:tab w:val="left" w:pos="810"/>
        <w:tab w:val="right" w:leader="dot" w:pos="7927"/>
      </w:tabs>
      <w:spacing w:after="100"/>
      <w:ind w:left="630" w:hanging="630"/>
    </w:pPr>
    <w:rPr>
      <w:rFonts w:ascii="Times New Roman" w:hAnsi="Times New Roman" w:cs="Times New Roman"/>
      <w:b/>
      <w:bCs/>
      <w:noProof/>
      <w:sz w:val="24"/>
      <w:szCs w:val="24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3F1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19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F19A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F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F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numbering" w:customStyle="1" w:styleId="Style1">
    <w:name w:val="Style1"/>
    <w:uiPriority w:val="99"/>
    <w:rsid w:val="00045F91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unhideWhenUsed/>
    <w:rsid w:val="00DF3445"/>
  </w:style>
  <w:style w:type="paragraph" w:styleId="Header">
    <w:name w:val="header"/>
    <w:basedOn w:val="Normal"/>
    <w:link w:val="HeaderChar"/>
    <w:uiPriority w:val="99"/>
    <w:unhideWhenUsed/>
    <w:rsid w:val="00620D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6F"/>
    <w:rPr>
      <w:lang w:val="en-ID"/>
    </w:rPr>
  </w:style>
  <w:style w:type="table" w:customStyle="1" w:styleId="TableGrid3">
    <w:name w:val="Table Grid3"/>
    <w:basedOn w:val="TableNormal"/>
    <w:next w:val="TableGrid"/>
    <w:uiPriority w:val="39"/>
    <w:qFormat/>
    <w:rsid w:val="00120B4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E3343"/>
    <w:pPr>
      <w:spacing w:after="0" w:line="240" w:lineRule="auto"/>
      <w:ind w:left="397" w:firstLine="284"/>
      <w:jc w:val="both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Wor23</b:Tag>
    <b:SourceType>InternetSite</b:SourceType>
    <b:Guid>{CC174901-6058-4DF6-82BE-4272C296A74D}</b:Guid>
    <b:Title>Who We Are</b:Title>
    <b:Year>2023</b:Year>
    <b:Author>
      <b:Author>
        <b:NameList>
          <b:Person>
            <b:Last>World Food Programme</b:Last>
          </b:Person>
        </b:NameList>
      </b:Author>
    </b:Author>
    <b:InternetSiteTitle>World Food Programme</b:InternetSiteTitle>
    <b:URL>https://www.wfp.org/who-we-are</b:URL>
    <b:RefOrder>1</b:RefOrder>
  </b:Source>
  <b:Source>
    <b:Tag>Her11</b:Tag>
    <b:SourceType>JournalArticle</b:SourceType>
    <b:Guid>{47ABDA82-F682-49E7-9ED3-0A7560596626}</b:Guid>
    <b:Author>
      <b:Author>
        <b:NameList>
          <b:Person>
            <b:Last>Suharyanto</b:Last>
            <b:First>Heri</b:First>
          </b:Person>
        </b:NameList>
      </b:Author>
    </b:Author>
    <b:Title>Ketahanan Pangan</b:Title>
    <b:JournalName>Jurnal Sosial Humaniora</b:JournalName>
    <b:Year>2011</b:Year>
    <b:RefOrder>2</b:RefOrder>
  </b:Source>
  <b:Source>
    <b:Tag>Bul18</b:Tag>
    <b:SourceType>InternetSite</b:SourceType>
    <b:Guid>{016AD2CB-2AB0-4BEB-8639-CA9E9719A389}</b:Guid>
    <b:Title>Bulog</b:Title>
    <b:Year>2018</b:Year>
    <b:Author>
      <b:Author>
        <b:NameList>
          <b:Person>
            <b:Last>Bulog</b:Last>
          </b:Person>
        </b:NameList>
      </b:Author>
    </b:Author>
    <b:InternetSiteTitle>Bulog</b:InternetSiteTitle>
    <b:URL>https://www.bulog.co.id/beraspangan/ketahanan-pangan/</b:URL>
    <b:RefOrder>3</b:RefOrder>
  </b:Source>
  <b:Source>
    <b:Tag>Lai20</b:Tag>
    <b:SourceType>Book</b:SourceType>
    <b:Guid>{9CE9A0ED-4DF3-4631-ADA0-006236136AFD}</b:Guid>
    <b:Author>
      <b:Author>
        <b:NameList>
          <b:Person>
            <b:Last>Hidayanti</b:Last>
            <b:First>Lailatul</b:First>
          </b:Person>
        </b:NameList>
      </b:Author>
    </b:Author>
    <b:Title>Analisis Pendapatan dan Faktor Produksi Usahatani Padi Studi Kasus Desa Sumbersuko, Kecamatan Purwosari, Kabupaten Pasuruan </b:Title>
    <b:JournalName>Journal of Innovation Research and Knowledge </b:JournalName>
    <b:Year>2020</b:Year>
    <b:RefOrder>4</b:RefOrder>
  </b:Source>
  <b:Source>
    <b:Tag>Fau20</b:Tag>
    <b:SourceType>InternetSite</b:SourceType>
    <b:Guid>{572F0CAC-86CB-4F95-8351-7B16C864FFE3}</b:Guid>
    <b:Title>Republika</b:Title>
    <b:Year>2020</b:Year>
    <b:Author>
      <b:Author>
        <b:NameList>
          <b:Person>
            <b:Last>Mursid</b:Last>
            <b:First>Fauziah</b:First>
          </b:Person>
        </b:NameList>
      </b:Author>
    </b:Author>
    <b:InternetSiteTitle>Republika</b:InternetSiteTitle>
    <b:Month>September</b:Month>
    <b:Day>01</b:Day>
    <b:URL>https://ekonomi.republika.co.id/berita/qfyqd4370/dampak-pandemi-wapres-produksi-beras-diperkirakan-menurun</b:URL>
    <b:RefOrder>5</b:RefOrder>
  </b:Source>
  <b:Source>
    <b:Tag>Aul23</b:Tag>
    <b:SourceType>InternetSite</b:SourceType>
    <b:Guid>{56DDE1BA-5ED7-4C03-B985-CBB83129A059}</b:Guid>
    <b:Author>
      <b:Author>
        <b:NameList>
          <b:Person>
            <b:Last>Mutiara</b:Last>
            <b:First>Aulia</b:First>
          </b:Person>
        </b:NameList>
      </b:Author>
    </b:Author>
    <b:Title>CNBC Indonesia</b:Title>
    <b:InternetSiteTitle>CNBC Indonesia</b:InternetSiteTitle>
    <b:Year>2023</b:Year>
    <b:Month>October</b:Month>
    <b:Day>12</b:Day>
    <b:URL>https://www.cnbcindonesia.com/research/20231012072945-128-479885/impor-beras-ri-kerap-melonjak-mendadak-kisruh-di-2018</b:URL>
    <b:RefOrder>6</b:RefOrder>
  </b:Source>
  <b:Source>
    <b:Tag>Seh22</b:Tag>
    <b:SourceType>Report</b:SourceType>
    <b:Guid>{54C67DAA-67D0-4DAB-989A-2D1B390C6FDF}</b:Guid>
    <b:Title>Analisis Ketahanan Pangan </b:Title>
    <b:Year>2022</b:Year>
    <b:Author>
      <b:Author>
        <b:NameList>
          <b:Person>
            <b:Last>Sehusman</b:Last>
            <b:First>Sabarella,</b:First>
            <b:Middle>Wieta B. Komalasari, dkk</b:Middle>
          </b:Person>
        </b:NameList>
      </b:Author>
    </b:Author>
    <b:Publisher>Pusat Data dan Informasi Pertanian Kementerian Pertanian</b:Publisher>
    <b:RefOrder>7</b:RefOrder>
  </b:Source>
  <b:Source>
    <b:Tag>Sta19</b:Tag>
    <b:SourceType>InternetSite</b:SourceType>
    <b:Guid>{F466E989-D907-4F15-8924-C0464DC80E40}</b:Guid>
    <b:Title>Badan Pusat Statistik</b:Title>
    <b:InternetSiteTitle>Badan Pusat Statistik</b:InternetSiteTitle>
    <b:Year>2019</b:Year>
    <b:Month>February</b:Month>
    <b:Day>26</b:Day>
    <b:URL>https://www.bps.go.id/publication/2019/02/26/f115a20571c61a305c69ebd7/distribusi-perdagangan-komoditas-beras-di-indonesia-2018.html</b:URL>
    <b:Author>
      <b:Author>
        <b:NameList>
          <b:Person>
            <b:Last>Statistik</b:Last>
            <b:First>Badan</b:First>
            <b:Middle>Pusat</b:Middle>
          </b:Person>
        </b:NameList>
      </b:Author>
    </b:Author>
    <b:Publisher>Badan Pusat Statistik</b:Publisher>
    <b:RefOrder>8</b:RefOrder>
  </b:Source>
  <b:Source>
    <b:Tag>Wor19</b:Tag>
    <b:SourceType>Report</b:SourceType>
    <b:Guid>{5859F52C-7A7A-4A67-951F-464AB1318567}</b:Guid>
    <b:Title>Indonesia Country Strategic Plan (2017-2020)</b:Title>
    <b:Year>2019</b:Yea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9</b:RefOrder>
  </b:Source>
  <b:Source>
    <b:Tag>Dia20</b:Tag>
    <b:SourceType>InternetSite</b:SourceType>
    <b:Guid>{C770DB84-E909-4DC1-843B-9C34E1B01B91}</b:Guid>
    <b:Author>
      <b:Author>
        <b:NameList>
          <b:Person>
            <b:Last>Utami</b:Last>
            <b:First>Dian</b:First>
            <b:Middle>Wahyu</b:Middle>
          </b:Person>
        </b:NameList>
      </b:Author>
    </b:Author>
    <b:Title>Badan Riset dan Inovasi Nasional </b:Title>
    <b:InternetSiteTitle>Badan Riset dan Inovasi Nasional </b:InternetSiteTitle>
    <b:Year>2020</b:Year>
    <b:Month>May</b:Month>
    <b:Day>09</b:Day>
    <b:URL>https://kependudukan.brin.go.id/mencatatcovid19/ketahanan-pangan-dan-ironi-petani-di-tengah-pandemi-covid-19/</b:URL>
    <b:RefOrder>10</b:RefOrder>
  </b:Source>
  <b:Source>
    <b:Tag>Tri08</b:Tag>
    <b:SourceType>JournalArticle</b:SourceType>
    <b:Guid>{D9AA0B8C-37C6-42EB-B1FC-F5061D9BACC9}</b:Guid>
    <b:Title>Kompleksitas Penanganan Penguatan Ketahanan Pangan </b:Title>
    <b:Year>2008</b:Year>
    <b:Author>
      <b:Author>
        <b:NameList>
          <b:Person>
            <b:Last>Tri Noor Aziza</b:Last>
            <b:First>Rustan</b:First>
          </b:Person>
        </b:NameList>
      </b:Author>
    </b:Author>
    <b:JournalName>Borneo Administrator</b:JournalName>
    <b:RefOrder>11</b:RefOrder>
  </b:Source>
  <b:Source>
    <b:Tag>Eka19</b:Tag>
    <b:SourceType>JournalArticle</b:SourceType>
    <b:Guid>{CD58454D-F2D4-4C53-B190-88451377405C}</b:Guid>
    <b:Author>
      <b:Author>
        <b:NameList>
          <b:Person>
            <b:Last>Eka Rastiyanto Amrullah</b:Last>
            <b:First>Akira</b:First>
            <b:Middle>Ishida, Ani Pullaila, Aris Rusyiana</b:Middle>
          </b:Person>
        </b:NameList>
      </b:Author>
    </b:Author>
    <b:Title>Who Suffers From Food Insecurity in Indonesia</b:Title>
    <b:Year>2019</b:Year>
    <b:JournalName>International Journal of Social Economics</b:JournalName>
    <b:RefOrder>12</b:RefOrder>
  </b:Source>
  <b:Source>
    <b:Tag>Mut22</b:Tag>
    <b:SourceType>JournalArticle</b:SourceType>
    <b:Guid>{C84F9497-31E6-4C26-A3BF-27AE738D1271}</b:Guid>
    <b:Title>Ketahanan Pangan Sebelum dan Selama Pandemi Covid-19 di Kabupaten Bandung</b:Title>
    <b:Year>2022</b:Year>
    <b:Author>
      <b:Author>
        <b:NameList>
          <b:Person>
            <b:Last>Muthiah Syakirotin</b:Last>
            <b:First>Tuti</b:First>
            <b:Middle>Karyani, Trisna Insan Noor</b:Middle>
          </b:Person>
        </b:NameList>
      </b:Author>
    </b:Author>
    <b:JournalName>Jurnal Ilmu Pertanian Indonesia</b:JournalName>
    <b:RefOrder>13</b:RefOrder>
  </b:Source>
  <b:Source>
    <b:Tag>Eco19</b:Tag>
    <b:SourceType>InternetSite</b:SourceType>
    <b:Guid>{99DD6124-0AFE-431C-8424-1390F1C78CC6}</b:Guid>
    <b:Title>Economist Impact</b:Title>
    <b:Year>2019</b:Year>
    <b:Author>
      <b:Author>
        <b:NameList>
          <b:Person>
            <b:Last>Impact</b:Last>
            <b:First>Economist</b:First>
          </b:Person>
        </b:NameList>
      </b:Author>
    </b:Author>
    <b:InternetSiteTitle>Economist Impact</b:InternetSiteTitle>
    <b:URL>https://impact.economist.com/sustainability/project/food-security-index/</b:URL>
    <b:RefOrder>14</b:RefOrder>
  </b:Source>
  <b:Source>
    <b:Tag>Tun22</b:Tag>
    <b:SourceType>JournalArticle</b:SourceType>
    <b:Guid>{048971D7-6BD8-430A-B764-232597087313}</b:Guid>
    <b:Title>Upaya World Food Programme (WFP) Membantu Meningkatkan Ketahanan Pangan Indonesia Melalui Country Stategic Plan 2017-2020</b:Title>
    <b:Year>2022</b:Year>
    <b:Author>
      <b:Author>
        <b:NameList>
          <b:Person>
            <b:Last>Marcelino</b:Last>
            <b:First>Tunduge</b:First>
            <b:Middle>Vergie</b:Middle>
          </b:Person>
        </b:NameList>
      </b:Author>
    </b:Author>
    <b:JournalName>e-Journal Hubungan Internasional </b:JournalName>
    <b:RefOrder>15</b:RefOrder>
  </b:Source>
  <b:Source>
    <b:Tag>Fas20</b:Tag>
    <b:SourceType>JournalArticle</b:SourceType>
    <b:Guid>{8D10A942-5DB5-46D5-B475-C921C0C8E5A9}</b:Guid>
    <b:Author>
      <b:Author>
        <b:NameList>
          <b:Person>
            <b:Last>Khairad</b:Last>
            <b:First>Fastabiqul</b:First>
          </b:Person>
        </b:NameList>
      </b:Author>
    </b:Author>
    <b:Title>Sektor Pertanian ditengah Pandemi Covid-19 Ditinjau dari Aspek Agribisnis</b:Title>
    <b:JournalName>Jurnal Agriuma</b:JournalName>
    <b:Year>2020</b:Year>
    <b:RefOrder>16</b:RefOrder>
  </b:Source>
  <b:Source>
    <b:Tag>Moh21</b:Tag>
    <b:SourceType>JournalArticle</b:SourceType>
    <b:Guid>{D6BDD97D-99D7-4455-8938-369B4FF92FB2}</b:Guid>
    <b:Title>How Security Affects Food Security in Indonesia</b:Title>
    <b:Year>2021</b:Year>
    <b:Author>
      <b:Author>
        <b:NameList>
          <b:Person>
            <b:Last>Mohammad Ikhsan</b:Last>
            <b:First>I</b:First>
            <b:Middle>Gede Shitaprajna Virananda</b:Middle>
          </b:Person>
        </b:NameList>
      </b:Author>
    </b:Author>
    <b:JournalName>LPEM-FEBUI</b:JournalName>
    <b:RefOrder>17</b:RefOrder>
  </b:Source>
  <b:Source>
    <b:Tag>Suw20</b:Tag>
    <b:SourceType>JournalArticle</b:SourceType>
    <b:Guid>{42168EF9-945E-49DE-9210-C05BED1D4CAB}</b:Guid>
    <b:Author>
      <b:Author>
        <b:NameList>
          <b:Person>
            <b:Last>Ilyas Masudin</b:Last>
            <b:First>Nika</b:First>
            <b:Middle>Tampi Safitri</b:Middle>
          </b:Person>
        </b:NameList>
      </b:Author>
    </b:Author>
    <b:Title>Food Cold Chain in Indonesia during the Covid-19 Pandemic: A Current Situation and Mitigation</b:Title>
    <b:JournalName>Jurnal Rekayasa Sistem Industri</b:JournalName>
    <b:Year>2020</b:Year>
    <b:RefOrder>18</b:RefOrder>
  </b:Source>
  <b:Source>
    <b:Tag>Suw21</b:Tag>
    <b:SourceType>JournalArticle</b:SourceType>
    <b:Guid>{A6AF5906-711F-47E7-B671-5FD7A2A83049}</b:Guid>
    <b:Author>
      <b:Author>
        <b:NameList>
          <b:Person>
            <b:Last>Suwardi</b:Last>
          </b:Person>
        </b:NameList>
      </b:Author>
    </b:Author>
    <b:Title>Indonesian Food Security During the Covid-19 Pandemic</b:Title>
    <b:JournalName>Earth and Environmental Science</b:JournalName>
    <b:Year>2021</b:Year>
    <b:RefOrder>19</b:RefOrder>
  </b:Source>
  <b:Source>
    <b:Tag>KJH82</b:Tag>
    <b:SourceType>Book</b:SourceType>
    <b:Guid>{D2887F27-06FA-49C8-8C64-32591C205F44}</b:Guid>
    <b:Title>International Politics: a Framework for Analysis</b:Title>
    <b:Year>1982</b:Year>
    <b:Author>
      <b:Author>
        <b:NameList>
          <b:Person>
            <b:Last>Holsti</b:Last>
            <b:First>K.J</b:First>
          </b:Person>
        </b:NameList>
      </b:Author>
    </b:Author>
    <b:Publisher>Prentice-Hall</b:Publisher>
    <b:RefOrder>20</b:RefOrder>
  </b:Source>
  <b:Source>
    <b:Tag>Yog22</b:Tag>
    <b:SourceType>InternetSite</b:SourceType>
    <b:Guid>{138FF716-9D8D-46A7-9F40-EA73165A89FE}</b:Guid>
    <b:Author>
      <b:Author>
        <b:NameList>
          <b:Person>
            <b:Last>Yogyakarta</b:Last>
            <b:First>Universitas</b:First>
            <b:Middle>Pembangunan Nasional Veteran</b:Middle>
          </b:Person>
        </b:NameList>
      </b:Author>
    </b:Author>
    <b:Title>Studocu</b:Title>
    <b:Year>2022</b:Year>
    <b:InternetSiteTitle>Studocu</b:InternetSiteTitle>
    <b:RefOrder>21</b:RefOrder>
  </b:Source>
  <b:Source>
    <b:Tag>Jef99</b:Tag>
    <b:SourceType>Book</b:SourceType>
    <b:Guid>{54776557-8615-405D-8F10-33990750B2E0}</b:Guid>
    <b:Title>Globalization and Governance </b:Title>
    <b:Year>1999</b:Year>
    <b:Author>
      <b:Author>
        <b:NameList>
          <b:Person>
            <b:Last>Jeffrey A. Hart</b:Last>
            <b:First>Aseem</b:First>
            <b:Middle>Prakash</b:Middle>
          </b:Person>
        </b:NameList>
      </b:Author>
    </b:Author>
    <b:City>London</b:City>
    <b:Publisher>Routledge</b:Publisher>
    <b:RefOrder>22</b:RefOrder>
  </b:Source>
  <b:Source>
    <b:Tag>Muh04</b:Tag>
    <b:SourceType>JournalArticle</b:SourceType>
    <b:Guid>{4851B09D-F323-4E2C-9327-5BD18FAB134A}</b:Guid>
    <b:Title>Global Governance Sebagai Agenda Penelitian Dalam Studi Hubungan Internasional </b:Title>
    <b:Year>2004</b:Year>
    <b:Author>
      <b:Author>
        <b:NameList>
          <b:Person>
            <b:Last>Sugiono</b:Last>
            <b:First>Muhadi</b:First>
          </b:Person>
        </b:NameList>
      </b:Author>
    </b:Author>
    <b:JournalName>Jurnal Ilmu Sosial dan Ilmu Politik </b:JournalName>
    <b:RefOrder>23</b:RefOrder>
  </b:Source>
  <b:Source>
    <b:Tag>Sim92</b:Tag>
    <b:SourceType>Book</b:SourceType>
    <b:Guid>{F139849E-DE67-4ADF-89F2-6DCD41EA00CD}</b:Guid>
    <b:Author>
      <b:Author>
        <b:NameList>
          <b:Person>
            <b:Last>Simon Maxwell</b:Last>
            <b:First>Timothy</b:First>
            <b:Middle>R. Frankenberger</b:Middle>
          </b:Person>
        </b:NameList>
      </b:Author>
    </b:Author>
    <b:Title>Household Food Security: Concepts, Indicators, Measurements </b:Title>
    <b:Year>1992</b:Year>
    <b:City>New York </b:City>
    <b:Publisher>UNICEF Porgramme Publication</b:Publisher>
    <b:RefOrder>24</b:RefOrder>
  </b:Source>
  <b:Source>
    <b:Tag>Kat17</b:Tag>
    <b:SourceType>JournalArticle</b:SourceType>
    <b:Guid>{1DAC7508-5906-41FB-A6A5-E659E578941A}</b:Guid>
    <b:Title>Food Security Governance in the Southeast Asia Region: from National to Regional Governance</b:Title>
    <b:Year>2017</b:Year>
    <b:Author>
      <b:Author>
        <b:NameList>
          <b:Person>
            <b:Last>Mlynarska</b:Last>
            <b:First>Katarzyna</b:First>
            <b:Middle>Marzeda</b:Middle>
          </b:Person>
        </b:NameList>
      </b:Author>
    </b:Author>
    <b:JournalName>Historia i Polityca</b:JournalName>
    <b:RefOrder>25</b:RefOrder>
  </b:Source>
  <b:Source>
    <b:Tag>Cre10</b:Tag>
    <b:SourceType>Book</b:SourceType>
    <b:Guid>{87C21197-A7FF-43EB-AFD5-C0F62F90F7FE}</b:Guid>
    <b:Title>Research: Pendekatan Kualitatif, Kuantitatif dan Mixed</b:Title>
    <b:Year>2010</b:Year>
    <b:Author>
      <b:Author>
        <b:NameList>
          <b:Person>
            <b:Last>Creswell</b:Last>
            <b:First>John.</b:First>
            <b:Middle>W</b:Middle>
          </b:Person>
        </b:NameList>
      </b:Author>
    </b:Author>
    <b:City>Indonesia</b:City>
    <b:Publisher>Pustaka Indonesia</b:Publisher>
    <b:RefOrder>30</b:RefOrder>
  </b:Source>
  <b:Source>
    <b:Tag>Sya202</b:Tag>
    <b:SourceType>InternetSite</b:SourceType>
    <b:Guid>{C0FBE28C-B33E-462E-B021-0B664FAC32A7}</b:Guid>
    <b:Title>Universitas Raharja</b:Title>
    <b:Year>2020</b:Year>
    <b:Author>
      <b:Author>
        <b:NameList>
          <b:Person>
            <b:Last>Syarifdawaty</b:Last>
          </b:Person>
        </b:NameList>
      </b:Author>
    </b:Author>
    <b:Month>November</b:Month>
    <b:Day>08</b:Day>
    <b:URL>https://raharja.ac.id/2020/11/08/data-sekunder/</b:URL>
    <b:RefOrder>31</b:RefOrder>
  </b:Source>
  <b:Source>
    <b:Tag>Per23</b:Tag>
    <b:SourceType>JournalArticle</b:SourceType>
    <b:Guid>{5765C32E-C615-4F0F-BCE8-D78F9E8F239B}</b:Guid>
    <b:Author>
      <b:Author>
        <b:NameList>
          <b:Person>
            <b:Last>Pertiwi</b:Last>
          </b:Person>
        </b:NameList>
      </b:Author>
    </b:Author>
    <b:Title>Analisis Faktor-faktor yang Mempengaruhi Volume Impor Beras di Indonesia</b:Title>
    <b:Year>2023</b:Year>
    <b:RefOrder>32</b:RefOrder>
  </b:Source>
  <b:Source>
    <b:Tag>Ari21</b:Tag>
    <b:SourceType>Report</b:SourceType>
    <b:Guid>{5BA980F1-226E-44FC-9506-2808AC11223E}</b:Guid>
    <b:Title>Dampak Covid-19 Terhadap Ketahanan dan Perdagangan Pangan di Indonesia</b:Title>
    <b:Year>2021</b:Year>
    <b:Author>
      <b:Author>
        <b:NameList>
          <b:Person>
            <b:Last>Arianto Panturu</b:Last>
            <b:First>Felippa</b:First>
            <b:Middle>Amanta</b:Middle>
          </b:Person>
        </b:NameList>
      </b:Author>
    </b:Author>
    <b:Publisher>Center for Indonesian Policy Studies</b:Publisher>
    <b:RefOrder>33</b:RefOrder>
  </b:Source>
  <b:Source>
    <b:Tag>Tas22</b:Tag>
    <b:SourceType>JournalArticle</b:SourceType>
    <b:Guid>{0E368649-F3EA-4F27-A1EF-9170ABA85639}</b:Guid>
    <b:Author>
      <b:Author>
        <b:NameList>
          <b:Person>
            <b:Last>Tasya Adhila Amalia</b:Last>
            <b:First>Jordan</b:First>
            <b:Middle>Aria Adibrata, Riko Ratna Setiawan</b:Middle>
          </b:Person>
        </b:NameList>
      </b:Author>
    </b:Author>
    <b:Title>Strategi Ketahanan Pangan Dimasa Pandemi Covid-19: Penguatan Potensi Desa Melalui Sustainable Farming di Indonesia</b:Title>
    <b:Year>2022</b:Year>
    <b:JournalName>Jurnal Sosial Ekonomi Pertanian</b:JournalName>
    <b:Pages>130</b:Pages>
    <b:RefOrder>34</b:RefOrder>
  </b:Source>
  <b:Source>
    <b:Tag>Her20</b:Tag>
    <b:SourceType>Book</b:SourceType>
    <b:Guid>{F1ADB4C6-6D4A-4AE2-9AAC-8EE95C9C9AF1}</b:Guid>
    <b:Author>
      <b:Author>
        <b:NameList>
          <b:Person>
            <b:Last>Hermanto</b:Last>
          </b:Person>
        </b:NameList>
      </b:Author>
    </b:Author>
    <b:Title>Dampak Covid Terhadap Sektor Pertanian</b:Title>
    <b:Year>2020</b:Year>
    <b:RefOrder>35</b:RefOrder>
  </b:Source>
  <b:Source>
    <b:Tag>Kur22</b:Tag>
    <b:SourceType>InternetSite</b:SourceType>
    <b:Guid>{D0C63AB4-94A6-4220-9BC6-6F94CD03CA09}</b:Guid>
    <b:Title>Media Indonesia</b:Title>
    <b:Year>2022</b:Year>
    <b:Author>
      <b:Author>
        <b:NameList>
          <b:Person>
            <b:Last>Mufidayati</b:Last>
            <b:First>Kurniasih</b:First>
          </b:Person>
        </b:NameList>
      </b:Author>
    </b:Author>
    <b:InternetSiteTitle>Media Indonesia</b:InternetSiteTitle>
    <b:Month>January </b:Month>
    <b:Day>23</b:Day>
    <b:URL>https://mediaindonesia.com/opini/466312/harga-pangan-pandemi-covid-19-dan-kemiskinan</b:URL>
    <b:RefOrder>36</b:RefOrder>
  </b:Source>
  <b:Source>
    <b:Tag>Ded22</b:Tag>
    <b:SourceType>InternetSite</b:SourceType>
    <b:Guid>{F5AE204A-9210-4255-B26D-A9098A282D6C}</b:Guid>
    <b:Author>
      <b:Author>
        <b:NameList>
          <b:Person>
            <b:Last>Nasution</b:Last>
            <b:First>Dedy</b:First>
            <b:Middle>Darmawan</b:Middle>
          </b:Person>
        </b:NameList>
      </b:Author>
    </b:Author>
    <b:Title>Republika</b:Title>
    <b:InternetSiteTitle>Republika</b:InternetSiteTitle>
    <b:Year>2022</b:Year>
    <b:Month>July</b:Month>
    <b:Day>14</b:Day>
    <b:URL>https://ekonomi.republika.co.id/berita/rf0bux349/apa-sebetulnya-pangkal-masalah-kenaikan-harga-pangan</b:URL>
    <b:RefOrder>37</b:RefOrder>
  </b:Source>
  <b:Source>
    <b:Tag>Rob20</b:Tag>
    <b:SourceType>InternetSite</b:SourceType>
    <b:Guid>{D845059F-7EC4-480F-AE11-F1ED286902D6}</b:Guid>
    <b:Author>
      <b:Author>
        <b:NameList>
          <b:Person>
            <b:Last>Johansson</b:Last>
            <b:First>Robert</b:First>
          </b:Person>
        </b:NameList>
      </b:Author>
    </b:Author>
    <b:Title>U.S Departement of Agriculture </b:Title>
    <b:InternetSiteTitle>U.S Departement of Agriculture </b:InternetSiteTitle>
    <b:Year>2020</b:Year>
    <b:Month>April</b:Month>
    <b:Day>16</b:Day>
    <b:URL>https://www.usda.gov/media/blog/2020/04/16/will-covid-19-threaten-availability-and-affordability-our-food</b:URL>
    <b:RefOrder>38</b:RefOrder>
  </b:Source>
  <b:Source>
    <b:Tag>Pau93</b:Tag>
    <b:SourceType>Book</b:SourceType>
    <b:Guid>{BF6991C1-B285-4DEC-BA0C-14914F2809E5}</b:Guid>
    <b:Author>
      <b:Author>
        <b:NameList>
          <b:Person>
            <b:Last>Paul R. Viotti</b:Last>
            <b:First>Mark</b:First>
            <b:Middle>V. Kauppi</b:Middle>
          </b:Person>
        </b:NameList>
      </b:Author>
    </b:Author>
    <b:Title>International Relations Theory: Realism, Pluralism, Globalism Ed. 2</b:Title>
    <b:Year>1993</b:Year>
    <b:City>United States</b:City>
    <b:Publisher>Macmillan Publishing Company </b:Publisher>
    <b:RefOrder>39</b:RefOrder>
  </b:Source>
  <b:Source>
    <b:Tag>Moh20</b:Tag>
    <b:SourceType>Book</b:SourceType>
    <b:Guid>{1275D4AA-3B88-4A9B-BD80-4BABAAAD593F}</b:Guid>
    <b:Author>
      <b:Author>
        <b:NameList>
          <b:Person>
            <b:Last>Mas'oed</b:Last>
            <b:First>Mohtar</b:First>
          </b:Person>
        </b:NameList>
      </b:Author>
    </b:Author>
    <b:Title>Isu dan Aktor Politik Luar Negeri</b:Title>
    <b:Year>2020</b:Year>
    <b:City>Sleman</b:City>
    <b:Publisher>Gajah Mada University Press</b:Publisher>
    <b:RefOrder>40</b:RefOrder>
  </b:Source>
  <b:Source>
    <b:Tag>Sin05</b:Tag>
    <b:SourceType>Book</b:SourceType>
    <b:Guid>{D3051A3D-53A7-4D04-BF2B-E677F001AA17}</b:Guid>
    <b:Author>
      <b:Author>
        <b:NameList>
          <b:Person>
            <b:Last>Singer</b:Last>
            <b:First>J.</b:First>
            <b:Middle>David</b:Middle>
          </b:Person>
        </b:NameList>
      </b:Author>
    </b:Author>
    <b:Title>The Level of Analysis Problem in International Relations</b:Title>
    <b:Year>2005</b:Year>
    <b:Publisher>The Johns Hopkins University Press</b:Publisher>
    <b:RefOrder>26</b:RefOrder>
  </b:Source>
  <b:Source>
    <b:Tag>Teg14</b:Tag>
    <b:SourceType>JournalArticle</b:SourceType>
    <b:Guid>{01135B74-5587-401A-974A-F55FD68C2608}</b:Guid>
    <b:Title>Analisis Tingkat Ketahanan Pangan Rumah Tangga Tani </b:Title>
    <b:Year>2014</b:Year>
    <b:Author>
      <b:Author>
        <b:NameList>
          <b:Person>
            <b:Last>Supriyanto</b:Last>
            <b:First>Teguh</b:First>
          </b:Person>
        </b:NameList>
      </b:Author>
    </b:Author>
    <b:JournalName>Jurnal Ekonomi dan Bisnis</b:JournalName>
    <b:RefOrder>27</b:RefOrder>
  </b:Source>
  <b:Source>
    <b:Tag>Ikb07</b:Tag>
    <b:SourceType>Book</b:SourceType>
    <b:Guid>{71397F55-8717-47F7-8094-85E3D4950A54}</b:Guid>
    <b:Author>
      <b:Author>
        <b:NameList>
          <b:Person>
            <b:Last>Ikbar</b:Last>
            <b:First>Yanuar</b:First>
          </b:Person>
        </b:NameList>
      </b:Author>
    </b:Author>
    <b:Title>Ekonomi Politik Transnasional 2 : Implementasional Konsep dan Teori</b:Title>
    <b:Year>2007</b:Year>
    <b:City>Bandung</b:City>
    <b:Publisher>Refika Aditama</b:Publisher>
    <b:RefOrder>28</b:RefOrder>
  </b:Source>
  <b:Source>
    <b:Tag>DrC11</b:Tag>
    <b:SourceType>InternetSite</b:SourceType>
    <b:Guid>{2BFDA28C-D59A-45AA-B721-55404CE719AE}</b:Guid>
    <b:Year>2011</b:Year>
    <b:Author>
      <b:Author>
        <b:NameList>
          <b:Person>
            <b:Last>Death</b:Last>
            <b:First>Dr.</b:First>
            <b:Middle>Carl</b:Middle>
          </b:Person>
        </b:NameList>
      </b:Author>
    </b:Author>
    <b:Month>April</b:Month>
    <b:Day>26</b:Day>
    <b:URL>https://www.aber.ac.uk/en/media/departmental/ibers/innovations/innovations4/07.pdf</b:URL>
    <b:RefOrder>29</b:RefOrder>
  </b:Source>
  <b:Source>
    <b:Tag>Pre96</b:Tag>
    <b:SourceType>Report</b:SourceType>
    <b:Guid>{21B33870-A641-4FB0-830F-58DE071688A3}</b:Guid>
    <b:Title>Undang-Undang Republik Indonesia Nomor 7 Tahun 1996</b:Title>
    <b:Year>1996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Publisher>Dewan Perwakilan Rakyat Republik Indonesia</b:Publisher>
    <b:RefOrder>41</b:RefOrder>
  </b:Source>
  <b:Source>
    <b:Tag>Roo11</b:Tag>
    <b:SourceType>JournalArticle</b:SourceType>
    <b:Guid>{77EB9DA0-D786-47F3-9846-0612B639D530}</b:Guid>
    <b:Title>Strategi Pencapaian Diversivikasi dan Kemandirian Pangan: Antara Harapan dan kenyataan</b:Title>
    <b:Year>2011</b:Year>
    <b:Author>
      <b:Author>
        <b:NameList>
          <b:Person>
            <b:Last>Elizabeth</b:Last>
            <b:First>Roosganda</b:First>
          </b:Person>
        </b:NameList>
      </b:Author>
    </b:Author>
    <b:JournalName>Iptek Tanaman Pangan </b:JournalName>
    <b:RefOrder>42</b:RefOrder>
  </b:Source>
  <b:Source>
    <b:Tag>Med22</b:Tag>
    <b:SourceType>InternetSite</b:SourceType>
    <b:Guid>{AC8084BD-0F09-40E4-A261-6E877F177F5A}</b:Guid>
    <b:Author>
      <b:Author>
        <b:NameList>
          <b:Person>
            <b:Last>Digital</b:Last>
            <b:First>Media</b:First>
          </b:Person>
        </b:NameList>
      </b:Author>
    </b:Author>
    <b:Title>Media Digital </b:Title>
    <b:InternetSiteTitle>Media Digital </b:InternetSiteTitle>
    <b:Year>2022</b:Year>
    <b:Month>December</b:Month>
    <b:Day>26</b:Day>
    <b:URL>https://ekonomi.bisnis.com/read/20221229/9/1613166/arsjad-rasjid-ingatkan-dampak-disparitas-harga-beras</b:URL>
    <b:RefOrder>43</b:RefOrder>
  </b:Source>
  <b:Source>
    <b:Tag>Wor21</b:Tag>
    <b:SourceType>Report</b:SourceType>
    <b:Guid>{74DEC555-8DCF-42DC-B8AA-9C9054C98B10}</b:Guid>
    <b:Title>Indonesia Annual Report </b:Title>
    <b:Year>2021</b:Year>
    <b:Publisher>World Food Programme</b:Publishe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44</b:RefOrder>
  </b:Source>
  <b:Source>
    <b:Tag>Nan22</b:Tag>
    <b:SourceType>JournalArticle</b:SourceType>
    <b:Guid>{B5F06AB1-87A0-4F49-812F-9D054E581A6D}</b:Guid>
    <b:Author>
      <b:Author>
        <b:NameList>
          <b:Person>
            <b:Last>Nanggala</b:Last>
            <b:First>Gelar</b:First>
          </b:Person>
        </b:NameList>
      </b:Author>
    </b:Author>
    <b:Title>Diplomasi Kebudayaan Dalam Mendukung Pencapaian Kepentingan Nasional dan Pertahanan Negara: Studi Program Indonesia Arts And Culture Scholarship (IACS) oleh Kementerian Luar Negeri Republik Indonesia</b:Title>
    <b:Year>2022</b:Year>
    <b:JournalName>Jurnal Diplomasi Pertahanan</b:JournalName>
    <b:RefOrder>1</b:RefOrder>
  </b:Source>
  <b:Source>
    <b:Tag>Nug20</b:Tag>
    <b:SourceType>JournalArticle</b:SourceType>
    <b:Guid>{464E46AF-8E34-4E2E-9803-1F955F175508}</b:Guid>
    <b:Author>
      <b:Author>
        <b:NameList>
          <b:Person>
            <b:Last>Nugroho</b:Last>
            <b:First>Purwo</b:First>
            <b:Middle>Agung</b:Middle>
          </b:Person>
        </b:NameList>
      </b:Author>
    </b:Author>
    <b:Title>Diplomasi Budaya Indonesia Melalui Rumah Budaya Indonesia Di Belanda Periode 2016-2017</b:Title>
    <b:JournalName>Jurnal Hubungan Internasional</b:JournalName>
    <b:Year>2020</b:Year>
    <b:RefOrder>2</b:RefOrder>
  </b:Source>
  <b:Source>
    <b:Tag>Aqi21</b:Tag>
    <b:SourceType>JournalArticle</b:SourceType>
    <b:Guid>{6973C852-3E35-4A45-B7A5-141B1585D052}</b:Guid>
    <b:Author>
      <b:Author>
        <b:NameList>
          <b:Person>
            <b:Last>Aqilurrahman</b:Last>
            <b:First>Muhammad</b:First>
          </b:Person>
        </b:NameList>
      </b:Author>
    </b:Author>
    <b:Title>Diplomasi Budaya Indonesia di Belanda: Peran Seni dan Budaya dalam Meningkatkan Hubungan Bilateral</b:Title>
    <b:JournalName>Jurnal Hubungan Internasional</b:JournalName>
    <b:Year>2021</b:Year>
    <b:RefOrder>3</b:RefOrder>
  </b:Source>
  <b:Source>
    <b:Tag>Ala23</b:Tag>
    <b:SourceType>JournalArticle</b:SourceType>
    <b:Guid>{5DEFEA07-4AFE-434F-AF21-109EBBC1DB2B}</b:Guid>
    <b:Title>Diplomasi Budaya Indonesia di Belanda Pasca COVID-19: Peran Seni dan Budaya Digital</b:Title>
    <b:JournalName>Jurnal Hubungan Internasional</b:JournalName>
    <b:Year>2023</b:Year>
    <b:Author>
      <b:Author>
        <b:NameList>
          <b:Person>
            <b:Last>Alam</b:Last>
            <b:Middle>Nur</b:Middle>
            <b:First>Gilang</b:First>
          </b:Person>
          <b:Person>
            <b:Last>Khatrunada</b:Last>
            <b:Middle>Afifah</b:Middle>
            <b:First>Siti</b:First>
          </b:Person>
        </b:NameList>
      </b:Author>
    </b:Author>
    <b:RefOrder>4</b:RefOrder>
  </b:Source>
  <b:Source>
    <b:Tag>Rah21</b:Tag>
    <b:SourceType>JournalArticle</b:SourceType>
    <b:Guid>{282F25C7-20DB-48EE-AE60-213474A54A52}</b:Guid>
    <b:Title>Tong Tong Fair: Strategi Diplomasi Budaya Indonesia di Belanda</b:Title>
    <b:JournalName>Jurnal UNIMUDA</b:JournalName>
    <b:Year>2021</b:Year>
    <b:Author>
      <b:Author>
        <b:NameList>
          <b:Person>
            <b:Last>Rahmawati</b:Last>
            <b:First>Aulia</b:First>
          </b:Person>
          <b:Person>
            <b:Last>Puspitasari</b:Last>
            <b:First>Widya</b:First>
          </b:Person>
        </b:NameList>
      </b:Author>
    </b:Author>
    <b:RefOrder>5</b:RefOrder>
  </b:Source>
  <b:Source>
    <b:Tag>Nur19</b:Tag>
    <b:SourceType>JournalArticle</b:SourceType>
    <b:Guid>{2FC0991C-373E-47FC-B370-7377A637297D}</b:Guid>
    <b:Author>
      <b:Author>
        <b:NameList>
          <b:Person>
            <b:Last>Nurcahyo</b:Last>
            <b:First>Muhammad</b:First>
            <b:Middle>A</b:Middle>
          </b:Person>
          <b:Person>
            <b:Last>Kurnia</b:Last>
            <b:First>Riri</b:First>
          </b:Person>
        </b:NameList>
      </b:Author>
    </b:Author>
    <b:Title>Tong Tong Fair: Diplomasi Budaya Indonesia di Belanda dan Dampaknya terhadap Pariwisata Indonesia </b:Title>
    <b:JournalName>Jurnal Hubungan Internasional</b:JournalName>
    <b:Year>2019</b:Year>
    <b:RefOrder>6</b:RefOrder>
  </b:Source>
  <b:Source>
    <b:Tag>Nye04</b:Tag>
    <b:SourceType>Book</b:SourceType>
    <b:Guid>{4B5F929D-3D17-405E-A516-B3D48CD05350}</b:Guid>
    <b:Title>Soft Power: The Means to Success in World Politics</b:Title>
    <b:Year>2004</b:Year>
    <b:Author>
      <b:Author>
        <b:NameList>
          <b:Person>
            <b:Last>Nye</b:Last>
            <b:First>Joseph</b:First>
            <b:Middle>S</b:Middle>
          </b:Person>
        </b:NameList>
      </b:Author>
    </b:Author>
    <b:City>New York</b:City>
    <b:Publisher>Public Affairs</b:Publisher>
    <b:RefOrder>7</b:RefOrder>
  </b:Source>
</b:Sources>
</file>

<file path=customXml/itemProps1.xml><?xml version="1.0" encoding="utf-8"?>
<ds:datastoreItem xmlns:ds="http://schemas.openxmlformats.org/officeDocument/2006/customXml" ds:itemID="{9EC2360B-5576-4100-A150-8768C327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fauzanfikri933@gmail.com</dc:creator>
  <cp:keywords/>
  <dc:description/>
  <cp:lastModifiedBy>fauzanfikri933@gmail.com</cp:lastModifiedBy>
  <cp:revision>3</cp:revision>
  <dcterms:created xsi:type="dcterms:W3CDTF">2024-04-27T01:16:00Z</dcterms:created>
  <dcterms:modified xsi:type="dcterms:W3CDTF">2024-10-04T06:49:00Z</dcterms:modified>
</cp:coreProperties>
</file>