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3AD" w14:textId="77777777" w:rsidR="004731D5" w:rsidRPr="00197CF2" w:rsidRDefault="004731D5" w:rsidP="004731D5">
      <w:pPr>
        <w:pStyle w:val="Heading1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</w:t>
      </w:r>
      <w:bookmarkStart w:id="0" w:name="_Toc143705773"/>
      <w:r w:rsidRPr="00197CF2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I</w:t>
      </w:r>
      <w:bookmarkEnd w:id="0"/>
    </w:p>
    <w:p w14:paraId="7776AD77" w14:textId="77777777" w:rsidR="004731D5" w:rsidRDefault="004731D5" w:rsidP="004731D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3705774"/>
      <w:r w:rsidRPr="00197CF2">
        <w:rPr>
          <w:rFonts w:ascii="Times New Roman" w:hAnsi="Times New Roman" w:cs="Times New Roman"/>
          <w:b/>
          <w:bCs/>
          <w:color w:val="auto"/>
          <w:sz w:val="24"/>
          <w:szCs w:val="24"/>
        </w:rPr>
        <w:t>PENDAHULUAN</w:t>
      </w:r>
      <w:bookmarkEnd w:id="1"/>
    </w:p>
    <w:p w14:paraId="1EE9A239" w14:textId="77777777" w:rsidR="004731D5" w:rsidRPr="00A76118" w:rsidRDefault="004731D5" w:rsidP="004731D5"/>
    <w:p w14:paraId="04011F15" w14:textId="77777777" w:rsidR="004731D5" w:rsidRPr="00197CF2" w:rsidRDefault="004731D5" w:rsidP="004731D5">
      <w:pPr>
        <w:pStyle w:val="ListParagraph"/>
        <w:numPr>
          <w:ilvl w:val="1"/>
          <w:numId w:val="1"/>
        </w:numPr>
        <w:tabs>
          <w:tab w:val="left" w:pos="851"/>
        </w:tabs>
        <w:ind w:left="567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43705775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2"/>
      <w:proofErr w:type="spellEnd"/>
    </w:p>
    <w:p w14:paraId="3A1208D9" w14:textId="77777777" w:rsidR="004731D5" w:rsidRPr="00197CF2" w:rsidRDefault="004731D5" w:rsidP="004731D5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tempati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tinggali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konvesi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1951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peristwa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tejadi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1951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disbabkan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penganiayaan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agama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/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nationality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</w:t>
      </w:r>
      <w:r w:rsidRPr="00197CF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97CF2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{"citationItems":[{"id":"ITEM-1","itemData":{"author":[{"dropping-particle":"","family":"UNHCR","given":"","non-dropping-particle":"","parse-names":false,"suffix":""}],"id":"ITEM-1","issued":{"date-parts":[["1951"]]},"title":"Convention and protocol relating to the status of refugees","type":"book"},"uris":["http://www.mendeley.com/documents/?uuid=61983ba3-4956-49d3-9d7d-e5559f3b0e55"]}],"mendeley":{"formattedCitation":"(UNHCR, 1951)","plainTextFormattedCitation":"(UNHCR, 1951)","previouslyFormattedCitation":"(UNHCR, 1951)"},"properties":{"noteIndex":0},"schema":"https://github.com/citation-style-language/schema/raw/master/csl-citation.json"}</w:instrText>
      </w:r>
      <w:r w:rsidRPr="00197CF2">
        <w:rPr>
          <w:rFonts w:ascii="Times New Roman" w:hAnsi="Times New Roman" w:cs="Times New Roman"/>
          <w:sz w:val="24"/>
          <w:szCs w:val="24"/>
        </w:rPr>
        <w:fldChar w:fldCharType="separate"/>
      </w:r>
      <w:r w:rsidRPr="00197CF2">
        <w:rPr>
          <w:rFonts w:ascii="Times New Roman" w:hAnsi="Times New Roman" w:cs="Times New Roman"/>
          <w:noProof/>
          <w:sz w:val="24"/>
          <w:szCs w:val="24"/>
        </w:rPr>
        <w:t>(UNHCR, 1951)</w:t>
      </w:r>
      <w:r w:rsidRPr="00197C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0EA4AB7" w14:textId="77777777" w:rsidR="004731D5" w:rsidRPr="00197CF2" w:rsidRDefault="004731D5" w:rsidP="004731D5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97CF2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bayaknya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mayoritasi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 Timur Tengah.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pergolakan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wilayah Timur Tengah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Arab Spring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wilayah Arab Timur Tengah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reformasi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rezim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menyulitkan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berjatuhan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 lain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lastRenderedPageBreak/>
        <w:t>aman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tinggali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6,6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2011.</w:t>
      </w:r>
      <w:r w:rsidRPr="00197CF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97CF2">
        <w:rPr>
          <w:rFonts w:ascii="Times New Roman" w:hAnsi="Times New Roman" w:cs="Times New Roman"/>
          <w:sz w:val="24"/>
          <w:szCs w:val="24"/>
        </w:rPr>
        <w:instrText>ADDIN CSL_CITATION {"citationItems":[{"id":"ITEM-1","itemData":{"URL":"https://www.unhcr.org/cy/2021/03/18/syria-refugee-crisis-globally-in-europe-and-in-cyprus-meet-some-syrian-refugees-in-cyprus/","author":[{"dropping-particle":"","family":"UNHCR","given":"","non-dropping-particle":"","parse-names":false,"suffix":""}],"id":"ITEM-1","issued":{"date-parts":[["2021"]]},"title":"Syria Refugee Crisis – Globally, in Europe and in Cyprus","type":"webpage"},"uris":["http://www.mendeley.com/documents/?uuid=43aa2efe-ac31-4fa3-bfcc-92f072457cd2"]}],"mendeley":{"formattedCitation":"(UNHCR, 2021)","plainTextFormattedCitation":"(UNHCR, 2021)","previouslyFormattedCitation":"(UNHCR, 2021)"},"properties":{"noteIndex":0},"schema":"https://github.com/citation-style-language/schema/raw/master/csl-citation.json"}</w:instrText>
      </w:r>
      <w:r w:rsidRPr="00197CF2">
        <w:rPr>
          <w:rFonts w:ascii="Times New Roman" w:hAnsi="Times New Roman" w:cs="Times New Roman"/>
          <w:sz w:val="24"/>
          <w:szCs w:val="24"/>
        </w:rPr>
        <w:fldChar w:fldCharType="separate"/>
      </w:r>
      <w:r w:rsidRPr="00197CF2">
        <w:rPr>
          <w:rFonts w:ascii="Times New Roman" w:hAnsi="Times New Roman" w:cs="Times New Roman"/>
          <w:noProof/>
          <w:sz w:val="24"/>
          <w:szCs w:val="24"/>
        </w:rPr>
        <w:t>(UNHCR, 2021)</w:t>
      </w:r>
      <w:r w:rsidRPr="00197CF2">
        <w:rPr>
          <w:rFonts w:ascii="Times New Roman" w:hAnsi="Times New Roman" w:cs="Times New Roman"/>
          <w:sz w:val="24"/>
          <w:szCs w:val="24"/>
        </w:rPr>
        <w:fldChar w:fldCharType="end"/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1,000,573 </w:t>
      </w:r>
      <w:r w:rsidRPr="00197CF2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massif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menyeberangi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Mediterania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97CF2">
        <w:rPr>
          <w:rFonts w:ascii="Times New Roman" w:hAnsi="Times New Roman" w:cs="Times New Roman"/>
          <w:sz w:val="24"/>
          <w:szCs w:val="24"/>
        </w:rPr>
        <w:instrText>ADDIN CSL_CITATION {"citationItems":[{"id":"ITEM-1","itemData":{"URL":"https://www.unhcr.org/news/latest/2015/12/5683d0b56/million-sea-arrivals-reach-europe-2015.html","author":[{"dropping-particle":"","family":"UNHCR","given":"","non-dropping-particle":"","parse-names":false,"suffix":""}],"id":"ITEM-1","issued":{"date-parts":[["2015"]]},"title":"Over one million sea arrivals reach Europe in 2015","type":"webpage"},"uris":["http://www.mendeley.com/documents/?uuid=156c2fbe-e3d7-40c4-85cb-6dc44eeb3e9f"]}],"mendeley":{"formattedCitation":"(UNHCR, 2015)","plainTextFormattedCitation":"(UNHCR, 2015)","previouslyFormattedCitation":"(UNHCR, 2015)"},"properties":{"noteIndex":0},"schema":"https://github.com/citation-style-language/schema/raw/master/csl-citation.json"}</w:instrText>
      </w:r>
      <w:r w:rsidRPr="00197CF2">
        <w:rPr>
          <w:rFonts w:ascii="Times New Roman" w:hAnsi="Times New Roman" w:cs="Times New Roman"/>
          <w:sz w:val="24"/>
          <w:szCs w:val="24"/>
        </w:rPr>
        <w:fldChar w:fldCharType="separate"/>
      </w:r>
      <w:r w:rsidRPr="00197CF2">
        <w:rPr>
          <w:rFonts w:ascii="Times New Roman" w:hAnsi="Times New Roman" w:cs="Times New Roman"/>
          <w:noProof/>
          <w:sz w:val="24"/>
          <w:szCs w:val="24"/>
        </w:rPr>
        <w:t>(UNHCR, 2015)</w:t>
      </w:r>
      <w:r w:rsidRPr="00197CF2">
        <w:rPr>
          <w:rFonts w:ascii="Times New Roman" w:hAnsi="Times New Roman" w:cs="Times New Roman"/>
          <w:sz w:val="24"/>
          <w:szCs w:val="24"/>
        </w:rPr>
        <w:fldChar w:fldCharType="end"/>
      </w:r>
      <w:r w:rsidRPr="00197CF2">
        <w:rPr>
          <w:rFonts w:ascii="Times New Roman" w:hAnsi="Times New Roman" w:cs="Times New Roman"/>
          <w:sz w:val="24"/>
          <w:szCs w:val="24"/>
        </w:rPr>
        <w:t>.</w:t>
      </w:r>
    </w:p>
    <w:p w14:paraId="17413F2D" w14:textId="77777777" w:rsidR="004731D5" w:rsidRPr="00197CF2" w:rsidRDefault="004731D5" w:rsidP="004731D5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berkonflik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Afghanistan,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Irak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Iran dan Suriah.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Jenewa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1951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meratifikasi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Jenewa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mendiskriminasi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agama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non-refoulment,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1951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1967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memulangkan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wilayah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asalnya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</w:t>
      </w:r>
      <w:r w:rsidRPr="00197CF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97CF2">
        <w:rPr>
          <w:rFonts w:ascii="Times New Roman" w:hAnsi="Times New Roman" w:cs="Times New Roman"/>
          <w:sz w:val="24"/>
          <w:szCs w:val="24"/>
        </w:rPr>
        <w:instrText>ADDIN CSL_CITATION {"citationItems":[{"id":"ITEM-1","itemData":{"URL":"https://www.unhcr.org/1951-refugee-convention.html","author":[{"dropping-particle":"","family":"UNHCR","given":"","non-dropping-particle":"","parse-names":false,"suffix":""}],"id":"ITEM-1","issued":{"date-parts":[["0"]]},"title":"The 1951 Refugee Convention","type":"webpage"},"uris":["http://www.mendeley.com/documents/?uuid=2a6bf5f8-07e9-4497-b97b-aedfb252b57c"]}],"mendeley":{"formattedCitation":"(UNHCR, n.d.-c)","plainTextFormattedCitation":"(UNHCR, n.d.-c)","previouslyFormattedCitation":"(UNHCR, n.d.-c)"},"properties":{"noteIndex":0},"schema":"https://github.com/citation-style-language/schema/raw/master/csl-citation.json"}</w:instrText>
      </w:r>
      <w:r w:rsidRPr="00197CF2">
        <w:rPr>
          <w:rFonts w:ascii="Times New Roman" w:hAnsi="Times New Roman" w:cs="Times New Roman"/>
          <w:sz w:val="24"/>
          <w:szCs w:val="24"/>
        </w:rPr>
        <w:fldChar w:fldCharType="separate"/>
      </w:r>
      <w:r w:rsidRPr="00197CF2">
        <w:rPr>
          <w:rFonts w:ascii="Times New Roman" w:hAnsi="Times New Roman" w:cs="Times New Roman"/>
          <w:noProof/>
          <w:sz w:val="24"/>
          <w:szCs w:val="24"/>
        </w:rPr>
        <w:t>(UNHCR, n.d.-c)</w:t>
      </w:r>
      <w:r w:rsidRPr="00197CF2">
        <w:rPr>
          <w:rFonts w:ascii="Times New Roman" w:hAnsi="Times New Roman" w:cs="Times New Roman"/>
          <w:sz w:val="24"/>
          <w:szCs w:val="24"/>
        </w:rPr>
        <w:fldChar w:fldCharType="end"/>
      </w:r>
      <w:r w:rsidRPr="00197CF2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28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Europe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Coucil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2003:434)</w:t>
      </w:r>
    </w:p>
    <w:p w14:paraId="3D215C04" w14:textId="77777777" w:rsidR="004731D5" w:rsidRPr="00197CF2" w:rsidRDefault="004731D5" w:rsidP="004731D5">
      <w:pPr>
        <w:pStyle w:val="ListParagraph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97CF2">
        <w:rPr>
          <w:rFonts w:ascii="Times New Roman" w:hAnsi="Times New Roman" w:cs="Times New Roman"/>
          <w:sz w:val="24"/>
          <w:szCs w:val="24"/>
        </w:rPr>
        <w:t xml:space="preserve">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Common Europe Asylum </w:t>
      </w:r>
      <w:proofErr w:type="spellStart"/>
      <w:r w:rsidRPr="00197CF2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(CEAS)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menaungi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CEAS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diamandemen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2009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CEAS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negara –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pilar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lastRenderedPageBreak/>
        <w:t>Justice and Home Affair (JHA)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C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Eurodac Regulation, Temporary Protection Directive, Reception Conditions Directive, Qualification Directive, Asylum Procedures Directive, </w:t>
      </w:r>
      <w:r w:rsidRPr="00197CF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Dublin II Regulation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galangkan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Pasca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amandemen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2000 – 2005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2011 – 2013.</w:t>
      </w:r>
      <w:r w:rsidRPr="00197CF2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97CF2">
        <w:rPr>
          <w:rFonts w:ascii="Times New Roman" w:hAnsi="Times New Roman" w:cs="Times New Roman"/>
          <w:sz w:val="24"/>
          <w:szCs w:val="24"/>
        </w:rPr>
        <w:instrText>ADDIN CSL_CITATION {"citationItems":[{"id":"ITEM-1","itemData":{"URL":"https://euaa.europa.eu/asylum-report-2020/21-common-european-asylum-system-and-current-issues","author":[{"dropping-particle":"","family":"EUAA","given":"","non-dropping-particle":"","parse-names":false,"suffix":""}],"id":"ITEM-1","issued":{"date-parts":[["2020"]]},"page":"1-11","title":"2 . 1 The Common European Asylum System and current issues","type":"webpage"},"uris":["http://www.mendeley.com/documents/?uuid=eb4ad06c-5809-4088-8ed5-0c2116754f9e"]}],"mendeley":{"formattedCitation":"(EUAA, 2020)","plainTextFormattedCitation":"(EUAA, 2020)","previouslyFormattedCitation":"(EUAA, 2020)"},"properties":{"noteIndex":0},"schema":"https://github.com/citation-style-language/schema/raw/master/csl-citation.json"}</w:instrText>
      </w:r>
      <w:r w:rsidRPr="00197CF2">
        <w:rPr>
          <w:rFonts w:ascii="Times New Roman" w:hAnsi="Times New Roman" w:cs="Times New Roman"/>
          <w:sz w:val="24"/>
          <w:szCs w:val="24"/>
        </w:rPr>
        <w:fldChar w:fldCharType="separate"/>
      </w:r>
      <w:r w:rsidRPr="00197CF2">
        <w:rPr>
          <w:rFonts w:ascii="Times New Roman" w:hAnsi="Times New Roman" w:cs="Times New Roman"/>
          <w:noProof/>
          <w:sz w:val="24"/>
          <w:szCs w:val="24"/>
        </w:rPr>
        <w:t>(EUAA, 2020)</w:t>
      </w:r>
      <w:r w:rsidRPr="00197CF2">
        <w:rPr>
          <w:rFonts w:ascii="Times New Roman" w:hAnsi="Times New Roman" w:cs="Times New Roman"/>
          <w:sz w:val="24"/>
          <w:szCs w:val="24"/>
        </w:rPr>
        <w:fldChar w:fldCharType="end"/>
      </w:r>
      <w:r w:rsidRPr="00197CF2">
        <w:rPr>
          <w:rFonts w:ascii="Times New Roman" w:hAnsi="Times New Roman" w:cs="Times New Roman"/>
          <w:sz w:val="24"/>
          <w:szCs w:val="24"/>
        </w:rPr>
        <w:t xml:space="preserve"> Fase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Stockholm Programme </w:t>
      </w:r>
      <w:r w:rsidRPr="00197CF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>Eurodac Regulation, Temporary Protection Directive, Asylum Procedures Directive, Reception Conditions Directive, Qualification Directive, Asylum Procedures Directive</w:t>
      </w:r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>Dublin Regulation III.</w:t>
      </w:r>
    </w:p>
    <w:p w14:paraId="43D3E7E9" w14:textId="77777777" w:rsidR="004731D5" w:rsidRPr="00197CF2" w:rsidRDefault="004731D5" w:rsidP="004731D5">
      <w:pPr>
        <w:pStyle w:val="ListParagraph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97CF2">
        <w:rPr>
          <w:rFonts w:ascii="Times New Roman" w:hAnsi="Times New Roman" w:cs="Times New Roman"/>
          <w:i/>
          <w:iCs/>
          <w:sz w:val="24"/>
          <w:szCs w:val="24"/>
        </w:rPr>
        <w:t>Temporary Protection Directive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Family Reunification,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dibreikan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bergabungan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>Reception Condition Directive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merupkan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Asylum </w:t>
      </w:r>
      <w:proofErr w:type="spellStart"/>
      <w:r w:rsidRPr="00197CF2">
        <w:rPr>
          <w:rFonts w:ascii="Times New Roman" w:hAnsi="Times New Roman" w:cs="Times New Roman"/>
          <w:i/>
          <w:iCs/>
          <w:sz w:val="24"/>
          <w:szCs w:val="24"/>
        </w:rPr>
        <w:t>Prodecure</w:t>
      </w:r>
      <w:proofErr w:type="spellEnd"/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 Directive,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.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>Qualification Directive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difungsikan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orang-orang</w:t>
      </w:r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kewarganegaraan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CF2">
        <w:rPr>
          <w:rFonts w:ascii="Times New Roman" w:hAnsi="Times New Roman" w:cs="Times New Roman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lastRenderedPageBreak/>
        <w:t>Asylum Procedures Directive</w:t>
      </w:r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pencari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penuh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dan korban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penyiksaan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4A30C" w14:textId="77777777" w:rsidR="004731D5" w:rsidRPr="00197CF2" w:rsidRDefault="004731D5" w:rsidP="004731D5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197CF2">
        <w:rPr>
          <w:rFonts w:ascii="Times New Roman" w:hAnsi="Times New Roman" w:cs="Times New Roman"/>
          <w:sz w:val="24"/>
          <w:szCs w:val="24"/>
        </w:rPr>
        <w:t xml:space="preserve">Jerman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datangi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UNHCR, Negara-negara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ditampung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dua negara: Jerman (59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Swedia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). Ini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Jerman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negara tuan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setengahnya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(560.000)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</w:t>
      </w:r>
      <w:bookmarkStart w:id="3" w:name="_Hlk129672057"/>
      <w:r w:rsidRPr="00197CF2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 Negara Jerman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memberlakukan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yaiu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Common Europe Asylum </w:t>
      </w:r>
      <w:proofErr w:type="spellStart"/>
      <w:r w:rsidRPr="00197CF2">
        <w:rPr>
          <w:rFonts w:ascii="Times New Roman" w:hAnsi="Times New Roman" w:cs="Times New Roman"/>
          <w:i/>
          <w:iCs/>
          <w:sz w:val="24"/>
          <w:szCs w:val="24"/>
        </w:rPr>
        <w:t>Sistem</w:t>
      </w:r>
      <w:bookmarkEnd w:id="3"/>
      <w:proofErr w:type="spellEnd"/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sz w:val="24"/>
          <w:szCs w:val="24"/>
        </w:rPr>
        <w:t xml:space="preserve">(CEAS).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, Jerman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CEAS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Suriah yang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suaka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negara Jerman.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kualifikasi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di Jerman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 w:rsidRPr="00197CF2">
        <w:rPr>
          <w:rFonts w:ascii="Times New Roman" w:eastAsia="Times New Roman" w:hAnsi="Times New Roman" w:cs="Times New Roman"/>
          <w:sz w:val="24"/>
          <w:szCs w:val="24"/>
        </w:rPr>
        <w:t xml:space="preserve"> di Jerman.</w:t>
      </w:r>
    </w:p>
    <w:p w14:paraId="1C9FCF30" w14:textId="77777777" w:rsidR="004731D5" w:rsidRPr="00197CF2" w:rsidRDefault="004731D5" w:rsidP="004731D5">
      <w:pPr>
        <w:pStyle w:val="ListParagraph"/>
        <w:spacing w:after="240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sz w:val="24"/>
          <w:szCs w:val="24"/>
        </w:rPr>
        <w:t xml:space="preserve">Maka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Common European </w:t>
      </w:r>
      <w:proofErr w:type="spellStart"/>
      <w:r w:rsidRPr="00197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Ayslum</w:t>
      </w:r>
      <w:proofErr w:type="spellEnd"/>
      <w:r w:rsidRPr="00197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System</w:t>
      </w:r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Uni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Suriah di Jerman</w:t>
      </w:r>
    </w:p>
    <w:p w14:paraId="39DC3762" w14:textId="77777777" w:rsidR="004731D5" w:rsidRPr="00197CF2" w:rsidRDefault="004731D5" w:rsidP="004731D5">
      <w:pPr>
        <w:pStyle w:val="ListParagraph"/>
        <w:numPr>
          <w:ilvl w:val="1"/>
          <w:numId w:val="1"/>
        </w:numPr>
        <w:tabs>
          <w:tab w:val="left" w:pos="851"/>
        </w:tabs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Toc143705776"/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Perumusan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4"/>
      <w:proofErr w:type="spellEnd"/>
    </w:p>
    <w:p w14:paraId="5045875D" w14:textId="77777777" w:rsidR="004731D5" w:rsidRPr="00197CF2" w:rsidRDefault="004731D5" w:rsidP="004731D5">
      <w:pPr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Common European </w:t>
      </w:r>
      <w:proofErr w:type="spellStart"/>
      <w:r w:rsidRPr="00197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Ayslum</w:t>
      </w:r>
      <w:proofErr w:type="spellEnd"/>
      <w:r w:rsidRPr="00197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System</w:t>
      </w:r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arus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Suriah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Jerman?”</w:t>
      </w:r>
    </w:p>
    <w:p w14:paraId="1666CFAF" w14:textId="77777777" w:rsidR="004731D5" w:rsidRPr="00197CF2" w:rsidRDefault="004731D5" w:rsidP="004731D5">
      <w:pPr>
        <w:pStyle w:val="ListParagraph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97C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bookmarkStart w:id="5" w:name="_Toc143705777"/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5"/>
      <w:proofErr w:type="spellEnd"/>
    </w:p>
    <w:p w14:paraId="013A1856" w14:textId="77777777" w:rsidR="004731D5" w:rsidRPr="00197CF2" w:rsidRDefault="004731D5" w:rsidP="004731D5">
      <w:pPr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43290439"/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Jerman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Suriah, Serta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>Common Europe Asylum System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 di Jerman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2015 – 2019.</w:t>
      </w:r>
      <w:bookmarkEnd w:id="6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451B7" w14:textId="77777777" w:rsidR="004731D5" w:rsidRPr="00197CF2" w:rsidRDefault="004731D5" w:rsidP="004731D5">
      <w:pPr>
        <w:pStyle w:val="ListParagraph"/>
        <w:numPr>
          <w:ilvl w:val="1"/>
          <w:numId w:val="1"/>
        </w:numPr>
        <w:tabs>
          <w:tab w:val="left" w:pos="851"/>
        </w:tabs>
        <w:spacing w:line="360" w:lineRule="auto"/>
        <w:ind w:left="567" w:hanging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43705778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Tujuan dan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7"/>
      <w:proofErr w:type="spellEnd"/>
    </w:p>
    <w:p w14:paraId="027FB559" w14:textId="77777777" w:rsidR="004731D5" w:rsidRPr="00197CF2" w:rsidRDefault="004731D5" w:rsidP="004731D5">
      <w:pPr>
        <w:pStyle w:val="ListParagraph"/>
        <w:numPr>
          <w:ilvl w:val="2"/>
          <w:numId w:val="1"/>
        </w:numPr>
        <w:tabs>
          <w:tab w:val="left" w:pos="851"/>
        </w:tabs>
        <w:ind w:left="567" w:hanging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43705779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8"/>
      <w:proofErr w:type="spellEnd"/>
    </w:p>
    <w:p w14:paraId="785CCA78" w14:textId="77777777" w:rsidR="004731D5" w:rsidRPr="00197CF2" w:rsidRDefault="004731D5" w:rsidP="004731D5">
      <w:pPr>
        <w:pStyle w:val="ListParagraph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Jerman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</w:t>
      </w:r>
    </w:p>
    <w:p w14:paraId="1AD04975" w14:textId="77777777" w:rsidR="004731D5" w:rsidRPr="00197CF2" w:rsidRDefault="004731D5" w:rsidP="004731D5">
      <w:pPr>
        <w:pStyle w:val="ListParagraph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97CF2">
        <w:rPr>
          <w:rFonts w:ascii="Times New Roman" w:hAnsi="Times New Roman" w:cs="Times New Roman"/>
          <w:sz w:val="24"/>
          <w:szCs w:val="24"/>
          <w:lang w:val="id-ID"/>
        </w:rPr>
        <w:t xml:space="preserve"> implementasi</w:t>
      </w:r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CEAS di Jerman</w:t>
      </w:r>
    </w:p>
    <w:p w14:paraId="439ED702" w14:textId="77777777" w:rsidR="004731D5" w:rsidRPr="00197CF2" w:rsidRDefault="004731D5" w:rsidP="004731D5">
      <w:pPr>
        <w:pStyle w:val="ListParagraph"/>
        <w:numPr>
          <w:ilvl w:val="0"/>
          <w:numId w:val="3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>Common Europe Asylum System</w:t>
      </w:r>
      <w:r w:rsidRPr="00197C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oleh Jerman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Suriah.</w:t>
      </w:r>
    </w:p>
    <w:p w14:paraId="3FAB48D5" w14:textId="77777777" w:rsidR="004731D5" w:rsidRPr="00197CF2" w:rsidRDefault="004731D5" w:rsidP="004731D5">
      <w:pPr>
        <w:pStyle w:val="ListParagraph"/>
        <w:numPr>
          <w:ilvl w:val="2"/>
          <w:numId w:val="1"/>
        </w:numPr>
        <w:tabs>
          <w:tab w:val="left" w:pos="851"/>
        </w:tabs>
        <w:ind w:left="567" w:hanging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43705780"/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197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9"/>
      <w:proofErr w:type="spellEnd"/>
    </w:p>
    <w:p w14:paraId="2915FCCE" w14:textId="77777777" w:rsidR="004731D5" w:rsidRPr="00197CF2" w:rsidRDefault="004731D5" w:rsidP="004731D5">
      <w:pPr>
        <w:pStyle w:val="ListParagraph"/>
        <w:numPr>
          <w:ilvl w:val="1"/>
          <w:numId w:val="4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</w:t>
      </w:r>
    </w:p>
    <w:p w14:paraId="4B90341E" w14:textId="77777777" w:rsidR="004731D5" w:rsidRPr="00197CF2" w:rsidRDefault="004731D5" w:rsidP="004731D5">
      <w:pPr>
        <w:pStyle w:val="ListParagraph"/>
        <w:numPr>
          <w:ilvl w:val="1"/>
          <w:numId w:val="4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Common European </w:t>
      </w:r>
      <w:proofErr w:type="spellStart"/>
      <w:r w:rsidRPr="00197CF2">
        <w:rPr>
          <w:rFonts w:ascii="Times New Roman" w:hAnsi="Times New Roman" w:cs="Times New Roman"/>
          <w:i/>
          <w:iCs/>
          <w:sz w:val="24"/>
          <w:szCs w:val="24"/>
        </w:rPr>
        <w:t>Ayslum</w:t>
      </w:r>
      <w:proofErr w:type="spellEnd"/>
      <w:r w:rsidRPr="00197CF2">
        <w:rPr>
          <w:rFonts w:ascii="Times New Roman" w:hAnsi="Times New Roman" w:cs="Times New Roman"/>
          <w:i/>
          <w:iCs/>
          <w:sz w:val="24"/>
          <w:szCs w:val="24"/>
        </w:rPr>
        <w:t xml:space="preserve"> System</w:t>
      </w:r>
      <w:r w:rsidRPr="00197CF2">
        <w:rPr>
          <w:rFonts w:ascii="Times New Roman" w:hAnsi="Times New Roman" w:cs="Times New Roman"/>
          <w:sz w:val="24"/>
          <w:szCs w:val="24"/>
        </w:rPr>
        <w:t xml:space="preserve"> (CEAS) Uni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Suriah di Jerman</w:t>
      </w:r>
    </w:p>
    <w:p w14:paraId="762C2F19" w14:textId="77777777" w:rsidR="004731D5" w:rsidRPr="00197CF2" w:rsidRDefault="004731D5" w:rsidP="004731D5">
      <w:pPr>
        <w:pStyle w:val="ListParagraph"/>
        <w:numPr>
          <w:ilvl w:val="1"/>
          <w:numId w:val="4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</w:t>
      </w:r>
    </w:p>
    <w:p w14:paraId="1817C7DF" w14:textId="77777777" w:rsidR="004731D5" w:rsidRPr="00197CF2" w:rsidRDefault="004731D5" w:rsidP="004731D5">
      <w:pPr>
        <w:pStyle w:val="ListParagraph"/>
        <w:numPr>
          <w:ilvl w:val="1"/>
          <w:numId w:val="4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aplikatif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>.</w:t>
      </w:r>
    </w:p>
    <w:p w14:paraId="635B7E2A" w14:textId="74CBA9A9" w:rsidR="004731D5" w:rsidRPr="00197CF2" w:rsidRDefault="004731D5" w:rsidP="004731D5">
      <w:pPr>
        <w:pStyle w:val="ListParagraph"/>
        <w:numPr>
          <w:ilvl w:val="1"/>
          <w:numId w:val="4"/>
        </w:numPr>
        <w:tabs>
          <w:tab w:val="left" w:pos="851"/>
        </w:tabs>
        <w:ind w:left="851" w:hanging="284"/>
        <w:rPr>
          <w:rFonts w:ascii="Times New Roman" w:hAnsi="Times New Roman" w:cs="Times New Roman"/>
          <w:sz w:val="24"/>
          <w:szCs w:val="24"/>
        </w:rPr>
        <w:sectPr w:rsidR="004731D5" w:rsidRPr="00197CF2" w:rsidSect="009B34F4">
          <w:headerReference w:type="default" r:id="rId5"/>
          <w:footerReference w:type="default" r:id="rId6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97CF2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197CF2">
        <w:rPr>
          <w:rFonts w:ascii="Times New Roman" w:hAnsi="Times New Roman" w:cs="Times New Roman"/>
          <w:sz w:val="24"/>
          <w:szCs w:val="24"/>
        </w:rPr>
        <w:t>Pasund</w:t>
      </w:r>
      <w:r>
        <w:rPr>
          <w:rFonts w:ascii="Times New Roman" w:hAnsi="Times New Roman" w:cs="Times New Roman"/>
          <w:sz w:val="24"/>
          <w:szCs w:val="24"/>
        </w:rPr>
        <w:t>a</w:t>
      </w:r>
      <w:r w:rsidR="00575D6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75D69">
        <w:rPr>
          <w:rFonts w:ascii="Times New Roman" w:hAnsi="Times New Roman" w:cs="Times New Roman"/>
          <w:sz w:val="24"/>
          <w:szCs w:val="24"/>
        </w:rPr>
        <w:t>.</w:t>
      </w:r>
    </w:p>
    <w:p w14:paraId="06DBDB68" w14:textId="77777777" w:rsidR="004731D5" w:rsidRDefault="004731D5" w:rsidP="00575D69">
      <w:pPr>
        <w:ind w:left="0" w:firstLine="0"/>
      </w:pPr>
    </w:p>
    <w:sectPr w:rsidR="004731D5" w:rsidSect="009B34F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1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0E71E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BF459D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C514" w14:textId="77777777" w:rsidR="00000000" w:rsidRDefault="00000000">
    <w:pPr>
      <w:pStyle w:val="Header"/>
      <w:jc w:val="right"/>
    </w:pPr>
  </w:p>
  <w:p w14:paraId="3243467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EF0"/>
    <w:multiLevelType w:val="hybridMultilevel"/>
    <w:tmpl w:val="DBEC99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D7B"/>
    <w:multiLevelType w:val="multilevel"/>
    <w:tmpl w:val="ECCA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512DE3"/>
    <w:multiLevelType w:val="multilevel"/>
    <w:tmpl w:val="960255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835B1E"/>
    <w:multiLevelType w:val="multilevel"/>
    <w:tmpl w:val="588A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091E8D"/>
    <w:multiLevelType w:val="multilevel"/>
    <w:tmpl w:val="68CCCB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2378767">
    <w:abstractNumId w:val="1"/>
  </w:num>
  <w:num w:numId="2" w16cid:durableId="378554270">
    <w:abstractNumId w:val="3"/>
  </w:num>
  <w:num w:numId="3" w16cid:durableId="968974735">
    <w:abstractNumId w:val="2"/>
  </w:num>
  <w:num w:numId="4" w16cid:durableId="1782723088">
    <w:abstractNumId w:val="4"/>
  </w:num>
  <w:num w:numId="5" w16cid:durableId="110083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D5"/>
    <w:rsid w:val="004731D5"/>
    <w:rsid w:val="00575D69"/>
    <w:rsid w:val="009B34F4"/>
    <w:rsid w:val="00B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CA1A"/>
  <w15:chartTrackingRefBased/>
  <w15:docId w15:val="{E5D52ECE-37B4-4129-89C4-B546396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D5"/>
    <w:pPr>
      <w:spacing w:after="0" w:line="480" w:lineRule="auto"/>
      <w:ind w:left="397" w:firstLine="284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1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1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31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D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31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D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731D5"/>
    <w:pPr>
      <w:ind w:left="720"/>
      <w:contextualSpacing/>
    </w:pPr>
  </w:style>
  <w:style w:type="table" w:styleId="PlainTable2">
    <w:name w:val="Plain Table 2"/>
    <w:basedOn w:val="TableNormal"/>
    <w:uiPriority w:val="42"/>
    <w:rsid w:val="004731D5"/>
    <w:pPr>
      <w:spacing w:after="0" w:line="240" w:lineRule="auto"/>
      <w:ind w:left="397" w:firstLine="284"/>
      <w:jc w:val="both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1753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33217003 Wardani Muhamad</dc:creator>
  <cp:keywords/>
  <dc:description/>
  <cp:lastModifiedBy>33217003 Wardani Muhamad</cp:lastModifiedBy>
  <cp:revision>4</cp:revision>
  <dcterms:created xsi:type="dcterms:W3CDTF">2023-10-02T02:15:00Z</dcterms:created>
  <dcterms:modified xsi:type="dcterms:W3CDTF">2023-10-02T02:57:00Z</dcterms:modified>
</cp:coreProperties>
</file>