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347"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7"/>
      </w:tblGrid>
      <w:tr w:rsidR="00E72A35" w:rsidRPr="008F2EE3" w14:paraId="675239EF" w14:textId="77777777" w:rsidTr="00656BE2">
        <w:trPr>
          <w:trHeight w:val="4324"/>
        </w:trPr>
        <w:tc>
          <w:tcPr>
            <w:tcW w:w="9347" w:type="dxa"/>
            <w:shd w:val="clear" w:color="auto" w:fill="auto"/>
          </w:tcPr>
          <w:p w14:paraId="096DE53F" w14:textId="1D258D78" w:rsidR="00E72A35" w:rsidRPr="008F2EE3" w:rsidRDefault="00E72A35" w:rsidP="0013091B">
            <w:pPr>
              <w:spacing w:line="240" w:lineRule="auto"/>
              <w:ind w:right="-142"/>
              <w:jc w:val="center"/>
              <w:rPr>
                <w:b/>
                <w:sz w:val="28"/>
                <w:szCs w:val="28"/>
                <w:lang w:val="id-ID"/>
              </w:rPr>
            </w:pPr>
          </w:p>
          <w:p w14:paraId="58006ACA" w14:textId="77777777" w:rsidR="00E72A35" w:rsidRPr="008F2EE3" w:rsidRDefault="00E72A35" w:rsidP="0013091B">
            <w:pPr>
              <w:spacing w:line="240" w:lineRule="auto"/>
              <w:ind w:right="-142"/>
              <w:jc w:val="center"/>
              <w:rPr>
                <w:b/>
                <w:sz w:val="28"/>
                <w:szCs w:val="28"/>
                <w:lang w:val="id-ID"/>
              </w:rPr>
            </w:pPr>
          </w:p>
          <w:p w14:paraId="230DBD79" w14:textId="20936A55" w:rsidR="00E72A35" w:rsidRPr="008F2EE3" w:rsidRDefault="00E72A35" w:rsidP="0013091B">
            <w:pPr>
              <w:spacing w:line="240" w:lineRule="auto"/>
              <w:ind w:right="-142"/>
              <w:rPr>
                <w:b/>
                <w:sz w:val="28"/>
                <w:szCs w:val="28"/>
              </w:rPr>
            </w:pPr>
          </w:p>
          <w:p w14:paraId="37C82869" w14:textId="5907CFC0" w:rsidR="00E72A35" w:rsidRPr="008F2EE3" w:rsidRDefault="00E72A35" w:rsidP="0013091B">
            <w:pPr>
              <w:spacing w:line="240" w:lineRule="auto"/>
              <w:ind w:right="-142"/>
              <w:rPr>
                <w:b/>
                <w:sz w:val="28"/>
                <w:szCs w:val="28"/>
                <w:lang w:val="id-ID"/>
              </w:rPr>
            </w:pPr>
          </w:p>
          <w:p w14:paraId="14C30629" w14:textId="23D82708" w:rsidR="00E72A35" w:rsidRDefault="00E72A35" w:rsidP="0013091B">
            <w:pPr>
              <w:spacing w:line="240" w:lineRule="auto"/>
              <w:ind w:right="-142"/>
              <w:jc w:val="center"/>
              <w:rPr>
                <w:b/>
                <w:sz w:val="28"/>
                <w:szCs w:val="28"/>
                <w:lang w:val="id-ID"/>
              </w:rPr>
            </w:pPr>
          </w:p>
          <w:p w14:paraId="365E2923" w14:textId="77777777" w:rsidR="00962A4C" w:rsidRPr="008F2EE3" w:rsidRDefault="00962A4C" w:rsidP="0013091B">
            <w:pPr>
              <w:spacing w:line="240" w:lineRule="auto"/>
              <w:ind w:right="-142"/>
              <w:jc w:val="center"/>
              <w:rPr>
                <w:b/>
                <w:sz w:val="28"/>
                <w:szCs w:val="28"/>
                <w:lang w:val="id-ID"/>
              </w:rPr>
            </w:pPr>
          </w:p>
          <w:p w14:paraId="3DB59E01" w14:textId="77777777" w:rsidR="00962A4C" w:rsidRDefault="00962A4C" w:rsidP="00962A4C">
            <w:pPr>
              <w:spacing w:line="240" w:lineRule="auto"/>
              <w:ind w:left="567" w:right="-142"/>
              <w:jc w:val="center"/>
              <w:rPr>
                <w:b/>
                <w:sz w:val="28"/>
                <w:szCs w:val="28"/>
                <w:lang w:val="en"/>
              </w:rPr>
            </w:pPr>
            <w:r w:rsidRPr="00962A4C">
              <w:rPr>
                <w:b/>
                <w:sz w:val="28"/>
                <w:szCs w:val="28"/>
                <w:lang w:val="en"/>
              </w:rPr>
              <w:t>THE INFLUENCE OF INTELLECTUAL CAPITAL AND FIRM SIZE ON PROFITABILITY</w:t>
            </w:r>
          </w:p>
          <w:p w14:paraId="7FB69A80" w14:textId="6C5CC31A" w:rsidR="00E72A35" w:rsidRPr="00962A4C" w:rsidRDefault="00E72A35" w:rsidP="00962A4C">
            <w:pPr>
              <w:spacing w:line="240" w:lineRule="auto"/>
              <w:ind w:left="567" w:right="-142"/>
              <w:jc w:val="center"/>
              <w:rPr>
                <w:b/>
                <w:sz w:val="28"/>
                <w:szCs w:val="28"/>
                <w:lang w:val="en"/>
              </w:rPr>
            </w:pPr>
            <w:r w:rsidRPr="008F2EE3">
              <w:rPr>
                <w:noProof/>
                <w:sz w:val="28"/>
                <w:szCs w:val="28"/>
              </w:rPr>
              <w:drawing>
                <wp:anchor distT="0" distB="0" distL="114300" distR="114300" simplePos="0" relativeHeight="251644416" behindDoc="1" locked="0" layoutInCell="1" allowOverlap="1" wp14:anchorId="54490BA0" wp14:editId="35D0596E">
                  <wp:simplePos x="0" y="0"/>
                  <wp:positionH relativeFrom="column">
                    <wp:posOffset>2132331</wp:posOffset>
                  </wp:positionH>
                  <wp:positionV relativeFrom="paragraph">
                    <wp:posOffset>147954</wp:posOffset>
                  </wp:positionV>
                  <wp:extent cx="2155822" cy="546735"/>
                  <wp:effectExtent l="0" t="0" r="0" b="571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Sinta3.png"/>
                          <pic:cNvPicPr/>
                        </pic:nvPicPr>
                        <pic:blipFill rotWithShape="1">
                          <a:blip r:embed="rId8">
                            <a:extLst>
                              <a:ext uri="{28A0092B-C50C-407E-A947-70E740481C1C}">
                                <a14:useLocalDpi xmlns:a14="http://schemas.microsoft.com/office/drawing/2010/main" val="0"/>
                              </a:ext>
                            </a:extLst>
                          </a:blip>
                          <a:srcRect l="-379" t="1712" r="27582"/>
                          <a:stretch/>
                        </pic:blipFill>
                        <pic:spPr bwMode="auto">
                          <a:xfrm>
                            <a:off x="0" y="0"/>
                            <a:ext cx="2158504" cy="5474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B52110B" w14:textId="77777777" w:rsidR="00E72A35" w:rsidRPr="008F2EE3" w:rsidRDefault="00E72A35" w:rsidP="0013091B">
            <w:pPr>
              <w:spacing w:line="240" w:lineRule="auto"/>
              <w:ind w:right="-142"/>
              <w:jc w:val="center"/>
              <w:rPr>
                <w:sz w:val="28"/>
                <w:szCs w:val="28"/>
                <w:lang w:val="id-ID"/>
              </w:rPr>
            </w:pPr>
          </w:p>
          <w:p w14:paraId="3664A63E" w14:textId="77777777" w:rsidR="00E72A35" w:rsidRPr="008F2EE3" w:rsidRDefault="00E72A35" w:rsidP="0013091B">
            <w:pPr>
              <w:spacing w:line="240" w:lineRule="auto"/>
              <w:ind w:right="-142"/>
              <w:jc w:val="center"/>
              <w:rPr>
                <w:sz w:val="28"/>
                <w:szCs w:val="28"/>
                <w:lang w:val="id-ID"/>
              </w:rPr>
            </w:pPr>
          </w:p>
          <w:p w14:paraId="4E4A6ACB" w14:textId="77777777" w:rsidR="00E72A35" w:rsidRPr="008F2EE3" w:rsidRDefault="00E72A35" w:rsidP="0013091B">
            <w:pPr>
              <w:spacing w:line="240" w:lineRule="auto"/>
              <w:ind w:right="-142"/>
              <w:jc w:val="center"/>
              <w:rPr>
                <w:sz w:val="28"/>
                <w:szCs w:val="28"/>
                <w:lang w:val="id-ID"/>
              </w:rPr>
            </w:pPr>
          </w:p>
          <w:p w14:paraId="17EFD886" w14:textId="47BB77EB" w:rsidR="00E72A35" w:rsidRPr="008F2EE3" w:rsidRDefault="00104C8C" w:rsidP="0013091B">
            <w:pPr>
              <w:spacing w:line="240" w:lineRule="auto"/>
              <w:ind w:left="709" w:right="-142"/>
              <w:jc w:val="center"/>
              <w:rPr>
                <w:szCs w:val="24"/>
              </w:rPr>
            </w:pPr>
            <w:r w:rsidRPr="008F2EE3">
              <w:rPr>
                <w:szCs w:val="24"/>
              </w:rPr>
              <w:t xml:space="preserve">  </w:t>
            </w:r>
            <w:r w:rsidR="00E72A35" w:rsidRPr="008F2EE3">
              <w:rPr>
                <w:szCs w:val="24"/>
              </w:rPr>
              <w:t>https://journal.unpas.ac.id/index.php/jrak/index</w:t>
            </w:r>
          </w:p>
        </w:tc>
      </w:tr>
    </w:tbl>
    <w:p w14:paraId="58857AF0" w14:textId="785EA39A" w:rsidR="00E72A35" w:rsidRPr="008F2EE3" w:rsidRDefault="00656BE2" w:rsidP="0013091B">
      <w:pPr>
        <w:spacing w:line="240" w:lineRule="auto"/>
        <w:ind w:right="-142"/>
        <w:rPr>
          <w:b/>
          <w:sz w:val="22"/>
        </w:rPr>
      </w:pPr>
      <w:r w:rsidRPr="008F2EE3">
        <w:rPr>
          <w:b/>
          <w:noProof/>
          <w:sz w:val="28"/>
          <w:szCs w:val="28"/>
        </w:rPr>
        <w:drawing>
          <wp:anchor distT="0" distB="0" distL="114300" distR="114300" simplePos="0" relativeHeight="251674112" behindDoc="1" locked="0" layoutInCell="1" allowOverlap="1" wp14:anchorId="3EBEDB01" wp14:editId="78E53760">
            <wp:simplePos x="0" y="0"/>
            <wp:positionH relativeFrom="column">
              <wp:posOffset>389255</wp:posOffset>
            </wp:positionH>
            <wp:positionV relativeFrom="paragraph">
              <wp:posOffset>-2998470</wp:posOffset>
            </wp:positionV>
            <wp:extent cx="5619750" cy="1012753"/>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jrak.jpg"/>
                    <pic:cNvPicPr/>
                  </pic:nvPicPr>
                  <pic:blipFill rotWithShape="1">
                    <a:blip r:embed="rId9" cstate="print">
                      <a:extLst>
                        <a:ext uri="{28A0092B-C50C-407E-A947-70E740481C1C}">
                          <a14:useLocalDpi xmlns:a14="http://schemas.microsoft.com/office/drawing/2010/main" val="0"/>
                        </a:ext>
                      </a:extLst>
                    </a:blip>
                    <a:srcRect r="21484" b="29143"/>
                    <a:stretch/>
                  </pic:blipFill>
                  <pic:spPr bwMode="auto">
                    <a:xfrm>
                      <a:off x="0" y="0"/>
                      <a:ext cx="5657165" cy="101949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8F2EE3">
        <w:rPr>
          <w:b/>
          <w:noProof/>
          <w:sz w:val="28"/>
          <w:szCs w:val="28"/>
        </w:rPr>
        <mc:AlternateContent>
          <mc:Choice Requires="wps">
            <w:drawing>
              <wp:anchor distT="0" distB="0" distL="114300" distR="114300" simplePos="0" relativeHeight="251675136" behindDoc="0" locked="0" layoutInCell="1" allowOverlap="1" wp14:anchorId="57D9A2EB" wp14:editId="67C66597">
                <wp:simplePos x="0" y="0"/>
                <wp:positionH relativeFrom="column">
                  <wp:posOffset>-113085</wp:posOffset>
                </wp:positionH>
                <wp:positionV relativeFrom="paragraph">
                  <wp:posOffset>-186000</wp:posOffset>
                </wp:positionV>
                <wp:extent cx="572494" cy="318052"/>
                <wp:effectExtent l="0" t="0" r="0" b="6350"/>
                <wp:wrapNone/>
                <wp:docPr id="10" name="Rectangle 10"/>
                <wp:cNvGraphicFramePr/>
                <a:graphic xmlns:a="http://schemas.openxmlformats.org/drawingml/2006/main">
                  <a:graphicData uri="http://schemas.microsoft.com/office/word/2010/wordprocessingShape">
                    <wps:wsp>
                      <wps:cNvSpPr/>
                      <wps:spPr>
                        <a:xfrm>
                          <a:off x="0" y="0"/>
                          <a:ext cx="572494" cy="318052"/>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A738FD" id="Rectangle 10" o:spid="_x0000_s1026" style="position:absolute;margin-left:-8.9pt;margin-top:-14.65pt;width:45.1pt;height:25.05pt;z-index:2516751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" fillcolor="white [3212]" stroked="f" strokeweight="1pt"/>
            </w:pict>
          </mc:Fallback>
        </mc:AlternateContent>
      </w:r>
    </w:p>
    <w:p w14:paraId="16C9B6B7" w14:textId="77777777" w:rsidR="00032D04" w:rsidRPr="00D927A5" w:rsidRDefault="00032D04" w:rsidP="00032D04">
      <w:pPr>
        <w:spacing w:line="240" w:lineRule="auto"/>
        <w:ind w:left="851" w:right="-1"/>
        <w:jc w:val="center"/>
        <w:rPr>
          <w:b/>
          <w:sz w:val="22"/>
        </w:rPr>
      </w:pPr>
      <w:proofErr w:type="spellStart"/>
      <w:r w:rsidRPr="00D927A5">
        <w:rPr>
          <w:b/>
          <w:sz w:val="22"/>
        </w:rPr>
        <w:t>Ruslina</w:t>
      </w:r>
      <w:proofErr w:type="spellEnd"/>
      <w:r w:rsidRPr="00D927A5">
        <w:rPr>
          <w:b/>
          <w:sz w:val="22"/>
        </w:rPr>
        <w:t xml:space="preserve"> Lisda</w:t>
      </w:r>
      <w:r w:rsidRPr="00D927A5">
        <w:rPr>
          <w:b/>
          <w:bCs/>
          <w:sz w:val="22"/>
          <w:vertAlign w:val="superscript"/>
        </w:rPr>
        <w:t>1</w:t>
      </w:r>
      <w:r w:rsidRPr="00D927A5">
        <w:rPr>
          <w:b/>
          <w:sz w:val="22"/>
        </w:rPr>
        <w:t>, Anthony</w:t>
      </w:r>
      <w:r w:rsidRPr="00D927A5">
        <w:rPr>
          <w:b/>
          <w:sz w:val="22"/>
          <w:vertAlign w:val="superscript"/>
        </w:rPr>
        <w:t>2</w:t>
      </w:r>
    </w:p>
    <w:p w14:paraId="53733B68" w14:textId="77777777" w:rsidR="00032D04" w:rsidRPr="00D927A5" w:rsidRDefault="00032D04" w:rsidP="00032D04">
      <w:pPr>
        <w:spacing w:line="240" w:lineRule="auto"/>
        <w:ind w:left="851" w:right="-1"/>
        <w:jc w:val="center"/>
        <w:rPr>
          <w:sz w:val="22"/>
        </w:rPr>
      </w:pPr>
      <w:r w:rsidRPr="00D927A5">
        <w:rPr>
          <w:sz w:val="22"/>
          <w:vertAlign w:val="superscript"/>
        </w:rPr>
        <w:t xml:space="preserve">1,2 </w:t>
      </w:r>
      <w:proofErr w:type="spellStart"/>
      <w:r w:rsidRPr="00D927A5">
        <w:rPr>
          <w:sz w:val="22"/>
        </w:rPr>
        <w:t>Pasundan</w:t>
      </w:r>
      <w:proofErr w:type="spellEnd"/>
      <w:r w:rsidRPr="00D927A5">
        <w:rPr>
          <w:sz w:val="22"/>
        </w:rPr>
        <w:t xml:space="preserve"> University</w:t>
      </w:r>
    </w:p>
    <w:p w14:paraId="06BAF614" w14:textId="77777777" w:rsidR="00032D04" w:rsidRPr="00D927A5" w:rsidRDefault="00032D04" w:rsidP="00032D04">
      <w:pPr>
        <w:spacing w:line="240" w:lineRule="auto"/>
        <w:ind w:left="851" w:right="-1"/>
        <w:jc w:val="center"/>
        <w:rPr>
          <w:b/>
          <w:sz w:val="22"/>
          <w:u w:val="single"/>
        </w:rPr>
      </w:pPr>
      <w:r w:rsidRPr="00D927A5">
        <w:rPr>
          <w:b/>
          <w:sz w:val="22"/>
        </w:rPr>
        <w:t></w:t>
      </w:r>
      <w:r w:rsidRPr="00D927A5">
        <w:rPr>
          <w:b/>
          <w:sz w:val="22"/>
          <w:vertAlign w:val="superscript"/>
        </w:rPr>
        <w:t>1</w:t>
      </w:r>
      <w:r w:rsidRPr="00D927A5">
        <w:rPr>
          <w:b/>
          <w:sz w:val="22"/>
        </w:rPr>
        <w:t xml:space="preserve"> </w:t>
      </w:r>
      <w:hyperlink r:id="rId10" w:history="1">
        <w:r w:rsidRPr="00D927A5">
          <w:rPr>
            <w:rStyle w:val="Hyperlink"/>
            <w:b/>
            <w:sz w:val="22"/>
          </w:rPr>
          <w:t>ruslinalisda@unpas.ac.id</w:t>
        </w:r>
      </w:hyperlink>
      <w:r w:rsidRPr="00D927A5">
        <w:rPr>
          <w:b/>
          <w:sz w:val="22"/>
        </w:rPr>
        <w:t xml:space="preserve"> </w:t>
      </w:r>
      <w:r w:rsidRPr="00D927A5">
        <w:rPr>
          <w:b/>
          <w:sz w:val="22"/>
          <w:u w:val="single"/>
        </w:rPr>
        <w:t></w:t>
      </w:r>
      <w:r w:rsidRPr="00D927A5">
        <w:rPr>
          <w:b/>
          <w:sz w:val="22"/>
          <w:u w:val="single"/>
          <w:vertAlign w:val="superscript"/>
        </w:rPr>
        <w:t>2</w:t>
      </w:r>
      <w:r w:rsidRPr="00D927A5">
        <w:rPr>
          <w:b/>
          <w:sz w:val="22"/>
          <w:u w:val="single"/>
        </w:rPr>
        <w:t xml:space="preserve"> </w:t>
      </w:r>
      <w:hyperlink r:id="rId11" w:history="1">
        <w:r w:rsidRPr="00F83799">
          <w:rPr>
            <w:rStyle w:val="Hyperlink"/>
            <w:b/>
            <w:sz w:val="22"/>
          </w:rPr>
          <w:t>ay.anthony2001@gmail.com</w:t>
        </w:r>
      </w:hyperlink>
    </w:p>
    <w:p w14:paraId="4D7F02F4" w14:textId="77777777" w:rsidR="00032D04" w:rsidRPr="00D927A5" w:rsidRDefault="00032D04" w:rsidP="00032D04">
      <w:pPr>
        <w:spacing w:line="240" w:lineRule="auto"/>
        <w:ind w:left="851" w:right="-1"/>
        <w:jc w:val="center"/>
        <w:rPr>
          <w:b/>
          <w:sz w:val="22"/>
        </w:rPr>
      </w:pPr>
      <w:r w:rsidRPr="00D927A5">
        <w:rPr>
          <w:b/>
          <w:sz w:val="22"/>
        </w:rPr>
        <w:t xml:space="preserve">JL. Taman Sari No. 6-8 Kota Bandung, </w:t>
      </w:r>
      <w:proofErr w:type="spellStart"/>
      <w:r w:rsidRPr="00D927A5">
        <w:rPr>
          <w:b/>
          <w:sz w:val="22"/>
        </w:rPr>
        <w:t>Jawa</w:t>
      </w:r>
      <w:proofErr w:type="spellEnd"/>
      <w:r w:rsidRPr="00D927A5">
        <w:rPr>
          <w:b/>
          <w:sz w:val="22"/>
        </w:rPr>
        <w:t xml:space="preserve"> Barat Indonesia</w:t>
      </w:r>
    </w:p>
    <w:p w14:paraId="1CA1327E" w14:textId="77777777" w:rsidR="00032D04" w:rsidRPr="008F2EE3" w:rsidRDefault="00032D04" w:rsidP="00032D04">
      <w:pPr>
        <w:spacing w:line="240" w:lineRule="auto"/>
        <w:ind w:right="-142"/>
        <w:rPr>
          <w:b/>
          <w:sz w:val="22"/>
        </w:rPr>
        <w:sectPr w:rsidR="00032D04" w:rsidRPr="008F2EE3" w:rsidSect="00961D55">
          <w:headerReference w:type="default" r:id="rId12"/>
          <w:footerReference w:type="even" r:id="rId13"/>
          <w:headerReference w:type="first" r:id="rId14"/>
          <w:footerReference w:type="first" r:id="rId15"/>
          <w:type w:val="continuous"/>
          <w:pgSz w:w="11907" w:h="16839" w:code="9"/>
          <w:pgMar w:top="1843" w:right="1276" w:bottom="1276" w:left="992" w:header="1135" w:footer="720" w:gutter="284"/>
          <w:pgNumType w:start="10"/>
          <w:cols w:space="720"/>
          <w:docGrid w:linePitch="360"/>
        </w:sectPr>
      </w:pPr>
    </w:p>
    <w:p w14:paraId="0EB05C5D" w14:textId="77777777" w:rsidR="00E72A35" w:rsidRPr="008F2EE3" w:rsidRDefault="00E72A35" w:rsidP="0013091B">
      <w:pPr>
        <w:spacing w:line="240" w:lineRule="auto"/>
        <w:ind w:right="-142"/>
        <w:rPr>
          <w:sz w:val="22"/>
        </w:rPr>
      </w:pPr>
      <w:r w:rsidRPr="008F2EE3">
        <w:rPr>
          <w:noProof/>
          <w:sz w:val="22"/>
        </w:rPr>
        <mc:AlternateContent>
          <mc:Choice Requires="wps">
            <w:drawing>
              <wp:anchor distT="0" distB="0" distL="114300" distR="114300" simplePos="0" relativeHeight="251650560" behindDoc="0" locked="0" layoutInCell="1" allowOverlap="1" wp14:anchorId="6F44F951" wp14:editId="41343F7A">
                <wp:simplePos x="0" y="0"/>
                <wp:positionH relativeFrom="column">
                  <wp:posOffset>459409</wp:posOffset>
                </wp:positionH>
                <wp:positionV relativeFrom="paragraph">
                  <wp:posOffset>145498</wp:posOffset>
                </wp:positionV>
                <wp:extent cx="5406334" cy="0"/>
                <wp:effectExtent l="0" t="0" r="23495" b="19050"/>
                <wp:wrapNone/>
                <wp:docPr id="15" name="Straight Connector 15"/>
                <wp:cNvGraphicFramePr/>
                <a:graphic xmlns:a="http://schemas.openxmlformats.org/drawingml/2006/main">
                  <a:graphicData uri="http://schemas.microsoft.com/office/word/2010/wordprocessingShape">
                    <wps:wsp>
                      <wps:cNvCnPr/>
                      <wps:spPr>
                        <a:xfrm>
                          <a:off x="0" y="0"/>
                          <a:ext cx="540633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BF1551" id="Straight Connector 15"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15pt,11.45pt" to="461.8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" strokecolor="black [3213]" strokeweight=".5pt">
                <v:stroke joinstyle="miter"/>
              </v:line>
            </w:pict>
          </mc:Fallback>
        </mc:AlternateContent>
      </w:r>
    </w:p>
    <w:p w14:paraId="1ED41CC0" w14:textId="77777777" w:rsidR="00E72A35" w:rsidRPr="008F2EE3" w:rsidRDefault="00E72A35" w:rsidP="0013091B">
      <w:pPr>
        <w:spacing w:line="240" w:lineRule="auto"/>
        <w:ind w:right="-142"/>
        <w:jc w:val="center"/>
        <w:rPr>
          <w:sz w:val="22"/>
          <w:lang w:val="en-GB"/>
        </w:rPr>
      </w:pPr>
    </w:p>
    <w:p w14:paraId="4A5FB7BC" w14:textId="77777777" w:rsidR="00E72A35" w:rsidRPr="008F2EE3" w:rsidRDefault="00E72A35" w:rsidP="0013091B">
      <w:pPr>
        <w:spacing w:line="240" w:lineRule="auto"/>
        <w:ind w:right="-142"/>
        <w:rPr>
          <w:sz w:val="22"/>
          <w:lang w:val="en-GB"/>
        </w:rPr>
        <w:sectPr w:rsidR="00E72A35" w:rsidRPr="008F2EE3" w:rsidSect="00CF6BF5">
          <w:headerReference w:type="default" r:id="rId16"/>
          <w:footerReference w:type="even" r:id="rId17"/>
          <w:headerReference w:type="first" r:id="rId18"/>
          <w:footerReference w:type="first" r:id="rId19"/>
          <w:type w:val="continuous"/>
          <w:pgSz w:w="11907" w:h="16839" w:code="9"/>
          <w:pgMar w:top="1843" w:right="1276" w:bottom="1276" w:left="992" w:header="1135" w:footer="720" w:gutter="284"/>
          <w:cols w:num="2" w:space="3"/>
          <w:titlePg/>
          <w:docGrid w:linePitch="360"/>
        </w:sectPr>
      </w:pPr>
    </w:p>
    <w:p w14:paraId="551873CC" w14:textId="5899696B" w:rsidR="00E72A35" w:rsidRPr="008F2EE3" w:rsidRDefault="00E72A35" w:rsidP="0013091B">
      <w:pPr>
        <w:spacing w:line="240" w:lineRule="auto"/>
        <w:ind w:right="-142"/>
        <w:rPr>
          <w:b/>
          <w:i/>
          <w:sz w:val="22"/>
          <w:lang w:val="en-GB"/>
        </w:rPr>
      </w:pPr>
      <w:r w:rsidRPr="008F2EE3">
        <w:rPr>
          <w:b/>
          <w:sz w:val="22"/>
          <w:lang w:val="en-GB"/>
        </w:rPr>
        <w:t xml:space="preserve">  </w:t>
      </w:r>
      <w:r w:rsidR="00E721F6" w:rsidRPr="008F2EE3">
        <w:rPr>
          <w:b/>
          <w:sz w:val="22"/>
          <w:lang w:val="en-GB"/>
        </w:rPr>
        <w:tab/>
      </w:r>
      <w:r w:rsidRPr="008F2EE3">
        <w:rPr>
          <w:b/>
          <w:sz w:val="22"/>
          <w:lang w:val="en-GB"/>
        </w:rPr>
        <w:t>Article Info</w:t>
      </w:r>
      <w:r w:rsidRPr="008F2EE3">
        <w:rPr>
          <w:b/>
          <w:sz w:val="22"/>
          <w:lang w:val="en-GB"/>
        </w:rPr>
        <w:tab/>
      </w:r>
      <w:r w:rsidRPr="008F2EE3">
        <w:rPr>
          <w:b/>
          <w:i/>
          <w:sz w:val="22"/>
          <w:lang w:val="en-GB"/>
        </w:rPr>
        <w:tab/>
      </w:r>
      <w:r w:rsidR="00E721F6" w:rsidRPr="008F2EE3">
        <w:rPr>
          <w:b/>
          <w:sz w:val="22"/>
          <w:lang w:val="en-GB"/>
        </w:rPr>
        <w:t xml:space="preserve">    </w:t>
      </w:r>
      <w:r w:rsidR="00E721F6" w:rsidRPr="008F2EE3">
        <w:rPr>
          <w:b/>
          <w:sz w:val="22"/>
          <w:lang w:val="en-GB"/>
        </w:rPr>
        <w:tab/>
      </w:r>
      <w:r w:rsidRPr="008F2EE3">
        <w:rPr>
          <w:b/>
          <w:sz w:val="22"/>
          <w:lang w:val="en-GB"/>
        </w:rPr>
        <w:t>Abstract</w:t>
      </w:r>
    </w:p>
    <w:p w14:paraId="261F4469" w14:textId="554A826F" w:rsidR="00E72A35" w:rsidRPr="008F2EE3" w:rsidRDefault="00656BE2" w:rsidP="0013091B">
      <w:pPr>
        <w:spacing w:line="240" w:lineRule="auto"/>
        <w:ind w:left="567" w:right="-142"/>
        <w:jc w:val="center"/>
        <w:rPr>
          <w:b/>
          <w:i/>
          <w:sz w:val="22"/>
          <w:lang w:val="en-GB"/>
        </w:rPr>
      </w:pPr>
      <w:r w:rsidRPr="008F2EE3">
        <w:rPr>
          <w:b/>
          <w:i/>
          <w:noProof/>
          <w:sz w:val="22"/>
        </w:rPr>
        <mc:AlternateContent>
          <mc:Choice Requires="wps">
            <w:drawing>
              <wp:anchor distT="0" distB="0" distL="114300" distR="114300" simplePos="0" relativeHeight="251640320" behindDoc="0" locked="0" layoutInCell="1" allowOverlap="1" wp14:anchorId="3BA68A91" wp14:editId="0BC7D71B">
                <wp:simplePos x="0" y="0"/>
                <wp:positionH relativeFrom="column">
                  <wp:posOffset>2256403</wp:posOffset>
                </wp:positionH>
                <wp:positionV relativeFrom="paragraph">
                  <wp:posOffset>111484</wp:posOffset>
                </wp:positionV>
                <wp:extent cx="3657047" cy="7620"/>
                <wp:effectExtent l="0" t="0" r="19685" b="30480"/>
                <wp:wrapNone/>
                <wp:docPr id="6" name="Straight Connector 6"/>
                <wp:cNvGraphicFramePr/>
                <a:graphic xmlns:a="http://schemas.openxmlformats.org/drawingml/2006/main">
                  <a:graphicData uri="http://schemas.microsoft.com/office/word/2010/wordprocessingShape">
                    <wps:wsp>
                      <wps:cNvCnPr/>
                      <wps:spPr>
                        <a:xfrm flipV="1">
                          <a:off x="0" y="0"/>
                          <a:ext cx="3657047" cy="762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A8D5A2" id="Straight Connector 6" o:spid="_x0000_s1026" style="position:absolute;flip:y;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7.65pt,8.8pt" to="465.6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" strokecolor="black [3213]" strokeweight=".5pt">
                <v:stroke joinstyle="miter"/>
              </v:line>
            </w:pict>
          </mc:Fallback>
        </mc:AlternateContent>
      </w:r>
      <w:r w:rsidR="00E721F6" w:rsidRPr="008F2EE3">
        <w:rPr>
          <w:b/>
          <w:i/>
          <w:noProof/>
          <w:sz w:val="22"/>
        </w:rPr>
        <mc:AlternateContent>
          <mc:Choice Requires="wps">
            <w:drawing>
              <wp:anchor distT="0" distB="0" distL="114300" distR="114300" simplePos="0" relativeHeight="251641344" behindDoc="0" locked="0" layoutInCell="1" allowOverlap="1" wp14:anchorId="587215F1" wp14:editId="587878C4">
                <wp:simplePos x="0" y="0"/>
                <wp:positionH relativeFrom="column">
                  <wp:posOffset>463357</wp:posOffset>
                </wp:positionH>
                <wp:positionV relativeFrom="paragraph">
                  <wp:posOffset>108888</wp:posOffset>
                </wp:positionV>
                <wp:extent cx="1364986" cy="0"/>
                <wp:effectExtent l="0" t="0" r="26035" b="19050"/>
                <wp:wrapNone/>
                <wp:docPr id="22" name="Straight Connector 22"/>
                <wp:cNvGraphicFramePr/>
                <a:graphic xmlns:a="http://schemas.openxmlformats.org/drawingml/2006/main">
                  <a:graphicData uri="http://schemas.microsoft.com/office/word/2010/wordprocessingShape">
                    <wps:wsp>
                      <wps:cNvCnPr/>
                      <wps:spPr>
                        <a:xfrm>
                          <a:off x="0" y="0"/>
                          <a:ext cx="136498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454C52C" id="Straight Connector 22" o:spid="_x0000_s1026" style="position:absolute;z-index:251641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5pt,8.55pt" to="2in,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" strokecolor="black [3213]" strokeweight=".5pt">
                <v:stroke joinstyle="miter"/>
              </v:line>
            </w:pict>
          </mc:Fallback>
        </mc:AlternateContent>
      </w:r>
    </w:p>
    <w:p w14:paraId="4AE8590A" w14:textId="379C5ED4" w:rsidR="00E72A35" w:rsidRDefault="00BD6C39" w:rsidP="00962A4C">
      <w:pPr>
        <w:spacing w:line="240" w:lineRule="auto"/>
        <w:ind w:left="3544" w:right="283"/>
        <w:rPr>
          <w:sz w:val="22"/>
          <w:szCs w:val="24"/>
        </w:rPr>
      </w:pPr>
      <w:r w:rsidRPr="008F2EE3">
        <w:rPr>
          <w:noProof/>
          <w:sz w:val="22"/>
        </w:rPr>
        <mc:AlternateContent>
          <mc:Choice Requires="wps">
            <w:drawing>
              <wp:anchor distT="45720" distB="45720" distL="114300" distR="114300" simplePos="0" relativeHeight="251658752" behindDoc="0" locked="0" layoutInCell="1" allowOverlap="1" wp14:anchorId="5D099331" wp14:editId="3BA9A3BD">
                <wp:simplePos x="0" y="0"/>
                <wp:positionH relativeFrom="column">
                  <wp:posOffset>360680</wp:posOffset>
                </wp:positionH>
                <wp:positionV relativeFrom="paragraph">
                  <wp:posOffset>863600</wp:posOffset>
                </wp:positionV>
                <wp:extent cx="1769110" cy="1724025"/>
                <wp:effectExtent l="0" t="0" r="2540" b="952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9110" cy="1724025"/>
                        </a:xfrm>
                        <a:prstGeom prst="rect">
                          <a:avLst/>
                        </a:prstGeom>
                        <a:solidFill>
                          <a:srgbClr val="FFFFFF"/>
                        </a:solidFill>
                        <a:ln w="9525">
                          <a:noFill/>
                          <a:miter lim="800000"/>
                          <a:headEnd/>
                          <a:tailEnd/>
                        </a:ln>
                      </wps:spPr>
                      <wps:txbx>
                        <w:txbxContent>
                          <w:p w14:paraId="129B817B" w14:textId="77777777" w:rsidR="00083EDE" w:rsidRPr="008F2EE3" w:rsidRDefault="00083EDE" w:rsidP="00E72A35">
                            <w:pPr>
                              <w:tabs>
                                <w:tab w:val="left" w:pos="5670"/>
                              </w:tabs>
                              <w:spacing w:line="276" w:lineRule="auto"/>
                              <w:jc w:val="left"/>
                              <w:rPr>
                                <w:sz w:val="18"/>
                              </w:rPr>
                            </w:pPr>
                            <w:proofErr w:type="spellStart"/>
                            <w:r w:rsidRPr="008F2EE3">
                              <w:rPr>
                                <w:sz w:val="18"/>
                              </w:rPr>
                              <w:t>Jurnal</w:t>
                            </w:r>
                            <w:proofErr w:type="spellEnd"/>
                            <w:r w:rsidRPr="008F2EE3">
                              <w:rPr>
                                <w:sz w:val="18"/>
                              </w:rPr>
                              <w:t xml:space="preserve"> </w:t>
                            </w:r>
                            <w:proofErr w:type="spellStart"/>
                            <w:r w:rsidRPr="008F2EE3">
                              <w:rPr>
                                <w:sz w:val="18"/>
                              </w:rPr>
                              <w:t>Riset</w:t>
                            </w:r>
                            <w:proofErr w:type="spellEnd"/>
                            <w:r w:rsidRPr="008F2EE3">
                              <w:rPr>
                                <w:sz w:val="18"/>
                              </w:rPr>
                              <w:t xml:space="preserve"> </w:t>
                            </w:r>
                            <w:proofErr w:type="spellStart"/>
                            <w:r w:rsidRPr="008F2EE3">
                              <w:rPr>
                                <w:sz w:val="18"/>
                              </w:rPr>
                              <w:t>Akuntansi</w:t>
                            </w:r>
                            <w:proofErr w:type="spellEnd"/>
                            <w:r w:rsidRPr="008F2EE3">
                              <w:rPr>
                                <w:sz w:val="18"/>
                              </w:rPr>
                              <w:t xml:space="preserve"> </w:t>
                            </w:r>
                            <w:proofErr w:type="spellStart"/>
                            <w:r w:rsidRPr="008F2EE3">
                              <w:rPr>
                                <w:sz w:val="18"/>
                              </w:rPr>
                              <w:t>Kontemporer</w:t>
                            </w:r>
                            <w:proofErr w:type="spellEnd"/>
                          </w:p>
                          <w:p w14:paraId="72C2F544" w14:textId="5D018975" w:rsidR="00083EDE" w:rsidRPr="008F2EE3" w:rsidRDefault="00083EDE" w:rsidP="00E72A35">
                            <w:pPr>
                              <w:spacing w:line="276" w:lineRule="auto"/>
                              <w:jc w:val="left"/>
                              <w:rPr>
                                <w:sz w:val="18"/>
                                <w:lang w:val="id-ID"/>
                              </w:rPr>
                            </w:pPr>
                            <w:r w:rsidRPr="008F2EE3">
                              <w:rPr>
                                <w:sz w:val="18"/>
                                <w:lang w:val="id-ID"/>
                              </w:rPr>
                              <w:t>Volume</w:t>
                            </w:r>
                            <w:r w:rsidRPr="008F2EE3">
                              <w:rPr>
                                <w:sz w:val="18"/>
                              </w:rPr>
                              <w:t xml:space="preserve"> </w:t>
                            </w:r>
                            <w:r w:rsidR="00032D04">
                              <w:rPr>
                                <w:sz w:val="18"/>
                              </w:rPr>
                              <w:t>15</w:t>
                            </w:r>
                            <w:r w:rsidRPr="008F2EE3">
                              <w:rPr>
                                <w:sz w:val="18"/>
                                <w:lang w:val="id-ID"/>
                              </w:rPr>
                              <w:t>, No.</w:t>
                            </w:r>
                            <w:r w:rsidRPr="008F2EE3">
                              <w:rPr>
                                <w:sz w:val="18"/>
                              </w:rPr>
                              <w:t xml:space="preserve"> </w:t>
                            </w:r>
                            <w:r w:rsidR="00032D04">
                              <w:rPr>
                                <w:sz w:val="18"/>
                              </w:rPr>
                              <w:t>2</w:t>
                            </w:r>
                            <w:r w:rsidRPr="008F2EE3">
                              <w:rPr>
                                <w:sz w:val="18"/>
                                <w:lang w:val="id-ID"/>
                              </w:rPr>
                              <w:t xml:space="preserve">, </w:t>
                            </w:r>
                          </w:p>
                          <w:p w14:paraId="3C482AA3" w14:textId="096302C5" w:rsidR="00083EDE" w:rsidRPr="008F2EE3" w:rsidRDefault="00032D04" w:rsidP="00E72A35">
                            <w:pPr>
                              <w:spacing w:line="276" w:lineRule="auto"/>
                              <w:jc w:val="left"/>
                              <w:rPr>
                                <w:sz w:val="18"/>
                              </w:rPr>
                            </w:pPr>
                            <w:proofErr w:type="spellStart"/>
                            <w:r>
                              <w:rPr>
                                <w:sz w:val="18"/>
                              </w:rPr>
                              <w:t>Oktober</w:t>
                            </w:r>
                            <w:proofErr w:type="spellEnd"/>
                            <w:r>
                              <w:rPr>
                                <w:sz w:val="18"/>
                              </w:rPr>
                              <w:t xml:space="preserve"> 2023</w:t>
                            </w:r>
                            <w:r w:rsidR="00083EDE" w:rsidRPr="008F2EE3">
                              <w:rPr>
                                <w:sz w:val="18"/>
                                <w:lang w:val="id-ID"/>
                              </w:rPr>
                              <w:t xml:space="preserve">, Hal. </w:t>
                            </w:r>
                            <w:r w:rsidR="00083EDE" w:rsidRPr="008F2EE3">
                              <w:rPr>
                                <w:sz w:val="18"/>
                              </w:rPr>
                              <w:t>X</w:t>
                            </w:r>
                            <w:r w:rsidR="00083EDE" w:rsidRPr="008F2EE3">
                              <w:rPr>
                                <w:sz w:val="18"/>
                                <w:lang w:val="id-ID"/>
                              </w:rPr>
                              <w:t>-</w:t>
                            </w:r>
                            <w:r w:rsidR="00083EDE" w:rsidRPr="008F2EE3">
                              <w:rPr>
                                <w:sz w:val="18"/>
                              </w:rPr>
                              <w:t>X</w:t>
                            </w:r>
                          </w:p>
                          <w:p w14:paraId="38A9628F" w14:textId="77777777" w:rsidR="00083EDE" w:rsidRDefault="00083EDE" w:rsidP="00E72A35">
                            <w:pPr>
                              <w:spacing w:line="276" w:lineRule="auto"/>
                              <w:jc w:val="left"/>
                              <w:rPr>
                                <w:sz w:val="18"/>
                                <w:lang w:val="id-ID"/>
                              </w:rPr>
                            </w:pPr>
                            <w:r w:rsidRPr="008F2EE3">
                              <w:rPr>
                                <w:sz w:val="18"/>
                                <w:lang w:val="id-ID"/>
                              </w:rPr>
                              <w:t xml:space="preserve">ISSN </w:t>
                            </w:r>
                            <w:r w:rsidRPr="008F2EE3">
                              <w:rPr>
                                <w:sz w:val="18"/>
                              </w:rPr>
                              <w:t>2088</w:t>
                            </w:r>
                            <w:r w:rsidRPr="008F2EE3">
                              <w:rPr>
                                <w:sz w:val="18"/>
                                <w:lang w:val="id-ID"/>
                              </w:rPr>
                              <w:t>-</w:t>
                            </w:r>
                            <w:r w:rsidRPr="008F2EE3">
                              <w:rPr>
                                <w:sz w:val="18"/>
                              </w:rPr>
                              <w:t>5091</w:t>
                            </w:r>
                            <w:r w:rsidRPr="008F2EE3">
                              <w:rPr>
                                <w:sz w:val="18"/>
                                <w:lang w:val="id-ID"/>
                              </w:rPr>
                              <w:t xml:space="preserve"> </w:t>
                            </w:r>
                            <w:r>
                              <w:rPr>
                                <w:sz w:val="18"/>
                                <w:lang w:val="id-ID"/>
                              </w:rPr>
                              <w:t>(Print)</w:t>
                            </w:r>
                          </w:p>
                          <w:p w14:paraId="37988FA6" w14:textId="5536D1D4" w:rsidR="00083EDE" w:rsidRPr="008F2EE3" w:rsidRDefault="00083EDE" w:rsidP="00E72A35">
                            <w:pPr>
                              <w:spacing w:line="276" w:lineRule="auto"/>
                              <w:jc w:val="left"/>
                              <w:rPr>
                                <w:b/>
                                <w:sz w:val="18"/>
                              </w:rPr>
                            </w:pPr>
                            <w:r w:rsidRPr="008F2EE3">
                              <w:rPr>
                                <w:sz w:val="18"/>
                              </w:rPr>
                              <w:t xml:space="preserve">2597-6826 </w:t>
                            </w:r>
                            <w:r w:rsidRPr="008F2EE3">
                              <w:rPr>
                                <w:sz w:val="18"/>
                                <w:lang w:val="id-ID"/>
                              </w:rPr>
                              <w:t>(Online)</w:t>
                            </w:r>
                          </w:p>
                          <w:p w14:paraId="72CBA460" w14:textId="77777777" w:rsidR="00083EDE" w:rsidRDefault="00083EDE" w:rsidP="00E72A35">
                            <w:pPr>
                              <w:spacing w:line="276" w:lineRule="auto"/>
                              <w:jc w:val="left"/>
                              <w:rPr>
                                <w:sz w:val="20"/>
                              </w:rPr>
                            </w:pPr>
                          </w:p>
                          <w:p w14:paraId="270C9029" w14:textId="4FCB3856" w:rsidR="00083EDE" w:rsidRPr="008F2EE3" w:rsidRDefault="00083EDE" w:rsidP="00E72A35">
                            <w:pPr>
                              <w:spacing w:line="276" w:lineRule="auto"/>
                              <w:jc w:val="left"/>
                              <w:rPr>
                                <w:sz w:val="20"/>
                              </w:rPr>
                            </w:pPr>
                            <w:r>
                              <w:rPr>
                                <w:sz w:val="20"/>
                              </w:rPr>
                              <w:t>Keywords: Intellectual Capital; Firm Size; Profitability;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D099331" id="_x0000_t202" coordsize="21600,21600" o:spt="202" path="m,l,21600r21600,l21600,xe">
                <v:stroke joinstyle="miter"/>
                <v:path gradientshapeok="t" o:connecttype="rect"/>
              </v:shapetype>
              <v:shape id="Text Box 2" o:spid="_x0000_s1026" type="#_x0000_t202" style="position:absolute;left:0;text-align:left;margin-left:28.4pt;margin-top:68pt;width:139.3pt;height:135.75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" stroked="f">
                <v:textbox>
                  <w:txbxContent>
                    <w:p w14:paraId="129B817B" w14:textId="77777777" w:rsidR="00083EDE" w:rsidRPr="008F2EE3" w:rsidRDefault="00083EDE" w:rsidP="00E72A35">
                      <w:pPr>
                        <w:tabs>
                          <w:tab w:val="left" w:pos="5670"/>
                        </w:tabs>
                        <w:spacing w:line="276" w:lineRule="auto"/>
                        <w:jc w:val="left"/>
                        <w:rPr>
                          <w:sz w:val="18"/>
                        </w:rPr>
                      </w:pPr>
                      <w:proofErr w:type="spellStart"/>
                      <w:r w:rsidRPr="008F2EE3">
                        <w:rPr>
                          <w:sz w:val="18"/>
                        </w:rPr>
                        <w:t>Jurnal</w:t>
                      </w:r>
                      <w:proofErr w:type="spellEnd"/>
                      <w:r w:rsidRPr="008F2EE3">
                        <w:rPr>
                          <w:sz w:val="18"/>
                        </w:rPr>
                        <w:t xml:space="preserve"> </w:t>
                      </w:r>
                      <w:proofErr w:type="spellStart"/>
                      <w:r w:rsidRPr="008F2EE3">
                        <w:rPr>
                          <w:sz w:val="18"/>
                        </w:rPr>
                        <w:t>Riset</w:t>
                      </w:r>
                      <w:proofErr w:type="spellEnd"/>
                      <w:r w:rsidRPr="008F2EE3">
                        <w:rPr>
                          <w:sz w:val="18"/>
                        </w:rPr>
                        <w:t xml:space="preserve"> </w:t>
                      </w:r>
                      <w:proofErr w:type="spellStart"/>
                      <w:r w:rsidRPr="008F2EE3">
                        <w:rPr>
                          <w:sz w:val="18"/>
                        </w:rPr>
                        <w:t>Akuntansi</w:t>
                      </w:r>
                      <w:proofErr w:type="spellEnd"/>
                      <w:r w:rsidRPr="008F2EE3">
                        <w:rPr>
                          <w:sz w:val="18"/>
                        </w:rPr>
                        <w:t xml:space="preserve"> </w:t>
                      </w:r>
                      <w:proofErr w:type="spellStart"/>
                      <w:r w:rsidRPr="008F2EE3">
                        <w:rPr>
                          <w:sz w:val="18"/>
                        </w:rPr>
                        <w:t>Kontemporer</w:t>
                      </w:r>
                      <w:proofErr w:type="spellEnd"/>
                    </w:p>
                    <w:p w14:paraId="72C2F544" w14:textId="5D018975" w:rsidR="00083EDE" w:rsidRPr="008F2EE3" w:rsidRDefault="00083EDE" w:rsidP="00E72A35">
                      <w:pPr>
                        <w:spacing w:line="276" w:lineRule="auto"/>
                        <w:jc w:val="left"/>
                        <w:rPr>
                          <w:sz w:val="18"/>
                          <w:lang w:val="id-ID"/>
                        </w:rPr>
                      </w:pPr>
                      <w:r w:rsidRPr="008F2EE3">
                        <w:rPr>
                          <w:sz w:val="18"/>
                          <w:lang w:val="id-ID"/>
                        </w:rPr>
                        <w:t>Volume</w:t>
                      </w:r>
                      <w:r w:rsidRPr="008F2EE3">
                        <w:rPr>
                          <w:sz w:val="18"/>
                        </w:rPr>
                        <w:t xml:space="preserve"> </w:t>
                      </w:r>
                      <w:r w:rsidR="00032D04">
                        <w:rPr>
                          <w:sz w:val="18"/>
                        </w:rPr>
                        <w:t>15</w:t>
                      </w:r>
                      <w:r w:rsidRPr="008F2EE3">
                        <w:rPr>
                          <w:sz w:val="18"/>
                          <w:lang w:val="id-ID"/>
                        </w:rPr>
                        <w:t>, No.</w:t>
                      </w:r>
                      <w:r w:rsidRPr="008F2EE3">
                        <w:rPr>
                          <w:sz w:val="18"/>
                        </w:rPr>
                        <w:t xml:space="preserve"> </w:t>
                      </w:r>
                      <w:r w:rsidR="00032D04">
                        <w:rPr>
                          <w:sz w:val="18"/>
                        </w:rPr>
                        <w:t>2</w:t>
                      </w:r>
                      <w:r w:rsidRPr="008F2EE3">
                        <w:rPr>
                          <w:sz w:val="18"/>
                          <w:lang w:val="id-ID"/>
                        </w:rPr>
                        <w:t xml:space="preserve">, </w:t>
                      </w:r>
                    </w:p>
                    <w:p w14:paraId="3C482AA3" w14:textId="096302C5" w:rsidR="00083EDE" w:rsidRPr="008F2EE3" w:rsidRDefault="00032D04" w:rsidP="00E72A35">
                      <w:pPr>
                        <w:spacing w:line="276" w:lineRule="auto"/>
                        <w:jc w:val="left"/>
                        <w:rPr>
                          <w:sz w:val="18"/>
                        </w:rPr>
                      </w:pPr>
                      <w:proofErr w:type="spellStart"/>
                      <w:r>
                        <w:rPr>
                          <w:sz w:val="18"/>
                        </w:rPr>
                        <w:t>Oktober</w:t>
                      </w:r>
                      <w:proofErr w:type="spellEnd"/>
                      <w:r>
                        <w:rPr>
                          <w:sz w:val="18"/>
                        </w:rPr>
                        <w:t xml:space="preserve"> 2023</w:t>
                      </w:r>
                      <w:r w:rsidR="00083EDE" w:rsidRPr="008F2EE3">
                        <w:rPr>
                          <w:sz w:val="18"/>
                          <w:lang w:val="id-ID"/>
                        </w:rPr>
                        <w:t xml:space="preserve">, Hal. </w:t>
                      </w:r>
                      <w:r w:rsidR="00083EDE" w:rsidRPr="008F2EE3">
                        <w:rPr>
                          <w:sz w:val="18"/>
                        </w:rPr>
                        <w:t>X</w:t>
                      </w:r>
                      <w:r w:rsidR="00083EDE" w:rsidRPr="008F2EE3">
                        <w:rPr>
                          <w:sz w:val="18"/>
                          <w:lang w:val="id-ID"/>
                        </w:rPr>
                        <w:t>-</w:t>
                      </w:r>
                      <w:r w:rsidR="00083EDE" w:rsidRPr="008F2EE3">
                        <w:rPr>
                          <w:sz w:val="18"/>
                        </w:rPr>
                        <w:t>X</w:t>
                      </w:r>
                    </w:p>
                    <w:p w14:paraId="38A9628F" w14:textId="77777777" w:rsidR="00083EDE" w:rsidRDefault="00083EDE" w:rsidP="00E72A35">
                      <w:pPr>
                        <w:spacing w:line="276" w:lineRule="auto"/>
                        <w:jc w:val="left"/>
                        <w:rPr>
                          <w:sz w:val="18"/>
                          <w:lang w:val="id-ID"/>
                        </w:rPr>
                      </w:pPr>
                      <w:r w:rsidRPr="008F2EE3">
                        <w:rPr>
                          <w:sz w:val="18"/>
                          <w:lang w:val="id-ID"/>
                        </w:rPr>
                        <w:t xml:space="preserve">ISSN </w:t>
                      </w:r>
                      <w:r w:rsidRPr="008F2EE3">
                        <w:rPr>
                          <w:sz w:val="18"/>
                        </w:rPr>
                        <w:t>2088</w:t>
                      </w:r>
                      <w:r w:rsidRPr="008F2EE3">
                        <w:rPr>
                          <w:sz w:val="18"/>
                          <w:lang w:val="id-ID"/>
                        </w:rPr>
                        <w:t>-</w:t>
                      </w:r>
                      <w:r w:rsidRPr="008F2EE3">
                        <w:rPr>
                          <w:sz w:val="18"/>
                        </w:rPr>
                        <w:t>5091</w:t>
                      </w:r>
                      <w:r w:rsidRPr="008F2EE3">
                        <w:rPr>
                          <w:sz w:val="18"/>
                          <w:lang w:val="id-ID"/>
                        </w:rPr>
                        <w:t xml:space="preserve"> </w:t>
                      </w:r>
                      <w:r>
                        <w:rPr>
                          <w:sz w:val="18"/>
                          <w:lang w:val="id-ID"/>
                        </w:rPr>
                        <w:t>(Print)</w:t>
                      </w:r>
                    </w:p>
                    <w:p w14:paraId="37988FA6" w14:textId="5536D1D4" w:rsidR="00083EDE" w:rsidRPr="008F2EE3" w:rsidRDefault="00083EDE" w:rsidP="00E72A35">
                      <w:pPr>
                        <w:spacing w:line="276" w:lineRule="auto"/>
                        <w:jc w:val="left"/>
                        <w:rPr>
                          <w:b/>
                          <w:sz w:val="18"/>
                        </w:rPr>
                      </w:pPr>
                      <w:r w:rsidRPr="008F2EE3">
                        <w:rPr>
                          <w:sz w:val="18"/>
                        </w:rPr>
                        <w:t xml:space="preserve">2597-6826 </w:t>
                      </w:r>
                      <w:r w:rsidRPr="008F2EE3">
                        <w:rPr>
                          <w:sz w:val="18"/>
                          <w:lang w:val="id-ID"/>
                        </w:rPr>
                        <w:t>(Online)</w:t>
                      </w:r>
                    </w:p>
                    <w:p w14:paraId="72CBA460" w14:textId="77777777" w:rsidR="00083EDE" w:rsidRDefault="00083EDE" w:rsidP="00E72A35">
                      <w:pPr>
                        <w:spacing w:line="276" w:lineRule="auto"/>
                        <w:jc w:val="left"/>
                        <w:rPr>
                          <w:sz w:val="20"/>
                        </w:rPr>
                      </w:pPr>
                    </w:p>
                    <w:p w14:paraId="270C9029" w14:textId="4FCB3856" w:rsidR="00083EDE" w:rsidRPr="008F2EE3" w:rsidRDefault="00083EDE" w:rsidP="00E72A35">
                      <w:pPr>
                        <w:spacing w:line="276" w:lineRule="auto"/>
                        <w:jc w:val="left"/>
                        <w:rPr>
                          <w:sz w:val="20"/>
                        </w:rPr>
                      </w:pPr>
                      <w:r>
                        <w:rPr>
                          <w:sz w:val="20"/>
                        </w:rPr>
                        <w:t>Keywords: Intellectual Capital; Firm Size; Profitability;</w:t>
                      </w:r>
                    </w:p>
                  </w:txbxContent>
                </v:textbox>
                <w10:wrap type="square"/>
              </v:shape>
            </w:pict>
          </mc:Fallback>
        </mc:AlternateContent>
      </w:r>
      <w:r w:rsidRPr="008F2EE3">
        <w:rPr>
          <w:noProof/>
          <w:sz w:val="22"/>
        </w:rPr>
        <mc:AlternateContent>
          <mc:Choice Requires="wps">
            <w:drawing>
              <wp:anchor distT="0" distB="0" distL="114300" distR="114300" simplePos="0" relativeHeight="251656704" behindDoc="0" locked="0" layoutInCell="1" allowOverlap="1" wp14:anchorId="3FF9ED24" wp14:editId="0CF03A1B">
                <wp:simplePos x="0" y="0"/>
                <wp:positionH relativeFrom="column">
                  <wp:posOffset>462915</wp:posOffset>
                </wp:positionH>
                <wp:positionV relativeFrom="paragraph">
                  <wp:posOffset>745490</wp:posOffset>
                </wp:positionV>
                <wp:extent cx="1429826" cy="0"/>
                <wp:effectExtent l="0" t="0" r="37465" b="19050"/>
                <wp:wrapNone/>
                <wp:docPr id="13" name="Straight Connector 13"/>
                <wp:cNvGraphicFramePr/>
                <a:graphic xmlns:a="http://schemas.openxmlformats.org/drawingml/2006/main">
                  <a:graphicData uri="http://schemas.microsoft.com/office/word/2010/wordprocessingShape">
                    <wps:wsp>
                      <wps:cNvCnPr/>
                      <wps:spPr>
                        <a:xfrm>
                          <a:off x="0" y="0"/>
                          <a:ext cx="142982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715E22" id="Straight Connector 1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45pt,58.7pt" to="149.05pt,5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" strokecolor="black [3213]" strokeweight=".5pt">
                <v:stroke joinstyle="miter"/>
              </v:line>
            </w:pict>
          </mc:Fallback>
        </mc:AlternateContent>
      </w:r>
      <w:r w:rsidR="008F2EE3" w:rsidRPr="008F2EE3">
        <w:rPr>
          <w:i/>
          <w:noProof/>
          <w:sz w:val="22"/>
        </w:rPr>
        <mc:AlternateContent>
          <mc:Choice Requires="wps">
            <w:drawing>
              <wp:anchor distT="45720" distB="45720" distL="114300" distR="114300" simplePos="0" relativeHeight="251655680" behindDoc="0" locked="0" layoutInCell="1" allowOverlap="1" wp14:anchorId="1A0CDEB0" wp14:editId="668DF050">
                <wp:simplePos x="0" y="0"/>
                <wp:positionH relativeFrom="column">
                  <wp:posOffset>389255</wp:posOffset>
                </wp:positionH>
                <wp:positionV relativeFrom="paragraph">
                  <wp:posOffset>59690</wp:posOffset>
                </wp:positionV>
                <wp:extent cx="1501775" cy="619125"/>
                <wp:effectExtent l="0" t="0" r="3175" b="952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1775" cy="619125"/>
                        </a:xfrm>
                        <a:prstGeom prst="rect">
                          <a:avLst/>
                        </a:prstGeom>
                        <a:solidFill>
                          <a:srgbClr val="FFFFFF"/>
                        </a:solidFill>
                        <a:ln w="9525">
                          <a:noFill/>
                          <a:miter lim="800000"/>
                          <a:headEnd/>
                          <a:tailEnd/>
                        </a:ln>
                      </wps:spPr>
                      <wps:txbx>
                        <w:txbxContent>
                          <w:p w14:paraId="100C22D9" w14:textId="77777777" w:rsidR="00083EDE" w:rsidRPr="008F2EE3" w:rsidRDefault="00083EDE" w:rsidP="00E72A35">
                            <w:pPr>
                              <w:spacing w:line="240" w:lineRule="auto"/>
                              <w:jc w:val="left"/>
                              <w:rPr>
                                <w:sz w:val="18"/>
                                <w:lang w:val="en-GB"/>
                              </w:rPr>
                            </w:pPr>
                            <w:r w:rsidRPr="008F2EE3">
                              <w:rPr>
                                <w:sz w:val="18"/>
                                <w:lang w:val="en-GB"/>
                              </w:rPr>
                              <w:t>History of Article</w:t>
                            </w:r>
                          </w:p>
                          <w:p w14:paraId="3CA186FE" w14:textId="1FCF9B8E" w:rsidR="00083EDE" w:rsidRPr="008F2EE3" w:rsidRDefault="00083EDE" w:rsidP="00E72A35">
                            <w:pPr>
                              <w:spacing w:line="240" w:lineRule="auto"/>
                              <w:jc w:val="left"/>
                              <w:rPr>
                                <w:sz w:val="18"/>
                                <w:lang w:val="en-GB"/>
                              </w:rPr>
                            </w:pPr>
                            <w:r w:rsidRPr="008F2EE3">
                              <w:rPr>
                                <w:sz w:val="18"/>
                                <w:lang w:val="en-GB"/>
                              </w:rPr>
                              <w:t xml:space="preserve">Received: </w:t>
                            </w:r>
                          </w:p>
                          <w:p w14:paraId="1BC4A5E7" w14:textId="074EE8AA" w:rsidR="00083EDE" w:rsidRPr="008F2EE3" w:rsidRDefault="00083EDE" w:rsidP="00E72A35">
                            <w:pPr>
                              <w:spacing w:line="240" w:lineRule="auto"/>
                              <w:jc w:val="left"/>
                              <w:rPr>
                                <w:sz w:val="18"/>
                                <w:lang w:val="en-GB"/>
                              </w:rPr>
                            </w:pPr>
                            <w:r w:rsidRPr="008F2EE3">
                              <w:rPr>
                                <w:sz w:val="18"/>
                                <w:lang w:val="en-GB"/>
                              </w:rPr>
                              <w:t xml:space="preserve">Revised: </w:t>
                            </w:r>
                          </w:p>
                          <w:p w14:paraId="621D4A69" w14:textId="73501AE7" w:rsidR="00083EDE" w:rsidRPr="008F2EE3" w:rsidRDefault="00083EDE" w:rsidP="00E72A35">
                            <w:pPr>
                              <w:spacing w:line="240" w:lineRule="auto"/>
                              <w:jc w:val="left"/>
                              <w:rPr>
                                <w:sz w:val="18"/>
                                <w:lang w:val="en-GB"/>
                              </w:rPr>
                            </w:pPr>
                            <w:r w:rsidRPr="008F2EE3">
                              <w:rPr>
                                <w:sz w:val="18"/>
                                <w:lang w:val="en-GB"/>
                              </w:rPr>
                              <w:t xml:space="preserve">Published: </w:t>
                            </w:r>
                          </w:p>
                          <w:p w14:paraId="18BC8087" w14:textId="77777777" w:rsidR="00083EDE" w:rsidRPr="008F2EE3" w:rsidRDefault="00083EDE" w:rsidP="00E72A35">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0CDEB0" id="_x0000_s1027" type="#_x0000_t202" style="position:absolute;left:0;text-align:left;margin-left:30.65pt;margin-top:4.7pt;width:118.25pt;height:48.75pt;z-index:251655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" stroked="f">
                <v:textbox>
                  <w:txbxContent>
                    <w:p w14:paraId="100C22D9" w14:textId="77777777" w:rsidR="00083EDE" w:rsidRPr="008F2EE3" w:rsidRDefault="00083EDE" w:rsidP="00E72A35">
                      <w:pPr>
                        <w:spacing w:line="240" w:lineRule="auto"/>
                        <w:jc w:val="left"/>
                        <w:rPr>
                          <w:sz w:val="18"/>
                          <w:lang w:val="en-GB"/>
                        </w:rPr>
                      </w:pPr>
                      <w:r w:rsidRPr="008F2EE3">
                        <w:rPr>
                          <w:sz w:val="18"/>
                          <w:lang w:val="en-GB"/>
                        </w:rPr>
                        <w:t>History of Article</w:t>
                      </w:r>
                    </w:p>
                    <w:p w14:paraId="3CA186FE" w14:textId="1FCF9B8E" w:rsidR="00083EDE" w:rsidRPr="008F2EE3" w:rsidRDefault="00083EDE" w:rsidP="00E72A35">
                      <w:pPr>
                        <w:spacing w:line="240" w:lineRule="auto"/>
                        <w:jc w:val="left"/>
                        <w:rPr>
                          <w:sz w:val="18"/>
                          <w:lang w:val="en-GB"/>
                        </w:rPr>
                      </w:pPr>
                      <w:r w:rsidRPr="008F2EE3">
                        <w:rPr>
                          <w:sz w:val="18"/>
                          <w:lang w:val="en-GB"/>
                        </w:rPr>
                        <w:t xml:space="preserve">Received: </w:t>
                      </w:r>
                    </w:p>
                    <w:p w14:paraId="1BC4A5E7" w14:textId="074EE8AA" w:rsidR="00083EDE" w:rsidRPr="008F2EE3" w:rsidRDefault="00083EDE" w:rsidP="00E72A35">
                      <w:pPr>
                        <w:spacing w:line="240" w:lineRule="auto"/>
                        <w:jc w:val="left"/>
                        <w:rPr>
                          <w:sz w:val="18"/>
                          <w:lang w:val="en-GB"/>
                        </w:rPr>
                      </w:pPr>
                      <w:r w:rsidRPr="008F2EE3">
                        <w:rPr>
                          <w:sz w:val="18"/>
                          <w:lang w:val="en-GB"/>
                        </w:rPr>
                        <w:t xml:space="preserve">Revised: </w:t>
                      </w:r>
                    </w:p>
                    <w:p w14:paraId="621D4A69" w14:textId="73501AE7" w:rsidR="00083EDE" w:rsidRPr="008F2EE3" w:rsidRDefault="00083EDE" w:rsidP="00E72A35">
                      <w:pPr>
                        <w:spacing w:line="240" w:lineRule="auto"/>
                        <w:jc w:val="left"/>
                        <w:rPr>
                          <w:sz w:val="18"/>
                          <w:lang w:val="en-GB"/>
                        </w:rPr>
                      </w:pPr>
                      <w:r w:rsidRPr="008F2EE3">
                        <w:rPr>
                          <w:sz w:val="18"/>
                          <w:lang w:val="en-GB"/>
                        </w:rPr>
                        <w:t xml:space="preserve">Published: </w:t>
                      </w:r>
                    </w:p>
                    <w:p w14:paraId="18BC8087" w14:textId="77777777" w:rsidR="00083EDE" w:rsidRPr="008F2EE3" w:rsidRDefault="00083EDE" w:rsidP="00E72A35">
                      <w:pPr>
                        <w:rPr>
                          <w:sz w:val="20"/>
                        </w:rPr>
                      </w:pPr>
                    </w:p>
                  </w:txbxContent>
                </v:textbox>
                <w10:wrap type="square"/>
              </v:shape>
            </w:pict>
          </mc:Fallback>
        </mc:AlternateContent>
      </w:r>
      <w:r w:rsidR="00B16B7F" w:rsidRPr="00B16B7F">
        <w:rPr>
          <w:sz w:val="22"/>
          <w:szCs w:val="24"/>
        </w:rPr>
        <w:t>This study aims to determine the influence of intellectual capital and firm size on profitability in property and real estate sub-sector companies listed on the Indonesia Stock Exchange.</w:t>
      </w:r>
      <w:r w:rsidRPr="00BD6C39">
        <w:rPr>
          <w:sz w:val="22"/>
          <w:szCs w:val="24"/>
        </w:rPr>
        <w:t xml:space="preserve"> study method used is a quantitative method with a descriptive analysis approach, verification.  The population of the study is the property and real estate sub-sector companies listed on the Indonesia Stock Exchange for the period 2010-2021 totaling 82 companies.  This study used purposive sampling with a total sample of 29 companies.  Statistical analysis used in this study multiple linear regression analysis, correlation coefficient, t test, f test and coefficient of determination.</w:t>
      </w:r>
      <w:r w:rsidR="00C12ECB">
        <w:rPr>
          <w:sz w:val="22"/>
          <w:szCs w:val="24"/>
        </w:rPr>
        <w:t xml:space="preserve"> </w:t>
      </w:r>
      <w:r w:rsidR="00B16B7F" w:rsidRPr="00B16B7F">
        <w:rPr>
          <w:sz w:val="22"/>
          <w:szCs w:val="24"/>
        </w:rPr>
        <w:t>The results showed that partially intellectual capital had an effect on profitability with an effect of 66.4%, while firm size had no effect on profitability.  and simultaneously, intellectual capital and firm size have an effect on profitabili</w:t>
      </w:r>
      <w:r w:rsidR="00B16B7F">
        <w:rPr>
          <w:sz w:val="22"/>
          <w:szCs w:val="24"/>
        </w:rPr>
        <w:t>ty with an effect of 67.1%</w:t>
      </w:r>
      <w:r w:rsidR="004C32A1">
        <w:rPr>
          <w:sz w:val="22"/>
          <w:szCs w:val="24"/>
        </w:rPr>
        <w:t>.</w:t>
      </w:r>
    </w:p>
    <w:p w14:paraId="5AD36BA2" w14:textId="77777777" w:rsidR="004C32A1" w:rsidRPr="004C32A1" w:rsidRDefault="004C32A1" w:rsidP="00962A4C">
      <w:pPr>
        <w:spacing w:line="240" w:lineRule="auto"/>
        <w:ind w:right="-142"/>
        <w:rPr>
          <w:sz w:val="22"/>
          <w:szCs w:val="24"/>
        </w:rPr>
        <w:sectPr w:rsidR="004C32A1" w:rsidRPr="004C32A1" w:rsidSect="005C2DF0">
          <w:type w:val="continuous"/>
          <w:pgSz w:w="11907" w:h="16839" w:code="9"/>
          <w:pgMar w:top="1843" w:right="1276" w:bottom="1276" w:left="992" w:header="1135" w:footer="720" w:gutter="284"/>
          <w:cols w:space="720"/>
          <w:titlePg/>
          <w:docGrid w:linePitch="360"/>
        </w:sectPr>
      </w:pPr>
    </w:p>
    <w:p w14:paraId="1A6290E7" w14:textId="14AE1C49" w:rsidR="00600151" w:rsidRPr="008F2EE3" w:rsidRDefault="00600151" w:rsidP="0013091B">
      <w:pPr>
        <w:ind w:right="-142"/>
        <w:rPr>
          <w:sz w:val="22"/>
        </w:rPr>
        <w:sectPr w:rsidR="00600151" w:rsidRPr="008F2EE3" w:rsidSect="005C2DF0">
          <w:type w:val="continuous"/>
          <w:pgSz w:w="11907" w:h="16839" w:code="9"/>
          <w:pgMar w:top="1843" w:right="1276" w:bottom="1276" w:left="992" w:header="1135" w:footer="720" w:gutter="284"/>
          <w:cols w:space="720"/>
          <w:titlePg/>
          <w:docGrid w:linePitch="360"/>
        </w:sectPr>
      </w:pPr>
    </w:p>
    <w:p w14:paraId="73D75415" w14:textId="77777777" w:rsidR="00C12ECB" w:rsidRDefault="009E42A2" w:rsidP="00962A4C">
      <w:pPr>
        <w:spacing w:line="240" w:lineRule="auto"/>
        <w:ind w:right="-142"/>
        <w:jc w:val="center"/>
        <w:rPr>
          <w:b/>
          <w:sz w:val="22"/>
        </w:rPr>
      </w:pPr>
      <w:r w:rsidRPr="008F2EE3">
        <w:rPr>
          <w:b/>
          <w:sz w:val="22"/>
        </w:rPr>
        <w:t>INTRODUCTION</w:t>
      </w:r>
    </w:p>
    <w:p w14:paraId="4FF84F9E" w14:textId="77777777" w:rsidR="00C12ECB" w:rsidRDefault="00C12ECB" w:rsidP="0013091B">
      <w:pPr>
        <w:spacing w:line="240" w:lineRule="auto"/>
        <w:ind w:right="-142"/>
        <w:rPr>
          <w:b/>
          <w:sz w:val="22"/>
        </w:rPr>
      </w:pPr>
    </w:p>
    <w:p w14:paraId="1B6E8C2C" w14:textId="13C8DDC0" w:rsidR="00A91F94" w:rsidRPr="006B6F4B" w:rsidRDefault="00962A4C" w:rsidP="00962A4C">
      <w:pPr>
        <w:spacing w:line="240" w:lineRule="auto"/>
        <w:ind w:right="141" w:firstLine="567"/>
        <w:rPr>
          <w:b/>
          <w:sz w:val="22"/>
        </w:rPr>
      </w:pPr>
      <w:r w:rsidRPr="006B6F4B">
        <w:rPr>
          <w:sz w:val="22"/>
          <w:lang w:val="en"/>
        </w:rPr>
        <w:t>Competition in the business world forces every company to be more competitive so that they are not unable to compete with other companies, one of the efforts made by the company is to improve its performance, especially the company's financial performance. Financial performance is an analysis that is carried out to see how far a company has implemented it by using the rules of financial implementation properly and correctly (Fahmi, 2012). The company's financial performance also illustrates the company's ability to provide benefits in relation to the use of assets, equity and debt.</w:t>
      </w:r>
      <w:r w:rsidRPr="006B6F4B">
        <w:rPr>
          <w:b/>
          <w:sz w:val="22"/>
          <w:lang w:val="en"/>
        </w:rPr>
        <w:t xml:space="preserve"> </w:t>
      </w:r>
      <w:r w:rsidRPr="006B6F4B">
        <w:rPr>
          <w:sz w:val="22"/>
          <w:lang w:val="en"/>
        </w:rPr>
        <w:t>The purpose of establishing a company is to gain profits and maintain the company's existence, by increasing all company activities and optimizing its resources so that the company achieves maximum profits (</w:t>
      </w:r>
      <w:proofErr w:type="spellStart"/>
      <w:r w:rsidRPr="006B6F4B">
        <w:rPr>
          <w:sz w:val="22"/>
          <w:lang w:val="en"/>
        </w:rPr>
        <w:t>Dwiyanthi</w:t>
      </w:r>
      <w:proofErr w:type="spellEnd"/>
      <w:r w:rsidRPr="006B6F4B">
        <w:rPr>
          <w:sz w:val="22"/>
          <w:lang w:val="en"/>
        </w:rPr>
        <w:t xml:space="preserve"> and </w:t>
      </w:r>
      <w:proofErr w:type="spellStart"/>
      <w:r w:rsidRPr="006B6F4B">
        <w:rPr>
          <w:sz w:val="22"/>
          <w:lang w:val="en"/>
        </w:rPr>
        <w:t>Sudiartha</w:t>
      </w:r>
      <w:proofErr w:type="spellEnd"/>
      <w:r w:rsidRPr="006B6F4B">
        <w:rPr>
          <w:sz w:val="22"/>
          <w:lang w:val="en"/>
        </w:rPr>
        <w:t xml:space="preserve">, 2017). Companies that have long-term goals generally always have an important </w:t>
      </w:r>
      <w:r w:rsidRPr="006B6F4B">
        <w:rPr>
          <w:sz w:val="22"/>
          <w:lang w:val="en"/>
        </w:rPr>
        <w:lastRenderedPageBreak/>
        <w:t>prerequisite called profitability (</w:t>
      </w:r>
      <w:proofErr w:type="spellStart"/>
      <w:r w:rsidRPr="006B6F4B">
        <w:rPr>
          <w:sz w:val="22"/>
          <w:lang w:val="en"/>
        </w:rPr>
        <w:t>Sukmayanti</w:t>
      </w:r>
      <w:proofErr w:type="spellEnd"/>
      <w:r w:rsidRPr="006B6F4B">
        <w:rPr>
          <w:sz w:val="22"/>
          <w:lang w:val="en"/>
        </w:rPr>
        <w:t xml:space="preserve"> and </w:t>
      </w:r>
      <w:proofErr w:type="spellStart"/>
      <w:r w:rsidRPr="006B6F4B">
        <w:rPr>
          <w:sz w:val="22"/>
          <w:lang w:val="en"/>
        </w:rPr>
        <w:t>Triaryati</w:t>
      </w:r>
      <w:proofErr w:type="spellEnd"/>
      <w:r w:rsidRPr="006B6F4B">
        <w:rPr>
          <w:sz w:val="22"/>
          <w:lang w:val="en"/>
        </w:rPr>
        <w:t>, 2019). Profitability greatly affects the sustainability of the company (going concern). The higher the profitability, the better the company's financial performance due to high company profits. High profitability also affects investors to invest in the company because the higher the company's profit, the higher the rate of return. Profitability is the ability of a company to earn profits in a certain period (</w:t>
      </w:r>
      <w:proofErr w:type="spellStart"/>
      <w:r w:rsidRPr="006B6F4B">
        <w:rPr>
          <w:sz w:val="22"/>
          <w:lang w:val="en"/>
        </w:rPr>
        <w:t>Kusna</w:t>
      </w:r>
      <w:proofErr w:type="spellEnd"/>
      <w:r w:rsidRPr="006B6F4B">
        <w:rPr>
          <w:sz w:val="22"/>
          <w:lang w:val="en"/>
        </w:rPr>
        <w:t xml:space="preserve"> and </w:t>
      </w:r>
      <w:proofErr w:type="spellStart"/>
      <w:r w:rsidRPr="006B6F4B">
        <w:rPr>
          <w:sz w:val="22"/>
          <w:lang w:val="en"/>
        </w:rPr>
        <w:t>Setijani</w:t>
      </w:r>
      <w:proofErr w:type="spellEnd"/>
      <w:r w:rsidRPr="006B6F4B">
        <w:rPr>
          <w:sz w:val="22"/>
          <w:lang w:val="en"/>
        </w:rPr>
        <w:t>, 2018). Profitability also describes the company's ability to obtain profits related to sales, use of assets, and capital (Rehman et al., 2015).</w:t>
      </w:r>
      <w:r w:rsidR="00A91F94" w:rsidRPr="006B6F4B">
        <w:rPr>
          <w:sz w:val="22"/>
        </w:rPr>
        <w:t xml:space="preserve"> </w:t>
      </w:r>
    </w:p>
    <w:p w14:paraId="42A80C60" w14:textId="78612C9C" w:rsidR="00962A4C" w:rsidRPr="006B6F4B" w:rsidRDefault="00962A4C" w:rsidP="0013091B">
      <w:pPr>
        <w:spacing w:line="240" w:lineRule="auto"/>
        <w:ind w:right="-142" w:firstLine="567"/>
        <w:rPr>
          <w:sz w:val="22"/>
        </w:rPr>
      </w:pPr>
      <w:r w:rsidRPr="006B6F4B">
        <w:rPr>
          <w:sz w:val="22"/>
          <w:lang w:val="en"/>
        </w:rPr>
        <w:t>The profitability ratio is a ratio that aims to determine a company's ability to generate profits over a certain period and also provides an overview of the level of management effectiveness in carrying out its operational activities (Sanjaya and Rizky, 2018). The profitability ratio is a ratio that describes a company's ability to generate profits through all its capabilities and resources, namely those derived from sales activities, use of assets, and use of capital (Hery, 2018: 192). The profitability ratio in this study is proxied by the return on assets (ROA). Return on assets is a ratio that shows how much the contribution of assets is in creating net profit, this ratio is used to measure how much net profit will be generated from each rupiah of funds embedded in total assets (Hery, 2018: 193). Companies in carrying out their activities often have problems that arise so that they have an impact on the company's performance in generating profits which will then also affect the company's financial performance</w:t>
      </w:r>
    </w:p>
    <w:p w14:paraId="47465C68" w14:textId="3548E393" w:rsidR="00962A4C" w:rsidRPr="006B6F4B" w:rsidRDefault="00962A4C" w:rsidP="00962A4C">
      <w:pPr>
        <w:spacing w:line="240" w:lineRule="auto"/>
        <w:ind w:right="-142" w:firstLine="567"/>
        <w:rPr>
          <w:sz w:val="22"/>
          <w:lang w:val="en"/>
        </w:rPr>
      </w:pPr>
      <w:r w:rsidRPr="006B6F4B">
        <w:rPr>
          <w:sz w:val="22"/>
          <w:lang w:val="en"/>
        </w:rPr>
        <w:t xml:space="preserve">General Chairperson of DPP Real Estate Indonesia (REI), </w:t>
      </w:r>
      <w:proofErr w:type="spellStart"/>
      <w:r w:rsidRPr="006B6F4B">
        <w:rPr>
          <w:sz w:val="22"/>
          <w:lang w:val="en"/>
        </w:rPr>
        <w:t>Totok</w:t>
      </w:r>
      <w:proofErr w:type="spellEnd"/>
      <w:r w:rsidRPr="006B6F4B">
        <w:rPr>
          <w:sz w:val="22"/>
          <w:lang w:val="en"/>
        </w:rPr>
        <w:t xml:space="preserve"> </w:t>
      </w:r>
      <w:proofErr w:type="spellStart"/>
      <w:r w:rsidRPr="006B6F4B">
        <w:rPr>
          <w:sz w:val="22"/>
          <w:lang w:val="en"/>
        </w:rPr>
        <w:t>Lusida</w:t>
      </w:r>
      <w:proofErr w:type="spellEnd"/>
      <w:r w:rsidRPr="006B6F4B">
        <w:rPr>
          <w:sz w:val="22"/>
          <w:lang w:val="en"/>
        </w:rPr>
        <w:t xml:space="preserve"> said the impact of the Covid-19 pandemic was felt in the property sector. Even the property sector's business income fell by 50 percent. Income can be said to have fallen by 50 percent when compared to normal, he said in a webinar entitled Synergy to Accelerate Recovery in the Housing Sector, on Wednesday, July 29 2020. He said, previously the housing sector was hampered due to uncertainty over trade wars, exacerbated by the pandemic. Automatically make this sector become sluggish. (</w:t>
      </w:r>
      <w:hyperlink r:id="rId20" w:history="1">
        <w:r w:rsidRPr="006B6F4B">
          <w:rPr>
            <w:rStyle w:val="Hyperlink"/>
            <w:sz w:val="22"/>
            <w:lang w:val="en"/>
          </w:rPr>
          <w:t>www.merdeka.com</w:t>
        </w:r>
      </w:hyperlink>
      <w:r w:rsidRPr="006B6F4B">
        <w:rPr>
          <w:sz w:val="22"/>
          <w:lang w:val="en"/>
        </w:rPr>
        <w:t>)</w:t>
      </w:r>
    </w:p>
    <w:p w14:paraId="7153DAB8" w14:textId="6A300AE6" w:rsidR="00962A4C" w:rsidRPr="006B6F4B" w:rsidRDefault="00962A4C" w:rsidP="00962A4C">
      <w:pPr>
        <w:spacing w:line="240" w:lineRule="auto"/>
        <w:ind w:right="-142" w:firstLine="567"/>
        <w:rPr>
          <w:sz w:val="22"/>
        </w:rPr>
      </w:pPr>
      <w:r w:rsidRPr="006B6F4B">
        <w:rPr>
          <w:sz w:val="22"/>
          <w:lang w:val="en"/>
        </w:rPr>
        <w:t xml:space="preserve">This is proof that the Covid pandemic has had a major impact on the property and real estate sector. This phenomenon was strengthened by the fact that 4 companies belonging to the property and real estate experienced a significant decline in profits over the past few years. Referring to the annual report PT PP </w:t>
      </w:r>
      <w:proofErr w:type="spellStart"/>
      <w:r w:rsidRPr="006B6F4B">
        <w:rPr>
          <w:sz w:val="22"/>
          <w:lang w:val="en"/>
        </w:rPr>
        <w:t>Properti</w:t>
      </w:r>
      <w:proofErr w:type="spellEnd"/>
      <w:r w:rsidRPr="006B6F4B">
        <w:rPr>
          <w:sz w:val="22"/>
          <w:lang w:val="en"/>
        </w:rPr>
        <w:t xml:space="preserve"> </w:t>
      </w:r>
      <w:proofErr w:type="spellStart"/>
      <w:r w:rsidRPr="006B6F4B">
        <w:rPr>
          <w:sz w:val="22"/>
          <w:lang w:val="en"/>
        </w:rPr>
        <w:t>Tbk</w:t>
      </w:r>
      <w:proofErr w:type="spellEnd"/>
      <w:r w:rsidRPr="006B6F4B">
        <w:rPr>
          <w:sz w:val="22"/>
          <w:lang w:val="en"/>
        </w:rPr>
        <w:t xml:space="preserve"> (PPRO), PT PP </w:t>
      </w:r>
      <w:proofErr w:type="spellStart"/>
      <w:r w:rsidRPr="006B6F4B">
        <w:rPr>
          <w:sz w:val="22"/>
          <w:lang w:val="en"/>
        </w:rPr>
        <w:t>Properti</w:t>
      </w:r>
      <w:proofErr w:type="spellEnd"/>
      <w:r w:rsidRPr="006B6F4B">
        <w:rPr>
          <w:sz w:val="22"/>
          <w:lang w:val="en"/>
        </w:rPr>
        <w:t xml:space="preserve"> </w:t>
      </w:r>
      <w:proofErr w:type="spellStart"/>
      <w:r w:rsidRPr="006B6F4B">
        <w:rPr>
          <w:sz w:val="22"/>
          <w:lang w:val="en"/>
        </w:rPr>
        <w:t>Tbk's</w:t>
      </w:r>
      <w:proofErr w:type="spellEnd"/>
      <w:r w:rsidRPr="006B6F4B">
        <w:rPr>
          <w:sz w:val="22"/>
          <w:lang w:val="en"/>
        </w:rPr>
        <w:t xml:space="preserve"> net profit has decreased significantly over the last 3 years. In 2018 net profit was recorded at Rp. 496.78 billion. A significant decrease in profit occurred from 2019 to 2021. Net profit for 2019 and 2020 was recorded at Rp. 247.27 billion and 106.37 billion. Then in 2021 PPRO's net profit will drop to Rp. 21.02 billion decreased by 80% compared to 2020 (</w:t>
      </w:r>
      <w:hyperlink r:id="rId21">
        <w:r w:rsidRPr="006B6F4B">
          <w:rPr>
            <w:rStyle w:val="Hyperlink"/>
            <w:sz w:val="22"/>
            <w:lang w:val="en"/>
          </w:rPr>
          <w:t>www.pp-properti.com</w:t>
        </w:r>
      </w:hyperlink>
      <w:r w:rsidRPr="006B6F4B">
        <w:rPr>
          <w:sz w:val="22"/>
          <w:lang w:val="en"/>
        </w:rPr>
        <w:t xml:space="preserve">). The financial performance of PT Jaya Real Property </w:t>
      </w:r>
      <w:proofErr w:type="spellStart"/>
      <w:r w:rsidRPr="006B6F4B">
        <w:rPr>
          <w:sz w:val="22"/>
          <w:lang w:val="en"/>
        </w:rPr>
        <w:t>Tbk</w:t>
      </w:r>
      <w:proofErr w:type="spellEnd"/>
      <w:r w:rsidRPr="006B6F4B">
        <w:rPr>
          <w:sz w:val="22"/>
          <w:lang w:val="en"/>
        </w:rPr>
        <w:t xml:space="preserve"> (JRPT) has also declined in the last 4 years. based on annual report, net profit in 2018 was recorded at Rp. 1.11 trillion, in 2018 to 2021 the financial performance of PT Jaya Real property </w:t>
      </w:r>
      <w:proofErr w:type="spellStart"/>
      <w:r w:rsidRPr="006B6F4B">
        <w:rPr>
          <w:sz w:val="22"/>
          <w:lang w:val="en"/>
        </w:rPr>
        <w:t>Tbk</w:t>
      </w:r>
      <w:proofErr w:type="spellEnd"/>
      <w:r w:rsidRPr="006B6F4B">
        <w:rPr>
          <w:sz w:val="22"/>
          <w:lang w:val="en"/>
        </w:rPr>
        <w:t xml:space="preserve"> continues to decline, to be more precise there has been a decrease in the company's net profit income. Net profit for 2018 and 2019 is Rp. 1.03 Trillion and Rp. 1.01 Trillion. Then the net profit for 2020 was recorded at Rp. 924.90 billion (down 17% from 2019) and in 2021 PT Jaya Real Property's net profit was recorded at Rp. 786.91 billion decreased by 15% compared to 2020 (</w:t>
      </w:r>
      <w:hyperlink r:id="rId22">
        <w:r w:rsidRPr="006B6F4B">
          <w:rPr>
            <w:rStyle w:val="Hyperlink"/>
            <w:sz w:val="22"/>
            <w:lang w:val="en"/>
          </w:rPr>
          <w:t>www.jayaproperty.com</w:t>
        </w:r>
      </w:hyperlink>
      <w:r w:rsidRPr="006B6F4B">
        <w:rPr>
          <w:sz w:val="22"/>
          <w:lang w:val="en"/>
        </w:rPr>
        <w:t>).</w:t>
      </w:r>
    </w:p>
    <w:p w14:paraId="4623684A" w14:textId="331CC690" w:rsidR="00962A4C" w:rsidRPr="006B6F4B" w:rsidRDefault="00962A4C" w:rsidP="00962A4C">
      <w:pPr>
        <w:spacing w:line="240" w:lineRule="auto"/>
        <w:ind w:right="-142" w:firstLine="567"/>
        <w:rPr>
          <w:sz w:val="22"/>
          <w:lang w:val="en"/>
        </w:rPr>
      </w:pPr>
      <w:r w:rsidRPr="006B6F4B">
        <w:rPr>
          <w:sz w:val="22"/>
          <w:lang w:val="en"/>
        </w:rPr>
        <w:t xml:space="preserve">This was also happened by PT </w:t>
      </w:r>
      <w:proofErr w:type="spellStart"/>
      <w:r w:rsidRPr="006B6F4B">
        <w:rPr>
          <w:sz w:val="22"/>
          <w:lang w:val="en"/>
        </w:rPr>
        <w:t>Summarecon</w:t>
      </w:r>
      <w:proofErr w:type="spellEnd"/>
      <w:r w:rsidRPr="006B6F4B">
        <w:rPr>
          <w:sz w:val="22"/>
          <w:lang w:val="en"/>
        </w:rPr>
        <w:t xml:space="preserve"> Agung </w:t>
      </w:r>
      <w:proofErr w:type="spellStart"/>
      <w:r w:rsidRPr="006B6F4B">
        <w:rPr>
          <w:sz w:val="22"/>
          <w:lang w:val="en"/>
        </w:rPr>
        <w:t>Tbk</w:t>
      </w:r>
      <w:proofErr w:type="spellEnd"/>
      <w:r w:rsidRPr="006B6F4B">
        <w:rPr>
          <w:sz w:val="22"/>
          <w:lang w:val="en"/>
        </w:rPr>
        <w:t xml:space="preserve"> (SMRA) in the last two years experiencing a significant decrease in net profit. Based on annual report of PT </w:t>
      </w:r>
      <w:proofErr w:type="spellStart"/>
      <w:r w:rsidRPr="006B6F4B">
        <w:rPr>
          <w:sz w:val="22"/>
          <w:lang w:val="en"/>
        </w:rPr>
        <w:t>Summarecon</w:t>
      </w:r>
      <w:proofErr w:type="spellEnd"/>
      <w:r w:rsidRPr="006B6F4B">
        <w:rPr>
          <w:sz w:val="22"/>
          <w:lang w:val="en"/>
        </w:rPr>
        <w:t xml:space="preserve"> Agung </w:t>
      </w:r>
      <w:proofErr w:type="spellStart"/>
      <w:r w:rsidRPr="006B6F4B">
        <w:rPr>
          <w:sz w:val="22"/>
          <w:lang w:val="en"/>
        </w:rPr>
        <w:t>Tbk</w:t>
      </w:r>
      <w:proofErr w:type="spellEnd"/>
      <w:r w:rsidRPr="006B6F4B">
        <w:rPr>
          <w:sz w:val="22"/>
          <w:lang w:val="en"/>
        </w:rPr>
        <w:t xml:space="preserve">. In 2018 SMRA's net profit was recorded at Rp. 691 billion. Then in 2019 PT </w:t>
      </w:r>
      <w:proofErr w:type="spellStart"/>
      <w:r w:rsidRPr="006B6F4B">
        <w:rPr>
          <w:sz w:val="22"/>
          <w:lang w:val="en"/>
        </w:rPr>
        <w:t>Summarecon</w:t>
      </w:r>
      <w:proofErr w:type="spellEnd"/>
      <w:r w:rsidRPr="006B6F4B">
        <w:rPr>
          <w:sz w:val="22"/>
          <w:lang w:val="en"/>
        </w:rPr>
        <w:t xml:space="preserve"> Agung </w:t>
      </w:r>
      <w:proofErr w:type="spellStart"/>
      <w:r w:rsidRPr="006B6F4B">
        <w:rPr>
          <w:sz w:val="22"/>
          <w:lang w:val="en"/>
        </w:rPr>
        <w:t>Tbk</w:t>
      </w:r>
      <w:proofErr w:type="spellEnd"/>
      <w:r w:rsidRPr="006B6F4B">
        <w:rPr>
          <w:sz w:val="22"/>
          <w:lang w:val="en"/>
        </w:rPr>
        <w:t xml:space="preserve"> posted a net profit for the year of Rp. 613 billion, down 11.2% from 2018. Compounded by the drop in net profit in 2020 due to the effects of the pandemic, the company only posted a net profit of Rp. 246 billion, down 60% from 2019. The decline in financial performance in 2020 as a whole was caused by the impact of the Covid-19 pandemic. Meanwhile, PT </w:t>
      </w:r>
      <w:proofErr w:type="spellStart"/>
      <w:r w:rsidRPr="006B6F4B">
        <w:rPr>
          <w:sz w:val="22"/>
          <w:lang w:val="en"/>
        </w:rPr>
        <w:t>Summarecon</w:t>
      </w:r>
      <w:proofErr w:type="spellEnd"/>
      <w:r w:rsidRPr="006B6F4B">
        <w:rPr>
          <w:sz w:val="22"/>
          <w:lang w:val="en"/>
        </w:rPr>
        <w:t xml:space="preserve"> Agung </w:t>
      </w:r>
      <w:proofErr w:type="spellStart"/>
      <w:r w:rsidRPr="006B6F4B">
        <w:rPr>
          <w:sz w:val="22"/>
          <w:lang w:val="en"/>
        </w:rPr>
        <w:t>Tbk's</w:t>
      </w:r>
      <w:proofErr w:type="spellEnd"/>
      <w:r w:rsidRPr="006B6F4B">
        <w:rPr>
          <w:sz w:val="22"/>
          <w:lang w:val="en"/>
        </w:rPr>
        <w:t xml:space="preserve"> financial performance in 2021 experienced an increase, net profit income in 2021 was recorded at Rp. 550 billion, an increase of 55% compared to the 2020 net profit which was recorded at Rp. 246 billion (</w:t>
      </w:r>
      <w:hyperlink r:id="rId23">
        <w:r w:rsidRPr="006B6F4B">
          <w:rPr>
            <w:rStyle w:val="Hyperlink"/>
            <w:sz w:val="22"/>
            <w:lang w:val="en"/>
          </w:rPr>
          <w:t>www.summarecon.com</w:t>
        </w:r>
      </w:hyperlink>
      <w:r w:rsidRPr="006B6F4B">
        <w:rPr>
          <w:sz w:val="22"/>
          <w:lang w:val="en"/>
        </w:rPr>
        <w:t xml:space="preserve">). PT Metropolitan </w:t>
      </w:r>
      <w:proofErr w:type="spellStart"/>
      <w:r w:rsidRPr="006B6F4B">
        <w:rPr>
          <w:sz w:val="22"/>
          <w:lang w:val="en"/>
        </w:rPr>
        <w:t>Kentjana</w:t>
      </w:r>
      <w:proofErr w:type="spellEnd"/>
      <w:r w:rsidRPr="006B6F4B">
        <w:rPr>
          <w:sz w:val="22"/>
          <w:lang w:val="en"/>
        </w:rPr>
        <w:t xml:space="preserve"> </w:t>
      </w:r>
      <w:proofErr w:type="spellStart"/>
      <w:r w:rsidRPr="006B6F4B">
        <w:rPr>
          <w:sz w:val="22"/>
          <w:lang w:val="en"/>
        </w:rPr>
        <w:t>Tbk</w:t>
      </w:r>
      <w:proofErr w:type="spellEnd"/>
      <w:r w:rsidRPr="006B6F4B">
        <w:rPr>
          <w:sz w:val="22"/>
          <w:lang w:val="en"/>
        </w:rPr>
        <w:t xml:space="preserve"> (MKPI) also experienced the same problem. The financial performance of PT Metropolitan </w:t>
      </w:r>
      <w:proofErr w:type="spellStart"/>
      <w:r w:rsidRPr="006B6F4B">
        <w:rPr>
          <w:sz w:val="22"/>
          <w:lang w:val="en"/>
        </w:rPr>
        <w:t>Kentjana</w:t>
      </w:r>
      <w:proofErr w:type="spellEnd"/>
      <w:r w:rsidRPr="006B6F4B">
        <w:rPr>
          <w:sz w:val="22"/>
          <w:lang w:val="en"/>
        </w:rPr>
        <w:t xml:space="preserve"> </w:t>
      </w:r>
      <w:proofErr w:type="spellStart"/>
      <w:r w:rsidRPr="006B6F4B">
        <w:rPr>
          <w:sz w:val="22"/>
          <w:lang w:val="en"/>
        </w:rPr>
        <w:t>Tbk</w:t>
      </w:r>
      <w:proofErr w:type="spellEnd"/>
      <w:r w:rsidRPr="006B6F4B">
        <w:rPr>
          <w:sz w:val="22"/>
          <w:lang w:val="en"/>
        </w:rPr>
        <w:t xml:space="preserve"> experienced a significant decrease in net profit for 4 years. In 2016 profit was recorded at Rp. 1.199 trillion then in 2017 the company experienced a slight decrease in profit, net profit was recorded at </w:t>
      </w:r>
      <w:r w:rsidRPr="006B6F4B">
        <w:rPr>
          <w:sz w:val="22"/>
          <w:lang w:val="en"/>
        </w:rPr>
        <w:lastRenderedPageBreak/>
        <w:t xml:space="preserve">Rp. 1.119 trillion and in 2018 net profit was recorded at IDR 1.01 trillion. In 2019 the financial performance of PT Metropolitan </w:t>
      </w:r>
      <w:proofErr w:type="spellStart"/>
      <w:r w:rsidRPr="006B6F4B">
        <w:rPr>
          <w:sz w:val="22"/>
          <w:lang w:val="en"/>
        </w:rPr>
        <w:t>Kentjana</w:t>
      </w:r>
      <w:proofErr w:type="spellEnd"/>
      <w:r w:rsidRPr="006B6F4B">
        <w:rPr>
          <w:sz w:val="22"/>
          <w:lang w:val="en"/>
        </w:rPr>
        <w:t xml:space="preserve"> experienced a significant decrease in net profit compared to the previous year, which was Rp. 614 billion, down 40% from 2018. Compounded by the condition of the 2020 financial performance, PT Metropolitan </w:t>
      </w:r>
      <w:proofErr w:type="spellStart"/>
      <w:r w:rsidRPr="006B6F4B">
        <w:rPr>
          <w:sz w:val="22"/>
          <w:lang w:val="en"/>
        </w:rPr>
        <w:t>Kentjana</w:t>
      </w:r>
      <w:proofErr w:type="spellEnd"/>
      <w:r w:rsidRPr="006B6F4B">
        <w:rPr>
          <w:sz w:val="22"/>
          <w:lang w:val="en"/>
        </w:rPr>
        <w:t xml:space="preserve"> </w:t>
      </w:r>
      <w:proofErr w:type="spellStart"/>
      <w:r w:rsidRPr="006B6F4B">
        <w:rPr>
          <w:sz w:val="22"/>
          <w:lang w:val="en"/>
        </w:rPr>
        <w:t>Tbk</w:t>
      </w:r>
      <w:proofErr w:type="spellEnd"/>
      <w:r w:rsidRPr="006B6F4B">
        <w:rPr>
          <w:sz w:val="22"/>
          <w:lang w:val="en"/>
        </w:rPr>
        <w:t xml:space="preserve"> again experienced a decline in net profit, net profit for 2020 was recorded at Rp. 231 billion, down 62% compared to 2019. However, in 2021 MKPI's financial performance has increased, namely an increase in profit income, net profit for 2021 was recorded at Rp. 324.67 billion, an increase of 44% from 2020. (</w:t>
      </w:r>
      <w:hyperlink r:id="rId24">
        <w:r w:rsidRPr="006B6F4B">
          <w:rPr>
            <w:rStyle w:val="Hyperlink"/>
            <w:sz w:val="22"/>
            <w:lang w:val="en"/>
          </w:rPr>
          <w:t>www.</w:t>
        </w:r>
      </w:hyperlink>
      <w:hyperlink r:id="rId25">
        <w:r w:rsidRPr="006B6F4B">
          <w:rPr>
            <w:rStyle w:val="Hyperlink"/>
            <w:sz w:val="22"/>
            <w:lang w:val="en"/>
          </w:rPr>
          <w:t>pondokindahgroup</w:t>
        </w:r>
      </w:hyperlink>
      <w:hyperlink r:id="rId26">
        <w:r w:rsidRPr="006B6F4B">
          <w:rPr>
            <w:rStyle w:val="Hyperlink"/>
            <w:sz w:val="22"/>
            <w:lang w:val="en"/>
          </w:rPr>
          <w:t>.co.id</w:t>
        </w:r>
      </w:hyperlink>
      <w:r w:rsidRPr="006B6F4B">
        <w:rPr>
          <w:sz w:val="22"/>
          <w:lang w:val="en"/>
        </w:rPr>
        <w:t>).</w:t>
      </w:r>
    </w:p>
    <w:p w14:paraId="6BEC2F17" w14:textId="0EA47192" w:rsidR="00452470" w:rsidRPr="006B6F4B" w:rsidRDefault="00A23DA4" w:rsidP="0013091B">
      <w:pPr>
        <w:spacing w:line="240" w:lineRule="auto"/>
        <w:ind w:right="-142" w:firstLine="567"/>
        <w:rPr>
          <w:sz w:val="22"/>
        </w:rPr>
      </w:pPr>
      <w:r w:rsidRPr="006B6F4B">
        <w:rPr>
          <w:noProof/>
          <w:sz w:val="18"/>
          <w:szCs w:val="18"/>
        </w:rPr>
        <w:drawing>
          <wp:anchor distT="0" distB="0" distL="114300" distR="114300" simplePos="0" relativeHeight="251678208" behindDoc="1" locked="0" layoutInCell="1" allowOverlap="1" wp14:anchorId="67C08A01" wp14:editId="199638E1">
            <wp:simplePos x="0" y="0"/>
            <wp:positionH relativeFrom="column">
              <wp:posOffset>359051</wp:posOffset>
            </wp:positionH>
            <wp:positionV relativeFrom="paragraph">
              <wp:posOffset>96078</wp:posOffset>
            </wp:positionV>
            <wp:extent cx="4572000" cy="2576030"/>
            <wp:effectExtent l="0" t="0" r="0" b="15240"/>
            <wp:wrapNone/>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14:sizeRelV relativeFrom="margin">
              <wp14:pctHeight>0</wp14:pctHeight>
            </wp14:sizeRelV>
          </wp:anchor>
        </w:drawing>
      </w:r>
    </w:p>
    <w:p w14:paraId="26E49353" w14:textId="77777777" w:rsidR="00FA6DB7" w:rsidRPr="006B6F4B" w:rsidRDefault="00E520F1" w:rsidP="0013091B">
      <w:pPr>
        <w:spacing w:line="240" w:lineRule="auto"/>
        <w:ind w:right="-142"/>
        <w:rPr>
          <w:sz w:val="22"/>
        </w:rPr>
      </w:pPr>
      <w:r w:rsidRPr="006B6F4B">
        <w:rPr>
          <w:sz w:val="22"/>
        </w:rPr>
        <w:tab/>
      </w:r>
    </w:p>
    <w:p w14:paraId="01DCF86B" w14:textId="77777777" w:rsidR="00FA6DB7" w:rsidRPr="006B6F4B" w:rsidRDefault="00FA6DB7" w:rsidP="0013091B">
      <w:pPr>
        <w:spacing w:line="240" w:lineRule="auto"/>
        <w:ind w:right="-142"/>
        <w:rPr>
          <w:sz w:val="22"/>
        </w:rPr>
      </w:pPr>
    </w:p>
    <w:p w14:paraId="37C01AC1" w14:textId="77777777" w:rsidR="00FA6DB7" w:rsidRPr="006B6F4B" w:rsidRDefault="00FA6DB7" w:rsidP="0013091B">
      <w:pPr>
        <w:spacing w:line="240" w:lineRule="auto"/>
        <w:ind w:right="-142"/>
        <w:rPr>
          <w:sz w:val="22"/>
        </w:rPr>
      </w:pPr>
    </w:p>
    <w:p w14:paraId="4F88178C" w14:textId="77777777" w:rsidR="00FA6DB7" w:rsidRPr="006B6F4B" w:rsidRDefault="00FA6DB7" w:rsidP="0013091B">
      <w:pPr>
        <w:spacing w:line="240" w:lineRule="auto"/>
        <w:ind w:right="-142"/>
        <w:rPr>
          <w:sz w:val="22"/>
        </w:rPr>
      </w:pPr>
    </w:p>
    <w:p w14:paraId="568C2CA8" w14:textId="77777777" w:rsidR="00FA6DB7" w:rsidRPr="006B6F4B" w:rsidRDefault="00FA6DB7" w:rsidP="0013091B">
      <w:pPr>
        <w:spacing w:line="240" w:lineRule="auto"/>
        <w:ind w:right="-142"/>
        <w:rPr>
          <w:sz w:val="22"/>
        </w:rPr>
      </w:pPr>
    </w:p>
    <w:p w14:paraId="42EA3261" w14:textId="77777777" w:rsidR="00FA6DB7" w:rsidRPr="006B6F4B" w:rsidRDefault="00FA6DB7" w:rsidP="0013091B">
      <w:pPr>
        <w:spacing w:line="240" w:lineRule="auto"/>
        <w:ind w:right="-142"/>
        <w:rPr>
          <w:sz w:val="22"/>
        </w:rPr>
      </w:pPr>
    </w:p>
    <w:p w14:paraId="29FD385B" w14:textId="77777777" w:rsidR="00FA6DB7" w:rsidRPr="006B6F4B" w:rsidRDefault="00FA6DB7" w:rsidP="0013091B">
      <w:pPr>
        <w:spacing w:line="240" w:lineRule="auto"/>
        <w:ind w:right="-142"/>
        <w:rPr>
          <w:sz w:val="22"/>
        </w:rPr>
      </w:pPr>
    </w:p>
    <w:p w14:paraId="0171269F" w14:textId="77777777" w:rsidR="00FA6DB7" w:rsidRPr="006B6F4B" w:rsidRDefault="00FA6DB7" w:rsidP="0013091B">
      <w:pPr>
        <w:spacing w:line="240" w:lineRule="auto"/>
        <w:ind w:right="-142"/>
        <w:rPr>
          <w:sz w:val="22"/>
        </w:rPr>
      </w:pPr>
    </w:p>
    <w:p w14:paraId="09468F39" w14:textId="77777777" w:rsidR="00FA6DB7" w:rsidRPr="006B6F4B" w:rsidRDefault="00FA6DB7" w:rsidP="0013091B">
      <w:pPr>
        <w:spacing w:line="240" w:lineRule="auto"/>
        <w:ind w:right="-142"/>
        <w:rPr>
          <w:sz w:val="22"/>
        </w:rPr>
      </w:pPr>
    </w:p>
    <w:p w14:paraId="7A32FD6B" w14:textId="77777777" w:rsidR="00FA6DB7" w:rsidRPr="006B6F4B" w:rsidRDefault="00FA6DB7" w:rsidP="0013091B">
      <w:pPr>
        <w:spacing w:line="240" w:lineRule="auto"/>
        <w:ind w:right="-142"/>
        <w:rPr>
          <w:sz w:val="22"/>
        </w:rPr>
      </w:pPr>
    </w:p>
    <w:p w14:paraId="622B59E3" w14:textId="77777777" w:rsidR="00FA6DB7" w:rsidRPr="006B6F4B" w:rsidRDefault="00FA6DB7" w:rsidP="0013091B">
      <w:pPr>
        <w:spacing w:line="240" w:lineRule="auto"/>
        <w:ind w:right="-142"/>
        <w:rPr>
          <w:sz w:val="22"/>
        </w:rPr>
      </w:pPr>
    </w:p>
    <w:p w14:paraId="39750F47" w14:textId="77777777" w:rsidR="00FA6DB7" w:rsidRPr="006B6F4B" w:rsidRDefault="00FA6DB7" w:rsidP="0013091B">
      <w:pPr>
        <w:spacing w:line="240" w:lineRule="auto"/>
        <w:ind w:right="-142"/>
        <w:rPr>
          <w:sz w:val="22"/>
        </w:rPr>
      </w:pPr>
    </w:p>
    <w:p w14:paraId="0EE3394F" w14:textId="77777777" w:rsidR="00FA6DB7" w:rsidRPr="006B6F4B" w:rsidRDefault="00FA6DB7" w:rsidP="0013091B">
      <w:pPr>
        <w:spacing w:line="240" w:lineRule="auto"/>
        <w:ind w:right="-142"/>
        <w:rPr>
          <w:sz w:val="22"/>
        </w:rPr>
      </w:pPr>
    </w:p>
    <w:p w14:paraId="658143E5" w14:textId="77777777" w:rsidR="00FA6DB7" w:rsidRPr="006B6F4B" w:rsidRDefault="00FA6DB7" w:rsidP="0013091B">
      <w:pPr>
        <w:spacing w:line="240" w:lineRule="auto"/>
        <w:ind w:right="-142"/>
        <w:rPr>
          <w:sz w:val="22"/>
        </w:rPr>
      </w:pPr>
    </w:p>
    <w:p w14:paraId="364AE359" w14:textId="77777777" w:rsidR="00FA6DB7" w:rsidRPr="006B6F4B" w:rsidRDefault="00FA6DB7" w:rsidP="0013091B">
      <w:pPr>
        <w:spacing w:line="240" w:lineRule="auto"/>
        <w:ind w:right="-142"/>
        <w:rPr>
          <w:sz w:val="22"/>
        </w:rPr>
      </w:pPr>
    </w:p>
    <w:p w14:paraId="3AA3D93E" w14:textId="77777777" w:rsidR="00FA6DB7" w:rsidRPr="006B6F4B" w:rsidRDefault="00FA6DB7" w:rsidP="0013091B">
      <w:pPr>
        <w:spacing w:line="240" w:lineRule="auto"/>
        <w:ind w:right="-142"/>
        <w:rPr>
          <w:sz w:val="22"/>
        </w:rPr>
      </w:pPr>
    </w:p>
    <w:p w14:paraId="206FA268" w14:textId="724A4C00" w:rsidR="00FA6DB7" w:rsidRPr="006B6F4B" w:rsidRDefault="00550D48" w:rsidP="00550D48">
      <w:pPr>
        <w:spacing w:line="240" w:lineRule="auto"/>
        <w:ind w:left="567" w:right="567"/>
        <w:jc w:val="center"/>
        <w:rPr>
          <w:sz w:val="22"/>
        </w:rPr>
      </w:pPr>
      <w:r>
        <w:rPr>
          <w:sz w:val="22"/>
        </w:rPr>
        <w:t>Figure</w:t>
      </w:r>
      <w:r w:rsidR="00FA6DB7" w:rsidRPr="006B6F4B">
        <w:rPr>
          <w:sz w:val="22"/>
        </w:rPr>
        <w:t xml:space="preserve"> 1. </w:t>
      </w:r>
      <w:r w:rsidRPr="00550D48">
        <w:rPr>
          <w:sz w:val="22"/>
        </w:rPr>
        <w:t>Decrease in Net Profit of Property and Real Estate Companies Listed on the Indonesia Stock Exchange</w:t>
      </w:r>
    </w:p>
    <w:p w14:paraId="2367CD35" w14:textId="77777777" w:rsidR="00962A4C" w:rsidRPr="006B6F4B" w:rsidRDefault="00962A4C" w:rsidP="00962A4C">
      <w:pPr>
        <w:spacing w:line="240" w:lineRule="auto"/>
        <w:ind w:right="-142" w:firstLine="720"/>
        <w:rPr>
          <w:sz w:val="22"/>
          <w:lang w:val="en"/>
        </w:rPr>
      </w:pPr>
      <w:r w:rsidRPr="006B6F4B">
        <w:rPr>
          <w:sz w:val="22"/>
          <w:lang w:val="en"/>
        </w:rPr>
        <w:t>Based on the problems above, the performance of companies in the property and real estate in generating profits is considered not optimal. Disclosure of intangible asset information is also non-financial, business actors realize that a company's competitive ability lies not only in the ownership of tangible assets but lies more in innovation, information systems, organizational management and organizational resources it owns (</w:t>
      </w:r>
      <w:proofErr w:type="spellStart"/>
      <w:r w:rsidRPr="006B6F4B">
        <w:rPr>
          <w:sz w:val="22"/>
          <w:lang w:val="en"/>
        </w:rPr>
        <w:t>Widarjo</w:t>
      </w:r>
      <w:proofErr w:type="spellEnd"/>
      <w:r w:rsidRPr="006B6F4B">
        <w:rPr>
          <w:sz w:val="22"/>
          <w:lang w:val="en"/>
        </w:rPr>
        <w:t xml:space="preserve">, 2011). </w:t>
      </w:r>
      <w:proofErr w:type="gramStart"/>
      <w:r w:rsidRPr="006B6F4B">
        <w:rPr>
          <w:sz w:val="22"/>
          <w:lang w:val="en"/>
        </w:rPr>
        <w:t>Therefore</w:t>
      </w:r>
      <w:proofErr w:type="gramEnd"/>
      <w:r w:rsidRPr="006B6F4B">
        <w:rPr>
          <w:sz w:val="22"/>
          <w:lang w:val="en"/>
        </w:rPr>
        <w:t xml:space="preserve"> companies prioritize knowledge assets (knowledge assets) as a form of intangible assets. One approach that can be used to measure and assess knowledge assets is intellectual capital. (</w:t>
      </w:r>
      <w:proofErr w:type="spellStart"/>
      <w:r w:rsidRPr="006B6F4B">
        <w:rPr>
          <w:sz w:val="22"/>
          <w:lang w:val="en"/>
        </w:rPr>
        <w:t>Herlina</w:t>
      </w:r>
      <w:proofErr w:type="spellEnd"/>
      <w:r w:rsidRPr="006B6F4B">
        <w:rPr>
          <w:sz w:val="22"/>
          <w:lang w:val="en"/>
        </w:rPr>
        <w:t xml:space="preserve"> and </w:t>
      </w:r>
      <w:proofErr w:type="spellStart"/>
      <w:r w:rsidRPr="006B6F4B">
        <w:rPr>
          <w:sz w:val="22"/>
          <w:lang w:val="en"/>
        </w:rPr>
        <w:t>Liska</w:t>
      </w:r>
      <w:proofErr w:type="spellEnd"/>
      <w:r w:rsidRPr="006B6F4B">
        <w:rPr>
          <w:sz w:val="22"/>
          <w:lang w:val="en"/>
        </w:rPr>
        <w:t xml:space="preserve"> 2020). </w:t>
      </w:r>
    </w:p>
    <w:p w14:paraId="60382C0A" w14:textId="77777777" w:rsidR="00962A4C" w:rsidRPr="006B6F4B" w:rsidRDefault="00962A4C" w:rsidP="00962A4C">
      <w:pPr>
        <w:spacing w:line="240" w:lineRule="auto"/>
        <w:ind w:right="-142" w:firstLine="720"/>
        <w:rPr>
          <w:sz w:val="22"/>
        </w:rPr>
      </w:pPr>
      <w:r w:rsidRPr="006B6F4B">
        <w:rPr>
          <w:sz w:val="22"/>
        </w:rPr>
        <w:tab/>
      </w:r>
      <w:r w:rsidRPr="006B6F4B">
        <w:rPr>
          <w:sz w:val="22"/>
          <w:lang w:val="en"/>
        </w:rPr>
        <w:t xml:space="preserve">Intellectual Capital (IC) is one approach to valuing intangible assets. In Indonesia, the phenomenon of intellectual capital is reflected in PSAK No. 19 (Revised 2012) regarding intangible assets. In PSAK No. 19 Intangible assets are defined as meter without physical form (Indonesian Institute of Accountants, 2012). Some examples of intangible assets in PSAK 19 are science and technology, design and implementation of new systems or processes, licenses, intellectual property rights, knowledge about intellectual capital, but this proves that intellectual capital starting to get attention (Indonesian Institute of Accountants, 2012 ).increasing recognition of intellectual capital (IC) in driving corporate value and competitive advantage, the exact measurement of a company's intellectual capital (IC) has yet to be established. </w:t>
      </w:r>
      <w:proofErr w:type="spellStart"/>
      <w:r w:rsidRPr="006B6F4B">
        <w:rPr>
          <w:sz w:val="22"/>
          <w:lang w:val="en"/>
        </w:rPr>
        <w:t>Pulic</w:t>
      </w:r>
      <w:proofErr w:type="spellEnd"/>
      <w:r w:rsidRPr="006B6F4B">
        <w:rPr>
          <w:sz w:val="22"/>
          <w:lang w:val="en"/>
        </w:rPr>
        <w:t xml:space="preserve"> in </w:t>
      </w:r>
      <w:proofErr w:type="spellStart"/>
      <w:r w:rsidRPr="006B6F4B">
        <w:rPr>
          <w:sz w:val="22"/>
          <w:lang w:val="en"/>
        </w:rPr>
        <w:t>Ulum</w:t>
      </w:r>
      <w:proofErr w:type="spellEnd"/>
      <w:r w:rsidRPr="006B6F4B">
        <w:rPr>
          <w:sz w:val="22"/>
          <w:lang w:val="en"/>
        </w:rPr>
        <w:t xml:space="preserve"> (2017: 119) developed an indirect measurement tool for intangible assets in the form of intellectual capital using the Value Added Intellectual Coefficient (VAIC</w:t>
      </w:r>
      <w:r w:rsidRPr="006B6F4B">
        <w:rPr>
          <w:sz w:val="22"/>
          <w:vertAlign w:val="superscript"/>
          <w:lang w:val="en"/>
        </w:rPr>
        <w:t>TM</w:t>
      </w:r>
      <w:r w:rsidRPr="006B6F4B">
        <w:rPr>
          <w:sz w:val="22"/>
          <w:lang w:val="en"/>
        </w:rPr>
        <w:t xml:space="preserve">)method. The main components of VAIC can be seen from the company's resources, namely physical capital (Value Added Capital Employed - VACE), human capital (Value Added Human Capital - VAHC) and structural capital (Structural Capital Value Added - SCVA). Measurements in this method are designed to provide information about the efficiency </w:t>
      </w:r>
      <w:proofErr w:type="spellStart"/>
      <w:r w:rsidRPr="006B6F4B">
        <w:rPr>
          <w:sz w:val="22"/>
          <w:lang w:val="en"/>
        </w:rPr>
        <w:t>ofvalue</w:t>
      </w:r>
      <w:proofErr w:type="spellEnd"/>
      <w:r w:rsidRPr="006B6F4B">
        <w:rPr>
          <w:sz w:val="22"/>
          <w:lang w:val="en"/>
        </w:rPr>
        <w:t xml:space="preserve"> </w:t>
      </w:r>
      <w:proofErr w:type="spellStart"/>
      <w:r w:rsidRPr="006B6F4B">
        <w:rPr>
          <w:sz w:val="22"/>
          <w:lang w:val="en"/>
        </w:rPr>
        <w:t>creationfrom</w:t>
      </w:r>
      <w:proofErr w:type="spellEnd"/>
      <w:r w:rsidRPr="006B6F4B">
        <w:rPr>
          <w:sz w:val="22"/>
          <w:lang w:val="en"/>
        </w:rPr>
        <w:t xml:space="preserve"> tangible assets and intangible assets owned by the company. The efficient use of a combination of tangible assets and intangible assets is expected to improve the company's financial performance, especially in generating profits</w:t>
      </w:r>
      <w:r w:rsidRPr="006B6F4B">
        <w:rPr>
          <w:sz w:val="22"/>
        </w:rPr>
        <w:tab/>
      </w:r>
    </w:p>
    <w:p w14:paraId="2C25AAC6" w14:textId="0579C6EA" w:rsidR="00CC319C" w:rsidRPr="006B6F4B" w:rsidRDefault="00962A4C" w:rsidP="00962A4C">
      <w:pPr>
        <w:spacing w:line="240" w:lineRule="auto"/>
        <w:ind w:right="-142" w:firstLine="720"/>
        <w:rPr>
          <w:sz w:val="22"/>
        </w:rPr>
      </w:pPr>
      <w:r w:rsidRPr="006B6F4B">
        <w:rPr>
          <w:sz w:val="22"/>
          <w:lang w:val="en"/>
        </w:rPr>
        <w:t xml:space="preserve">Firm size is an important factor in determining financial performance (Azzahra and Nasib, 2019). The larger the size of the company, the more interested investors will be in investing in the </w:t>
      </w:r>
      <w:r w:rsidRPr="006B6F4B">
        <w:rPr>
          <w:sz w:val="22"/>
          <w:lang w:val="en"/>
        </w:rPr>
        <w:lastRenderedPageBreak/>
        <w:t xml:space="preserve">company so that it will have an impact on financial performance which will then affect the company's ability to generate profits using all available resources. Firm size is a scale where the size of the company can be classified as measured by total assets, number of sales, share value and so on (Putu Ayu and </w:t>
      </w:r>
      <w:proofErr w:type="spellStart"/>
      <w:r w:rsidRPr="006B6F4B">
        <w:rPr>
          <w:sz w:val="22"/>
          <w:lang w:val="en"/>
        </w:rPr>
        <w:t>Gerianta</w:t>
      </w:r>
      <w:proofErr w:type="spellEnd"/>
      <w:r w:rsidRPr="006B6F4B">
        <w:rPr>
          <w:sz w:val="22"/>
          <w:lang w:val="en"/>
        </w:rPr>
        <w:t>, 2018). Firm size is also a reflection of the total assets owned by a company (Risma and Regi, 2017). The size of the company can be classified in various ways, including total asset value, total sales, market capitalization, number of employees and so on (</w:t>
      </w:r>
      <w:proofErr w:type="spellStart"/>
      <w:r w:rsidRPr="006B6F4B">
        <w:rPr>
          <w:sz w:val="22"/>
          <w:lang w:val="en"/>
        </w:rPr>
        <w:t>Mochtar</w:t>
      </w:r>
      <w:proofErr w:type="spellEnd"/>
      <w:r w:rsidRPr="006B6F4B">
        <w:rPr>
          <w:sz w:val="22"/>
          <w:lang w:val="en"/>
        </w:rPr>
        <w:t xml:space="preserve"> and </w:t>
      </w:r>
      <w:proofErr w:type="spellStart"/>
      <w:r w:rsidRPr="006B6F4B">
        <w:rPr>
          <w:sz w:val="22"/>
          <w:lang w:val="en"/>
        </w:rPr>
        <w:t>Tiani</w:t>
      </w:r>
      <w:proofErr w:type="spellEnd"/>
      <w:r w:rsidRPr="006B6F4B">
        <w:rPr>
          <w:sz w:val="22"/>
          <w:lang w:val="en"/>
        </w:rPr>
        <w:t xml:space="preserve"> 2022). Firm size in the property and real estate fluctuated in 2013-2017, while fluctuations in Firm size tended to decrease (</w:t>
      </w:r>
      <w:proofErr w:type="spellStart"/>
      <w:r w:rsidRPr="006B6F4B">
        <w:rPr>
          <w:sz w:val="22"/>
          <w:lang w:val="en"/>
        </w:rPr>
        <w:t>Mesrawati</w:t>
      </w:r>
      <w:proofErr w:type="spellEnd"/>
      <w:r w:rsidRPr="006B6F4B">
        <w:rPr>
          <w:sz w:val="22"/>
          <w:lang w:val="en"/>
        </w:rPr>
        <w:t xml:space="preserve">, </w:t>
      </w:r>
      <w:proofErr w:type="spellStart"/>
      <w:r w:rsidRPr="006B6F4B">
        <w:rPr>
          <w:sz w:val="22"/>
          <w:lang w:val="en"/>
        </w:rPr>
        <w:t>Sihombing</w:t>
      </w:r>
      <w:proofErr w:type="spellEnd"/>
      <w:r w:rsidRPr="006B6F4B">
        <w:rPr>
          <w:sz w:val="22"/>
          <w:lang w:val="en"/>
        </w:rPr>
        <w:t xml:space="preserve"> &amp; </w:t>
      </w:r>
      <w:proofErr w:type="spellStart"/>
      <w:r w:rsidRPr="006B6F4B">
        <w:rPr>
          <w:sz w:val="22"/>
          <w:lang w:val="en"/>
        </w:rPr>
        <w:t>Samjaya</w:t>
      </w:r>
      <w:proofErr w:type="spellEnd"/>
      <w:r w:rsidRPr="006B6F4B">
        <w:rPr>
          <w:sz w:val="22"/>
          <w:lang w:val="en"/>
        </w:rPr>
        <w:t>, 2019). The size of the company has increased or decreased in line with the total sales and total assets owned by the company. Generally, if total sales and total assets increase, it is expected that company profits will also increase and vice versa if total sales and total assets decrease, company profits will also decrease. Companies with high profits can strengthen the relationship between the size of the company and the level of profit earned, where if the company experiences profit growth, it is expected that the total assets owned by the company will also increase. This study predicts that intellectual capital and firm size affect profitability, this prediction refers to the results of research by</w:t>
      </w:r>
      <w:r w:rsidR="00032D04">
        <w:rPr>
          <w:sz w:val="22"/>
          <w:lang w:val="en"/>
        </w:rPr>
        <w:t xml:space="preserve"> </w:t>
      </w:r>
      <w:r w:rsidRPr="006B6F4B">
        <w:rPr>
          <w:sz w:val="22"/>
          <w:lang w:val="en"/>
        </w:rPr>
        <w:t>Carolin</w:t>
      </w:r>
      <w:r w:rsidR="00032D04">
        <w:rPr>
          <w:sz w:val="22"/>
          <w:lang w:val="en"/>
        </w:rPr>
        <w:t>e</w:t>
      </w:r>
      <w:r w:rsidRPr="006B6F4B">
        <w:rPr>
          <w:sz w:val="22"/>
          <w:lang w:val="en"/>
        </w:rPr>
        <w:t xml:space="preserve"> </w:t>
      </w:r>
      <w:r w:rsidR="00032D04">
        <w:rPr>
          <w:sz w:val="22"/>
          <w:lang w:val="en"/>
        </w:rPr>
        <w:t>&amp;</w:t>
      </w:r>
      <w:r w:rsidRPr="006B6F4B">
        <w:rPr>
          <w:sz w:val="22"/>
          <w:lang w:val="en"/>
        </w:rPr>
        <w:t xml:space="preserve"> Haryanto (2015) which states that intellectual capital has a significant positive effect on profitability. In addition, this research also refers to the results of Megawati and </w:t>
      </w:r>
      <w:proofErr w:type="spellStart"/>
      <w:r w:rsidRPr="006B6F4B">
        <w:rPr>
          <w:sz w:val="22"/>
          <w:lang w:val="en"/>
        </w:rPr>
        <w:t>Sendana's</w:t>
      </w:r>
      <w:proofErr w:type="spellEnd"/>
      <w:r w:rsidRPr="006B6F4B">
        <w:rPr>
          <w:sz w:val="22"/>
          <w:lang w:val="en"/>
        </w:rPr>
        <w:t xml:space="preserve"> research (2019) which states that Firm size has an effect on profitability. In this study, the variables of intellectual capital and Firm size are the dependent variables, while profitability is the independent </w:t>
      </w:r>
      <w:proofErr w:type="spellStart"/>
      <w:proofErr w:type="gramStart"/>
      <w:r w:rsidRPr="006B6F4B">
        <w:rPr>
          <w:sz w:val="22"/>
          <w:lang w:val="en"/>
        </w:rPr>
        <w:t>variable.variable</w:t>
      </w:r>
      <w:proofErr w:type="spellEnd"/>
      <w:proofErr w:type="gramEnd"/>
      <w:r w:rsidRPr="006B6F4B">
        <w:rPr>
          <w:sz w:val="22"/>
          <w:lang w:val="en"/>
        </w:rPr>
        <w:t xml:space="preserve"> intellectual capital proxied by the modified value added intellectual coefficient (MVAIC) while the Firm size variable is proxied by the natural logarithm of total assets and profitability is measured using return on assets (ROA). Based on the description that has been disclosed, the formulation of the problem in this study is whether intellectual capital and firm size affect profitability in property and real estate listed on the Indonesia Stock Exchange in 2010-2021.</w:t>
      </w:r>
    </w:p>
    <w:p w14:paraId="24509443" w14:textId="2CF31AA3" w:rsidR="00CC319C" w:rsidRPr="006B6F4B" w:rsidRDefault="00CC319C" w:rsidP="0013091B">
      <w:pPr>
        <w:spacing w:line="240" w:lineRule="auto"/>
        <w:ind w:right="-142" w:firstLine="720"/>
        <w:rPr>
          <w:sz w:val="22"/>
        </w:rPr>
      </w:pPr>
    </w:p>
    <w:p w14:paraId="1A6C6EB9" w14:textId="0551B948" w:rsidR="00E520F1" w:rsidRPr="006B6F4B" w:rsidRDefault="00436061" w:rsidP="0013091B">
      <w:pPr>
        <w:spacing w:line="240" w:lineRule="auto"/>
        <w:ind w:right="-142"/>
        <w:rPr>
          <w:sz w:val="22"/>
        </w:rPr>
      </w:pPr>
      <w:r w:rsidRPr="006B6F4B">
        <w:rPr>
          <w:rFonts w:ascii="Calibri" w:hAnsi="Calibri"/>
          <w:noProof/>
          <w:sz w:val="22"/>
        </w:rPr>
        <mc:AlternateContent>
          <mc:Choice Requires="wpg">
            <w:drawing>
              <wp:anchor distT="0" distB="0" distL="114300" distR="114300" simplePos="0" relativeHeight="251677184" behindDoc="0" locked="0" layoutInCell="1" allowOverlap="1" wp14:anchorId="676E03E7" wp14:editId="0D749F0A">
                <wp:simplePos x="0" y="0"/>
                <wp:positionH relativeFrom="column">
                  <wp:posOffset>786765</wp:posOffset>
                </wp:positionH>
                <wp:positionV relativeFrom="paragraph">
                  <wp:posOffset>22860</wp:posOffset>
                </wp:positionV>
                <wp:extent cx="3638550" cy="1266825"/>
                <wp:effectExtent l="0" t="0" r="19050" b="28575"/>
                <wp:wrapNone/>
                <wp:docPr id="45"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38550" cy="1266825"/>
                          <a:chOff x="2327" y="6571"/>
                          <a:chExt cx="6986" cy="1493"/>
                        </a:xfrm>
                      </wpg:grpSpPr>
                      <wps:wsp>
                        <wps:cNvPr id="47" name="Text Box 20"/>
                        <wps:cNvSpPr txBox="1">
                          <a:spLocks noChangeArrowheads="1"/>
                        </wps:cNvSpPr>
                        <wps:spPr bwMode="auto">
                          <a:xfrm>
                            <a:off x="2327" y="6571"/>
                            <a:ext cx="3096" cy="65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0B74EAB4" w14:textId="77777777" w:rsidR="00083EDE" w:rsidRPr="004D7162" w:rsidRDefault="00083EDE" w:rsidP="00CC319C">
                              <w:pPr>
                                <w:spacing w:line="240" w:lineRule="auto"/>
                                <w:jc w:val="center"/>
                                <w:rPr>
                                  <w:i/>
                                  <w:sz w:val="22"/>
                                </w:rPr>
                              </w:pPr>
                              <w:r w:rsidRPr="004D7162">
                                <w:rPr>
                                  <w:i/>
                                  <w:sz w:val="22"/>
                                </w:rPr>
                                <w:t>Intellectual Capital</w:t>
                              </w:r>
                            </w:p>
                            <w:p w14:paraId="1F5CB131" w14:textId="77777777" w:rsidR="00083EDE" w:rsidRPr="004D7162" w:rsidRDefault="00083EDE" w:rsidP="00CC319C">
                              <w:pPr>
                                <w:spacing w:line="240" w:lineRule="auto"/>
                                <w:jc w:val="center"/>
                                <w:rPr>
                                  <w:sz w:val="22"/>
                                </w:rPr>
                              </w:pPr>
                              <w:r w:rsidRPr="004D7162">
                                <w:rPr>
                                  <w:sz w:val="22"/>
                                </w:rPr>
                                <w:t xml:space="preserve"> (X1)</w:t>
                              </w:r>
                            </w:p>
                          </w:txbxContent>
                        </wps:txbx>
                        <wps:bodyPr rot="0" vert="horz" wrap="square" lIns="91440" tIns="45720" rIns="91440" bIns="45720" anchor="ctr" anchorCtr="0" upright="1">
                          <a:noAutofit/>
                        </wps:bodyPr>
                      </wps:wsp>
                      <wps:wsp>
                        <wps:cNvPr id="48" name="Text Box 21"/>
                        <wps:cNvSpPr txBox="1">
                          <a:spLocks noChangeArrowheads="1"/>
                        </wps:cNvSpPr>
                        <wps:spPr bwMode="auto">
                          <a:xfrm>
                            <a:off x="2327" y="7402"/>
                            <a:ext cx="3096" cy="662"/>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3257874F" w14:textId="77777777" w:rsidR="00083EDE" w:rsidRDefault="00083EDE" w:rsidP="00CC319C">
                              <w:pPr>
                                <w:spacing w:line="240" w:lineRule="auto"/>
                                <w:jc w:val="center"/>
                                <w:rPr>
                                  <w:noProof/>
                                  <w:sz w:val="22"/>
                                </w:rPr>
                              </w:pPr>
                              <w:r>
                                <w:rPr>
                                  <w:noProof/>
                                  <w:sz w:val="22"/>
                                </w:rPr>
                                <w:t>Firm Size</w:t>
                              </w:r>
                            </w:p>
                            <w:p w14:paraId="4AD1CC39" w14:textId="0350158D" w:rsidR="00083EDE" w:rsidRPr="004D7162" w:rsidRDefault="00083EDE" w:rsidP="00CC319C">
                              <w:pPr>
                                <w:spacing w:line="240" w:lineRule="auto"/>
                                <w:jc w:val="center"/>
                                <w:rPr>
                                  <w:noProof/>
                                  <w:sz w:val="22"/>
                                </w:rPr>
                              </w:pPr>
                              <w:r w:rsidRPr="004D7162">
                                <w:rPr>
                                  <w:noProof/>
                                  <w:sz w:val="22"/>
                                </w:rPr>
                                <w:t>(X2)</w:t>
                              </w:r>
                            </w:p>
                          </w:txbxContent>
                        </wps:txbx>
                        <wps:bodyPr rot="0" vert="horz" wrap="square" lIns="91440" tIns="45720" rIns="91440" bIns="45720" anchor="ctr" anchorCtr="0" upright="1">
                          <a:noAutofit/>
                        </wps:bodyPr>
                      </wps:wsp>
                      <wps:wsp>
                        <wps:cNvPr id="49" name="Text Box 22"/>
                        <wps:cNvSpPr txBox="1">
                          <a:spLocks noChangeArrowheads="1"/>
                        </wps:cNvSpPr>
                        <wps:spPr bwMode="auto">
                          <a:xfrm>
                            <a:off x="6412" y="6993"/>
                            <a:ext cx="2901" cy="606"/>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73DAFAA0" w14:textId="5D3F7686" w:rsidR="00083EDE" w:rsidRPr="004D7162" w:rsidRDefault="00083EDE" w:rsidP="00CC319C">
                              <w:pPr>
                                <w:spacing w:line="240" w:lineRule="auto"/>
                                <w:jc w:val="center"/>
                                <w:rPr>
                                  <w:noProof/>
                                  <w:sz w:val="22"/>
                                </w:rPr>
                              </w:pPr>
                              <w:r>
                                <w:rPr>
                                  <w:noProof/>
                                  <w:sz w:val="22"/>
                                </w:rPr>
                                <w:t>Profitability</w:t>
                              </w:r>
                            </w:p>
                            <w:p w14:paraId="32CDC0CA" w14:textId="77777777" w:rsidR="00083EDE" w:rsidRPr="004D7162" w:rsidRDefault="00083EDE" w:rsidP="00CC319C">
                              <w:pPr>
                                <w:spacing w:line="240" w:lineRule="auto"/>
                                <w:jc w:val="center"/>
                                <w:rPr>
                                  <w:noProof/>
                                  <w:sz w:val="22"/>
                                </w:rPr>
                              </w:pPr>
                              <w:r w:rsidRPr="004D7162">
                                <w:rPr>
                                  <w:sz w:val="22"/>
                                </w:rPr>
                                <w:t>(Y)</w:t>
                              </w:r>
                            </w:p>
                          </w:txbxContent>
                        </wps:txbx>
                        <wps:bodyPr rot="0" vert="horz" wrap="square" lIns="91440" tIns="45720" rIns="91440" bIns="45720" anchor="ctr" anchorCtr="0" upright="1">
                          <a:noAutofit/>
                        </wps:bodyPr>
                      </wps:wsp>
                      <wps:wsp>
                        <wps:cNvPr id="53" name="AutoShape 96"/>
                        <wps:cNvCnPr>
                          <a:cxnSpLocks noChangeShapeType="1"/>
                          <a:stCxn id="47" idx="3"/>
                        </wps:cNvCnPr>
                        <wps:spPr bwMode="auto">
                          <a:xfrm>
                            <a:off x="5423" y="6898"/>
                            <a:ext cx="901" cy="327"/>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wps:wsp>
                        <wps:cNvPr id="54" name="AutoShape 97"/>
                        <wps:cNvCnPr>
                          <a:cxnSpLocks noChangeShapeType="1"/>
                          <a:stCxn id="48" idx="3"/>
                        </wps:cNvCnPr>
                        <wps:spPr bwMode="auto">
                          <a:xfrm flipV="1">
                            <a:off x="5423" y="7336"/>
                            <a:ext cx="901" cy="397"/>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wpg:wgp>
                  </a:graphicData>
                </a:graphic>
                <wp14:sizeRelH relativeFrom="page">
                  <wp14:pctWidth>0</wp14:pctWidth>
                </wp14:sizeRelH>
                <wp14:sizeRelV relativeFrom="page">
                  <wp14:pctHeight>0</wp14:pctHeight>
                </wp14:sizeRelV>
              </wp:anchor>
            </w:drawing>
          </mc:Choice>
          <mc:Fallback>
            <w:pict>
              <v:group w14:anchorId="676E03E7" id="Group 45" o:spid="_x0000_s1028" style="position:absolute;left:0;text-align:left;margin-left:61.95pt;margin-top:1.8pt;width:286.5pt;height:99.75pt;z-index:251677184" coordorigin="2327,6571" coordsize="6986,14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">
                <v:shape id="Text Box 20" o:spid="_x0000_s1029" type="#_x0000_t202" style="position:absolute;left:2327;top:6571;width:3096;height:6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" fillcolor="white [3201]" strokecolor="black [3200]" strokeweight="1pt">
                  <v:textbox>
                    <w:txbxContent>
                      <w:p w14:paraId="0B74EAB4" w14:textId="77777777" w:rsidR="00083EDE" w:rsidRPr="004D7162" w:rsidRDefault="00083EDE" w:rsidP="00CC319C">
                        <w:pPr>
                          <w:spacing w:line="240" w:lineRule="auto"/>
                          <w:jc w:val="center"/>
                          <w:rPr>
                            <w:i/>
                            <w:sz w:val="22"/>
                          </w:rPr>
                        </w:pPr>
                        <w:r w:rsidRPr="004D7162">
                          <w:rPr>
                            <w:i/>
                            <w:sz w:val="22"/>
                          </w:rPr>
                          <w:t>Intellectual Capital</w:t>
                        </w:r>
                      </w:p>
                      <w:p w14:paraId="1F5CB131" w14:textId="77777777" w:rsidR="00083EDE" w:rsidRPr="004D7162" w:rsidRDefault="00083EDE" w:rsidP="00CC319C">
                        <w:pPr>
                          <w:spacing w:line="240" w:lineRule="auto"/>
                          <w:jc w:val="center"/>
                          <w:rPr>
                            <w:sz w:val="22"/>
                          </w:rPr>
                        </w:pPr>
                        <w:r w:rsidRPr="004D7162">
                          <w:rPr>
                            <w:sz w:val="22"/>
                          </w:rPr>
                          <w:t xml:space="preserve"> (X1)</w:t>
                        </w:r>
                      </w:p>
                    </w:txbxContent>
                  </v:textbox>
                </v:shape>
                <v:shape id="Text Box 21" o:spid="_x0000_s1030" type="#_x0000_t202" style="position:absolute;left:2327;top:7402;width:3096;height:6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" fillcolor="white [3201]" strokecolor="black [3200]" strokeweight="1pt">
                  <v:textbox>
                    <w:txbxContent>
                      <w:p w14:paraId="3257874F" w14:textId="77777777" w:rsidR="00083EDE" w:rsidRDefault="00083EDE" w:rsidP="00CC319C">
                        <w:pPr>
                          <w:spacing w:line="240" w:lineRule="auto"/>
                          <w:jc w:val="center"/>
                          <w:rPr>
                            <w:noProof/>
                            <w:sz w:val="22"/>
                          </w:rPr>
                        </w:pPr>
                        <w:r>
                          <w:rPr>
                            <w:noProof/>
                            <w:sz w:val="22"/>
                          </w:rPr>
                          <w:t>Firm Size</w:t>
                        </w:r>
                      </w:p>
                      <w:p w14:paraId="4AD1CC39" w14:textId="0350158D" w:rsidR="00083EDE" w:rsidRPr="004D7162" w:rsidRDefault="00083EDE" w:rsidP="00CC319C">
                        <w:pPr>
                          <w:spacing w:line="240" w:lineRule="auto"/>
                          <w:jc w:val="center"/>
                          <w:rPr>
                            <w:noProof/>
                            <w:sz w:val="22"/>
                          </w:rPr>
                        </w:pPr>
                        <w:r w:rsidRPr="004D7162">
                          <w:rPr>
                            <w:noProof/>
                            <w:sz w:val="22"/>
                          </w:rPr>
                          <w:t>(X2)</w:t>
                        </w:r>
                      </w:p>
                    </w:txbxContent>
                  </v:textbox>
                </v:shape>
                <v:shape id="Text Box 22" o:spid="_x0000_s1031" type="#_x0000_t202" style="position:absolute;left:6412;top:6993;width:2901;height:6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" fillcolor="white [3201]" strokecolor="black [3200]" strokeweight="1pt">
                  <v:textbox>
                    <w:txbxContent>
                      <w:p w14:paraId="73DAFAA0" w14:textId="5D3F7686" w:rsidR="00083EDE" w:rsidRPr="004D7162" w:rsidRDefault="00083EDE" w:rsidP="00CC319C">
                        <w:pPr>
                          <w:spacing w:line="240" w:lineRule="auto"/>
                          <w:jc w:val="center"/>
                          <w:rPr>
                            <w:noProof/>
                            <w:sz w:val="22"/>
                          </w:rPr>
                        </w:pPr>
                        <w:r>
                          <w:rPr>
                            <w:noProof/>
                            <w:sz w:val="22"/>
                          </w:rPr>
                          <w:t>Profitability</w:t>
                        </w:r>
                      </w:p>
                      <w:p w14:paraId="32CDC0CA" w14:textId="77777777" w:rsidR="00083EDE" w:rsidRPr="004D7162" w:rsidRDefault="00083EDE" w:rsidP="00CC319C">
                        <w:pPr>
                          <w:spacing w:line="240" w:lineRule="auto"/>
                          <w:jc w:val="center"/>
                          <w:rPr>
                            <w:noProof/>
                            <w:sz w:val="22"/>
                          </w:rPr>
                        </w:pPr>
                        <w:r w:rsidRPr="004D7162">
                          <w:rPr>
                            <w:sz w:val="22"/>
                          </w:rPr>
                          <w:t>(Y)</w:t>
                        </w:r>
                      </w:p>
                    </w:txbxContent>
                  </v:textbox>
                </v:shape>
                <v:shapetype id="_x0000_t32" coordsize="21600,21600" o:spt="32" o:oned="t" path="m,l21600,21600e" filled="f">
                  <v:path arrowok="t" fillok="f" o:connecttype="none"/>
                  <o:lock v:ext="edit" shapetype="t"/>
                </v:shapetype>
                <v:shape id="AutoShape 96" o:spid="_x0000_s1032" type="#_x0000_t32" style="position:absolute;left:5423;top:6898;width:901;height:32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" strokecolor="black [3200]" strokeweight=".5pt">
                  <v:stroke endarrow="block" joinstyle="miter"/>
                </v:shape>
                <v:shape id="AutoShape 97" o:spid="_x0000_s1033" type="#_x0000_t32" style="position:absolute;left:5423;top:7336;width:901;height:39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" strokecolor="black [3200]" strokeweight=".5pt">
                  <v:stroke endarrow="block" joinstyle="miter"/>
                </v:shape>
              </v:group>
            </w:pict>
          </mc:Fallback>
        </mc:AlternateContent>
      </w:r>
    </w:p>
    <w:p w14:paraId="03CD9F54" w14:textId="2364DB4F" w:rsidR="00C12ECB" w:rsidRPr="006B6F4B" w:rsidRDefault="00C12ECB" w:rsidP="0013091B">
      <w:pPr>
        <w:spacing w:line="240" w:lineRule="auto"/>
        <w:ind w:right="-142" w:firstLine="567"/>
        <w:rPr>
          <w:sz w:val="22"/>
        </w:rPr>
      </w:pPr>
    </w:p>
    <w:p w14:paraId="76C504A1" w14:textId="77777777" w:rsidR="00C12ECB" w:rsidRPr="006B6F4B" w:rsidRDefault="00C12ECB" w:rsidP="0013091B">
      <w:pPr>
        <w:spacing w:line="240" w:lineRule="auto"/>
        <w:ind w:right="-142" w:firstLine="567"/>
        <w:rPr>
          <w:sz w:val="22"/>
        </w:rPr>
      </w:pPr>
    </w:p>
    <w:p w14:paraId="7EE12798" w14:textId="64F19B0E" w:rsidR="008E6334" w:rsidRPr="006B6F4B" w:rsidRDefault="008E6334" w:rsidP="0013091B">
      <w:pPr>
        <w:spacing w:line="240" w:lineRule="auto"/>
        <w:ind w:right="-142" w:firstLine="567"/>
        <w:rPr>
          <w:sz w:val="22"/>
        </w:rPr>
      </w:pPr>
    </w:p>
    <w:p w14:paraId="5850AC21" w14:textId="2D616BB8" w:rsidR="00AF2A13" w:rsidRPr="006B6F4B" w:rsidRDefault="00AF2A13" w:rsidP="0013091B">
      <w:pPr>
        <w:spacing w:line="240" w:lineRule="auto"/>
        <w:ind w:right="-142" w:firstLine="567"/>
        <w:rPr>
          <w:noProof/>
          <w:sz w:val="22"/>
        </w:rPr>
      </w:pPr>
    </w:p>
    <w:p w14:paraId="0D6E411F" w14:textId="61446EB8" w:rsidR="00AF2A13" w:rsidRPr="006B6F4B" w:rsidRDefault="00AF2A13" w:rsidP="0013091B">
      <w:pPr>
        <w:spacing w:line="240" w:lineRule="auto"/>
        <w:ind w:right="-142" w:firstLine="567"/>
        <w:rPr>
          <w:noProof/>
          <w:sz w:val="22"/>
        </w:rPr>
      </w:pPr>
    </w:p>
    <w:p w14:paraId="19587844" w14:textId="77777777" w:rsidR="00962A4C" w:rsidRPr="006B6F4B" w:rsidRDefault="00962A4C" w:rsidP="0013091B">
      <w:pPr>
        <w:spacing w:line="240" w:lineRule="auto"/>
        <w:ind w:right="-142" w:firstLine="567"/>
        <w:rPr>
          <w:noProof/>
          <w:sz w:val="22"/>
        </w:rPr>
      </w:pPr>
    </w:p>
    <w:p w14:paraId="710A1D45" w14:textId="0571F7CF" w:rsidR="00962A4C" w:rsidRPr="006B6F4B" w:rsidRDefault="00962A4C" w:rsidP="00977555">
      <w:pPr>
        <w:tabs>
          <w:tab w:val="left" w:pos="3410"/>
        </w:tabs>
        <w:spacing w:line="240" w:lineRule="auto"/>
        <w:ind w:right="-142"/>
        <w:jc w:val="center"/>
        <w:rPr>
          <w:noProof/>
          <w:sz w:val="22"/>
        </w:rPr>
      </w:pPr>
    </w:p>
    <w:p w14:paraId="003C62E5" w14:textId="77777777" w:rsidR="00962A4C" w:rsidRPr="006B6F4B" w:rsidRDefault="00962A4C" w:rsidP="00977555">
      <w:pPr>
        <w:tabs>
          <w:tab w:val="left" w:pos="3410"/>
        </w:tabs>
        <w:spacing w:line="240" w:lineRule="auto"/>
        <w:ind w:right="-142"/>
        <w:jc w:val="center"/>
        <w:rPr>
          <w:noProof/>
          <w:sz w:val="22"/>
        </w:rPr>
      </w:pPr>
    </w:p>
    <w:p w14:paraId="4FD62C3F" w14:textId="07DC379F" w:rsidR="00977555" w:rsidRPr="006B6F4B" w:rsidRDefault="00F76069" w:rsidP="00977555">
      <w:pPr>
        <w:tabs>
          <w:tab w:val="left" w:pos="3410"/>
        </w:tabs>
        <w:spacing w:line="240" w:lineRule="auto"/>
        <w:ind w:right="-142"/>
        <w:jc w:val="center"/>
        <w:rPr>
          <w:noProof/>
          <w:sz w:val="22"/>
        </w:rPr>
      </w:pPr>
      <w:r>
        <w:rPr>
          <w:noProof/>
          <w:sz w:val="22"/>
        </w:rPr>
        <w:t>Figure</w:t>
      </w:r>
      <w:r w:rsidR="00BF6A7F" w:rsidRPr="006B6F4B">
        <w:rPr>
          <w:noProof/>
          <w:sz w:val="22"/>
        </w:rPr>
        <w:t xml:space="preserve"> 2</w:t>
      </w:r>
      <w:r w:rsidR="00CC319C" w:rsidRPr="006B6F4B">
        <w:rPr>
          <w:noProof/>
          <w:sz w:val="22"/>
        </w:rPr>
        <w:t xml:space="preserve">. </w:t>
      </w:r>
      <w:r w:rsidRPr="00F76069">
        <w:rPr>
          <w:noProof/>
          <w:sz w:val="22"/>
        </w:rPr>
        <w:t>Research Framework</w:t>
      </w:r>
    </w:p>
    <w:p w14:paraId="67A9AA8D" w14:textId="77777777" w:rsidR="00977555" w:rsidRPr="006B6F4B" w:rsidRDefault="00977555" w:rsidP="0013091B">
      <w:pPr>
        <w:spacing w:line="240" w:lineRule="auto"/>
        <w:ind w:right="-142"/>
        <w:jc w:val="center"/>
        <w:rPr>
          <w:b/>
          <w:sz w:val="22"/>
        </w:rPr>
      </w:pPr>
    </w:p>
    <w:p w14:paraId="4AEAFE80" w14:textId="213ACBD0" w:rsidR="00146539" w:rsidRPr="006B6F4B" w:rsidRDefault="009E42A2" w:rsidP="0013091B">
      <w:pPr>
        <w:spacing w:line="240" w:lineRule="auto"/>
        <w:ind w:right="-142"/>
        <w:jc w:val="center"/>
        <w:rPr>
          <w:b/>
          <w:sz w:val="22"/>
        </w:rPr>
      </w:pPr>
      <w:r w:rsidRPr="006B6F4B">
        <w:rPr>
          <w:b/>
          <w:sz w:val="22"/>
        </w:rPr>
        <w:t>METHOD</w:t>
      </w:r>
    </w:p>
    <w:p w14:paraId="6E24BDAE" w14:textId="4BC78A74" w:rsidR="00C337CF" w:rsidRPr="006B6F4B" w:rsidRDefault="00C337CF" w:rsidP="0013091B">
      <w:pPr>
        <w:spacing w:line="240" w:lineRule="auto"/>
        <w:ind w:right="-142"/>
        <w:jc w:val="center"/>
        <w:rPr>
          <w:b/>
          <w:sz w:val="22"/>
        </w:rPr>
      </w:pPr>
    </w:p>
    <w:p w14:paraId="0DC60321" w14:textId="57F0681E" w:rsidR="003D346A" w:rsidRPr="006B6F4B" w:rsidRDefault="006E0ABF" w:rsidP="003D346A">
      <w:pPr>
        <w:spacing w:line="240" w:lineRule="auto"/>
        <w:ind w:right="-142" w:firstLine="567"/>
        <w:rPr>
          <w:sz w:val="22"/>
        </w:rPr>
      </w:pPr>
      <w:r>
        <w:rPr>
          <w:sz w:val="22"/>
        </w:rPr>
        <w:t>This study used</w:t>
      </w:r>
      <w:r w:rsidR="00962A4C" w:rsidRPr="006B6F4B">
        <w:rPr>
          <w:sz w:val="22"/>
        </w:rPr>
        <w:t xml:space="preserve"> a quantitative method with a descriptive and verification approach. The data source used is secondary data. Secondary data was obtained from annual reports issued by property and real estate listed on the Indonesia Stock Exchange in the 2010-2021 period. The population in this study are property and real estate listed on the Indonesia Stock Exchange in 2010-2021. The sampling technique used is non-probability sampling with a purposive sampling approach. The criteria used in sampling are: </w:t>
      </w:r>
    </w:p>
    <w:p w14:paraId="0EECF565" w14:textId="41A10E26" w:rsidR="003B22C7" w:rsidRPr="006B6F4B" w:rsidRDefault="003B22C7" w:rsidP="0013091B">
      <w:pPr>
        <w:spacing w:line="240" w:lineRule="auto"/>
        <w:ind w:right="-142"/>
        <w:jc w:val="center"/>
        <w:rPr>
          <w:sz w:val="22"/>
        </w:rPr>
      </w:pPr>
      <w:r w:rsidRPr="006B6F4B">
        <w:rPr>
          <w:sz w:val="22"/>
        </w:rPr>
        <w:t>Ta</w:t>
      </w:r>
      <w:r w:rsidR="00C830FB">
        <w:rPr>
          <w:sz w:val="22"/>
        </w:rPr>
        <w:t>ble 1. Population and Sample</w:t>
      </w:r>
    </w:p>
    <w:tbl>
      <w:tblPr>
        <w:tblStyle w:val="TableGrid"/>
        <w:tblW w:w="8500" w:type="dxa"/>
        <w:tblLook w:val="04A0" w:firstRow="1" w:lastRow="0" w:firstColumn="1" w:lastColumn="0" w:noHBand="0" w:noVBand="1"/>
      </w:tblPr>
      <w:tblGrid>
        <w:gridCol w:w="7230"/>
        <w:gridCol w:w="1270"/>
      </w:tblGrid>
      <w:tr w:rsidR="007C7E0F" w:rsidRPr="006B6F4B" w14:paraId="35EF3DD3" w14:textId="77777777" w:rsidTr="00962A4C">
        <w:tc>
          <w:tcPr>
            <w:tcW w:w="7230" w:type="dxa"/>
            <w:tcBorders>
              <w:left w:val="nil"/>
              <w:bottom w:val="single" w:sz="4" w:space="0" w:color="auto"/>
              <w:right w:val="nil"/>
            </w:tcBorders>
          </w:tcPr>
          <w:p w14:paraId="5B79088F" w14:textId="13A07AA5" w:rsidR="007C7E0F" w:rsidRPr="006B6F4B" w:rsidRDefault="00F82AC7" w:rsidP="0013091B">
            <w:pPr>
              <w:spacing w:line="240" w:lineRule="auto"/>
              <w:ind w:right="-142"/>
              <w:jc w:val="center"/>
              <w:rPr>
                <w:sz w:val="22"/>
              </w:rPr>
            </w:pPr>
            <w:r>
              <w:rPr>
                <w:sz w:val="22"/>
              </w:rPr>
              <w:t>Description</w:t>
            </w:r>
          </w:p>
        </w:tc>
        <w:tc>
          <w:tcPr>
            <w:tcW w:w="1270" w:type="dxa"/>
            <w:tcBorders>
              <w:left w:val="nil"/>
              <w:bottom w:val="single" w:sz="4" w:space="0" w:color="auto"/>
              <w:right w:val="nil"/>
            </w:tcBorders>
          </w:tcPr>
          <w:p w14:paraId="4D4A496A" w14:textId="23AF0D20" w:rsidR="007C7E0F" w:rsidRPr="006B6F4B" w:rsidRDefault="00F82AC7" w:rsidP="0013091B">
            <w:pPr>
              <w:spacing w:line="240" w:lineRule="auto"/>
              <w:ind w:right="-142"/>
              <w:jc w:val="center"/>
              <w:rPr>
                <w:sz w:val="22"/>
              </w:rPr>
            </w:pPr>
            <w:r>
              <w:rPr>
                <w:sz w:val="22"/>
              </w:rPr>
              <w:t xml:space="preserve">Total </w:t>
            </w:r>
          </w:p>
        </w:tc>
      </w:tr>
      <w:tr w:rsidR="007C7E0F" w:rsidRPr="006B6F4B" w14:paraId="389087CC" w14:textId="77777777" w:rsidTr="00962A4C">
        <w:tc>
          <w:tcPr>
            <w:tcW w:w="7230" w:type="dxa"/>
            <w:tcBorders>
              <w:top w:val="single" w:sz="4" w:space="0" w:color="auto"/>
              <w:left w:val="nil"/>
              <w:bottom w:val="nil"/>
              <w:right w:val="nil"/>
            </w:tcBorders>
          </w:tcPr>
          <w:p w14:paraId="3C3F50CF" w14:textId="35D4A84A" w:rsidR="007C7E0F" w:rsidRPr="006B6F4B" w:rsidRDefault="00C830FB" w:rsidP="00C830FB">
            <w:pPr>
              <w:spacing w:line="240" w:lineRule="auto"/>
              <w:ind w:right="-142"/>
              <w:rPr>
                <w:sz w:val="22"/>
              </w:rPr>
            </w:pPr>
            <w:r w:rsidRPr="00C830FB">
              <w:rPr>
                <w:sz w:val="22"/>
              </w:rPr>
              <w:t xml:space="preserve">Property and real estate sub-sector company listed on the Indonesia Stock Exchange in 2010-2021 </w:t>
            </w:r>
          </w:p>
        </w:tc>
        <w:tc>
          <w:tcPr>
            <w:tcW w:w="1270" w:type="dxa"/>
            <w:tcBorders>
              <w:top w:val="single" w:sz="4" w:space="0" w:color="auto"/>
              <w:left w:val="nil"/>
              <w:bottom w:val="nil"/>
              <w:right w:val="nil"/>
            </w:tcBorders>
          </w:tcPr>
          <w:p w14:paraId="640BED03" w14:textId="158441A8" w:rsidR="007C7E0F" w:rsidRPr="006B6F4B" w:rsidRDefault="007C7E0F" w:rsidP="0013091B">
            <w:pPr>
              <w:spacing w:line="240" w:lineRule="auto"/>
              <w:ind w:right="-142"/>
              <w:jc w:val="center"/>
              <w:rPr>
                <w:sz w:val="22"/>
              </w:rPr>
            </w:pPr>
            <w:r w:rsidRPr="006B6F4B">
              <w:rPr>
                <w:sz w:val="22"/>
              </w:rPr>
              <w:t>82</w:t>
            </w:r>
          </w:p>
        </w:tc>
      </w:tr>
      <w:tr w:rsidR="007C7E0F" w:rsidRPr="006B6F4B" w14:paraId="50373C0D" w14:textId="77777777" w:rsidTr="00962A4C">
        <w:tc>
          <w:tcPr>
            <w:tcW w:w="7230" w:type="dxa"/>
            <w:tcBorders>
              <w:top w:val="nil"/>
              <w:left w:val="nil"/>
              <w:bottom w:val="nil"/>
              <w:right w:val="nil"/>
            </w:tcBorders>
          </w:tcPr>
          <w:p w14:paraId="3E88C4E6" w14:textId="183510D2" w:rsidR="007C7E0F" w:rsidRPr="006B6F4B" w:rsidRDefault="00C830FB" w:rsidP="00C830FB">
            <w:pPr>
              <w:spacing w:line="240" w:lineRule="auto"/>
              <w:ind w:right="-142"/>
              <w:rPr>
                <w:sz w:val="22"/>
              </w:rPr>
            </w:pPr>
            <w:r w:rsidRPr="00C830FB">
              <w:rPr>
                <w:sz w:val="22"/>
              </w:rPr>
              <w:t xml:space="preserve">Property and real estate sub-sector companies that did not go IPO consecutively during the 2010-2021 </w:t>
            </w:r>
          </w:p>
        </w:tc>
        <w:tc>
          <w:tcPr>
            <w:tcW w:w="1270" w:type="dxa"/>
            <w:tcBorders>
              <w:top w:val="nil"/>
              <w:left w:val="nil"/>
              <w:bottom w:val="nil"/>
              <w:right w:val="nil"/>
            </w:tcBorders>
          </w:tcPr>
          <w:p w14:paraId="1FF68ACA" w14:textId="71BC276A" w:rsidR="007C7E0F" w:rsidRPr="006B6F4B" w:rsidRDefault="007C7E0F" w:rsidP="0013091B">
            <w:pPr>
              <w:spacing w:line="240" w:lineRule="auto"/>
              <w:ind w:right="-142"/>
              <w:jc w:val="center"/>
              <w:rPr>
                <w:sz w:val="22"/>
              </w:rPr>
            </w:pPr>
            <w:r w:rsidRPr="006B6F4B">
              <w:rPr>
                <w:sz w:val="22"/>
              </w:rPr>
              <w:t>(52)</w:t>
            </w:r>
          </w:p>
        </w:tc>
      </w:tr>
      <w:tr w:rsidR="007C7E0F" w:rsidRPr="006B6F4B" w14:paraId="7E972A3A" w14:textId="77777777" w:rsidTr="00962A4C">
        <w:tc>
          <w:tcPr>
            <w:tcW w:w="7230" w:type="dxa"/>
            <w:tcBorders>
              <w:top w:val="nil"/>
              <w:left w:val="nil"/>
              <w:bottom w:val="nil"/>
              <w:right w:val="nil"/>
            </w:tcBorders>
          </w:tcPr>
          <w:p w14:paraId="1C9F6BBA" w14:textId="42C76A11" w:rsidR="007C7E0F" w:rsidRPr="006B6F4B" w:rsidRDefault="00C830FB" w:rsidP="00C830FB">
            <w:pPr>
              <w:spacing w:line="240" w:lineRule="auto"/>
              <w:ind w:right="-142"/>
              <w:rPr>
                <w:sz w:val="22"/>
              </w:rPr>
            </w:pPr>
            <w:r w:rsidRPr="00C830FB">
              <w:rPr>
                <w:sz w:val="22"/>
              </w:rPr>
              <w:t xml:space="preserve">Number of property and real estate sub-sector companies listed on the Indonesia Stock Exchange that have not published financial reports for 2010-2021 </w:t>
            </w:r>
          </w:p>
        </w:tc>
        <w:tc>
          <w:tcPr>
            <w:tcW w:w="1270" w:type="dxa"/>
            <w:tcBorders>
              <w:top w:val="nil"/>
              <w:left w:val="nil"/>
              <w:bottom w:val="nil"/>
              <w:right w:val="nil"/>
            </w:tcBorders>
          </w:tcPr>
          <w:p w14:paraId="2AF470C6" w14:textId="67F51951" w:rsidR="007C7E0F" w:rsidRPr="006B6F4B" w:rsidRDefault="007C7E0F" w:rsidP="0013091B">
            <w:pPr>
              <w:spacing w:line="240" w:lineRule="auto"/>
              <w:ind w:right="-142"/>
              <w:jc w:val="center"/>
              <w:rPr>
                <w:sz w:val="22"/>
              </w:rPr>
            </w:pPr>
            <w:r w:rsidRPr="006B6F4B">
              <w:rPr>
                <w:sz w:val="22"/>
              </w:rPr>
              <w:t>(1)</w:t>
            </w:r>
          </w:p>
        </w:tc>
      </w:tr>
      <w:tr w:rsidR="007C7E0F" w:rsidRPr="006B6F4B" w14:paraId="31CC83B8" w14:textId="77777777" w:rsidTr="00962A4C">
        <w:tc>
          <w:tcPr>
            <w:tcW w:w="7230" w:type="dxa"/>
            <w:tcBorders>
              <w:top w:val="nil"/>
              <w:left w:val="nil"/>
              <w:bottom w:val="nil"/>
              <w:right w:val="nil"/>
            </w:tcBorders>
          </w:tcPr>
          <w:p w14:paraId="5A4086C3" w14:textId="75578AF6" w:rsidR="007C7E0F" w:rsidRPr="006B6F4B" w:rsidRDefault="00C830FB" w:rsidP="00C830FB">
            <w:pPr>
              <w:spacing w:line="240" w:lineRule="auto"/>
              <w:ind w:right="-142"/>
              <w:rPr>
                <w:sz w:val="22"/>
              </w:rPr>
            </w:pPr>
            <w:r w:rsidRPr="00C830FB">
              <w:rPr>
                <w:sz w:val="22"/>
              </w:rPr>
              <w:t xml:space="preserve">Number of Companies </w:t>
            </w:r>
          </w:p>
        </w:tc>
        <w:tc>
          <w:tcPr>
            <w:tcW w:w="1270" w:type="dxa"/>
            <w:tcBorders>
              <w:top w:val="nil"/>
              <w:left w:val="nil"/>
              <w:bottom w:val="nil"/>
              <w:right w:val="nil"/>
            </w:tcBorders>
          </w:tcPr>
          <w:p w14:paraId="787EC15A" w14:textId="4AC9FD84" w:rsidR="007C7E0F" w:rsidRPr="006B6F4B" w:rsidRDefault="007C7E0F" w:rsidP="0013091B">
            <w:pPr>
              <w:spacing w:line="240" w:lineRule="auto"/>
              <w:ind w:right="-142"/>
              <w:jc w:val="center"/>
              <w:rPr>
                <w:sz w:val="22"/>
              </w:rPr>
            </w:pPr>
            <w:r w:rsidRPr="006B6F4B">
              <w:rPr>
                <w:sz w:val="22"/>
              </w:rPr>
              <w:t>28</w:t>
            </w:r>
          </w:p>
        </w:tc>
      </w:tr>
      <w:tr w:rsidR="007C7E0F" w:rsidRPr="006B6F4B" w14:paraId="5C4DCB29" w14:textId="77777777" w:rsidTr="00962A4C">
        <w:tc>
          <w:tcPr>
            <w:tcW w:w="7230" w:type="dxa"/>
            <w:tcBorders>
              <w:top w:val="nil"/>
              <w:left w:val="nil"/>
              <w:bottom w:val="nil"/>
              <w:right w:val="nil"/>
            </w:tcBorders>
          </w:tcPr>
          <w:p w14:paraId="4CB07321" w14:textId="4BB2231B" w:rsidR="007C7E0F" w:rsidRPr="006B6F4B" w:rsidRDefault="00C830FB" w:rsidP="0013091B">
            <w:pPr>
              <w:spacing w:line="240" w:lineRule="auto"/>
              <w:ind w:right="-142"/>
              <w:rPr>
                <w:sz w:val="22"/>
              </w:rPr>
            </w:pPr>
            <w:r>
              <w:rPr>
                <w:sz w:val="22"/>
              </w:rPr>
              <w:lastRenderedPageBreak/>
              <w:t>Observation time (year</w:t>
            </w:r>
            <w:r w:rsidR="00513C4E" w:rsidRPr="006B6F4B">
              <w:rPr>
                <w:sz w:val="22"/>
              </w:rPr>
              <w:t>)</w:t>
            </w:r>
          </w:p>
        </w:tc>
        <w:tc>
          <w:tcPr>
            <w:tcW w:w="1270" w:type="dxa"/>
            <w:tcBorders>
              <w:top w:val="nil"/>
              <w:left w:val="nil"/>
              <w:bottom w:val="nil"/>
              <w:right w:val="nil"/>
            </w:tcBorders>
          </w:tcPr>
          <w:p w14:paraId="283D8CC3" w14:textId="6A699F5A" w:rsidR="007C7E0F" w:rsidRPr="006B6F4B" w:rsidRDefault="007C7E0F" w:rsidP="0013091B">
            <w:pPr>
              <w:spacing w:line="240" w:lineRule="auto"/>
              <w:ind w:right="-142"/>
              <w:jc w:val="center"/>
              <w:rPr>
                <w:sz w:val="22"/>
              </w:rPr>
            </w:pPr>
            <w:r w:rsidRPr="006B6F4B">
              <w:rPr>
                <w:sz w:val="22"/>
              </w:rPr>
              <w:t>12</w:t>
            </w:r>
          </w:p>
        </w:tc>
      </w:tr>
      <w:tr w:rsidR="007C7E0F" w:rsidRPr="006B6F4B" w14:paraId="3032B640" w14:textId="77777777" w:rsidTr="00962A4C">
        <w:tc>
          <w:tcPr>
            <w:tcW w:w="7230" w:type="dxa"/>
            <w:tcBorders>
              <w:top w:val="nil"/>
              <w:left w:val="nil"/>
              <w:bottom w:val="single" w:sz="4" w:space="0" w:color="auto"/>
              <w:right w:val="nil"/>
            </w:tcBorders>
          </w:tcPr>
          <w:p w14:paraId="6E672B28" w14:textId="0B12C1B4" w:rsidR="007C7E0F" w:rsidRPr="006B6F4B" w:rsidRDefault="00C830FB" w:rsidP="0013091B">
            <w:pPr>
              <w:spacing w:line="240" w:lineRule="auto"/>
              <w:ind w:right="-142"/>
              <w:rPr>
                <w:sz w:val="22"/>
              </w:rPr>
            </w:pPr>
            <w:r w:rsidRPr="00C830FB">
              <w:rPr>
                <w:sz w:val="22"/>
              </w:rPr>
              <w:t>Number of Samples</w:t>
            </w:r>
          </w:p>
        </w:tc>
        <w:tc>
          <w:tcPr>
            <w:tcW w:w="1270" w:type="dxa"/>
            <w:tcBorders>
              <w:top w:val="nil"/>
              <w:left w:val="nil"/>
              <w:bottom w:val="single" w:sz="4" w:space="0" w:color="auto"/>
              <w:right w:val="nil"/>
            </w:tcBorders>
          </w:tcPr>
          <w:p w14:paraId="06EF94F9" w14:textId="2A710AE2" w:rsidR="007C7E0F" w:rsidRPr="006B6F4B" w:rsidRDefault="007C7E0F" w:rsidP="0013091B">
            <w:pPr>
              <w:spacing w:line="240" w:lineRule="auto"/>
              <w:ind w:right="-142"/>
              <w:jc w:val="center"/>
              <w:rPr>
                <w:sz w:val="22"/>
              </w:rPr>
            </w:pPr>
            <w:r w:rsidRPr="006B6F4B">
              <w:rPr>
                <w:sz w:val="22"/>
              </w:rPr>
              <w:t>348</w:t>
            </w:r>
          </w:p>
        </w:tc>
      </w:tr>
    </w:tbl>
    <w:p w14:paraId="43B6BB30" w14:textId="7B31BA88" w:rsidR="003B0A03" w:rsidRPr="006B6F4B" w:rsidRDefault="00C830FB" w:rsidP="00C830FB">
      <w:pPr>
        <w:spacing w:line="240" w:lineRule="auto"/>
        <w:ind w:right="-142"/>
        <w:jc w:val="left"/>
        <w:rPr>
          <w:sz w:val="22"/>
        </w:rPr>
      </w:pPr>
      <w:r w:rsidRPr="00C830FB">
        <w:rPr>
          <w:sz w:val="22"/>
        </w:rPr>
        <w:t>Source: Secondary data processed, 2022</w:t>
      </w:r>
    </w:p>
    <w:p w14:paraId="41909E51" w14:textId="3C4FEEC7" w:rsidR="00FC4C3A" w:rsidRPr="006B6F4B" w:rsidRDefault="00FC4C3A" w:rsidP="00FC4C3A">
      <w:pPr>
        <w:spacing w:line="240" w:lineRule="auto"/>
        <w:ind w:right="-142" w:firstLine="720"/>
        <w:rPr>
          <w:sz w:val="22"/>
        </w:rPr>
      </w:pPr>
      <w:r w:rsidRPr="006B6F4B">
        <w:rPr>
          <w:sz w:val="22"/>
          <w:lang w:val="en"/>
        </w:rPr>
        <w:t>There are 2 variables used in the study, namely the independent variable (intellectual capital, Firm size) and the dependent variable (profitability).  Intellectual capital is an intangible asset, including information and knowledge owned by a business entity that must be managed properly to provide a competitive advantage for the company (</w:t>
      </w:r>
      <w:proofErr w:type="spellStart"/>
      <w:r w:rsidRPr="006B6F4B">
        <w:rPr>
          <w:sz w:val="22"/>
          <w:lang w:val="en"/>
        </w:rPr>
        <w:t>Faradina</w:t>
      </w:r>
      <w:proofErr w:type="spellEnd"/>
      <w:r w:rsidRPr="006B6F4B">
        <w:rPr>
          <w:sz w:val="22"/>
          <w:lang w:val="en"/>
        </w:rPr>
        <w:t xml:space="preserve"> and Gayatri, 2016). Intellectual capital is a variety of knowledge resources, experience and employee expertise, good relations significantly contribute to the value creation process so that it can provide </w:t>
      </w:r>
      <w:proofErr w:type="spellStart"/>
      <w:r w:rsidRPr="006B6F4B">
        <w:rPr>
          <w:sz w:val="22"/>
          <w:lang w:val="en"/>
        </w:rPr>
        <w:t>acompetitive</w:t>
      </w:r>
      <w:proofErr w:type="spellEnd"/>
      <w:r w:rsidRPr="006B6F4B">
        <w:rPr>
          <w:sz w:val="22"/>
          <w:lang w:val="en"/>
        </w:rPr>
        <w:t xml:space="preserve"> </w:t>
      </w:r>
      <w:proofErr w:type="spellStart"/>
      <w:r w:rsidRPr="006B6F4B">
        <w:rPr>
          <w:sz w:val="22"/>
          <w:lang w:val="en"/>
        </w:rPr>
        <w:t>advantagefor</w:t>
      </w:r>
      <w:proofErr w:type="spellEnd"/>
      <w:r w:rsidRPr="006B6F4B">
        <w:rPr>
          <w:sz w:val="22"/>
          <w:lang w:val="en"/>
        </w:rPr>
        <w:t xml:space="preserve"> the company (</w:t>
      </w:r>
      <w:proofErr w:type="spellStart"/>
      <w:r w:rsidRPr="006B6F4B">
        <w:rPr>
          <w:sz w:val="22"/>
          <w:lang w:val="en"/>
        </w:rPr>
        <w:t>Sutanto</w:t>
      </w:r>
      <w:proofErr w:type="spellEnd"/>
      <w:r w:rsidRPr="006B6F4B">
        <w:rPr>
          <w:sz w:val="22"/>
          <w:lang w:val="en"/>
        </w:rPr>
        <w:t xml:space="preserve"> and </w:t>
      </w:r>
      <w:proofErr w:type="spellStart"/>
      <w:r w:rsidRPr="006B6F4B">
        <w:rPr>
          <w:sz w:val="22"/>
          <w:lang w:val="en"/>
        </w:rPr>
        <w:t>Siswantaya</w:t>
      </w:r>
      <w:proofErr w:type="spellEnd"/>
      <w:r w:rsidRPr="006B6F4B">
        <w:rPr>
          <w:sz w:val="22"/>
          <w:lang w:val="en"/>
        </w:rPr>
        <w:t>, 2016). Intellectual capital in this study was measured using the modified value added intellectual coefficient (MVAIC) approach.</w:t>
      </w:r>
    </w:p>
    <w:p w14:paraId="641650C1" w14:textId="77777777" w:rsidR="00FC4C3A" w:rsidRPr="006B6F4B" w:rsidRDefault="00FC4C3A" w:rsidP="00FC4C3A">
      <w:pPr>
        <w:spacing w:line="240" w:lineRule="auto"/>
        <w:ind w:right="-142" w:firstLine="720"/>
        <w:rPr>
          <w:sz w:val="22"/>
          <w:lang w:val="en"/>
        </w:rPr>
      </w:pPr>
      <w:r w:rsidRPr="006B6F4B">
        <w:rPr>
          <w:sz w:val="22"/>
          <w:lang w:val="en"/>
        </w:rPr>
        <w:t>Firm size is a scale which can be classified as the size of the company in various ways, including the company's total assets, log size, stock market value, and others. In addition, Firm size can also be described through total assets, number of sales, average sales of assets and average total assets of the company (</w:t>
      </w:r>
      <w:proofErr w:type="spellStart"/>
      <w:r w:rsidRPr="006B6F4B">
        <w:rPr>
          <w:sz w:val="22"/>
          <w:lang w:val="en"/>
        </w:rPr>
        <w:t>Novari</w:t>
      </w:r>
      <w:proofErr w:type="spellEnd"/>
      <w:r w:rsidRPr="006B6F4B">
        <w:rPr>
          <w:sz w:val="22"/>
          <w:lang w:val="en"/>
        </w:rPr>
        <w:t xml:space="preserve"> and Lestari, 2016). Firm size is a scale that can classify how big or small a company is in various ways, which can be measured by total assets, stock market value, and others (</w:t>
      </w:r>
      <w:proofErr w:type="spellStart"/>
      <w:r w:rsidRPr="006B6F4B">
        <w:rPr>
          <w:sz w:val="22"/>
          <w:lang w:val="en"/>
        </w:rPr>
        <w:t>Hery</w:t>
      </w:r>
      <w:proofErr w:type="spellEnd"/>
      <w:r w:rsidRPr="006B6F4B">
        <w:rPr>
          <w:sz w:val="22"/>
          <w:lang w:val="en"/>
        </w:rPr>
        <w:t xml:space="preserve"> in </w:t>
      </w:r>
      <w:proofErr w:type="spellStart"/>
      <w:r w:rsidRPr="006B6F4B">
        <w:rPr>
          <w:sz w:val="22"/>
          <w:lang w:val="en"/>
        </w:rPr>
        <w:t>Tandanu</w:t>
      </w:r>
      <w:proofErr w:type="spellEnd"/>
      <w:r w:rsidRPr="006B6F4B">
        <w:rPr>
          <w:sz w:val="22"/>
          <w:lang w:val="en"/>
        </w:rPr>
        <w:t xml:space="preserve"> and </w:t>
      </w:r>
      <w:proofErr w:type="spellStart"/>
      <w:r w:rsidRPr="006B6F4B">
        <w:rPr>
          <w:sz w:val="22"/>
          <w:lang w:val="en"/>
        </w:rPr>
        <w:t>Suryadi</w:t>
      </w:r>
      <w:proofErr w:type="spellEnd"/>
      <w:r w:rsidRPr="006B6F4B">
        <w:rPr>
          <w:sz w:val="22"/>
          <w:lang w:val="en"/>
        </w:rPr>
        <w:t>, 2020). Firm size in the study was measured using the natural logarithmic total assets (LNTA) approach.</w:t>
      </w:r>
    </w:p>
    <w:p w14:paraId="4720612B" w14:textId="48BF22C0" w:rsidR="003D346A" w:rsidRPr="006B6F4B" w:rsidRDefault="00FC4C3A" w:rsidP="00FC4C3A">
      <w:pPr>
        <w:spacing w:line="240" w:lineRule="auto"/>
        <w:ind w:right="-142" w:firstLine="720"/>
        <w:rPr>
          <w:sz w:val="22"/>
        </w:rPr>
      </w:pPr>
      <w:r w:rsidRPr="006B6F4B">
        <w:rPr>
          <w:sz w:val="22"/>
        </w:rPr>
        <w:t xml:space="preserve">The profitability ratio is the ratio to assess the company's ability to make a profit. This ratio also provides a measure of the effectiveness of a company's management. This is demonstrated by the profit generated from sales and investment income. The point is that the use of this ratio shows the efficiency of the company (Kasmir, 2018: 196). Profitability ratios in this study are proxied by </w:t>
      </w:r>
      <w:r w:rsidRPr="006B6F4B">
        <w:rPr>
          <w:iCs/>
          <w:sz w:val="22"/>
        </w:rPr>
        <w:t>return on assets</w:t>
      </w:r>
      <w:r w:rsidRPr="006B6F4B">
        <w:rPr>
          <w:sz w:val="22"/>
        </w:rPr>
        <w:t xml:space="preserve"> (ROA). </w:t>
      </w:r>
    </w:p>
    <w:p w14:paraId="2B932C85" w14:textId="57D58792" w:rsidR="00934791" w:rsidRPr="006B6F4B" w:rsidRDefault="00C830FB" w:rsidP="00C830FB">
      <w:pPr>
        <w:ind w:right="-142"/>
        <w:jc w:val="center"/>
        <w:rPr>
          <w:sz w:val="22"/>
        </w:rPr>
      </w:pPr>
      <w:r>
        <w:rPr>
          <w:sz w:val="22"/>
        </w:rPr>
        <w:t>Tab</w:t>
      </w:r>
      <w:r w:rsidR="00934791" w:rsidRPr="006B6F4B">
        <w:rPr>
          <w:sz w:val="22"/>
        </w:rPr>
        <w:t>l</w:t>
      </w:r>
      <w:r>
        <w:rPr>
          <w:sz w:val="22"/>
        </w:rPr>
        <w:t>e</w:t>
      </w:r>
      <w:r w:rsidR="00934791" w:rsidRPr="006B6F4B">
        <w:rPr>
          <w:sz w:val="22"/>
        </w:rPr>
        <w:t xml:space="preserve"> 2. </w:t>
      </w:r>
      <w:r w:rsidRPr="00C830FB">
        <w:rPr>
          <w:sz w:val="22"/>
        </w:rPr>
        <w:t>Variables and Variable Operationalization</w:t>
      </w:r>
    </w:p>
    <w:tbl>
      <w:tblPr>
        <w:tblStyle w:val="TableGrid"/>
        <w:tblW w:w="5000" w:type="pct"/>
        <w:tblBorders>
          <w:left w:val="none" w:sz="0" w:space="0" w:color="auto"/>
          <w:right w:val="none" w:sz="0" w:space="0" w:color="auto"/>
        </w:tblBorders>
        <w:tblLook w:val="04A0" w:firstRow="1" w:lastRow="0" w:firstColumn="1" w:lastColumn="0" w:noHBand="0" w:noVBand="1"/>
      </w:tblPr>
      <w:tblGrid>
        <w:gridCol w:w="1461"/>
        <w:gridCol w:w="2640"/>
        <w:gridCol w:w="3623"/>
        <w:gridCol w:w="781"/>
      </w:tblGrid>
      <w:tr w:rsidR="00977555" w:rsidRPr="006B6F4B" w14:paraId="2CB42B9E" w14:textId="009C2DA0" w:rsidTr="00977555">
        <w:tc>
          <w:tcPr>
            <w:tcW w:w="834" w:type="pct"/>
            <w:tcBorders>
              <w:top w:val="single" w:sz="4" w:space="0" w:color="auto"/>
              <w:bottom w:val="single" w:sz="4" w:space="0" w:color="auto"/>
              <w:right w:val="nil"/>
            </w:tcBorders>
          </w:tcPr>
          <w:p w14:paraId="4767FE06" w14:textId="283E99D1" w:rsidR="00977555" w:rsidRPr="006B6F4B" w:rsidRDefault="00F82AC7" w:rsidP="0013091B">
            <w:pPr>
              <w:spacing w:line="240" w:lineRule="auto"/>
              <w:ind w:right="-142"/>
              <w:jc w:val="center"/>
              <w:rPr>
                <w:sz w:val="22"/>
              </w:rPr>
            </w:pPr>
            <w:r>
              <w:rPr>
                <w:sz w:val="22"/>
              </w:rPr>
              <w:t>Variable</w:t>
            </w:r>
          </w:p>
        </w:tc>
        <w:tc>
          <w:tcPr>
            <w:tcW w:w="1560" w:type="pct"/>
            <w:tcBorders>
              <w:top w:val="single" w:sz="4" w:space="0" w:color="auto"/>
              <w:left w:val="nil"/>
              <w:bottom w:val="single" w:sz="4" w:space="0" w:color="auto"/>
              <w:right w:val="nil"/>
            </w:tcBorders>
          </w:tcPr>
          <w:p w14:paraId="7B89159A" w14:textId="11824DB7" w:rsidR="00977555" w:rsidRPr="006B6F4B" w:rsidRDefault="00F82AC7" w:rsidP="0013091B">
            <w:pPr>
              <w:spacing w:line="240" w:lineRule="auto"/>
              <w:ind w:right="-142"/>
              <w:jc w:val="center"/>
              <w:rPr>
                <w:sz w:val="22"/>
              </w:rPr>
            </w:pPr>
            <w:r>
              <w:rPr>
                <w:sz w:val="22"/>
              </w:rPr>
              <w:t>Variable Concept</w:t>
            </w:r>
          </w:p>
        </w:tc>
        <w:tc>
          <w:tcPr>
            <w:tcW w:w="2138" w:type="pct"/>
            <w:tcBorders>
              <w:top w:val="single" w:sz="4" w:space="0" w:color="auto"/>
              <w:left w:val="nil"/>
              <w:bottom w:val="single" w:sz="4" w:space="0" w:color="auto"/>
              <w:right w:val="nil"/>
            </w:tcBorders>
          </w:tcPr>
          <w:p w14:paraId="550EA496" w14:textId="64F14B64" w:rsidR="00977555" w:rsidRPr="006B6F4B" w:rsidRDefault="00F82AC7" w:rsidP="0013091B">
            <w:pPr>
              <w:spacing w:line="240" w:lineRule="auto"/>
              <w:ind w:right="-142"/>
              <w:jc w:val="center"/>
              <w:rPr>
                <w:sz w:val="22"/>
              </w:rPr>
            </w:pPr>
            <w:r>
              <w:rPr>
                <w:sz w:val="22"/>
              </w:rPr>
              <w:t>Indicator</w:t>
            </w:r>
          </w:p>
        </w:tc>
        <w:tc>
          <w:tcPr>
            <w:tcW w:w="467" w:type="pct"/>
            <w:tcBorders>
              <w:top w:val="single" w:sz="4" w:space="0" w:color="auto"/>
              <w:left w:val="nil"/>
              <w:bottom w:val="single" w:sz="4" w:space="0" w:color="auto"/>
              <w:right w:val="nil"/>
            </w:tcBorders>
          </w:tcPr>
          <w:p w14:paraId="2DCD0135" w14:textId="64DDE00E" w:rsidR="00977555" w:rsidRPr="006B6F4B" w:rsidRDefault="00F82AC7" w:rsidP="0013091B">
            <w:pPr>
              <w:spacing w:line="240" w:lineRule="auto"/>
              <w:ind w:right="-142"/>
              <w:jc w:val="center"/>
              <w:rPr>
                <w:sz w:val="22"/>
              </w:rPr>
            </w:pPr>
            <w:r>
              <w:rPr>
                <w:sz w:val="22"/>
              </w:rPr>
              <w:t>Sc</w:t>
            </w:r>
            <w:r w:rsidR="00977555" w:rsidRPr="006B6F4B">
              <w:rPr>
                <w:sz w:val="22"/>
              </w:rPr>
              <w:t>a</w:t>
            </w:r>
            <w:r>
              <w:rPr>
                <w:sz w:val="22"/>
              </w:rPr>
              <w:t>le</w:t>
            </w:r>
          </w:p>
        </w:tc>
      </w:tr>
      <w:tr w:rsidR="00977555" w:rsidRPr="006B6F4B" w14:paraId="30ACFBD4" w14:textId="44D4A9EB" w:rsidTr="00977555">
        <w:trPr>
          <w:trHeight w:val="1719"/>
        </w:trPr>
        <w:tc>
          <w:tcPr>
            <w:tcW w:w="834" w:type="pct"/>
            <w:tcBorders>
              <w:top w:val="single" w:sz="4" w:space="0" w:color="auto"/>
              <w:bottom w:val="nil"/>
              <w:right w:val="nil"/>
            </w:tcBorders>
          </w:tcPr>
          <w:p w14:paraId="16FA0C51" w14:textId="7D68043D" w:rsidR="00977555" w:rsidRPr="006B6F4B" w:rsidRDefault="00977555" w:rsidP="0013091B">
            <w:pPr>
              <w:spacing w:line="240" w:lineRule="auto"/>
              <w:ind w:right="-142"/>
              <w:rPr>
                <w:sz w:val="20"/>
                <w:szCs w:val="20"/>
              </w:rPr>
            </w:pPr>
            <w:r w:rsidRPr="006B6F4B">
              <w:rPr>
                <w:sz w:val="20"/>
                <w:szCs w:val="20"/>
              </w:rPr>
              <w:t>Intellectual Capital (X1)</w:t>
            </w:r>
          </w:p>
        </w:tc>
        <w:tc>
          <w:tcPr>
            <w:tcW w:w="1560" w:type="pct"/>
            <w:tcBorders>
              <w:top w:val="single" w:sz="4" w:space="0" w:color="auto"/>
              <w:left w:val="nil"/>
              <w:bottom w:val="nil"/>
              <w:right w:val="nil"/>
            </w:tcBorders>
          </w:tcPr>
          <w:p w14:paraId="11B73095" w14:textId="4F013D35" w:rsidR="00977555" w:rsidRPr="006B6F4B" w:rsidRDefault="00B62173" w:rsidP="00B62173">
            <w:pPr>
              <w:spacing w:line="240" w:lineRule="auto"/>
              <w:ind w:right="-13"/>
              <w:rPr>
                <w:sz w:val="20"/>
                <w:szCs w:val="20"/>
              </w:rPr>
            </w:pPr>
            <w:r w:rsidRPr="00B62173">
              <w:rPr>
                <w:sz w:val="20"/>
                <w:szCs w:val="20"/>
              </w:rPr>
              <w:t>Intellectual capital is the term given to a combination of intangible assets, intellectual property, employees and company infrastructure which can then function properly (</w:t>
            </w:r>
            <w:proofErr w:type="spellStart"/>
            <w:r w:rsidRPr="00B62173">
              <w:rPr>
                <w:sz w:val="20"/>
                <w:szCs w:val="20"/>
              </w:rPr>
              <w:t>Ulum</w:t>
            </w:r>
            <w:proofErr w:type="spellEnd"/>
            <w:r w:rsidRPr="00B62173">
              <w:rPr>
                <w:sz w:val="20"/>
                <w:szCs w:val="20"/>
              </w:rPr>
              <w:t>, 2017: 82)</w:t>
            </w:r>
          </w:p>
        </w:tc>
        <w:tc>
          <w:tcPr>
            <w:tcW w:w="2138" w:type="pct"/>
            <w:tcBorders>
              <w:top w:val="single" w:sz="4" w:space="0" w:color="auto"/>
              <w:left w:val="nil"/>
              <w:bottom w:val="nil"/>
              <w:right w:val="nil"/>
            </w:tcBorders>
          </w:tcPr>
          <w:p w14:paraId="21874425" w14:textId="4756C9ED" w:rsidR="00977555" w:rsidRPr="006B6F4B" w:rsidRDefault="00977555" w:rsidP="00B62173">
            <w:pPr>
              <w:spacing w:line="240" w:lineRule="auto"/>
              <w:ind w:left="826" w:right="-142" w:hanging="826"/>
              <w:jc w:val="center"/>
              <w:rPr>
                <w:sz w:val="20"/>
                <w:szCs w:val="20"/>
              </w:rPr>
            </w:pPr>
            <w:r w:rsidRPr="006B6F4B">
              <w:rPr>
                <w:sz w:val="20"/>
                <w:szCs w:val="20"/>
              </w:rPr>
              <w:t>MVAIC = HCE + CEE + SCE + RCE</w:t>
            </w:r>
          </w:p>
          <w:p w14:paraId="5D4E06C6" w14:textId="0E991834" w:rsidR="00977555" w:rsidRPr="006B6F4B" w:rsidRDefault="00977555" w:rsidP="00B62173">
            <w:pPr>
              <w:spacing w:line="240" w:lineRule="auto"/>
              <w:ind w:right="-142"/>
              <w:jc w:val="center"/>
              <w:rPr>
                <w:sz w:val="20"/>
                <w:szCs w:val="20"/>
              </w:rPr>
            </w:pPr>
            <w:r w:rsidRPr="006B6F4B">
              <w:rPr>
                <w:sz w:val="20"/>
                <w:szCs w:val="20"/>
              </w:rPr>
              <w:t>(</w:t>
            </w:r>
            <w:proofErr w:type="spellStart"/>
            <w:r w:rsidRPr="006B6F4B">
              <w:rPr>
                <w:sz w:val="20"/>
                <w:szCs w:val="20"/>
              </w:rPr>
              <w:t>Ulum</w:t>
            </w:r>
            <w:proofErr w:type="spellEnd"/>
            <w:r w:rsidRPr="006B6F4B">
              <w:rPr>
                <w:sz w:val="20"/>
                <w:szCs w:val="20"/>
              </w:rPr>
              <w:t>, 2017:124)</w:t>
            </w:r>
          </w:p>
          <w:p w14:paraId="3BCF7D99" w14:textId="77777777" w:rsidR="00977555" w:rsidRPr="006B6F4B" w:rsidRDefault="00977555" w:rsidP="00B62173">
            <w:pPr>
              <w:spacing w:line="240" w:lineRule="auto"/>
              <w:ind w:left="209" w:right="-142" w:hanging="209"/>
              <w:jc w:val="center"/>
              <w:rPr>
                <w:sz w:val="20"/>
                <w:szCs w:val="20"/>
              </w:rPr>
            </w:pPr>
          </w:p>
        </w:tc>
        <w:tc>
          <w:tcPr>
            <w:tcW w:w="467" w:type="pct"/>
            <w:tcBorders>
              <w:top w:val="single" w:sz="4" w:space="0" w:color="auto"/>
              <w:left w:val="nil"/>
              <w:bottom w:val="nil"/>
              <w:right w:val="nil"/>
            </w:tcBorders>
          </w:tcPr>
          <w:p w14:paraId="22123CA3" w14:textId="45927437" w:rsidR="00977555" w:rsidRPr="006B6F4B" w:rsidRDefault="00B62173" w:rsidP="0013091B">
            <w:pPr>
              <w:spacing w:line="240" w:lineRule="auto"/>
              <w:ind w:right="-142"/>
              <w:jc w:val="center"/>
              <w:rPr>
                <w:sz w:val="20"/>
                <w:szCs w:val="20"/>
              </w:rPr>
            </w:pPr>
            <w:r>
              <w:rPr>
                <w:sz w:val="20"/>
                <w:szCs w:val="20"/>
              </w:rPr>
              <w:t>Rat</w:t>
            </w:r>
            <w:r w:rsidR="00977555" w:rsidRPr="006B6F4B">
              <w:rPr>
                <w:sz w:val="20"/>
                <w:szCs w:val="20"/>
              </w:rPr>
              <w:t>io</w:t>
            </w:r>
          </w:p>
        </w:tc>
      </w:tr>
      <w:tr w:rsidR="00977555" w:rsidRPr="006B6F4B" w14:paraId="4B8A45DC" w14:textId="42235100" w:rsidTr="00977555">
        <w:tc>
          <w:tcPr>
            <w:tcW w:w="834" w:type="pct"/>
            <w:tcBorders>
              <w:top w:val="nil"/>
              <w:bottom w:val="nil"/>
              <w:right w:val="nil"/>
            </w:tcBorders>
          </w:tcPr>
          <w:p w14:paraId="7745B9D9" w14:textId="339E18EC" w:rsidR="00977555" w:rsidRPr="006B6F4B" w:rsidRDefault="00B62173" w:rsidP="0013091B">
            <w:pPr>
              <w:spacing w:line="240" w:lineRule="auto"/>
              <w:ind w:right="-142"/>
              <w:rPr>
                <w:sz w:val="20"/>
                <w:szCs w:val="20"/>
              </w:rPr>
            </w:pPr>
            <w:r>
              <w:rPr>
                <w:sz w:val="20"/>
                <w:szCs w:val="20"/>
              </w:rPr>
              <w:t>Firm Size</w:t>
            </w:r>
            <w:r w:rsidR="00977555" w:rsidRPr="006B6F4B">
              <w:rPr>
                <w:sz w:val="20"/>
                <w:szCs w:val="20"/>
              </w:rPr>
              <w:t xml:space="preserve"> (X2)</w:t>
            </w:r>
          </w:p>
        </w:tc>
        <w:tc>
          <w:tcPr>
            <w:tcW w:w="1560" w:type="pct"/>
            <w:tcBorders>
              <w:top w:val="nil"/>
              <w:left w:val="nil"/>
              <w:bottom w:val="nil"/>
              <w:right w:val="nil"/>
            </w:tcBorders>
          </w:tcPr>
          <w:p w14:paraId="01A59D29" w14:textId="415D33EC" w:rsidR="00977555" w:rsidRPr="006B6F4B" w:rsidRDefault="00B62173" w:rsidP="00977555">
            <w:pPr>
              <w:spacing w:line="240" w:lineRule="auto"/>
              <w:ind w:right="-13"/>
              <w:rPr>
                <w:sz w:val="20"/>
                <w:szCs w:val="20"/>
              </w:rPr>
            </w:pPr>
            <w:r>
              <w:rPr>
                <w:sz w:val="20"/>
                <w:szCs w:val="20"/>
              </w:rPr>
              <w:t>Firm size</w:t>
            </w:r>
            <w:r w:rsidRPr="00B62173">
              <w:rPr>
                <w:sz w:val="20"/>
                <w:szCs w:val="20"/>
              </w:rPr>
              <w:t xml:space="preserve"> is a scale which can classify the size of the company according to various ways (total assets, log size, market value of shares, etc.).</w:t>
            </w:r>
          </w:p>
          <w:p w14:paraId="48F79EC3" w14:textId="3A9BFBFA" w:rsidR="00977555" w:rsidRPr="006B6F4B" w:rsidRDefault="00934791" w:rsidP="0013091B">
            <w:pPr>
              <w:spacing w:line="240" w:lineRule="auto"/>
              <w:ind w:right="-142"/>
              <w:rPr>
                <w:sz w:val="20"/>
                <w:szCs w:val="20"/>
              </w:rPr>
            </w:pPr>
            <w:r w:rsidRPr="006B6F4B">
              <w:rPr>
                <w:sz w:val="20"/>
                <w:szCs w:val="20"/>
              </w:rPr>
              <w:t>(</w:t>
            </w:r>
            <w:proofErr w:type="spellStart"/>
            <w:r w:rsidRPr="006B6F4B">
              <w:rPr>
                <w:sz w:val="20"/>
                <w:szCs w:val="20"/>
              </w:rPr>
              <w:t>Jogiyanto</w:t>
            </w:r>
            <w:proofErr w:type="spellEnd"/>
            <w:r w:rsidRPr="006B6F4B">
              <w:rPr>
                <w:sz w:val="20"/>
                <w:szCs w:val="20"/>
              </w:rPr>
              <w:t xml:space="preserve">, </w:t>
            </w:r>
            <w:r w:rsidR="00977555" w:rsidRPr="006B6F4B">
              <w:rPr>
                <w:sz w:val="20"/>
                <w:szCs w:val="20"/>
              </w:rPr>
              <w:t>2014:282)</w:t>
            </w:r>
          </w:p>
        </w:tc>
        <w:tc>
          <w:tcPr>
            <w:tcW w:w="2138" w:type="pct"/>
            <w:tcBorders>
              <w:top w:val="nil"/>
              <w:left w:val="nil"/>
              <w:bottom w:val="nil"/>
              <w:right w:val="nil"/>
            </w:tcBorders>
          </w:tcPr>
          <w:p w14:paraId="255ACC6E" w14:textId="70CF2A69" w:rsidR="00977555" w:rsidRPr="006B6F4B" w:rsidRDefault="00B62173" w:rsidP="00B62173">
            <w:pPr>
              <w:spacing w:line="240" w:lineRule="auto"/>
              <w:ind w:right="-142"/>
              <w:jc w:val="center"/>
              <w:rPr>
                <w:sz w:val="20"/>
                <w:szCs w:val="20"/>
              </w:rPr>
            </w:pPr>
            <w:r>
              <w:rPr>
                <w:sz w:val="20"/>
                <w:szCs w:val="20"/>
              </w:rPr>
              <w:t xml:space="preserve">Firm Size </w:t>
            </w:r>
            <w:r w:rsidR="00977555" w:rsidRPr="006B6F4B">
              <w:rPr>
                <w:sz w:val="20"/>
                <w:szCs w:val="20"/>
              </w:rPr>
              <w:t>= Ln Total Aset</w:t>
            </w:r>
          </w:p>
          <w:p w14:paraId="5E926C17" w14:textId="276165BD" w:rsidR="00977555" w:rsidRPr="006B6F4B" w:rsidRDefault="00977555" w:rsidP="00B62173">
            <w:pPr>
              <w:spacing w:line="240" w:lineRule="auto"/>
              <w:ind w:right="-142"/>
              <w:jc w:val="center"/>
              <w:rPr>
                <w:sz w:val="20"/>
                <w:szCs w:val="20"/>
              </w:rPr>
            </w:pPr>
            <w:proofErr w:type="spellStart"/>
            <w:r w:rsidRPr="006B6F4B">
              <w:rPr>
                <w:sz w:val="20"/>
                <w:szCs w:val="20"/>
              </w:rPr>
              <w:t>Jogiyanto</w:t>
            </w:r>
            <w:proofErr w:type="spellEnd"/>
            <w:r w:rsidRPr="006B6F4B">
              <w:rPr>
                <w:sz w:val="20"/>
                <w:szCs w:val="20"/>
              </w:rPr>
              <w:t xml:space="preserve"> (2014:282)</w:t>
            </w:r>
          </w:p>
        </w:tc>
        <w:tc>
          <w:tcPr>
            <w:tcW w:w="467" w:type="pct"/>
            <w:tcBorders>
              <w:top w:val="nil"/>
              <w:left w:val="nil"/>
              <w:bottom w:val="nil"/>
              <w:right w:val="nil"/>
            </w:tcBorders>
          </w:tcPr>
          <w:p w14:paraId="3249929C" w14:textId="43353C41" w:rsidR="00977555" w:rsidRPr="006B6F4B" w:rsidRDefault="00B62173" w:rsidP="0013091B">
            <w:pPr>
              <w:spacing w:line="240" w:lineRule="auto"/>
              <w:ind w:right="-142"/>
              <w:jc w:val="center"/>
              <w:rPr>
                <w:sz w:val="20"/>
                <w:szCs w:val="20"/>
              </w:rPr>
            </w:pPr>
            <w:r>
              <w:rPr>
                <w:sz w:val="20"/>
                <w:szCs w:val="20"/>
              </w:rPr>
              <w:t>Rat</w:t>
            </w:r>
            <w:r w:rsidR="00977555" w:rsidRPr="006B6F4B">
              <w:rPr>
                <w:sz w:val="20"/>
                <w:szCs w:val="20"/>
              </w:rPr>
              <w:t>io</w:t>
            </w:r>
          </w:p>
        </w:tc>
      </w:tr>
      <w:tr w:rsidR="00977555" w:rsidRPr="006B6F4B" w14:paraId="41E84A99" w14:textId="44341332" w:rsidTr="00977555">
        <w:tc>
          <w:tcPr>
            <w:tcW w:w="834" w:type="pct"/>
            <w:tcBorders>
              <w:top w:val="nil"/>
              <w:bottom w:val="single" w:sz="4" w:space="0" w:color="auto"/>
              <w:right w:val="nil"/>
            </w:tcBorders>
          </w:tcPr>
          <w:p w14:paraId="12A6E4F0" w14:textId="01A1DBEC" w:rsidR="00977555" w:rsidRPr="006B6F4B" w:rsidRDefault="00B62173" w:rsidP="0013091B">
            <w:pPr>
              <w:spacing w:line="240" w:lineRule="auto"/>
              <w:ind w:right="-142"/>
              <w:rPr>
                <w:sz w:val="20"/>
                <w:szCs w:val="20"/>
              </w:rPr>
            </w:pPr>
            <w:r>
              <w:rPr>
                <w:sz w:val="20"/>
                <w:szCs w:val="20"/>
              </w:rPr>
              <w:t>Profitability</w:t>
            </w:r>
            <w:r w:rsidR="00977555" w:rsidRPr="006B6F4B">
              <w:rPr>
                <w:sz w:val="20"/>
                <w:szCs w:val="20"/>
              </w:rPr>
              <w:t>(Y)</w:t>
            </w:r>
          </w:p>
        </w:tc>
        <w:tc>
          <w:tcPr>
            <w:tcW w:w="1560" w:type="pct"/>
            <w:tcBorders>
              <w:top w:val="nil"/>
              <w:left w:val="nil"/>
              <w:bottom w:val="single" w:sz="4" w:space="0" w:color="auto"/>
              <w:right w:val="nil"/>
            </w:tcBorders>
          </w:tcPr>
          <w:p w14:paraId="27A980C3" w14:textId="778C531E" w:rsidR="00977555" w:rsidRPr="006B6F4B" w:rsidRDefault="00B62173" w:rsidP="00B62173">
            <w:pPr>
              <w:spacing w:line="240" w:lineRule="auto"/>
              <w:ind w:right="-13"/>
              <w:rPr>
                <w:sz w:val="20"/>
                <w:szCs w:val="20"/>
              </w:rPr>
            </w:pPr>
            <w:r w:rsidRPr="00B62173">
              <w:rPr>
                <w:sz w:val="20"/>
                <w:szCs w:val="20"/>
              </w:rPr>
              <w:t>The profitability ratio is a ratio to assess a company's ability to make a profit</w:t>
            </w:r>
            <w:r w:rsidR="00977555" w:rsidRPr="006B6F4B">
              <w:rPr>
                <w:sz w:val="20"/>
                <w:szCs w:val="20"/>
              </w:rPr>
              <w:t xml:space="preserve"> </w:t>
            </w:r>
            <w:r w:rsidR="00934791" w:rsidRPr="006B6F4B">
              <w:rPr>
                <w:sz w:val="20"/>
                <w:szCs w:val="20"/>
              </w:rPr>
              <w:t>(Kasmir, 2018:196)</w:t>
            </w:r>
          </w:p>
        </w:tc>
        <w:tc>
          <w:tcPr>
            <w:tcW w:w="2138" w:type="pct"/>
            <w:tcBorders>
              <w:top w:val="nil"/>
              <w:left w:val="nil"/>
              <w:bottom w:val="single" w:sz="4" w:space="0" w:color="auto"/>
              <w:right w:val="nil"/>
            </w:tcBorders>
          </w:tcPr>
          <w:p w14:paraId="37864B27" w14:textId="39BF6DA4" w:rsidR="00977555" w:rsidRPr="006B6F4B" w:rsidRDefault="00977555" w:rsidP="00B62173">
            <w:pPr>
              <w:spacing w:line="240" w:lineRule="auto"/>
              <w:ind w:right="-142"/>
              <w:jc w:val="center"/>
              <w:rPr>
                <w:sz w:val="20"/>
                <w:szCs w:val="20"/>
              </w:rPr>
            </w:pPr>
            <w:r w:rsidRPr="006B6F4B">
              <w:rPr>
                <w:sz w:val="20"/>
                <w:szCs w:val="20"/>
              </w:rPr>
              <w:t>ROA=</w:t>
            </w:r>
            <m:oMath>
              <m:f>
                <m:fPr>
                  <m:ctrlPr>
                    <w:rPr>
                      <w:rFonts w:ascii="Cambria Math" w:hAnsi="Cambria Math"/>
                      <w:szCs w:val="24"/>
                    </w:rPr>
                  </m:ctrlPr>
                </m:fPr>
                <m:num>
                  <m:r>
                    <m:rPr>
                      <m:sty m:val="p"/>
                    </m:rPr>
                    <w:rPr>
                      <w:rFonts w:ascii="Cambria Math" w:hAnsi="Cambria Math"/>
                      <w:szCs w:val="24"/>
                    </w:rPr>
                    <m:t>Net Profit</m:t>
                  </m:r>
                </m:num>
                <m:den>
                  <m:r>
                    <m:rPr>
                      <m:sty m:val="p"/>
                    </m:rPr>
                    <w:rPr>
                      <w:rFonts w:ascii="Cambria Math" w:hAnsi="Cambria Math"/>
                      <w:szCs w:val="24"/>
                    </w:rPr>
                    <m:t>Total Assets</m:t>
                  </m:r>
                </m:den>
              </m:f>
            </m:oMath>
            <w:r w:rsidRPr="006B6F4B">
              <w:rPr>
                <w:sz w:val="20"/>
                <w:szCs w:val="20"/>
              </w:rPr>
              <w:t>x100%</w:t>
            </w:r>
          </w:p>
          <w:p w14:paraId="2CBD8DCF" w14:textId="1D4CC3E2" w:rsidR="00977555" w:rsidRPr="006B6F4B" w:rsidRDefault="00934791" w:rsidP="00B62173">
            <w:pPr>
              <w:spacing w:line="240" w:lineRule="auto"/>
              <w:ind w:right="-142"/>
              <w:jc w:val="center"/>
              <w:rPr>
                <w:sz w:val="20"/>
                <w:szCs w:val="20"/>
              </w:rPr>
            </w:pPr>
            <w:r w:rsidRPr="006B6F4B">
              <w:rPr>
                <w:sz w:val="20"/>
                <w:szCs w:val="20"/>
              </w:rPr>
              <w:t>(Kasmir, 2018:201)</w:t>
            </w:r>
          </w:p>
        </w:tc>
        <w:tc>
          <w:tcPr>
            <w:tcW w:w="467" w:type="pct"/>
            <w:tcBorders>
              <w:top w:val="nil"/>
              <w:left w:val="nil"/>
              <w:bottom w:val="single" w:sz="4" w:space="0" w:color="auto"/>
              <w:right w:val="nil"/>
            </w:tcBorders>
          </w:tcPr>
          <w:p w14:paraId="7EF61749" w14:textId="29E4DCAA" w:rsidR="00977555" w:rsidRPr="006B6F4B" w:rsidRDefault="00B62173" w:rsidP="0013091B">
            <w:pPr>
              <w:spacing w:line="240" w:lineRule="auto"/>
              <w:ind w:right="-142"/>
              <w:jc w:val="center"/>
              <w:rPr>
                <w:sz w:val="20"/>
                <w:szCs w:val="20"/>
              </w:rPr>
            </w:pPr>
            <w:r>
              <w:rPr>
                <w:sz w:val="20"/>
                <w:szCs w:val="20"/>
              </w:rPr>
              <w:t>Rat</w:t>
            </w:r>
            <w:r w:rsidR="00977555" w:rsidRPr="006B6F4B">
              <w:rPr>
                <w:sz w:val="20"/>
                <w:szCs w:val="20"/>
              </w:rPr>
              <w:t>io</w:t>
            </w:r>
          </w:p>
        </w:tc>
      </w:tr>
    </w:tbl>
    <w:p w14:paraId="1FBA2BBF" w14:textId="63B3BD04" w:rsidR="006D1E9F" w:rsidRPr="006B6F4B" w:rsidRDefault="006D1E9F" w:rsidP="005749F3">
      <w:pPr>
        <w:spacing w:line="240" w:lineRule="auto"/>
        <w:ind w:right="-142"/>
        <w:rPr>
          <w:b/>
          <w:sz w:val="22"/>
        </w:rPr>
      </w:pPr>
    </w:p>
    <w:p w14:paraId="0A38BA10" w14:textId="6A56DD03" w:rsidR="007B69C1" w:rsidRPr="006B6F4B" w:rsidRDefault="009322B3" w:rsidP="007B69C1">
      <w:pPr>
        <w:spacing w:line="240" w:lineRule="auto"/>
        <w:ind w:right="-142"/>
        <w:rPr>
          <w:sz w:val="22"/>
        </w:rPr>
      </w:pPr>
      <w:r w:rsidRPr="006B6F4B">
        <w:rPr>
          <w:b/>
          <w:sz w:val="22"/>
        </w:rPr>
        <w:tab/>
      </w:r>
      <w:r w:rsidR="000202FB" w:rsidRPr="000202FB">
        <w:rPr>
          <w:sz w:val="22"/>
        </w:rPr>
        <w:t xml:space="preserve">In this study, to determine the effect of intellectual capital and </w:t>
      </w:r>
      <w:r w:rsidR="00D406DC">
        <w:rPr>
          <w:sz w:val="22"/>
        </w:rPr>
        <w:t>firm size</w:t>
      </w:r>
      <w:r w:rsidR="000202FB" w:rsidRPr="000202FB">
        <w:rPr>
          <w:sz w:val="22"/>
        </w:rPr>
        <w:t xml:space="preserve"> on profitability in property and real estate sub-sector companies listed on the Indonesia Stock Exchange, it will be analyzed using an analytical technique in the form of multiple regression analysis which is an analytical tool to measure the magnitude of the influence of more than one independent variable to one dependent variable as a predictor factor with the following equation model:</w:t>
      </w:r>
    </w:p>
    <w:p w14:paraId="3D46A9CA" w14:textId="072D50C0" w:rsidR="007B69C1" w:rsidRPr="006B6F4B" w:rsidRDefault="007B69C1" w:rsidP="007B69C1">
      <w:pPr>
        <w:spacing w:line="240" w:lineRule="auto"/>
        <w:ind w:right="-142"/>
        <w:jc w:val="center"/>
        <w:rPr>
          <w:sz w:val="22"/>
        </w:rPr>
      </w:pPr>
      <w:r w:rsidRPr="006B6F4B">
        <w:rPr>
          <w:sz w:val="22"/>
        </w:rPr>
        <w:t>Y = ß</w:t>
      </w:r>
      <w:r w:rsidRPr="006B6F4B">
        <w:rPr>
          <w:sz w:val="22"/>
          <w:vertAlign w:val="subscript"/>
        </w:rPr>
        <w:t>0</w:t>
      </w:r>
      <w:r w:rsidRPr="006B6F4B">
        <w:rPr>
          <w:sz w:val="22"/>
        </w:rPr>
        <w:t xml:space="preserve"> + b</w:t>
      </w:r>
      <w:r w:rsidRPr="006B6F4B">
        <w:rPr>
          <w:sz w:val="22"/>
          <w:vertAlign w:val="subscript"/>
        </w:rPr>
        <w:t>1</w:t>
      </w:r>
      <w:r w:rsidRPr="006B6F4B">
        <w:rPr>
          <w:sz w:val="22"/>
        </w:rPr>
        <w:t xml:space="preserve"> X</w:t>
      </w:r>
      <w:r w:rsidRPr="006B6F4B">
        <w:rPr>
          <w:sz w:val="22"/>
          <w:vertAlign w:val="subscript"/>
        </w:rPr>
        <w:t>1</w:t>
      </w:r>
      <w:r w:rsidRPr="006B6F4B">
        <w:rPr>
          <w:sz w:val="22"/>
        </w:rPr>
        <w:t xml:space="preserve"> + b</w:t>
      </w:r>
      <w:r w:rsidRPr="006B6F4B">
        <w:rPr>
          <w:sz w:val="22"/>
          <w:vertAlign w:val="subscript"/>
        </w:rPr>
        <w:t>2</w:t>
      </w:r>
      <w:r w:rsidRPr="006B6F4B">
        <w:rPr>
          <w:sz w:val="22"/>
        </w:rPr>
        <w:t xml:space="preserve"> X</w:t>
      </w:r>
      <w:r w:rsidRPr="006B6F4B">
        <w:rPr>
          <w:sz w:val="22"/>
          <w:vertAlign w:val="subscript"/>
        </w:rPr>
        <w:t xml:space="preserve">2 </w:t>
      </w:r>
      <w:r w:rsidRPr="006B6F4B">
        <w:rPr>
          <w:sz w:val="22"/>
        </w:rPr>
        <w:t>+ e</w:t>
      </w:r>
    </w:p>
    <w:p w14:paraId="01673360" w14:textId="3A89015C" w:rsidR="009322B3" w:rsidRPr="006B6F4B" w:rsidRDefault="000202FB" w:rsidP="000202FB">
      <w:pPr>
        <w:spacing w:line="240" w:lineRule="auto"/>
        <w:ind w:right="-142" w:firstLine="720"/>
        <w:rPr>
          <w:sz w:val="22"/>
        </w:rPr>
      </w:pPr>
      <w:r w:rsidRPr="000202FB">
        <w:rPr>
          <w:sz w:val="22"/>
        </w:rPr>
        <w:t>Where Y is the dependent variable (profitability), X</w:t>
      </w:r>
      <w:r w:rsidRPr="000202FB">
        <w:rPr>
          <w:sz w:val="22"/>
          <w:vertAlign w:val="subscript"/>
        </w:rPr>
        <w:t xml:space="preserve">1 </w:t>
      </w:r>
      <w:r w:rsidRPr="000202FB">
        <w:rPr>
          <w:sz w:val="22"/>
        </w:rPr>
        <w:t>independent variable (intellectual capital), X</w:t>
      </w:r>
      <w:r w:rsidRPr="000202FB">
        <w:rPr>
          <w:sz w:val="22"/>
          <w:vertAlign w:val="subscript"/>
        </w:rPr>
        <w:t>2</w:t>
      </w:r>
      <w:r w:rsidRPr="000202FB">
        <w:rPr>
          <w:sz w:val="22"/>
        </w:rPr>
        <w:t xml:space="preserve"> independent variable (</w:t>
      </w:r>
      <w:r w:rsidR="00D406DC">
        <w:rPr>
          <w:sz w:val="22"/>
        </w:rPr>
        <w:t>firm size</w:t>
      </w:r>
      <w:r w:rsidRPr="000202FB">
        <w:rPr>
          <w:sz w:val="22"/>
        </w:rPr>
        <w:t>), ß</w:t>
      </w:r>
      <w:r w:rsidRPr="000202FB">
        <w:rPr>
          <w:sz w:val="22"/>
          <w:vertAlign w:val="subscript"/>
        </w:rPr>
        <w:t>0</w:t>
      </w:r>
      <w:r w:rsidRPr="000202FB">
        <w:rPr>
          <w:sz w:val="22"/>
        </w:rPr>
        <w:t xml:space="preserve"> (constant), b</w:t>
      </w:r>
      <w:r w:rsidRPr="000202FB">
        <w:rPr>
          <w:sz w:val="22"/>
          <w:vertAlign w:val="subscript"/>
        </w:rPr>
        <w:t>1</w:t>
      </w:r>
      <w:r w:rsidRPr="000202FB">
        <w:rPr>
          <w:sz w:val="22"/>
        </w:rPr>
        <w:t xml:space="preserve"> (regression coefficient of intellectual capital independent variable), b</w:t>
      </w:r>
      <w:r w:rsidRPr="000202FB">
        <w:rPr>
          <w:sz w:val="22"/>
          <w:vertAlign w:val="subscript"/>
        </w:rPr>
        <w:t>2</w:t>
      </w:r>
      <w:r w:rsidRPr="000202FB">
        <w:rPr>
          <w:sz w:val="22"/>
        </w:rPr>
        <w:t xml:space="preserve"> (regression coefficient of firm size independent variable) and e (error)(residual).</w:t>
      </w:r>
    </w:p>
    <w:p w14:paraId="56975905" w14:textId="0D5E7F2C" w:rsidR="00F96AD4" w:rsidRPr="006B6F4B" w:rsidRDefault="009E42A2" w:rsidP="00F96AD4">
      <w:pPr>
        <w:spacing w:line="240" w:lineRule="auto"/>
        <w:ind w:right="-142"/>
        <w:jc w:val="center"/>
        <w:rPr>
          <w:b/>
          <w:sz w:val="22"/>
        </w:rPr>
      </w:pPr>
      <w:r w:rsidRPr="006B6F4B">
        <w:rPr>
          <w:b/>
          <w:sz w:val="22"/>
        </w:rPr>
        <w:lastRenderedPageBreak/>
        <w:t>RESULT</w:t>
      </w:r>
      <w:r w:rsidR="002947F5" w:rsidRPr="006B6F4B">
        <w:rPr>
          <w:b/>
          <w:sz w:val="22"/>
        </w:rPr>
        <w:t>S</w:t>
      </w:r>
    </w:p>
    <w:p w14:paraId="7D41725A" w14:textId="15D40399" w:rsidR="00F96AD4" w:rsidRPr="006B6F4B" w:rsidRDefault="00F96AD4" w:rsidP="00F96AD4">
      <w:pPr>
        <w:spacing w:line="240" w:lineRule="auto"/>
        <w:ind w:right="-142"/>
        <w:jc w:val="center"/>
        <w:rPr>
          <w:b/>
          <w:sz w:val="22"/>
        </w:rPr>
      </w:pPr>
    </w:p>
    <w:p w14:paraId="626B5C4A" w14:textId="01FA35D5" w:rsidR="000202FB" w:rsidRPr="000202FB" w:rsidRDefault="00F96AD4" w:rsidP="000202FB">
      <w:pPr>
        <w:spacing w:line="240" w:lineRule="auto"/>
        <w:ind w:right="-142"/>
        <w:rPr>
          <w:sz w:val="22"/>
        </w:rPr>
      </w:pPr>
      <w:r w:rsidRPr="006B6F4B">
        <w:rPr>
          <w:b/>
          <w:sz w:val="22"/>
        </w:rPr>
        <w:tab/>
      </w:r>
      <w:r w:rsidR="000202FB" w:rsidRPr="000202FB">
        <w:rPr>
          <w:sz w:val="22"/>
        </w:rPr>
        <w:t xml:space="preserve">The following are the results of descriptive statistics of the intellectual capital variable, </w:t>
      </w:r>
      <w:r w:rsidR="00D406DC">
        <w:rPr>
          <w:sz w:val="22"/>
        </w:rPr>
        <w:t>firm size</w:t>
      </w:r>
      <w:r w:rsidR="000202FB" w:rsidRPr="000202FB">
        <w:rPr>
          <w:sz w:val="22"/>
        </w:rPr>
        <w:t xml:space="preserve"> and profitability can be seen in Table 3 which has the results of descriptive statistical tests showing that the modified value added intellectual coefficient (MVAIC) has a minimum value of -40.19 occurring in 2016, while the maximum value of 51.41 will occur in 2021. The mean value of 4.1684 is smaller than the standard deviation value of 6.10900 indicating that intellectual capital in property and real estate sector companies listed on the Indonesia Stock Exchange in 2010-2021 varies widely.</w:t>
      </w:r>
    </w:p>
    <w:p w14:paraId="33440CDD" w14:textId="3DE821D6" w:rsidR="000C079F" w:rsidRPr="006B6F4B" w:rsidRDefault="000202FB" w:rsidP="00F96AD4">
      <w:pPr>
        <w:spacing w:line="240" w:lineRule="auto"/>
        <w:ind w:right="-142"/>
        <w:rPr>
          <w:sz w:val="22"/>
        </w:rPr>
      </w:pPr>
      <w:r>
        <w:rPr>
          <w:sz w:val="22"/>
        </w:rPr>
        <w:tab/>
      </w:r>
      <w:r w:rsidRPr="000202FB">
        <w:rPr>
          <w:sz w:val="22"/>
        </w:rPr>
        <w:t xml:space="preserve">The natural logarithm of total assets (LNTA) has a minimum value of 24.97 in 2021, while a maximum value of 31.75 occurs in 2021. The mean value of 28.9371 is greater than the standard deviation value of 1.64801 indicating that </w:t>
      </w:r>
      <w:r w:rsidR="00D406DC">
        <w:rPr>
          <w:sz w:val="22"/>
        </w:rPr>
        <w:t>firm size</w:t>
      </w:r>
      <w:r w:rsidRPr="000202FB">
        <w:rPr>
          <w:sz w:val="22"/>
        </w:rPr>
        <w:t xml:space="preserve"> is in the property and real sector companies. estates listed on the Indonesia Stock Exchange in 2010-2021 are relatively homogeneous</w:t>
      </w:r>
    </w:p>
    <w:p w14:paraId="4CC5F854" w14:textId="67360A44" w:rsidR="00F96AD4" w:rsidRPr="006B6F4B" w:rsidRDefault="000C079F" w:rsidP="00E40516">
      <w:pPr>
        <w:spacing w:line="240" w:lineRule="auto"/>
        <w:ind w:right="-142"/>
        <w:rPr>
          <w:sz w:val="22"/>
        </w:rPr>
      </w:pPr>
      <w:r w:rsidRPr="006B6F4B">
        <w:rPr>
          <w:sz w:val="22"/>
        </w:rPr>
        <w:tab/>
      </w:r>
      <w:r w:rsidR="000202FB" w:rsidRPr="000202FB">
        <w:rPr>
          <w:sz w:val="22"/>
        </w:rPr>
        <w:t xml:space="preserve">Return on assets (ROA) has a minimum value of -37.52 in 2020, while a maximum value of 35.89 occurs in 2016. The mean value of 3.5055 is smaller than the standard deviation value of 6.57749 indicating that </w:t>
      </w:r>
      <w:r w:rsidR="00D406DC">
        <w:rPr>
          <w:sz w:val="22"/>
        </w:rPr>
        <w:t>firm size</w:t>
      </w:r>
      <w:r w:rsidR="000202FB" w:rsidRPr="000202FB">
        <w:rPr>
          <w:sz w:val="22"/>
        </w:rPr>
        <w:t xml:space="preserve"> is in the pro</w:t>
      </w:r>
      <w:r w:rsidR="00F82AC7">
        <w:rPr>
          <w:sz w:val="22"/>
        </w:rPr>
        <w:t xml:space="preserve">perty and real sector </w:t>
      </w:r>
      <w:proofErr w:type="gramStart"/>
      <w:r w:rsidR="00F82AC7">
        <w:rPr>
          <w:sz w:val="22"/>
        </w:rPr>
        <w:t>companies</w:t>
      </w:r>
      <w:proofErr w:type="gramEnd"/>
      <w:r w:rsidR="000202FB" w:rsidRPr="000202FB">
        <w:rPr>
          <w:sz w:val="22"/>
        </w:rPr>
        <w:t xml:space="preserve"> estates listed on the Indonesia Stock Exchange in 2010-2021 vary widely.</w:t>
      </w:r>
    </w:p>
    <w:p w14:paraId="63DC4552" w14:textId="3814A1F5" w:rsidR="00F96AD4" w:rsidRPr="00F96AD4" w:rsidRDefault="00B62173" w:rsidP="00F96AD4">
      <w:pPr>
        <w:spacing w:line="240" w:lineRule="auto"/>
        <w:ind w:right="-142"/>
        <w:jc w:val="center"/>
        <w:rPr>
          <w:sz w:val="22"/>
        </w:rPr>
      </w:pPr>
      <w:r>
        <w:rPr>
          <w:sz w:val="22"/>
        </w:rPr>
        <w:t>Tab</w:t>
      </w:r>
      <w:r w:rsidR="00F96AD4">
        <w:rPr>
          <w:sz w:val="22"/>
        </w:rPr>
        <w:t>l</w:t>
      </w:r>
      <w:r>
        <w:rPr>
          <w:sz w:val="22"/>
        </w:rPr>
        <w:t>e 3. Descriptive Statistics</w:t>
      </w:r>
    </w:p>
    <w:tbl>
      <w:tblPr>
        <w:tblStyle w:val="TableGrid"/>
        <w:tblW w:w="5000" w:type="pct"/>
        <w:tblLook w:val="04A0" w:firstRow="1" w:lastRow="0" w:firstColumn="1" w:lastColumn="0" w:noHBand="0" w:noVBand="1"/>
      </w:tblPr>
      <w:tblGrid>
        <w:gridCol w:w="1887"/>
        <w:gridCol w:w="591"/>
        <w:gridCol w:w="1164"/>
        <w:gridCol w:w="1201"/>
        <w:gridCol w:w="1104"/>
        <w:gridCol w:w="990"/>
        <w:gridCol w:w="1568"/>
      </w:tblGrid>
      <w:tr w:rsidR="00F96AD4" w:rsidRPr="00F96AD4" w14:paraId="3CCF8E7B" w14:textId="77777777" w:rsidTr="00F96AD4">
        <w:tc>
          <w:tcPr>
            <w:tcW w:w="1109" w:type="pct"/>
            <w:tcBorders>
              <w:top w:val="single" w:sz="4" w:space="0" w:color="auto"/>
              <w:left w:val="nil"/>
              <w:bottom w:val="single" w:sz="4" w:space="0" w:color="auto"/>
              <w:right w:val="nil"/>
            </w:tcBorders>
          </w:tcPr>
          <w:p w14:paraId="6F6D33C4" w14:textId="77777777" w:rsidR="0011552B" w:rsidRPr="00F96AD4" w:rsidRDefault="0011552B" w:rsidP="0013091B">
            <w:pPr>
              <w:spacing w:line="240" w:lineRule="auto"/>
              <w:ind w:right="-142"/>
              <w:jc w:val="center"/>
              <w:rPr>
                <w:sz w:val="20"/>
                <w:szCs w:val="20"/>
              </w:rPr>
            </w:pPr>
          </w:p>
        </w:tc>
        <w:tc>
          <w:tcPr>
            <w:tcW w:w="347" w:type="pct"/>
            <w:tcBorders>
              <w:top w:val="single" w:sz="4" w:space="0" w:color="auto"/>
              <w:left w:val="nil"/>
              <w:bottom w:val="single" w:sz="4" w:space="0" w:color="auto"/>
              <w:right w:val="nil"/>
            </w:tcBorders>
          </w:tcPr>
          <w:p w14:paraId="4B67CA4F" w14:textId="3894E05F" w:rsidR="0011552B" w:rsidRPr="00F96AD4" w:rsidRDefault="0011552B" w:rsidP="00F82AC7">
            <w:pPr>
              <w:spacing w:line="240" w:lineRule="auto"/>
              <w:ind w:right="-142"/>
              <w:jc w:val="center"/>
              <w:rPr>
                <w:sz w:val="20"/>
                <w:szCs w:val="20"/>
              </w:rPr>
            </w:pPr>
            <w:r w:rsidRPr="00F96AD4">
              <w:rPr>
                <w:sz w:val="20"/>
                <w:szCs w:val="20"/>
              </w:rPr>
              <w:t>N</w:t>
            </w:r>
          </w:p>
        </w:tc>
        <w:tc>
          <w:tcPr>
            <w:tcW w:w="684" w:type="pct"/>
            <w:tcBorders>
              <w:top w:val="single" w:sz="4" w:space="0" w:color="auto"/>
              <w:left w:val="nil"/>
              <w:bottom w:val="single" w:sz="4" w:space="0" w:color="auto"/>
              <w:right w:val="nil"/>
            </w:tcBorders>
          </w:tcPr>
          <w:p w14:paraId="67C905F3" w14:textId="1D57E6BF" w:rsidR="0011552B" w:rsidRPr="00F96AD4" w:rsidRDefault="0011552B" w:rsidP="00F82AC7">
            <w:pPr>
              <w:spacing w:line="240" w:lineRule="auto"/>
              <w:ind w:right="-142"/>
              <w:jc w:val="center"/>
              <w:rPr>
                <w:sz w:val="20"/>
                <w:szCs w:val="20"/>
              </w:rPr>
            </w:pPr>
            <w:r w:rsidRPr="00F96AD4">
              <w:rPr>
                <w:sz w:val="20"/>
                <w:szCs w:val="20"/>
              </w:rPr>
              <w:t>Mi</w:t>
            </w:r>
            <w:r w:rsidR="00F96AD4" w:rsidRPr="00F96AD4">
              <w:rPr>
                <w:sz w:val="20"/>
                <w:szCs w:val="20"/>
              </w:rPr>
              <w:t>nimum</w:t>
            </w:r>
          </w:p>
        </w:tc>
        <w:tc>
          <w:tcPr>
            <w:tcW w:w="706" w:type="pct"/>
            <w:tcBorders>
              <w:top w:val="single" w:sz="4" w:space="0" w:color="auto"/>
              <w:left w:val="nil"/>
              <w:bottom w:val="single" w:sz="4" w:space="0" w:color="auto"/>
              <w:right w:val="nil"/>
            </w:tcBorders>
          </w:tcPr>
          <w:p w14:paraId="25F61F89" w14:textId="3A2DEA41" w:rsidR="0011552B" w:rsidRPr="00F96AD4" w:rsidRDefault="0011552B" w:rsidP="00F82AC7">
            <w:pPr>
              <w:spacing w:line="240" w:lineRule="auto"/>
              <w:ind w:right="-142"/>
              <w:jc w:val="center"/>
              <w:rPr>
                <w:sz w:val="20"/>
                <w:szCs w:val="20"/>
              </w:rPr>
            </w:pPr>
            <w:r w:rsidRPr="00F96AD4">
              <w:rPr>
                <w:sz w:val="20"/>
                <w:szCs w:val="20"/>
              </w:rPr>
              <w:t>Maximum</w:t>
            </w:r>
          </w:p>
        </w:tc>
        <w:tc>
          <w:tcPr>
            <w:tcW w:w="649" w:type="pct"/>
            <w:tcBorders>
              <w:top w:val="single" w:sz="4" w:space="0" w:color="auto"/>
              <w:left w:val="nil"/>
              <w:bottom w:val="single" w:sz="4" w:space="0" w:color="auto"/>
              <w:right w:val="nil"/>
            </w:tcBorders>
          </w:tcPr>
          <w:p w14:paraId="6E247F97" w14:textId="4609A160" w:rsidR="0011552B" w:rsidRPr="00F96AD4" w:rsidRDefault="0011552B" w:rsidP="00F82AC7">
            <w:pPr>
              <w:spacing w:line="240" w:lineRule="auto"/>
              <w:ind w:right="-142"/>
              <w:jc w:val="center"/>
              <w:rPr>
                <w:sz w:val="20"/>
                <w:szCs w:val="20"/>
              </w:rPr>
            </w:pPr>
            <w:r w:rsidRPr="00F96AD4">
              <w:rPr>
                <w:sz w:val="20"/>
                <w:szCs w:val="20"/>
              </w:rPr>
              <w:t>Sum</w:t>
            </w:r>
          </w:p>
        </w:tc>
        <w:tc>
          <w:tcPr>
            <w:tcW w:w="582" w:type="pct"/>
            <w:tcBorders>
              <w:top w:val="single" w:sz="4" w:space="0" w:color="auto"/>
              <w:left w:val="nil"/>
              <w:bottom w:val="single" w:sz="4" w:space="0" w:color="auto"/>
              <w:right w:val="nil"/>
            </w:tcBorders>
          </w:tcPr>
          <w:p w14:paraId="093FC63C" w14:textId="54682923" w:rsidR="0011552B" w:rsidRPr="00F96AD4" w:rsidRDefault="0011552B" w:rsidP="00F82AC7">
            <w:pPr>
              <w:spacing w:line="240" w:lineRule="auto"/>
              <w:ind w:right="-142"/>
              <w:jc w:val="center"/>
              <w:rPr>
                <w:sz w:val="20"/>
                <w:szCs w:val="20"/>
              </w:rPr>
            </w:pPr>
            <w:r w:rsidRPr="00F96AD4">
              <w:rPr>
                <w:sz w:val="20"/>
                <w:szCs w:val="20"/>
              </w:rPr>
              <w:t>Mean</w:t>
            </w:r>
          </w:p>
        </w:tc>
        <w:tc>
          <w:tcPr>
            <w:tcW w:w="922" w:type="pct"/>
            <w:tcBorders>
              <w:top w:val="single" w:sz="4" w:space="0" w:color="auto"/>
              <w:left w:val="nil"/>
              <w:bottom w:val="single" w:sz="4" w:space="0" w:color="auto"/>
              <w:right w:val="nil"/>
            </w:tcBorders>
          </w:tcPr>
          <w:p w14:paraId="6EA4A15E" w14:textId="4023586A" w:rsidR="0011552B" w:rsidRPr="00F96AD4" w:rsidRDefault="0011552B" w:rsidP="00F82AC7">
            <w:pPr>
              <w:spacing w:line="240" w:lineRule="auto"/>
              <w:ind w:right="-142"/>
              <w:jc w:val="center"/>
              <w:rPr>
                <w:sz w:val="20"/>
                <w:szCs w:val="20"/>
              </w:rPr>
            </w:pPr>
            <w:r w:rsidRPr="00F96AD4">
              <w:rPr>
                <w:sz w:val="20"/>
                <w:szCs w:val="20"/>
              </w:rPr>
              <w:t>Std. Deviation</w:t>
            </w:r>
          </w:p>
        </w:tc>
      </w:tr>
      <w:tr w:rsidR="00F96AD4" w:rsidRPr="00F96AD4" w14:paraId="0F885C0E" w14:textId="77777777" w:rsidTr="00F96AD4">
        <w:tc>
          <w:tcPr>
            <w:tcW w:w="1109" w:type="pct"/>
            <w:tcBorders>
              <w:top w:val="single" w:sz="4" w:space="0" w:color="auto"/>
              <w:left w:val="nil"/>
              <w:bottom w:val="nil"/>
              <w:right w:val="nil"/>
            </w:tcBorders>
          </w:tcPr>
          <w:p w14:paraId="0199DDED" w14:textId="416A61CA" w:rsidR="0011552B" w:rsidRPr="00F96AD4" w:rsidRDefault="0011552B" w:rsidP="007B69C1">
            <w:pPr>
              <w:spacing w:line="240" w:lineRule="auto"/>
              <w:ind w:right="-142"/>
              <w:jc w:val="left"/>
              <w:rPr>
                <w:sz w:val="20"/>
                <w:szCs w:val="20"/>
              </w:rPr>
            </w:pPr>
            <w:r w:rsidRPr="00F96AD4">
              <w:rPr>
                <w:sz w:val="20"/>
                <w:szCs w:val="20"/>
              </w:rPr>
              <w:t>MVAIC</w:t>
            </w:r>
          </w:p>
        </w:tc>
        <w:tc>
          <w:tcPr>
            <w:tcW w:w="347" w:type="pct"/>
            <w:tcBorders>
              <w:top w:val="single" w:sz="4" w:space="0" w:color="auto"/>
              <w:left w:val="nil"/>
              <w:bottom w:val="nil"/>
              <w:right w:val="nil"/>
            </w:tcBorders>
          </w:tcPr>
          <w:p w14:paraId="06E38D64" w14:textId="24D1AAB5" w:rsidR="0011552B" w:rsidRPr="00F96AD4" w:rsidRDefault="00F96AD4" w:rsidP="0013091B">
            <w:pPr>
              <w:spacing w:line="240" w:lineRule="auto"/>
              <w:ind w:right="-142"/>
              <w:jc w:val="center"/>
              <w:rPr>
                <w:sz w:val="20"/>
                <w:szCs w:val="20"/>
              </w:rPr>
            </w:pPr>
            <w:r w:rsidRPr="00F96AD4">
              <w:rPr>
                <w:sz w:val="20"/>
                <w:szCs w:val="20"/>
              </w:rPr>
              <w:t>348</w:t>
            </w:r>
          </w:p>
        </w:tc>
        <w:tc>
          <w:tcPr>
            <w:tcW w:w="684" w:type="pct"/>
            <w:tcBorders>
              <w:top w:val="single" w:sz="4" w:space="0" w:color="auto"/>
              <w:left w:val="nil"/>
              <w:bottom w:val="nil"/>
              <w:right w:val="nil"/>
            </w:tcBorders>
          </w:tcPr>
          <w:p w14:paraId="62B3E2F5" w14:textId="341D1020" w:rsidR="0011552B" w:rsidRPr="00F96AD4" w:rsidRDefault="00F96AD4" w:rsidP="0013091B">
            <w:pPr>
              <w:spacing w:line="240" w:lineRule="auto"/>
              <w:ind w:right="-142"/>
              <w:jc w:val="center"/>
              <w:rPr>
                <w:sz w:val="20"/>
                <w:szCs w:val="20"/>
              </w:rPr>
            </w:pPr>
            <w:r>
              <w:rPr>
                <w:sz w:val="20"/>
                <w:szCs w:val="20"/>
              </w:rPr>
              <w:t>-40.19</w:t>
            </w:r>
          </w:p>
        </w:tc>
        <w:tc>
          <w:tcPr>
            <w:tcW w:w="706" w:type="pct"/>
            <w:tcBorders>
              <w:top w:val="single" w:sz="4" w:space="0" w:color="auto"/>
              <w:left w:val="nil"/>
              <w:bottom w:val="nil"/>
              <w:right w:val="nil"/>
            </w:tcBorders>
          </w:tcPr>
          <w:p w14:paraId="2A16CE19" w14:textId="5EC0EE0E" w:rsidR="0011552B" w:rsidRPr="00F96AD4" w:rsidRDefault="00F96AD4" w:rsidP="0013091B">
            <w:pPr>
              <w:spacing w:line="240" w:lineRule="auto"/>
              <w:ind w:right="-142"/>
              <w:jc w:val="center"/>
              <w:rPr>
                <w:sz w:val="20"/>
                <w:szCs w:val="20"/>
              </w:rPr>
            </w:pPr>
            <w:r>
              <w:rPr>
                <w:sz w:val="20"/>
                <w:szCs w:val="20"/>
              </w:rPr>
              <w:t>51.41</w:t>
            </w:r>
          </w:p>
        </w:tc>
        <w:tc>
          <w:tcPr>
            <w:tcW w:w="649" w:type="pct"/>
            <w:tcBorders>
              <w:top w:val="single" w:sz="4" w:space="0" w:color="auto"/>
              <w:left w:val="nil"/>
              <w:bottom w:val="nil"/>
              <w:right w:val="nil"/>
            </w:tcBorders>
          </w:tcPr>
          <w:p w14:paraId="47ED6541" w14:textId="480B9DAA" w:rsidR="0011552B" w:rsidRPr="00F96AD4" w:rsidRDefault="00F96AD4" w:rsidP="0013091B">
            <w:pPr>
              <w:spacing w:line="240" w:lineRule="auto"/>
              <w:ind w:right="-142"/>
              <w:jc w:val="center"/>
              <w:rPr>
                <w:sz w:val="20"/>
                <w:szCs w:val="20"/>
              </w:rPr>
            </w:pPr>
            <w:r>
              <w:rPr>
                <w:sz w:val="20"/>
                <w:szCs w:val="20"/>
              </w:rPr>
              <w:t>1450.60</w:t>
            </w:r>
          </w:p>
        </w:tc>
        <w:tc>
          <w:tcPr>
            <w:tcW w:w="582" w:type="pct"/>
            <w:tcBorders>
              <w:top w:val="single" w:sz="4" w:space="0" w:color="auto"/>
              <w:left w:val="nil"/>
              <w:bottom w:val="nil"/>
              <w:right w:val="nil"/>
            </w:tcBorders>
          </w:tcPr>
          <w:p w14:paraId="79525616" w14:textId="31DD9E8C" w:rsidR="0011552B" w:rsidRPr="00F96AD4" w:rsidRDefault="00F96AD4" w:rsidP="0013091B">
            <w:pPr>
              <w:spacing w:line="240" w:lineRule="auto"/>
              <w:ind w:right="-142"/>
              <w:jc w:val="center"/>
              <w:rPr>
                <w:sz w:val="20"/>
                <w:szCs w:val="20"/>
              </w:rPr>
            </w:pPr>
            <w:r>
              <w:rPr>
                <w:sz w:val="20"/>
                <w:szCs w:val="20"/>
              </w:rPr>
              <w:t>4.1684</w:t>
            </w:r>
          </w:p>
        </w:tc>
        <w:tc>
          <w:tcPr>
            <w:tcW w:w="922" w:type="pct"/>
            <w:tcBorders>
              <w:top w:val="single" w:sz="4" w:space="0" w:color="auto"/>
              <w:left w:val="nil"/>
              <w:bottom w:val="nil"/>
              <w:right w:val="nil"/>
            </w:tcBorders>
          </w:tcPr>
          <w:p w14:paraId="66BD8446" w14:textId="30F380BD" w:rsidR="0011552B" w:rsidRPr="00F96AD4" w:rsidRDefault="00F96AD4" w:rsidP="0013091B">
            <w:pPr>
              <w:spacing w:line="240" w:lineRule="auto"/>
              <w:ind w:right="-142"/>
              <w:jc w:val="center"/>
              <w:rPr>
                <w:sz w:val="20"/>
                <w:szCs w:val="20"/>
              </w:rPr>
            </w:pPr>
            <w:r>
              <w:rPr>
                <w:sz w:val="20"/>
                <w:szCs w:val="20"/>
              </w:rPr>
              <w:t>6.10900</w:t>
            </w:r>
          </w:p>
        </w:tc>
      </w:tr>
      <w:tr w:rsidR="00F96AD4" w:rsidRPr="00F96AD4" w14:paraId="40371254" w14:textId="77777777" w:rsidTr="00F96AD4">
        <w:tc>
          <w:tcPr>
            <w:tcW w:w="1109" w:type="pct"/>
            <w:tcBorders>
              <w:top w:val="nil"/>
              <w:left w:val="nil"/>
              <w:bottom w:val="nil"/>
              <w:right w:val="nil"/>
            </w:tcBorders>
          </w:tcPr>
          <w:p w14:paraId="7D404AC4" w14:textId="234C81B4" w:rsidR="0011552B" w:rsidRPr="00F96AD4" w:rsidRDefault="0011552B" w:rsidP="007B69C1">
            <w:pPr>
              <w:spacing w:line="240" w:lineRule="auto"/>
              <w:ind w:right="-142"/>
              <w:jc w:val="left"/>
              <w:rPr>
                <w:sz w:val="20"/>
                <w:szCs w:val="20"/>
              </w:rPr>
            </w:pPr>
            <w:r w:rsidRPr="00F96AD4">
              <w:rPr>
                <w:sz w:val="20"/>
                <w:szCs w:val="20"/>
              </w:rPr>
              <w:t>LNTA</w:t>
            </w:r>
          </w:p>
        </w:tc>
        <w:tc>
          <w:tcPr>
            <w:tcW w:w="347" w:type="pct"/>
            <w:tcBorders>
              <w:top w:val="nil"/>
              <w:left w:val="nil"/>
              <w:bottom w:val="nil"/>
              <w:right w:val="nil"/>
            </w:tcBorders>
          </w:tcPr>
          <w:p w14:paraId="26813E8F" w14:textId="4490798F" w:rsidR="0011552B" w:rsidRPr="00F96AD4" w:rsidRDefault="00F96AD4" w:rsidP="0013091B">
            <w:pPr>
              <w:spacing w:line="240" w:lineRule="auto"/>
              <w:ind w:right="-142"/>
              <w:jc w:val="center"/>
              <w:rPr>
                <w:sz w:val="20"/>
                <w:szCs w:val="20"/>
              </w:rPr>
            </w:pPr>
            <w:r w:rsidRPr="00F96AD4">
              <w:rPr>
                <w:sz w:val="20"/>
                <w:szCs w:val="20"/>
              </w:rPr>
              <w:t>348</w:t>
            </w:r>
          </w:p>
        </w:tc>
        <w:tc>
          <w:tcPr>
            <w:tcW w:w="684" w:type="pct"/>
            <w:tcBorders>
              <w:top w:val="nil"/>
              <w:left w:val="nil"/>
              <w:bottom w:val="nil"/>
              <w:right w:val="nil"/>
            </w:tcBorders>
          </w:tcPr>
          <w:p w14:paraId="4749C971" w14:textId="2751B220" w:rsidR="0011552B" w:rsidRPr="00F96AD4" w:rsidRDefault="00F96AD4" w:rsidP="0013091B">
            <w:pPr>
              <w:spacing w:line="240" w:lineRule="auto"/>
              <w:ind w:right="-142"/>
              <w:jc w:val="center"/>
              <w:rPr>
                <w:sz w:val="20"/>
                <w:szCs w:val="20"/>
              </w:rPr>
            </w:pPr>
            <w:r>
              <w:rPr>
                <w:sz w:val="20"/>
                <w:szCs w:val="20"/>
              </w:rPr>
              <w:t>24.97</w:t>
            </w:r>
          </w:p>
        </w:tc>
        <w:tc>
          <w:tcPr>
            <w:tcW w:w="706" w:type="pct"/>
            <w:tcBorders>
              <w:top w:val="nil"/>
              <w:left w:val="nil"/>
              <w:bottom w:val="nil"/>
              <w:right w:val="nil"/>
            </w:tcBorders>
          </w:tcPr>
          <w:p w14:paraId="74C1D78D" w14:textId="5F322F83" w:rsidR="0011552B" w:rsidRPr="00F96AD4" w:rsidRDefault="00F96AD4" w:rsidP="0013091B">
            <w:pPr>
              <w:spacing w:line="240" w:lineRule="auto"/>
              <w:ind w:right="-142"/>
              <w:jc w:val="center"/>
              <w:rPr>
                <w:sz w:val="20"/>
                <w:szCs w:val="20"/>
              </w:rPr>
            </w:pPr>
            <w:r>
              <w:rPr>
                <w:sz w:val="20"/>
                <w:szCs w:val="20"/>
              </w:rPr>
              <w:t>31.75</w:t>
            </w:r>
          </w:p>
        </w:tc>
        <w:tc>
          <w:tcPr>
            <w:tcW w:w="649" w:type="pct"/>
            <w:tcBorders>
              <w:top w:val="nil"/>
              <w:left w:val="nil"/>
              <w:bottom w:val="nil"/>
              <w:right w:val="nil"/>
            </w:tcBorders>
          </w:tcPr>
          <w:p w14:paraId="4B7744D1" w14:textId="56742E81" w:rsidR="0011552B" w:rsidRPr="00F96AD4" w:rsidRDefault="00F96AD4" w:rsidP="0013091B">
            <w:pPr>
              <w:spacing w:line="240" w:lineRule="auto"/>
              <w:ind w:right="-142"/>
              <w:jc w:val="center"/>
              <w:rPr>
                <w:sz w:val="20"/>
                <w:szCs w:val="20"/>
              </w:rPr>
            </w:pPr>
            <w:r>
              <w:rPr>
                <w:sz w:val="20"/>
                <w:szCs w:val="20"/>
              </w:rPr>
              <w:t>10070.10</w:t>
            </w:r>
          </w:p>
        </w:tc>
        <w:tc>
          <w:tcPr>
            <w:tcW w:w="582" w:type="pct"/>
            <w:tcBorders>
              <w:top w:val="nil"/>
              <w:left w:val="nil"/>
              <w:bottom w:val="nil"/>
              <w:right w:val="nil"/>
            </w:tcBorders>
          </w:tcPr>
          <w:p w14:paraId="3997E4DC" w14:textId="688A8276" w:rsidR="0011552B" w:rsidRPr="00F96AD4" w:rsidRDefault="00F96AD4" w:rsidP="0013091B">
            <w:pPr>
              <w:spacing w:line="240" w:lineRule="auto"/>
              <w:ind w:right="-142"/>
              <w:jc w:val="center"/>
              <w:rPr>
                <w:sz w:val="20"/>
                <w:szCs w:val="20"/>
              </w:rPr>
            </w:pPr>
            <w:r>
              <w:rPr>
                <w:sz w:val="20"/>
                <w:szCs w:val="20"/>
              </w:rPr>
              <w:t>28.9371</w:t>
            </w:r>
          </w:p>
        </w:tc>
        <w:tc>
          <w:tcPr>
            <w:tcW w:w="922" w:type="pct"/>
            <w:tcBorders>
              <w:top w:val="nil"/>
              <w:left w:val="nil"/>
              <w:bottom w:val="nil"/>
              <w:right w:val="nil"/>
            </w:tcBorders>
          </w:tcPr>
          <w:p w14:paraId="1333AB15" w14:textId="28E5F629" w:rsidR="0011552B" w:rsidRPr="00F96AD4" w:rsidRDefault="00F96AD4" w:rsidP="0013091B">
            <w:pPr>
              <w:spacing w:line="240" w:lineRule="auto"/>
              <w:ind w:right="-142"/>
              <w:jc w:val="center"/>
              <w:rPr>
                <w:sz w:val="20"/>
                <w:szCs w:val="20"/>
              </w:rPr>
            </w:pPr>
            <w:r>
              <w:rPr>
                <w:sz w:val="20"/>
                <w:szCs w:val="20"/>
              </w:rPr>
              <w:t>1.64801</w:t>
            </w:r>
          </w:p>
        </w:tc>
      </w:tr>
      <w:tr w:rsidR="00F96AD4" w:rsidRPr="00F96AD4" w14:paraId="0758C2A6" w14:textId="77777777" w:rsidTr="00F96AD4">
        <w:tc>
          <w:tcPr>
            <w:tcW w:w="1109" w:type="pct"/>
            <w:tcBorders>
              <w:top w:val="nil"/>
              <w:left w:val="nil"/>
              <w:bottom w:val="nil"/>
              <w:right w:val="nil"/>
            </w:tcBorders>
          </w:tcPr>
          <w:p w14:paraId="1BC70838" w14:textId="4E913A41" w:rsidR="0011552B" w:rsidRPr="00F96AD4" w:rsidRDefault="0011552B" w:rsidP="007B69C1">
            <w:pPr>
              <w:spacing w:line="240" w:lineRule="auto"/>
              <w:ind w:right="-142"/>
              <w:jc w:val="left"/>
              <w:rPr>
                <w:sz w:val="20"/>
                <w:szCs w:val="20"/>
              </w:rPr>
            </w:pPr>
            <w:r w:rsidRPr="00F96AD4">
              <w:rPr>
                <w:sz w:val="20"/>
                <w:szCs w:val="20"/>
              </w:rPr>
              <w:t>ROA</w:t>
            </w:r>
          </w:p>
        </w:tc>
        <w:tc>
          <w:tcPr>
            <w:tcW w:w="347" w:type="pct"/>
            <w:tcBorders>
              <w:top w:val="nil"/>
              <w:left w:val="nil"/>
              <w:bottom w:val="nil"/>
              <w:right w:val="nil"/>
            </w:tcBorders>
          </w:tcPr>
          <w:p w14:paraId="3D930ECE" w14:textId="032D8584" w:rsidR="0011552B" w:rsidRPr="00F96AD4" w:rsidRDefault="00F96AD4" w:rsidP="0013091B">
            <w:pPr>
              <w:spacing w:line="240" w:lineRule="auto"/>
              <w:ind w:right="-142"/>
              <w:jc w:val="center"/>
              <w:rPr>
                <w:sz w:val="20"/>
                <w:szCs w:val="20"/>
              </w:rPr>
            </w:pPr>
            <w:r w:rsidRPr="00F96AD4">
              <w:rPr>
                <w:sz w:val="20"/>
                <w:szCs w:val="20"/>
              </w:rPr>
              <w:t>348</w:t>
            </w:r>
          </w:p>
        </w:tc>
        <w:tc>
          <w:tcPr>
            <w:tcW w:w="684" w:type="pct"/>
            <w:tcBorders>
              <w:top w:val="nil"/>
              <w:left w:val="nil"/>
              <w:bottom w:val="nil"/>
              <w:right w:val="nil"/>
            </w:tcBorders>
          </w:tcPr>
          <w:p w14:paraId="4DABD318" w14:textId="6991FF63" w:rsidR="0011552B" w:rsidRPr="00F96AD4" w:rsidRDefault="00F96AD4" w:rsidP="0013091B">
            <w:pPr>
              <w:spacing w:line="240" w:lineRule="auto"/>
              <w:ind w:right="-142"/>
              <w:jc w:val="center"/>
              <w:rPr>
                <w:sz w:val="20"/>
                <w:szCs w:val="20"/>
              </w:rPr>
            </w:pPr>
            <w:r>
              <w:rPr>
                <w:sz w:val="20"/>
                <w:szCs w:val="20"/>
              </w:rPr>
              <w:t>-37.52</w:t>
            </w:r>
          </w:p>
        </w:tc>
        <w:tc>
          <w:tcPr>
            <w:tcW w:w="706" w:type="pct"/>
            <w:tcBorders>
              <w:top w:val="nil"/>
              <w:left w:val="nil"/>
              <w:bottom w:val="nil"/>
              <w:right w:val="nil"/>
            </w:tcBorders>
          </w:tcPr>
          <w:p w14:paraId="53CE2CE3" w14:textId="79F93AF4" w:rsidR="0011552B" w:rsidRPr="00F96AD4" w:rsidRDefault="00F96AD4" w:rsidP="0013091B">
            <w:pPr>
              <w:spacing w:line="240" w:lineRule="auto"/>
              <w:ind w:right="-142"/>
              <w:jc w:val="center"/>
              <w:rPr>
                <w:sz w:val="20"/>
                <w:szCs w:val="20"/>
              </w:rPr>
            </w:pPr>
            <w:r>
              <w:rPr>
                <w:sz w:val="20"/>
                <w:szCs w:val="20"/>
              </w:rPr>
              <w:t>35.89</w:t>
            </w:r>
          </w:p>
        </w:tc>
        <w:tc>
          <w:tcPr>
            <w:tcW w:w="649" w:type="pct"/>
            <w:tcBorders>
              <w:top w:val="nil"/>
              <w:left w:val="nil"/>
              <w:bottom w:val="nil"/>
              <w:right w:val="nil"/>
            </w:tcBorders>
          </w:tcPr>
          <w:p w14:paraId="279CF342" w14:textId="57E7D7D7" w:rsidR="0011552B" w:rsidRPr="00F96AD4" w:rsidRDefault="00F96AD4" w:rsidP="0013091B">
            <w:pPr>
              <w:spacing w:line="240" w:lineRule="auto"/>
              <w:ind w:right="-142"/>
              <w:jc w:val="center"/>
              <w:rPr>
                <w:sz w:val="20"/>
                <w:szCs w:val="20"/>
              </w:rPr>
            </w:pPr>
            <w:r>
              <w:rPr>
                <w:sz w:val="20"/>
                <w:szCs w:val="20"/>
              </w:rPr>
              <w:t>1219.92</w:t>
            </w:r>
          </w:p>
        </w:tc>
        <w:tc>
          <w:tcPr>
            <w:tcW w:w="582" w:type="pct"/>
            <w:tcBorders>
              <w:top w:val="nil"/>
              <w:left w:val="nil"/>
              <w:bottom w:val="nil"/>
              <w:right w:val="nil"/>
            </w:tcBorders>
          </w:tcPr>
          <w:p w14:paraId="4B2CE8F1" w14:textId="568235B7" w:rsidR="0011552B" w:rsidRPr="00F96AD4" w:rsidRDefault="00F96AD4" w:rsidP="0013091B">
            <w:pPr>
              <w:spacing w:line="240" w:lineRule="auto"/>
              <w:ind w:right="-142"/>
              <w:jc w:val="center"/>
              <w:rPr>
                <w:sz w:val="20"/>
                <w:szCs w:val="20"/>
              </w:rPr>
            </w:pPr>
            <w:r>
              <w:rPr>
                <w:sz w:val="20"/>
                <w:szCs w:val="20"/>
              </w:rPr>
              <w:t>3.5055</w:t>
            </w:r>
          </w:p>
        </w:tc>
        <w:tc>
          <w:tcPr>
            <w:tcW w:w="922" w:type="pct"/>
            <w:tcBorders>
              <w:top w:val="nil"/>
              <w:left w:val="nil"/>
              <w:bottom w:val="nil"/>
              <w:right w:val="nil"/>
            </w:tcBorders>
          </w:tcPr>
          <w:p w14:paraId="14F147B6" w14:textId="449FEF96" w:rsidR="0011552B" w:rsidRPr="00F96AD4" w:rsidRDefault="00F96AD4" w:rsidP="0013091B">
            <w:pPr>
              <w:spacing w:line="240" w:lineRule="auto"/>
              <w:ind w:right="-142"/>
              <w:jc w:val="center"/>
              <w:rPr>
                <w:sz w:val="20"/>
                <w:szCs w:val="20"/>
              </w:rPr>
            </w:pPr>
            <w:r>
              <w:rPr>
                <w:sz w:val="20"/>
                <w:szCs w:val="20"/>
              </w:rPr>
              <w:t>6.57749</w:t>
            </w:r>
          </w:p>
        </w:tc>
      </w:tr>
      <w:tr w:rsidR="00F96AD4" w:rsidRPr="00F96AD4" w14:paraId="028D942F" w14:textId="77777777" w:rsidTr="00F96AD4">
        <w:tc>
          <w:tcPr>
            <w:tcW w:w="1109" w:type="pct"/>
            <w:tcBorders>
              <w:top w:val="nil"/>
              <w:left w:val="nil"/>
              <w:bottom w:val="single" w:sz="4" w:space="0" w:color="auto"/>
              <w:right w:val="nil"/>
            </w:tcBorders>
          </w:tcPr>
          <w:p w14:paraId="73301040" w14:textId="0201F265" w:rsidR="0011552B" w:rsidRPr="00F96AD4" w:rsidRDefault="0011552B" w:rsidP="007B69C1">
            <w:pPr>
              <w:spacing w:line="240" w:lineRule="auto"/>
              <w:ind w:right="-142"/>
              <w:jc w:val="left"/>
              <w:rPr>
                <w:sz w:val="20"/>
                <w:szCs w:val="20"/>
              </w:rPr>
            </w:pPr>
            <w:r w:rsidRPr="00F96AD4">
              <w:rPr>
                <w:sz w:val="20"/>
                <w:szCs w:val="20"/>
              </w:rPr>
              <w:t>Valid N (listwise)</w:t>
            </w:r>
          </w:p>
        </w:tc>
        <w:tc>
          <w:tcPr>
            <w:tcW w:w="347" w:type="pct"/>
            <w:tcBorders>
              <w:top w:val="nil"/>
              <w:left w:val="nil"/>
              <w:bottom w:val="single" w:sz="4" w:space="0" w:color="auto"/>
              <w:right w:val="nil"/>
            </w:tcBorders>
          </w:tcPr>
          <w:p w14:paraId="15EC5F10" w14:textId="34686D73" w:rsidR="0011552B" w:rsidRPr="00F96AD4" w:rsidRDefault="00F96AD4" w:rsidP="0013091B">
            <w:pPr>
              <w:spacing w:line="240" w:lineRule="auto"/>
              <w:ind w:right="-142"/>
              <w:jc w:val="center"/>
              <w:rPr>
                <w:sz w:val="20"/>
                <w:szCs w:val="20"/>
              </w:rPr>
            </w:pPr>
            <w:r w:rsidRPr="00F96AD4">
              <w:rPr>
                <w:sz w:val="20"/>
                <w:szCs w:val="20"/>
              </w:rPr>
              <w:t>348</w:t>
            </w:r>
          </w:p>
        </w:tc>
        <w:tc>
          <w:tcPr>
            <w:tcW w:w="684" w:type="pct"/>
            <w:tcBorders>
              <w:top w:val="nil"/>
              <w:left w:val="nil"/>
              <w:bottom w:val="single" w:sz="4" w:space="0" w:color="auto"/>
              <w:right w:val="nil"/>
            </w:tcBorders>
          </w:tcPr>
          <w:p w14:paraId="2807AD60" w14:textId="77777777" w:rsidR="0011552B" w:rsidRPr="00F96AD4" w:rsidRDefault="0011552B" w:rsidP="0013091B">
            <w:pPr>
              <w:spacing w:line="240" w:lineRule="auto"/>
              <w:ind w:right="-142"/>
              <w:jc w:val="center"/>
              <w:rPr>
                <w:sz w:val="20"/>
                <w:szCs w:val="20"/>
              </w:rPr>
            </w:pPr>
          </w:p>
        </w:tc>
        <w:tc>
          <w:tcPr>
            <w:tcW w:w="706" w:type="pct"/>
            <w:tcBorders>
              <w:top w:val="nil"/>
              <w:left w:val="nil"/>
              <w:bottom w:val="single" w:sz="4" w:space="0" w:color="auto"/>
              <w:right w:val="nil"/>
            </w:tcBorders>
          </w:tcPr>
          <w:p w14:paraId="4992F711" w14:textId="77777777" w:rsidR="0011552B" w:rsidRPr="00F96AD4" w:rsidRDefault="0011552B" w:rsidP="0013091B">
            <w:pPr>
              <w:spacing w:line="240" w:lineRule="auto"/>
              <w:ind w:right="-142"/>
              <w:jc w:val="center"/>
              <w:rPr>
                <w:sz w:val="20"/>
                <w:szCs w:val="20"/>
              </w:rPr>
            </w:pPr>
          </w:p>
        </w:tc>
        <w:tc>
          <w:tcPr>
            <w:tcW w:w="649" w:type="pct"/>
            <w:tcBorders>
              <w:top w:val="nil"/>
              <w:left w:val="nil"/>
              <w:bottom w:val="single" w:sz="4" w:space="0" w:color="auto"/>
              <w:right w:val="nil"/>
            </w:tcBorders>
          </w:tcPr>
          <w:p w14:paraId="261D340C" w14:textId="77777777" w:rsidR="0011552B" w:rsidRPr="00F96AD4" w:rsidRDefault="0011552B" w:rsidP="0013091B">
            <w:pPr>
              <w:spacing w:line="240" w:lineRule="auto"/>
              <w:ind w:right="-142"/>
              <w:jc w:val="center"/>
              <w:rPr>
                <w:sz w:val="20"/>
                <w:szCs w:val="20"/>
              </w:rPr>
            </w:pPr>
          </w:p>
        </w:tc>
        <w:tc>
          <w:tcPr>
            <w:tcW w:w="582" w:type="pct"/>
            <w:tcBorders>
              <w:top w:val="nil"/>
              <w:left w:val="nil"/>
              <w:bottom w:val="single" w:sz="4" w:space="0" w:color="auto"/>
              <w:right w:val="nil"/>
            </w:tcBorders>
          </w:tcPr>
          <w:p w14:paraId="49628747" w14:textId="77777777" w:rsidR="0011552B" w:rsidRPr="00F96AD4" w:rsidRDefault="0011552B" w:rsidP="0013091B">
            <w:pPr>
              <w:spacing w:line="240" w:lineRule="auto"/>
              <w:ind w:right="-142"/>
              <w:jc w:val="center"/>
              <w:rPr>
                <w:sz w:val="20"/>
                <w:szCs w:val="20"/>
              </w:rPr>
            </w:pPr>
          </w:p>
        </w:tc>
        <w:tc>
          <w:tcPr>
            <w:tcW w:w="922" w:type="pct"/>
            <w:tcBorders>
              <w:top w:val="nil"/>
              <w:left w:val="nil"/>
              <w:bottom w:val="single" w:sz="4" w:space="0" w:color="auto"/>
              <w:right w:val="nil"/>
            </w:tcBorders>
          </w:tcPr>
          <w:p w14:paraId="63EC7D3E" w14:textId="77777777" w:rsidR="0011552B" w:rsidRPr="00F96AD4" w:rsidRDefault="0011552B" w:rsidP="0013091B">
            <w:pPr>
              <w:spacing w:line="240" w:lineRule="auto"/>
              <w:ind w:right="-142"/>
              <w:jc w:val="center"/>
              <w:rPr>
                <w:sz w:val="20"/>
                <w:szCs w:val="20"/>
              </w:rPr>
            </w:pPr>
          </w:p>
        </w:tc>
      </w:tr>
    </w:tbl>
    <w:p w14:paraId="2BDDE1E1" w14:textId="7E414179" w:rsidR="000202FB" w:rsidRDefault="00B62173" w:rsidP="007B69C1">
      <w:pPr>
        <w:spacing w:line="240" w:lineRule="auto"/>
        <w:ind w:right="-142"/>
        <w:jc w:val="left"/>
        <w:rPr>
          <w:sz w:val="22"/>
        </w:rPr>
      </w:pPr>
      <w:r>
        <w:rPr>
          <w:sz w:val="22"/>
        </w:rPr>
        <w:t>Source: Data processed</w:t>
      </w:r>
      <w:r w:rsidRPr="00B62173">
        <w:rPr>
          <w:sz w:val="22"/>
        </w:rPr>
        <w:t>, SPSS 24</w:t>
      </w:r>
    </w:p>
    <w:p w14:paraId="2879C96D" w14:textId="77777777" w:rsidR="00B62173" w:rsidRPr="000202FB" w:rsidRDefault="00B62173" w:rsidP="007B69C1">
      <w:pPr>
        <w:spacing w:line="240" w:lineRule="auto"/>
        <w:ind w:right="-142"/>
        <w:jc w:val="left"/>
        <w:rPr>
          <w:sz w:val="22"/>
        </w:rPr>
      </w:pPr>
    </w:p>
    <w:p w14:paraId="1FAF0956" w14:textId="07BCD9AE" w:rsidR="00276166" w:rsidRDefault="00B62173" w:rsidP="009A72F8">
      <w:pPr>
        <w:spacing w:line="240" w:lineRule="auto"/>
        <w:ind w:right="-142"/>
        <w:jc w:val="center"/>
        <w:rPr>
          <w:sz w:val="22"/>
        </w:rPr>
      </w:pPr>
      <w:r>
        <w:rPr>
          <w:sz w:val="22"/>
        </w:rPr>
        <w:t>Table</w:t>
      </w:r>
      <w:r w:rsidR="00276166">
        <w:rPr>
          <w:sz w:val="22"/>
        </w:rPr>
        <w:t xml:space="preserve"> 4. </w:t>
      </w:r>
      <w:r w:rsidR="002B16C3">
        <w:rPr>
          <w:sz w:val="22"/>
        </w:rPr>
        <w:t xml:space="preserve">Multiple Linear Regression </w:t>
      </w:r>
      <w:proofErr w:type="spellStart"/>
      <w:r w:rsidR="002B16C3">
        <w:rPr>
          <w:sz w:val="22"/>
        </w:rPr>
        <w:t>Analisys</w:t>
      </w:r>
      <w:proofErr w:type="spellEnd"/>
    </w:p>
    <w:tbl>
      <w:tblPr>
        <w:tblStyle w:val="TableGrid"/>
        <w:tblW w:w="0" w:type="auto"/>
        <w:tblLook w:val="04A0" w:firstRow="1" w:lastRow="0" w:firstColumn="1" w:lastColumn="0" w:noHBand="0" w:noVBand="1"/>
      </w:tblPr>
      <w:tblGrid>
        <w:gridCol w:w="846"/>
        <w:gridCol w:w="1556"/>
        <w:gridCol w:w="1185"/>
        <w:gridCol w:w="1198"/>
        <w:gridCol w:w="1365"/>
        <w:gridCol w:w="1165"/>
        <w:gridCol w:w="1180"/>
      </w:tblGrid>
      <w:tr w:rsidR="00276166" w:rsidRPr="00FE4CCD" w14:paraId="0997E8DE" w14:textId="77777777" w:rsidTr="009A72F8">
        <w:tc>
          <w:tcPr>
            <w:tcW w:w="846" w:type="dxa"/>
            <w:vMerge w:val="restart"/>
            <w:tcBorders>
              <w:top w:val="single" w:sz="4" w:space="0" w:color="auto"/>
              <w:left w:val="nil"/>
              <w:bottom w:val="single" w:sz="4" w:space="0" w:color="auto"/>
              <w:right w:val="nil"/>
            </w:tcBorders>
            <w:vAlign w:val="center"/>
          </w:tcPr>
          <w:p w14:paraId="5016BC1F" w14:textId="21E7AF87" w:rsidR="00276166" w:rsidRPr="00FE4CCD" w:rsidRDefault="00276166" w:rsidP="00276166">
            <w:pPr>
              <w:spacing w:line="240" w:lineRule="auto"/>
              <w:ind w:right="-142"/>
              <w:jc w:val="center"/>
              <w:rPr>
                <w:sz w:val="20"/>
                <w:szCs w:val="20"/>
              </w:rPr>
            </w:pPr>
            <w:r w:rsidRPr="00FE4CCD">
              <w:rPr>
                <w:sz w:val="20"/>
                <w:szCs w:val="20"/>
              </w:rPr>
              <w:t>Model</w:t>
            </w:r>
          </w:p>
        </w:tc>
        <w:tc>
          <w:tcPr>
            <w:tcW w:w="1556" w:type="dxa"/>
            <w:vMerge w:val="restart"/>
            <w:tcBorders>
              <w:top w:val="single" w:sz="4" w:space="0" w:color="auto"/>
              <w:left w:val="nil"/>
              <w:bottom w:val="single" w:sz="4" w:space="0" w:color="auto"/>
              <w:right w:val="nil"/>
            </w:tcBorders>
            <w:vAlign w:val="center"/>
          </w:tcPr>
          <w:p w14:paraId="133BD824" w14:textId="77777777" w:rsidR="00276166" w:rsidRPr="00FE4CCD" w:rsidRDefault="00276166" w:rsidP="00276166">
            <w:pPr>
              <w:spacing w:line="240" w:lineRule="auto"/>
              <w:ind w:right="-142"/>
              <w:jc w:val="center"/>
              <w:rPr>
                <w:sz w:val="20"/>
                <w:szCs w:val="20"/>
              </w:rPr>
            </w:pPr>
          </w:p>
        </w:tc>
        <w:tc>
          <w:tcPr>
            <w:tcW w:w="2383" w:type="dxa"/>
            <w:gridSpan w:val="2"/>
            <w:tcBorders>
              <w:top w:val="single" w:sz="4" w:space="0" w:color="auto"/>
              <w:left w:val="nil"/>
              <w:bottom w:val="single" w:sz="4" w:space="0" w:color="auto"/>
              <w:right w:val="nil"/>
            </w:tcBorders>
            <w:vAlign w:val="center"/>
          </w:tcPr>
          <w:p w14:paraId="12FB2F44" w14:textId="61F2FEDE" w:rsidR="00276166" w:rsidRPr="00FE4CCD" w:rsidRDefault="00276166" w:rsidP="00276166">
            <w:pPr>
              <w:spacing w:line="240" w:lineRule="auto"/>
              <w:ind w:right="-142"/>
              <w:jc w:val="center"/>
              <w:rPr>
                <w:sz w:val="20"/>
                <w:szCs w:val="20"/>
              </w:rPr>
            </w:pPr>
            <w:r w:rsidRPr="00FE4CCD">
              <w:rPr>
                <w:sz w:val="20"/>
                <w:szCs w:val="20"/>
              </w:rPr>
              <w:t>Unstandardized Coefficients</w:t>
            </w:r>
          </w:p>
        </w:tc>
        <w:tc>
          <w:tcPr>
            <w:tcW w:w="1365" w:type="dxa"/>
            <w:vMerge w:val="restart"/>
            <w:tcBorders>
              <w:top w:val="single" w:sz="4" w:space="0" w:color="auto"/>
              <w:left w:val="nil"/>
              <w:bottom w:val="single" w:sz="4" w:space="0" w:color="auto"/>
              <w:right w:val="nil"/>
            </w:tcBorders>
            <w:vAlign w:val="center"/>
          </w:tcPr>
          <w:p w14:paraId="49510677" w14:textId="403A9080" w:rsidR="00276166" w:rsidRPr="00FE4CCD" w:rsidRDefault="00276166" w:rsidP="00276166">
            <w:pPr>
              <w:spacing w:line="240" w:lineRule="auto"/>
              <w:ind w:right="-142"/>
              <w:jc w:val="center"/>
              <w:rPr>
                <w:sz w:val="20"/>
                <w:szCs w:val="20"/>
              </w:rPr>
            </w:pPr>
            <w:r w:rsidRPr="00FE4CCD">
              <w:rPr>
                <w:sz w:val="20"/>
                <w:szCs w:val="20"/>
              </w:rPr>
              <w:t>Standardized Coefficients Beta</w:t>
            </w:r>
          </w:p>
        </w:tc>
        <w:tc>
          <w:tcPr>
            <w:tcW w:w="1165" w:type="dxa"/>
            <w:vMerge w:val="restart"/>
            <w:tcBorders>
              <w:top w:val="single" w:sz="4" w:space="0" w:color="auto"/>
              <w:left w:val="nil"/>
              <w:bottom w:val="single" w:sz="4" w:space="0" w:color="auto"/>
              <w:right w:val="nil"/>
            </w:tcBorders>
            <w:vAlign w:val="center"/>
          </w:tcPr>
          <w:p w14:paraId="4471D700" w14:textId="2A2599F4" w:rsidR="00276166" w:rsidRPr="00FE4CCD" w:rsidRDefault="00276166" w:rsidP="00276166">
            <w:pPr>
              <w:spacing w:line="240" w:lineRule="auto"/>
              <w:ind w:right="-142"/>
              <w:jc w:val="center"/>
              <w:rPr>
                <w:sz w:val="20"/>
                <w:szCs w:val="20"/>
              </w:rPr>
            </w:pPr>
            <w:r w:rsidRPr="00FE4CCD">
              <w:rPr>
                <w:sz w:val="20"/>
                <w:szCs w:val="20"/>
              </w:rPr>
              <w:t>t</w:t>
            </w:r>
          </w:p>
        </w:tc>
        <w:tc>
          <w:tcPr>
            <w:tcW w:w="1180" w:type="dxa"/>
            <w:vMerge w:val="restart"/>
            <w:tcBorders>
              <w:top w:val="single" w:sz="4" w:space="0" w:color="auto"/>
              <w:left w:val="nil"/>
              <w:bottom w:val="single" w:sz="4" w:space="0" w:color="auto"/>
              <w:right w:val="nil"/>
            </w:tcBorders>
            <w:vAlign w:val="center"/>
          </w:tcPr>
          <w:p w14:paraId="5E51F7AF" w14:textId="26339575" w:rsidR="00276166" w:rsidRPr="00FE4CCD" w:rsidRDefault="00276166" w:rsidP="00276166">
            <w:pPr>
              <w:spacing w:line="240" w:lineRule="auto"/>
              <w:ind w:right="-142"/>
              <w:jc w:val="center"/>
              <w:rPr>
                <w:sz w:val="20"/>
                <w:szCs w:val="20"/>
              </w:rPr>
            </w:pPr>
            <w:r w:rsidRPr="00FE4CCD">
              <w:rPr>
                <w:sz w:val="20"/>
                <w:szCs w:val="20"/>
              </w:rPr>
              <w:t>Sig.</w:t>
            </w:r>
          </w:p>
        </w:tc>
      </w:tr>
      <w:tr w:rsidR="00276166" w:rsidRPr="00FE4CCD" w14:paraId="3D9FE3B9" w14:textId="77777777" w:rsidTr="009A72F8">
        <w:tc>
          <w:tcPr>
            <w:tcW w:w="846" w:type="dxa"/>
            <w:vMerge/>
            <w:tcBorders>
              <w:top w:val="single" w:sz="4" w:space="0" w:color="auto"/>
              <w:left w:val="nil"/>
              <w:bottom w:val="single" w:sz="4" w:space="0" w:color="auto"/>
              <w:right w:val="nil"/>
            </w:tcBorders>
          </w:tcPr>
          <w:p w14:paraId="23CD3C88" w14:textId="77777777" w:rsidR="00276166" w:rsidRPr="00FE4CCD" w:rsidRDefault="00276166" w:rsidP="007B69C1">
            <w:pPr>
              <w:spacing w:line="240" w:lineRule="auto"/>
              <w:ind w:right="-142"/>
              <w:jc w:val="left"/>
              <w:rPr>
                <w:sz w:val="20"/>
                <w:szCs w:val="20"/>
              </w:rPr>
            </w:pPr>
          </w:p>
        </w:tc>
        <w:tc>
          <w:tcPr>
            <w:tcW w:w="1556" w:type="dxa"/>
            <w:vMerge/>
            <w:tcBorders>
              <w:top w:val="single" w:sz="4" w:space="0" w:color="auto"/>
              <w:left w:val="nil"/>
              <w:bottom w:val="single" w:sz="4" w:space="0" w:color="auto"/>
              <w:right w:val="nil"/>
            </w:tcBorders>
          </w:tcPr>
          <w:p w14:paraId="1397E382" w14:textId="77777777" w:rsidR="00276166" w:rsidRPr="00FE4CCD" w:rsidRDefault="00276166" w:rsidP="007B69C1">
            <w:pPr>
              <w:spacing w:line="240" w:lineRule="auto"/>
              <w:ind w:right="-142"/>
              <w:jc w:val="left"/>
              <w:rPr>
                <w:sz w:val="20"/>
                <w:szCs w:val="20"/>
              </w:rPr>
            </w:pPr>
          </w:p>
        </w:tc>
        <w:tc>
          <w:tcPr>
            <w:tcW w:w="1185" w:type="dxa"/>
            <w:tcBorders>
              <w:top w:val="single" w:sz="4" w:space="0" w:color="auto"/>
              <w:left w:val="nil"/>
              <w:bottom w:val="single" w:sz="4" w:space="0" w:color="auto"/>
              <w:right w:val="nil"/>
            </w:tcBorders>
          </w:tcPr>
          <w:p w14:paraId="44FFAB3F" w14:textId="60E852AC" w:rsidR="00276166" w:rsidRPr="00FE4CCD" w:rsidRDefault="00276166" w:rsidP="00276166">
            <w:pPr>
              <w:spacing w:line="240" w:lineRule="auto"/>
              <w:ind w:right="-142"/>
              <w:jc w:val="center"/>
              <w:rPr>
                <w:sz w:val="20"/>
                <w:szCs w:val="20"/>
              </w:rPr>
            </w:pPr>
            <w:r w:rsidRPr="00FE4CCD">
              <w:rPr>
                <w:sz w:val="20"/>
                <w:szCs w:val="20"/>
              </w:rPr>
              <w:t>B</w:t>
            </w:r>
          </w:p>
        </w:tc>
        <w:tc>
          <w:tcPr>
            <w:tcW w:w="1198" w:type="dxa"/>
            <w:tcBorders>
              <w:top w:val="single" w:sz="4" w:space="0" w:color="auto"/>
              <w:left w:val="nil"/>
              <w:bottom w:val="single" w:sz="4" w:space="0" w:color="auto"/>
              <w:right w:val="nil"/>
            </w:tcBorders>
          </w:tcPr>
          <w:p w14:paraId="1F59727F" w14:textId="6C4B8E99" w:rsidR="00276166" w:rsidRPr="00FE4CCD" w:rsidRDefault="00276166" w:rsidP="00276166">
            <w:pPr>
              <w:spacing w:line="240" w:lineRule="auto"/>
              <w:ind w:right="-142"/>
              <w:jc w:val="center"/>
              <w:rPr>
                <w:sz w:val="20"/>
                <w:szCs w:val="20"/>
              </w:rPr>
            </w:pPr>
            <w:r w:rsidRPr="00FE4CCD">
              <w:rPr>
                <w:sz w:val="20"/>
                <w:szCs w:val="20"/>
              </w:rPr>
              <w:t>Std. Error</w:t>
            </w:r>
          </w:p>
        </w:tc>
        <w:tc>
          <w:tcPr>
            <w:tcW w:w="1365" w:type="dxa"/>
            <w:vMerge/>
            <w:tcBorders>
              <w:top w:val="single" w:sz="4" w:space="0" w:color="auto"/>
              <w:left w:val="nil"/>
              <w:bottom w:val="single" w:sz="4" w:space="0" w:color="auto"/>
              <w:right w:val="nil"/>
            </w:tcBorders>
          </w:tcPr>
          <w:p w14:paraId="458A271C" w14:textId="77777777" w:rsidR="00276166" w:rsidRPr="00FE4CCD" w:rsidRDefault="00276166" w:rsidP="00276166">
            <w:pPr>
              <w:spacing w:line="240" w:lineRule="auto"/>
              <w:ind w:right="-142"/>
              <w:jc w:val="center"/>
              <w:rPr>
                <w:sz w:val="20"/>
                <w:szCs w:val="20"/>
              </w:rPr>
            </w:pPr>
          </w:p>
        </w:tc>
        <w:tc>
          <w:tcPr>
            <w:tcW w:w="1165" w:type="dxa"/>
            <w:vMerge/>
            <w:tcBorders>
              <w:top w:val="single" w:sz="4" w:space="0" w:color="auto"/>
              <w:left w:val="nil"/>
              <w:bottom w:val="single" w:sz="4" w:space="0" w:color="auto"/>
              <w:right w:val="nil"/>
            </w:tcBorders>
          </w:tcPr>
          <w:p w14:paraId="600B471E" w14:textId="77777777" w:rsidR="00276166" w:rsidRPr="00FE4CCD" w:rsidRDefault="00276166" w:rsidP="007B69C1">
            <w:pPr>
              <w:spacing w:line="240" w:lineRule="auto"/>
              <w:ind w:right="-142"/>
              <w:jc w:val="left"/>
              <w:rPr>
                <w:sz w:val="20"/>
                <w:szCs w:val="20"/>
              </w:rPr>
            </w:pPr>
          </w:p>
        </w:tc>
        <w:tc>
          <w:tcPr>
            <w:tcW w:w="1180" w:type="dxa"/>
            <w:vMerge/>
            <w:tcBorders>
              <w:top w:val="single" w:sz="4" w:space="0" w:color="auto"/>
              <w:left w:val="nil"/>
              <w:bottom w:val="single" w:sz="4" w:space="0" w:color="auto"/>
              <w:right w:val="nil"/>
            </w:tcBorders>
          </w:tcPr>
          <w:p w14:paraId="2BB443F5" w14:textId="77777777" w:rsidR="00276166" w:rsidRPr="00FE4CCD" w:rsidRDefault="00276166" w:rsidP="007B69C1">
            <w:pPr>
              <w:spacing w:line="240" w:lineRule="auto"/>
              <w:ind w:right="-142"/>
              <w:jc w:val="left"/>
              <w:rPr>
                <w:sz w:val="20"/>
                <w:szCs w:val="20"/>
              </w:rPr>
            </w:pPr>
          </w:p>
        </w:tc>
      </w:tr>
      <w:tr w:rsidR="00276166" w:rsidRPr="00FE4CCD" w14:paraId="2314409A" w14:textId="77777777" w:rsidTr="009A72F8">
        <w:tc>
          <w:tcPr>
            <w:tcW w:w="846" w:type="dxa"/>
            <w:tcBorders>
              <w:top w:val="single" w:sz="4" w:space="0" w:color="auto"/>
              <w:left w:val="nil"/>
              <w:bottom w:val="nil"/>
              <w:right w:val="nil"/>
            </w:tcBorders>
          </w:tcPr>
          <w:p w14:paraId="39F00241" w14:textId="0159B04B" w:rsidR="00276166" w:rsidRPr="00FE4CCD" w:rsidRDefault="00276166" w:rsidP="007B69C1">
            <w:pPr>
              <w:spacing w:line="240" w:lineRule="auto"/>
              <w:ind w:right="-142"/>
              <w:jc w:val="left"/>
              <w:rPr>
                <w:sz w:val="20"/>
                <w:szCs w:val="20"/>
              </w:rPr>
            </w:pPr>
            <w:r w:rsidRPr="00FE4CCD">
              <w:rPr>
                <w:sz w:val="20"/>
                <w:szCs w:val="20"/>
              </w:rPr>
              <w:t>1</w:t>
            </w:r>
          </w:p>
        </w:tc>
        <w:tc>
          <w:tcPr>
            <w:tcW w:w="1556" w:type="dxa"/>
            <w:tcBorders>
              <w:top w:val="single" w:sz="4" w:space="0" w:color="auto"/>
              <w:left w:val="nil"/>
              <w:bottom w:val="nil"/>
              <w:right w:val="nil"/>
            </w:tcBorders>
          </w:tcPr>
          <w:p w14:paraId="47934D7B" w14:textId="3061E462" w:rsidR="00276166" w:rsidRPr="00FE4CCD" w:rsidRDefault="00276166" w:rsidP="007B69C1">
            <w:pPr>
              <w:spacing w:line="240" w:lineRule="auto"/>
              <w:ind w:right="-142"/>
              <w:jc w:val="left"/>
              <w:rPr>
                <w:sz w:val="20"/>
                <w:szCs w:val="20"/>
              </w:rPr>
            </w:pPr>
            <w:r w:rsidRPr="00FE4CCD">
              <w:rPr>
                <w:sz w:val="20"/>
                <w:szCs w:val="20"/>
              </w:rPr>
              <w:t>(Constant)</w:t>
            </w:r>
          </w:p>
        </w:tc>
        <w:tc>
          <w:tcPr>
            <w:tcW w:w="1185" w:type="dxa"/>
            <w:tcBorders>
              <w:top w:val="single" w:sz="4" w:space="0" w:color="auto"/>
              <w:left w:val="nil"/>
              <w:bottom w:val="nil"/>
              <w:right w:val="nil"/>
            </w:tcBorders>
          </w:tcPr>
          <w:p w14:paraId="791047AA" w14:textId="19D6959B" w:rsidR="00276166" w:rsidRPr="00FE4CCD" w:rsidRDefault="009A72F8" w:rsidP="009A72F8">
            <w:pPr>
              <w:spacing w:line="240" w:lineRule="auto"/>
              <w:ind w:right="-142"/>
              <w:jc w:val="center"/>
              <w:rPr>
                <w:sz w:val="20"/>
                <w:szCs w:val="20"/>
              </w:rPr>
            </w:pPr>
            <w:r w:rsidRPr="00FE4CCD">
              <w:rPr>
                <w:sz w:val="20"/>
                <w:szCs w:val="20"/>
              </w:rPr>
              <w:t>-4.371</w:t>
            </w:r>
          </w:p>
        </w:tc>
        <w:tc>
          <w:tcPr>
            <w:tcW w:w="1198" w:type="dxa"/>
            <w:tcBorders>
              <w:top w:val="single" w:sz="4" w:space="0" w:color="auto"/>
              <w:left w:val="nil"/>
              <w:bottom w:val="nil"/>
              <w:right w:val="nil"/>
            </w:tcBorders>
          </w:tcPr>
          <w:p w14:paraId="009A38C0" w14:textId="72C26699" w:rsidR="00276166" w:rsidRPr="00FE4CCD" w:rsidRDefault="009A72F8" w:rsidP="009A72F8">
            <w:pPr>
              <w:spacing w:line="240" w:lineRule="auto"/>
              <w:ind w:right="-142"/>
              <w:jc w:val="center"/>
              <w:rPr>
                <w:sz w:val="20"/>
                <w:szCs w:val="20"/>
              </w:rPr>
            </w:pPr>
            <w:r w:rsidRPr="00FE4CCD">
              <w:rPr>
                <w:sz w:val="20"/>
                <w:szCs w:val="20"/>
              </w:rPr>
              <w:t>3.251</w:t>
            </w:r>
          </w:p>
        </w:tc>
        <w:tc>
          <w:tcPr>
            <w:tcW w:w="1365" w:type="dxa"/>
            <w:tcBorders>
              <w:top w:val="single" w:sz="4" w:space="0" w:color="auto"/>
              <w:left w:val="nil"/>
              <w:bottom w:val="nil"/>
              <w:right w:val="nil"/>
            </w:tcBorders>
          </w:tcPr>
          <w:p w14:paraId="377FD81F" w14:textId="77777777" w:rsidR="00276166" w:rsidRPr="00FE4CCD" w:rsidRDefault="00276166" w:rsidP="009A72F8">
            <w:pPr>
              <w:spacing w:line="240" w:lineRule="auto"/>
              <w:ind w:right="-142"/>
              <w:jc w:val="center"/>
              <w:rPr>
                <w:sz w:val="20"/>
                <w:szCs w:val="20"/>
              </w:rPr>
            </w:pPr>
          </w:p>
        </w:tc>
        <w:tc>
          <w:tcPr>
            <w:tcW w:w="1165" w:type="dxa"/>
            <w:tcBorders>
              <w:top w:val="single" w:sz="4" w:space="0" w:color="auto"/>
              <w:left w:val="nil"/>
              <w:bottom w:val="nil"/>
              <w:right w:val="nil"/>
            </w:tcBorders>
          </w:tcPr>
          <w:p w14:paraId="3E92E3D9" w14:textId="36C50FBD" w:rsidR="00276166" w:rsidRPr="00FE4CCD" w:rsidRDefault="009A72F8" w:rsidP="009A72F8">
            <w:pPr>
              <w:spacing w:line="240" w:lineRule="auto"/>
              <w:ind w:right="-142"/>
              <w:jc w:val="center"/>
              <w:rPr>
                <w:sz w:val="20"/>
                <w:szCs w:val="20"/>
              </w:rPr>
            </w:pPr>
            <w:r w:rsidRPr="00FE4CCD">
              <w:rPr>
                <w:sz w:val="20"/>
                <w:szCs w:val="20"/>
              </w:rPr>
              <w:t>-1.344</w:t>
            </w:r>
          </w:p>
        </w:tc>
        <w:tc>
          <w:tcPr>
            <w:tcW w:w="1180" w:type="dxa"/>
            <w:tcBorders>
              <w:top w:val="single" w:sz="4" w:space="0" w:color="auto"/>
              <w:left w:val="nil"/>
              <w:bottom w:val="nil"/>
              <w:right w:val="nil"/>
            </w:tcBorders>
          </w:tcPr>
          <w:p w14:paraId="243BBED2" w14:textId="40A4B07A" w:rsidR="00276166" w:rsidRPr="00FE4CCD" w:rsidRDefault="009A72F8" w:rsidP="009A72F8">
            <w:pPr>
              <w:spacing w:line="240" w:lineRule="auto"/>
              <w:ind w:right="-142"/>
              <w:jc w:val="center"/>
              <w:rPr>
                <w:sz w:val="20"/>
                <w:szCs w:val="20"/>
              </w:rPr>
            </w:pPr>
            <w:r w:rsidRPr="00FE4CCD">
              <w:rPr>
                <w:sz w:val="20"/>
                <w:szCs w:val="20"/>
              </w:rPr>
              <w:t>.180</w:t>
            </w:r>
          </w:p>
        </w:tc>
      </w:tr>
      <w:tr w:rsidR="00276166" w:rsidRPr="00FE4CCD" w14:paraId="68B92CA8" w14:textId="77777777" w:rsidTr="009A72F8">
        <w:tc>
          <w:tcPr>
            <w:tcW w:w="846" w:type="dxa"/>
            <w:tcBorders>
              <w:top w:val="nil"/>
              <w:left w:val="nil"/>
              <w:bottom w:val="nil"/>
              <w:right w:val="nil"/>
            </w:tcBorders>
          </w:tcPr>
          <w:p w14:paraId="5AFF2444" w14:textId="77777777" w:rsidR="00276166" w:rsidRPr="00FE4CCD" w:rsidRDefault="00276166" w:rsidP="007B69C1">
            <w:pPr>
              <w:spacing w:line="240" w:lineRule="auto"/>
              <w:ind w:right="-142"/>
              <w:jc w:val="left"/>
              <w:rPr>
                <w:sz w:val="20"/>
                <w:szCs w:val="20"/>
              </w:rPr>
            </w:pPr>
          </w:p>
        </w:tc>
        <w:tc>
          <w:tcPr>
            <w:tcW w:w="1556" w:type="dxa"/>
            <w:tcBorders>
              <w:top w:val="nil"/>
              <w:left w:val="nil"/>
              <w:bottom w:val="nil"/>
              <w:right w:val="nil"/>
            </w:tcBorders>
          </w:tcPr>
          <w:p w14:paraId="091F3A1F" w14:textId="381CEA3D" w:rsidR="00276166" w:rsidRPr="00FE4CCD" w:rsidRDefault="00276166" w:rsidP="007B69C1">
            <w:pPr>
              <w:spacing w:line="240" w:lineRule="auto"/>
              <w:ind w:right="-142"/>
              <w:jc w:val="left"/>
              <w:rPr>
                <w:sz w:val="20"/>
                <w:szCs w:val="20"/>
              </w:rPr>
            </w:pPr>
            <w:r w:rsidRPr="00FE4CCD">
              <w:rPr>
                <w:sz w:val="20"/>
                <w:szCs w:val="20"/>
              </w:rPr>
              <w:t>MVAIC</w:t>
            </w:r>
          </w:p>
        </w:tc>
        <w:tc>
          <w:tcPr>
            <w:tcW w:w="1185" w:type="dxa"/>
            <w:tcBorders>
              <w:top w:val="nil"/>
              <w:left w:val="nil"/>
              <w:bottom w:val="nil"/>
              <w:right w:val="nil"/>
            </w:tcBorders>
          </w:tcPr>
          <w:p w14:paraId="0E055C94" w14:textId="200A43B6" w:rsidR="00276166" w:rsidRPr="00FE4CCD" w:rsidRDefault="009A72F8" w:rsidP="009A72F8">
            <w:pPr>
              <w:spacing w:line="240" w:lineRule="auto"/>
              <w:ind w:right="-142"/>
              <w:jc w:val="center"/>
              <w:rPr>
                <w:sz w:val="20"/>
                <w:szCs w:val="20"/>
              </w:rPr>
            </w:pPr>
            <w:r w:rsidRPr="00FE4CCD">
              <w:rPr>
                <w:sz w:val="20"/>
                <w:szCs w:val="20"/>
              </w:rPr>
              <w:t>1.087</w:t>
            </w:r>
          </w:p>
        </w:tc>
        <w:tc>
          <w:tcPr>
            <w:tcW w:w="1198" w:type="dxa"/>
            <w:tcBorders>
              <w:top w:val="nil"/>
              <w:left w:val="nil"/>
              <w:bottom w:val="nil"/>
              <w:right w:val="nil"/>
            </w:tcBorders>
          </w:tcPr>
          <w:p w14:paraId="7EBD5EC5" w14:textId="0D559980" w:rsidR="00276166" w:rsidRPr="00FE4CCD" w:rsidRDefault="009A72F8" w:rsidP="009A72F8">
            <w:pPr>
              <w:spacing w:line="240" w:lineRule="auto"/>
              <w:ind w:right="-142"/>
              <w:jc w:val="center"/>
              <w:rPr>
                <w:sz w:val="20"/>
                <w:szCs w:val="20"/>
              </w:rPr>
            </w:pPr>
            <w:r w:rsidRPr="00FE4CCD">
              <w:rPr>
                <w:sz w:val="20"/>
                <w:szCs w:val="20"/>
              </w:rPr>
              <w:t>.044</w:t>
            </w:r>
          </w:p>
        </w:tc>
        <w:tc>
          <w:tcPr>
            <w:tcW w:w="1365" w:type="dxa"/>
            <w:tcBorders>
              <w:top w:val="nil"/>
              <w:left w:val="nil"/>
              <w:bottom w:val="nil"/>
              <w:right w:val="nil"/>
            </w:tcBorders>
          </w:tcPr>
          <w:p w14:paraId="41E9B6EF" w14:textId="3A725494" w:rsidR="00276166" w:rsidRPr="00FE4CCD" w:rsidRDefault="009A72F8" w:rsidP="009A72F8">
            <w:pPr>
              <w:spacing w:line="240" w:lineRule="auto"/>
              <w:ind w:right="-142"/>
              <w:jc w:val="center"/>
              <w:rPr>
                <w:sz w:val="20"/>
                <w:szCs w:val="20"/>
              </w:rPr>
            </w:pPr>
            <w:r w:rsidRPr="00FE4CCD">
              <w:rPr>
                <w:sz w:val="20"/>
                <w:szCs w:val="20"/>
              </w:rPr>
              <w:t>.811</w:t>
            </w:r>
          </w:p>
        </w:tc>
        <w:tc>
          <w:tcPr>
            <w:tcW w:w="1165" w:type="dxa"/>
            <w:tcBorders>
              <w:top w:val="nil"/>
              <w:left w:val="nil"/>
              <w:bottom w:val="nil"/>
              <w:right w:val="nil"/>
            </w:tcBorders>
          </w:tcPr>
          <w:p w14:paraId="3E1BC2F8" w14:textId="1813E915" w:rsidR="00276166" w:rsidRPr="00FE4CCD" w:rsidRDefault="009A72F8" w:rsidP="009A72F8">
            <w:pPr>
              <w:spacing w:line="240" w:lineRule="auto"/>
              <w:ind w:right="-142"/>
              <w:jc w:val="center"/>
              <w:rPr>
                <w:sz w:val="20"/>
                <w:szCs w:val="20"/>
              </w:rPr>
            </w:pPr>
            <w:r w:rsidRPr="00FE4CCD">
              <w:rPr>
                <w:sz w:val="20"/>
                <w:szCs w:val="20"/>
              </w:rPr>
              <w:t>24.593</w:t>
            </w:r>
          </w:p>
        </w:tc>
        <w:tc>
          <w:tcPr>
            <w:tcW w:w="1180" w:type="dxa"/>
            <w:tcBorders>
              <w:top w:val="nil"/>
              <w:left w:val="nil"/>
              <w:bottom w:val="nil"/>
              <w:right w:val="nil"/>
            </w:tcBorders>
          </w:tcPr>
          <w:p w14:paraId="4A137D42" w14:textId="43E462D9" w:rsidR="00276166" w:rsidRPr="00FE4CCD" w:rsidRDefault="009A72F8" w:rsidP="009A72F8">
            <w:pPr>
              <w:spacing w:line="240" w:lineRule="auto"/>
              <w:ind w:right="-142"/>
              <w:jc w:val="center"/>
              <w:rPr>
                <w:sz w:val="20"/>
                <w:szCs w:val="20"/>
              </w:rPr>
            </w:pPr>
            <w:r w:rsidRPr="00FE4CCD">
              <w:rPr>
                <w:sz w:val="20"/>
                <w:szCs w:val="20"/>
              </w:rPr>
              <w:t>.000</w:t>
            </w:r>
          </w:p>
        </w:tc>
      </w:tr>
      <w:tr w:rsidR="00276166" w:rsidRPr="00FE4CCD" w14:paraId="42771173" w14:textId="77777777" w:rsidTr="009A72F8">
        <w:tc>
          <w:tcPr>
            <w:tcW w:w="846" w:type="dxa"/>
            <w:tcBorders>
              <w:top w:val="nil"/>
              <w:left w:val="nil"/>
              <w:bottom w:val="single" w:sz="4" w:space="0" w:color="auto"/>
              <w:right w:val="nil"/>
            </w:tcBorders>
          </w:tcPr>
          <w:p w14:paraId="745DBA35" w14:textId="77777777" w:rsidR="00276166" w:rsidRPr="00FE4CCD" w:rsidRDefault="00276166" w:rsidP="007B69C1">
            <w:pPr>
              <w:spacing w:line="240" w:lineRule="auto"/>
              <w:ind w:right="-142"/>
              <w:jc w:val="left"/>
              <w:rPr>
                <w:sz w:val="20"/>
                <w:szCs w:val="20"/>
              </w:rPr>
            </w:pPr>
          </w:p>
        </w:tc>
        <w:tc>
          <w:tcPr>
            <w:tcW w:w="1556" w:type="dxa"/>
            <w:tcBorders>
              <w:top w:val="nil"/>
              <w:left w:val="nil"/>
              <w:bottom w:val="single" w:sz="4" w:space="0" w:color="auto"/>
              <w:right w:val="nil"/>
            </w:tcBorders>
          </w:tcPr>
          <w:p w14:paraId="4ABD73DF" w14:textId="0A293637" w:rsidR="00276166" w:rsidRPr="00FE4CCD" w:rsidRDefault="00276166" w:rsidP="007B69C1">
            <w:pPr>
              <w:spacing w:line="240" w:lineRule="auto"/>
              <w:ind w:right="-142"/>
              <w:jc w:val="left"/>
              <w:rPr>
                <w:sz w:val="20"/>
                <w:szCs w:val="20"/>
              </w:rPr>
            </w:pPr>
            <w:r w:rsidRPr="00FE4CCD">
              <w:rPr>
                <w:sz w:val="20"/>
                <w:szCs w:val="20"/>
              </w:rPr>
              <w:t>LNTA</w:t>
            </w:r>
          </w:p>
        </w:tc>
        <w:tc>
          <w:tcPr>
            <w:tcW w:w="1185" w:type="dxa"/>
            <w:tcBorders>
              <w:top w:val="nil"/>
              <w:left w:val="nil"/>
              <w:bottom w:val="single" w:sz="4" w:space="0" w:color="auto"/>
              <w:right w:val="nil"/>
            </w:tcBorders>
          </w:tcPr>
          <w:p w14:paraId="61130C26" w14:textId="5979F973" w:rsidR="00276166" w:rsidRPr="00FE4CCD" w:rsidRDefault="009A72F8" w:rsidP="009A72F8">
            <w:pPr>
              <w:spacing w:line="240" w:lineRule="auto"/>
              <w:ind w:right="-142"/>
              <w:jc w:val="center"/>
              <w:rPr>
                <w:sz w:val="20"/>
                <w:szCs w:val="20"/>
              </w:rPr>
            </w:pPr>
            <w:r w:rsidRPr="00FE4CCD">
              <w:rPr>
                <w:sz w:val="20"/>
                <w:szCs w:val="20"/>
              </w:rPr>
              <w:t>.125</w:t>
            </w:r>
          </w:p>
        </w:tc>
        <w:tc>
          <w:tcPr>
            <w:tcW w:w="1198" w:type="dxa"/>
            <w:tcBorders>
              <w:top w:val="nil"/>
              <w:left w:val="nil"/>
              <w:bottom w:val="single" w:sz="4" w:space="0" w:color="auto"/>
              <w:right w:val="nil"/>
            </w:tcBorders>
          </w:tcPr>
          <w:p w14:paraId="32C5FB5A" w14:textId="3CFD3857" w:rsidR="00276166" w:rsidRPr="00FE4CCD" w:rsidRDefault="009A72F8" w:rsidP="009A72F8">
            <w:pPr>
              <w:spacing w:line="240" w:lineRule="auto"/>
              <w:ind w:right="-142"/>
              <w:jc w:val="center"/>
              <w:rPr>
                <w:sz w:val="20"/>
                <w:szCs w:val="20"/>
              </w:rPr>
            </w:pPr>
            <w:r w:rsidRPr="00FE4CCD">
              <w:rPr>
                <w:sz w:val="20"/>
                <w:szCs w:val="20"/>
              </w:rPr>
              <w:t>.113</w:t>
            </w:r>
          </w:p>
        </w:tc>
        <w:tc>
          <w:tcPr>
            <w:tcW w:w="1365" w:type="dxa"/>
            <w:tcBorders>
              <w:top w:val="nil"/>
              <w:left w:val="nil"/>
              <w:bottom w:val="single" w:sz="4" w:space="0" w:color="auto"/>
              <w:right w:val="nil"/>
            </w:tcBorders>
          </w:tcPr>
          <w:p w14:paraId="70487499" w14:textId="6879649E" w:rsidR="00276166" w:rsidRPr="00FE4CCD" w:rsidRDefault="009A72F8" w:rsidP="009A72F8">
            <w:pPr>
              <w:spacing w:line="240" w:lineRule="auto"/>
              <w:ind w:right="-142"/>
              <w:jc w:val="center"/>
              <w:rPr>
                <w:sz w:val="20"/>
                <w:szCs w:val="20"/>
              </w:rPr>
            </w:pPr>
            <w:r w:rsidRPr="00FE4CCD">
              <w:rPr>
                <w:sz w:val="20"/>
                <w:szCs w:val="20"/>
              </w:rPr>
              <w:t>.036</w:t>
            </w:r>
          </w:p>
        </w:tc>
        <w:tc>
          <w:tcPr>
            <w:tcW w:w="1165" w:type="dxa"/>
            <w:tcBorders>
              <w:top w:val="nil"/>
              <w:left w:val="nil"/>
              <w:bottom w:val="single" w:sz="4" w:space="0" w:color="auto"/>
              <w:right w:val="nil"/>
            </w:tcBorders>
          </w:tcPr>
          <w:p w14:paraId="26AE07AC" w14:textId="29EDCFC2" w:rsidR="00276166" w:rsidRPr="00FE4CCD" w:rsidRDefault="009A72F8" w:rsidP="009A72F8">
            <w:pPr>
              <w:spacing w:line="240" w:lineRule="auto"/>
              <w:ind w:right="-142"/>
              <w:jc w:val="center"/>
              <w:rPr>
                <w:sz w:val="20"/>
                <w:szCs w:val="20"/>
              </w:rPr>
            </w:pPr>
            <w:r w:rsidRPr="00FE4CCD">
              <w:rPr>
                <w:sz w:val="20"/>
                <w:szCs w:val="20"/>
              </w:rPr>
              <w:t>1.106</w:t>
            </w:r>
          </w:p>
        </w:tc>
        <w:tc>
          <w:tcPr>
            <w:tcW w:w="1180" w:type="dxa"/>
            <w:tcBorders>
              <w:top w:val="nil"/>
              <w:left w:val="nil"/>
              <w:bottom w:val="single" w:sz="4" w:space="0" w:color="auto"/>
              <w:right w:val="nil"/>
            </w:tcBorders>
          </w:tcPr>
          <w:p w14:paraId="7D690F26" w14:textId="51B8B8DF" w:rsidR="00276166" w:rsidRPr="00FE4CCD" w:rsidRDefault="009A72F8" w:rsidP="009A72F8">
            <w:pPr>
              <w:spacing w:line="240" w:lineRule="auto"/>
              <w:ind w:right="-142"/>
              <w:jc w:val="center"/>
              <w:rPr>
                <w:sz w:val="20"/>
                <w:szCs w:val="20"/>
              </w:rPr>
            </w:pPr>
            <w:r w:rsidRPr="00FE4CCD">
              <w:rPr>
                <w:sz w:val="20"/>
                <w:szCs w:val="20"/>
              </w:rPr>
              <w:t>.270</w:t>
            </w:r>
          </w:p>
        </w:tc>
      </w:tr>
    </w:tbl>
    <w:p w14:paraId="0E83E1C5" w14:textId="6790F1BE" w:rsidR="00276166" w:rsidRDefault="00276166" w:rsidP="007B69C1">
      <w:pPr>
        <w:spacing w:line="240" w:lineRule="auto"/>
        <w:ind w:right="-142"/>
        <w:jc w:val="left"/>
        <w:rPr>
          <w:sz w:val="22"/>
        </w:rPr>
      </w:pPr>
      <w:r w:rsidRPr="00276166">
        <w:rPr>
          <w:sz w:val="22"/>
        </w:rPr>
        <w:t>a. Dependent Variable: ROA</w:t>
      </w:r>
      <w:r w:rsidR="009A72F8">
        <w:rPr>
          <w:sz w:val="22"/>
        </w:rPr>
        <w:t xml:space="preserve"> (Y)</w:t>
      </w:r>
    </w:p>
    <w:p w14:paraId="542B8170" w14:textId="77777777" w:rsidR="00D76D05" w:rsidRDefault="00D76D05" w:rsidP="003D346A">
      <w:pPr>
        <w:spacing w:line="240" w:lineRule="auto"/>
        <w:ind w:right="-142" w:firstLine="720"/>
        <w:rPr>
          <w:bCs/>
          <w:sz w:val="22"/>
          <w:lang w:val="id-ID"/>
        </w:rPr>
      </w:pPr>
    </w:p>
    <w:p w14:paraId="12AF34B7" w14:textId="71D42106" w:rsidR="008275F6" w:rsidRPr="003D346A" w:rsidRDefault="000202FB" w:rsidP="003D346A">
      <w:pPr>
        <w:spacing w:line="240" w:lineRule="auto"/>
        <w:ind w:right="-142" w:firstLine="720"/>
        <w:rPr>
          <w:bCs/>
          <w:sz w:val="22"/>
          <w:lang w:val="sv-SE"/>
        </w:rPr>
      </w:pPr>
      <w:r>
        <w:rPr>
          <w:bCs/>
          <w:sz w:val="22"/>
        </w:rPr>
        <w:t xml:space="preserve">Based on result </w:t>
      </w:r>
      <w:r w:rsidRPr="000202FB">
        <w:rPr>
          <w:bCs/>
          <w:i/>
          <w:iCs/>
          <w:sz w:val="22"/>
        </w:rPr>
        <w:t>unstandardized coefficients</w:t>
      </w:r>
      <w:r w:rsidRPr="000202FB">
        <w:rPr>
          <w:bCs/>
          <w:sz w:val="22"/>
        </w:rPr>
        <w:t xml:space="preserve"> (B) as presented in Table 4. Then a simple linear regression equation can be formed as follows:</w:t>
      </w:r>
    </w:p>
    <w:p w14:paraId="76DB7B7A" w14:textId="0C33C86A" w:rsidR="008275F6" w:rsidRPr="003D346A" w:rsidRDefault="008275F6" w:rsidP="003D346A">
      <w:pPr>
        <w:spacing w:line="240" w:lineRule="auto"/>
        <w:ind w:right="-142" w:firstLine="720"/>
        <w:jc w:val="center"/>
        <w:rPr>
          <w:b/>
          <w:bCs/>
          <w:sz w:val="22"/>
          <w:vertAlign w:val="subscript"/>
          <w:lang w:val="id-ID"/>
        </w:rPr>
      </w:pPr>
      <w:r w:rsidRPr="008275F6">
        <w:rPr>
          <w:b/>
          <w:bCs/>
          <w:sz w:val="22"/>
        </w:rPr>
        <w:t>Y= -4,371</w:t>
      </w:r>
      <w:r w:rsidRPr="008275F6">
        <w:rPr>
          <w:b/>
          <w:bCs/>
          <w:sz w:val="22"/>
          <w:lang w:val="id-ID"/>
        </w:rPr>
        <w:t xml:space="preserve"> + 1,</w:t>
      </w:r>
      <w:r w:rsidRPr="008275F6">
        <w:rPr>
          <w:b/>
          <w:bCs/>
          <w:sz w:val="22"/>
        </w:rPr>
        <w:t>087 X</w:t>
      </w:r>
      <w:r w:rsidRPr="008275F6">
        <w:rPr>
          <w:b/>
          <w:bCs/>
          <w:sz w:val="22"/>
          <w:vertAlign w:val="subscript"/>
          <w:lang w:val="id-ID"/>
        </w:rPr>
        <w:t>1</w:t>
      </w:r>
      <w:r w:rsidRPr="008275F6">
        <w:rPr>
          <w:b/>
          <w:bCs/>
          <w:sz w:val="22"/>
          <w:lang w:val="id-ID"/>
        </w:rPr>
        <w:t xml:space="preserve"> + </w:t>
      </w:r>
      <w:r w:rsidRPr="008275F6">
        <w:rPr>
          <w:b/>
          <w:bCs/>
          <w:sz w:val="22"/>
        </w:rPr>
        <w:t>0</w:t>
      </w:r>
      <w:r w:rsidRPr="008275F6">
        <w:rPr>
          <w:b/>
          <w:bCs/>
          <w:sz w:val="22"/>
          <w:lang w:val="id-ID"/>
        </w:rPr>
        <w:t>,</w:t>
      </w:r>
      <w:r w:rsidRPr="008275F6">
        <w:rPr>
          <w:b/>
          <w:bCs/>
          <w:sz w:val="22"/>
        </w:rPr>
        <w:t>125 X</w:t>
      </w:r>
      <w:r w:rsidRPr="008275F6">
        <w:rPr>
          <w:b/>
          <w:bCs/>
          <w:sz w:val="22"/>
          <w:vertAlign w:val="subscript"/>
          <w:lang w:val="id-ID"/>
        </w:rPr>
        <w:t>2</w:t>
      </w:r>
    </w:p>
    <w:p w14:paraId="7A500681" w14:textId="0B6C3AA1" w:rsidR="000202FB" w:rsidRPr="00D406DC" w:rsidRDefault="000202FB" w:rsidP="000202FB">
      <w:pPr>
        <w:spacing w:line="240" w:lineRule="auto"/>
        <w:ind w:right="-142" w:firstLine="720"/>
        <w:rPr>
          <w:bCs/>
          <w:sz w:val="22"/>
        </w:rPr>
      </w:pPr>
      <w:r w:rsidRPr="00D406DC">
        <w:rPr>
          <w:bCs/>
          <w:sz w:val="22"/>
        </w:rPr>
        <w:t>A constant of -4.371% indicates an average value</w:t>
      </w:r>
      <w:r w:rsidR="00D406DC" w:rsidRPr="00D406DC">
        <w:rPr>
          <w:bCs/>
          <w:sz w:val="22"/>
        </w:rPr>
        <w:t xml:space="preserve"> </w:t>
      </w:r>
      <w:r w:rsidRPr="00D406DC">
        <w:rPr>
          <w:bCs/>
          <w:iCs/>
          <w:sz w:val="22"/>
        </w:rPr>
        <w:t>return on asset</w:t>
      </w:r>
      <w:r w:rsidRPr="00D406DC">
        <w:rPr>
          <w:bCs/>
          <w:sz w:val="22"/>
        </w:rPr>
        <w:t xml:space="preserve"> sector </w:t>
      </w:r>
      <w:proofErr w:type="gramStart"/>
      <w:r w:rsidRPr="00D406DC">
        <w:rPr>
          <w:bCs/>
          <w:sz w:val="22"/>
        </w:rPr>
        <w:t>companies</w:t>
      </w:r>
      <w:proofErr w:type="gramEnd"/>
      <w:r w:rsidR="00D406DC" w:rsidRPr="00D406DC">
        <w:rPr>
          <w:bCs/>
          <w:sz w:val="22"/>
        </w:rPr>
        <w:t xml:space="preserve"> </w:t>
      </w:r>
      <w:r w:rsidRPr="00D406DC">
        <w:rPr>
          <w:bCs/>
          <w:iCs/>
          <w:sz w:val="22"/>
        </w:rPr>
        <w:t>property</w:t>
      </w:r>
      <w:r w:rsidRPr="00D406DC">
        <w:rPr>
          <w:bCs/>
          <w:sz w:val="22"/>
        </w:rPr>
        <w:t xml:space="preserve"> and</w:t>
      </w:r>
      <w:r w:rsidR="00D406DC" w:rsidRPr="00D406DC">
        <w:rPr>
          <w:bCs/>
          <w:sz w:val="22"/>
        </w:rPr>
        <w:t xml:space="preserve"> </w:t>
      </w:r>
      <w:r w:rsidRPr="00D406DC">
        <w:rPr>
          <w:bCs/>
          <w:iCs/>
          <w:sz w:val="22"/>
        </w:rPr>
        <w:t>real estate</w:t>
      </w:r>
      <w:r w:rsidRPr="00D406DC">
        <w:rPr>
          <w:bCs/>
          <w:sz w:val="22"/>
        </w:rPr>
        <w:t xml:space="preserve"> listed on the Indonesia Stock Exchange, if</w:t>
      </w:r>
      <w:r w:rsidR="00D406DC" w:rsidRPr="00D406DC">
        <w:rPr>
          <w:bCs/>
          <w:sz w:val="22"/>
        </w:rPr>
        <w:t xml:space="preserve"> </w:t>
      </w:r>
      <w:r w:rsidRPr="00D406DC">
        <w:rPr>
          <w:bCs/>
          <w:iCs/>
          <w:sz w:val="22"/>
        </w:rPr>
        <w:t>modified</w:t>
      </w:r>
      <w:r w:rsidRPr="00D406DC">
        <w:rPr>
          <w:bCs/>
          <w:sz w:val="22"/>
        </w:rPr>
        <w:t xml:space="preserve"> </w:t>
      </w:r>
      <w:r w:rsidRPr="00D406DC">
        <w:rPr>
          <w:bCs/>
          <w:iCs/>
          <w:sz w:val="22"/>
        </w:rPr>
        <w:t xml:space="preserve">value added intellectual capital </w:t>
      </w:r>
      <w:r w:rsidRPr="00D406DC">
        <w:rPr>
          <w:bCs/>
          <w:sz w:val="22"/>
        </w:rPr>
        <w:t>and zero total assets. This means when the company has no assets and</w:t>
      </w:r>
      <w:r w:rsidR="00D406DC" w:rsidRPr="00D406DC">
        <w:rPr>
          <w:bCs/>
          <w:sz w:val="22"/>
        </w:rPr>
        <w:t xml:space="preserve"> </w:t>
      </w:r>
      <w:r w:rsidRPr="00D406DC">
        <w:rPr>
          <w:bCs/>
          <w:iCs/>
          <w:sz w:val="22"/>
        </w:rPr>
        <w:t>modified</w:t>
      </w:r>
      <w:r w:rsidRPr="00D406DC">
        <w:rPr>
          <w:bCs/>
          <w:sz w:val="22"/>
        </w:rPr>
        <w:t xml:space="preserve"> </w:t>
      </w:r>
      <w:r w:rsidRPr="00D406DC">
        <w:rPr>
          <w:bCs/>
          <w:iCs/>
          <w:sz w:val="22"/>
        </w:rPr>
        <w:t>value added intellectual capital</w:t>
      </w:r>
      <w:r w:rsidRPr="00D406DC">
        <w:rPr>
          <w:bCs/>
          <w:sz w:val="22"/>
        </w:rPr>
        <w:t>, then the company tends to suffer losses.</w:t>
      </w:r>
      <w:r w:rsidR="00D406DC" w:rsidRPr="00D406DC">
        <w:rPr>
          <w:bCs/>
          <w:sz w:val="22"/>
        </w:rPr>
        <w:t xml:space="preserve"> </w:t>
      </w:r>
      <w:r w:rsidRPr="00D406DC">
        <w:rPr>
          <w:bCs/>
          <w:iCs/>
          <w:sz w:val="22"/>
        </w:rPr>
        <w:t>Intellectual capital</w:t>
      </w:r>
      <w:r w:rsidRPr="00D406DC">
        <w:rPr>
          <w:bCs/>
          <w:sz w:val="22"/>
        </w:rPr>
        <w:t xml:space="preserve"> has a positive sign coefficient of 1.087, indicating that each increase</w:t>
      </w:r>
      <w:r w:rsidR="00D406DC" w:rsidRPr="00D406DC">
        <w:rPr>
          <w:bCs/>
          <w:sz w:val="22"/>
        </w:rPr>
        <w:t xml:space="preserve"> </w:t>
      </w:r>
      <w:r w:rsidRPr="00D406DC">
        <w:rPr>
          <w:bCs/>
          <w:iCs/>
          <w:sz w:val="22"/>
        </w:rPr>
        <w:t>modified value added intellectual capital</w:t>
      </w:r>
      <w:r w:rsidRPr="00D406DC">
        <w:rPr>
          <w:bCs/>
          <w:sz w:val="22"/>
        </w:rPr>
        <w:t xml:space="preserve"> by 1 is predicted to increase</w:t>
      </w:r>
      <w:r w:rsidR="00D406DC" w:rsidRPr="00D406DC">
        <w:rPr>
          <w:bCs/>
          <w:sz w:val="22"/>
        </w:rPr>
        <w:t xml:space="preserve"> </w:t>
      </w:r>
      <w:r w:rsidRPr="00D406DC">
        <w:rPr>
          <w:bCs/>
          <w:iCs/>
          <w:sz w:val="22"/>
        </w:rPr>
        <w:t>return on asset</w:t>
      </w:r>
      <w:r w:rsidRPr="00D406DC">
        <w:rPr>
          <w:bCs/>
          <w:sz w:val="22"/>
        </w:rPr>
        <w:t xml:space="preserve"> by 1.087 percent. It means company with</w:t>
      </w:r>
      <w:r w:rsidR="00D406DC" w:rsidRPr="00D406DC">
        <w:rPr>
          <w:bCs/>
          <w:sz w:val="22"/>
        </w:rPr>
        <w:t xml:space="preserve"> </w:t>
      </w:r>
      <w:r w:rsidRPr="00D406DC">
        <w:rPr>
          <w:bCs/>
          <w:iCs/>
          <w:sz w:val="22"/>
        </w:rPr>
        <w:t>modified</w:t>
      </w:r>
      <w:r w:rsidRPr="00D406DC">
        <w:rPr>
          <w:bCs/>
          <w:sz w:val="22"/>
        </w:rPr>
        <w:t xml:space="preserve"> </w:t>
      </w:r>
      <w:r w:rsidRPr="00D406DC">
        <w:rPr>
          <w:bCs/>
          <w:iCs/>
          <w:sz w:val="22"/>
        </w:rPr>
        <w:t>value added intellectual capital</w:t>
      </w:r>
      <w:r w:rsidRPr="00D406DC">
        <w:rPr>
          <w:bCs/>
          <w:sz w:val="22"/>
        </w:rPr>
        <w:t xml:space="preserve"> higher tend to have higher profitability. Firm size has a positive coefficient of 0.125, indicating that any increase in total assets in exponential multiples is predicted to increase</w:t>
      </w:r>
      <w:r w:rsidR="00D406DC" w:rsidRPr="00D406DC">
        <w:rPr>
          <w:bCs/>
          <w:sz w:val="22"/>
        </w:rPr>
        <w:t xml:space="preserve"> </w:t>
      </w:r>
      <w:r w:rsidRPr="00D406DC">
        <w:rPr>
          <w:bCs/>
          <w:iCs/>
          <w:sz w:val="22"/>
        </w:rPr>
        <w:t>return on asset</w:t>
      </w:r>
      <w:r w:rsidRPr="00D406DC">
        <w:rPr>
          <w:bCs/>
          <w:sz w:val="22"/>
        </w:rPr>
        <w:t xml:space="preserve"> by 0.125 percent. This means that companies with larger total assets tend to have higher profitability.</w:t>
      </w:r>
    </w:p>
    <w:p w14:paraId="5A57A3CA" w14:textId="79F6D671" w:rsidR="009A72F8" w:rsidRPr="00D406DC" w:rsidRDefault="009A72F8" w:rsidP="000202FB">
      <w:pPr>
        <w:spacing w:line="240" w:lineRule="auto"/>
        <w:ind w:right="-142"/>
        <w:rPr>
          <w:bCs/>
          <w:sz w:val="22"/>
        </w:rPr>
      </w:pPr>
      <w:r>
        <w:rPr>
          <w:sz w:val="22"/>
        </w:rPr>
        <w:tab/>
      </w:r>
      <w:r w:rsidR="000202FB" w:rsidRPr="00D406DC">
        <w:rPr>
          <w:sz w:val="22"/>
        </w:rPr>
        <w:t>Testing the coefficient of determination is carried out to determine the influence of the independent variables (</w:t>
      </w:r>
      <w:r w:rsidR="000202FB" w:rsidRPr="00D406DC">
        <w:rPr>
          <w:iCs/>
          <w:sz w:val="22"/>
        </w:rPr>
        <w:t>intellectual capital</w:t>
      </w:r>
      <w:r w:rsidR="000202FB" w:rsidRPr="00D406DC">
        <w:rPr>
          <w:sz w:val="22"/>
        </w:rPr>
        <w:t xml:space="preserve"> and </w:t>
      </w:r>
      <w:r w:rsidR="00D406DC" w:rsidRPr="00D406DC">
        <w:rPr>
          <w:sz w:val="22"/>
        </w:rPr>
        <w:t>firm size</w:t>
      </w:r>
      <w:r w:rsidR="000202FB" w:rsidRPr="00D406DC">
        <w:rPr>
          <w:sz w:val="22"/>
        </w:rPr>
        <w:t>) on the dependent variable (profitability) which is expressed as a percentage %.</w:t>
      </w:r>
    </w:p>
    <w:p w14:paraId="573ED8A2" w14:textId="4B5C96A7" w:rsidR="008275F6" w:rsidRPr="000078E7" w:rsidRDefault="00536D52" w:rsidP="000078E7">
      <w:pPr>
        <w:spacing w:line="240" w:lineRule="auto"/>
        <w:ind w:right="-142"/>
        <w:jc w:val="center"/>
        <w:rPr>
          <w:sz w:val="22"/>
        </w:rPr>
      </w:pPr>
      <w:r>
        <w:rPr>
          <w:sz w:val="22"/>
        </w:rPr>
        <w:t xml:space="preserve">Tabel 5. </w:t>
      </w:r>
      <w:r w:rsidR="00083EDE" w:rsidRPr="00083EDE">
        <w:rPr>
          <w:sz w:val="22"/>
        </w:rPr>
        <w:t>Determination Test</w:t>
      </w:r>
      <w:r w:rsidR="00083EDE">
        <w:rPr>
          <w:sz w:val="22"/>
        </w:rPr>
        <w:t xml:space="preserve"> Partial</w:t>
      </w:r>
    </w:p>
    <w:tbl>
      <w:tblPr>
        <w:tblStyle w:val="TableGrid"/>
        <w:tblW w:w="0" w:type="auto"/>
        <w:tblLook w:val="04A0" w:firstRow="1" w:lastRow="0" w:firstColumn="1" w:lastColumn="0" w:noHBand="0" w:noVBand="1"/>
      </w:tblPr>
      <w:tblGrid>
        <w:gridCol w:w="1699"/>
        <w:gridCol w:w="1699"/>
        <w:gridCol w:w="1699"/>
        <w:gridCol w:w="1699"/>
        <w:gridCol w:w="1699"/>
      </w:tblGrid>
      <w:tr w:rsidR="008275F6" w:rsidRPr="00FE4CCD" w14:paraId="3F7A5F94" w14:textId="77777777" w:rsidTr="000078E7">
        <w:tc>
          <w:tcPr>
            <w:tcW w:w="1699" w:type="dxa"/>
            <w:tcBorders>
              <w:top w:val="single" w:sz="2" w:space="0" w:color="auto"/>
              <w:left w:val="nil"/>
              <w:bottom w:val="single" w:sz="2" w:space="0" w:color="auto"/>
              <w:right w:val="nil"/>
            </w:tcBorders>
          </w:tcPr>
          <w:p w14:paraId="5736F67E" w14:textId="77777777" w:rsidR="008275F6" w:rsidRPr="00FE4CCD" w:rsidRDefault="008275F6" w:rsidP="00536D52">
            <w:pPr>
              <w:spacing w:line="240" w:lineRule="auto"/>
              <w:ind w:right="-142"/>
              <w:jc w:val="center"/>
              <w:rPr>
                <w:sz w:val="20"/>
                <w:szCs w:val="20"/>
              </w:rPr>
            </w:pPr>
          </w:p>
        </w:tc>
        <w:tc>
          <w:tcPr>
            <w:tcW w:w="1699" w:type="dxa"/>
            <w:tcBorders>
              <w:top w:val="single" w:sz="2" w:space="0" w:color="auto"/>
              <w:left w:val="nil"/>
              <w:bottom w:val="single" w:sz="2" w:space="0" w:color="auto"/>
              <w:right w:val="nil"/>
            </w:tcBorders>
          </w:tcPr>
          <w:p w14:paraId="729B23BA" w14:textId="77777777" w:rsidR="008275F6" w:rsidRPr="00FE4CCD" w:rsidRDefault="008275F6" w:rsidP="00536D52">
            <w:pPr>
              <w:spacing w:line="240" w:lineRule="auto"/>
              <w:ind w:right="-142"/>
              <w:jc w:val="center"/>
              <w:rPr>
                <w:sz w:val="20"/>
                <w:szCs w:val="20"/>
              </w:rPr>
            </w:pPr>
          </w:p>
        </w:tc>
        <w:tc>
          <w:tcPr>
            <w:tcW w:w="1699" w:type="dxa"/>
            <w:tcBorders>
              <w:top w:val="single" w:sz="2" w:space="0" w:color="auto"/>
              <w:left w:val="nil"/>
              <w:bottom w:val="single" w:sz="2" w:space="0" w:color="auto"/>
              <w:right w:val="nil"/>
            </w:tcBorders>
          </w:tcPr>
          <w:p w14:paraId="67F72BFD" w14:textId="15557566" w:rsidR="008275F6" w:rsidRPr="00FE4CCD" w:rsidRDefault="000078E7" w:rsidP="00536D52">
            <w:pPr>
              <w:spacing w:line="240" w:lineRule="auto"/>
              <w:ind w:right="-142"/>
              <w:jc w:val="center"/>
              <w:rPr>
                <w:sz w:val="20"/>
                <w:szCs w:val="20"/>
              </w:rPr>
            </w:pPr>
            <w:r w:rsidRPr="00FE4CCD">
              <w:rPr>
                <w:sz w:val="20"/>
                <w:szCs w:val="20"/>
              </w:rPr>
              <w:t>Coefficients</w:t>
            </w:r>
          </w:p>
        </w:tc>
        <w:tc>
          <w:tcPr>
            <w:tcW w:w="1699" w:type="dxa"/>
            <w:tcBorders>
              <w:top w:val="single" w:sz="2" w:space="0" w:color="auto"/>
              <w:left w:val="nil"/>
              <w:bottom w:val="single" w:sz="2" w:space="0" w:color="auto"/>
              <w:right w:val="nil"/>
            </w:tcBorders>
          </w:tcPr>
          <w:p w14:paraId="105F78A2" w14:textId="5641B59E" w:rsidR="008275F6" w:rsidRPr="00FE4CCD" w:rsidRDefault="008275F6" w:rsidP="00536D52">
            <w:pPr>
              <w:spacing w:line="240" w:lineRule="auto"/>
              <w:ind w:right="-142"/>
              <w:jc w:val="center"/>
              <w:rPr>
                <w:sz w:val="20"/>
                <w:szCs w:val="20"/>
              </w:rPr>
            </w:pPr>
          </w:p>
        </w:tc>
        <w:tc>
          <w:tcPr>
            <w:tcW w:w="1699" w:type="dxa"/>
            <w:tcBorders>
              <w:top w:val="single" w:sz="2" w:space="0" w:color="auto"/>
              <w:left w:val="nil"/>
              <w:bottom w:val="single" w:sz="2" w:space="0" w:color="auto"/>
              <w:right w:val="nil"/>
            </w:tcBorders>
          </w:tcPr>
          <w:p w14:paraId="74DF8EE8" w14:textId="7F43D2B3" w:rsidR="008275F6" w:rsidRPr="00FE4CCD" w:rsidRDefault="008275F6" w:rsidP="00536D52">
            <w:pPr>
              <w:spacing w:line="240" w:lineRule="auto"/>
              <w:ind w:right="-142"/>
              <w:jc w:val="center"/>
              <w:rPr>
                <w:sz w:val="20"/>
                <w:szCs w:val="20"/>
              </w:rPr>
            </w:pPr>
          </w:p>
        </w:tc>
      </w:tr>
      <w:tr w:rsidR="000078E7" w:rsidRPr="00FE4CCD" w14:paraId="149FEBC4" w14:textId="77777777" w:rsidTr="000078E7">
        <w:tc>
          <w:tcPr>
            <w:tcW w:w="1699" w:type="dxa"/>
            <w:tcBorders>
              <w:top w:val="single" w:sz="2" w:space="0" w:color="auto"/>
              <w:left w:val="nil"/>
              <w:bottom w:val="nil"/>
              <w:right w:val="nil"/>
            </w:tcBorders>
          </w:tcPr>
          <w:p w14:paraId="54B19000" w14:textId="77777777" w:rsidR="000078E7" w:rsidRPr="00FE4CCD" w:rsidRDefault="000078E7" w:rsidP="00536D52">
            <w:pPr>
              <w:spacing w:line="240" w:lineRule="auto"/>
              <w:ind w:right="-142"/>
              <w:jc w:val="center"/>
              <w:rPr>
                <w:sz w:val="20"/>
                <w:szCs w:val="20"/>
              </w:rPr>
            </w:pPr>
          </w:p>
        </w:tc>
        <w:tc>
          <w:tcPr>
            <w:tcW w:w="1699" w:type="dxa"/>
            <w:tcBorders>
              <w:top w:val="single" w:sz="2" w:space="0" w:color="auto"/>
              <w:left w:val="nil"/>
              <w:bottom w:val="nil"/>
              <w:right w:val="nil"/>
            </w:tcBorders>
          </w:tcPr>
          <w:p w14:paraId="3AEE24AB" w14:textId="37C863FC" w:rsidR="000078E7" w:rsidRPr="00FE4CCD" w:rsidRDefault="000078E7" w:rsidP="00536D52">
            <w:pPr>
              <w:spacing w:line="240" w:lineRule="auto"/>
              <w:ind w:right="-142"/>
              <w:jc w:val="center"/>
              <w:rPr>
                <w:sz w:val="20"/>
                <w:szCs w:val="20"/>
              </w:rPr>
            </w:pPr>
            <w:r w:rsidRPr="00FE4CCD">
              <w:rPr>
                <w:sz w:val="20"/>
                <w:szCs w:val="20"/>
              </w:rPr>
              <w:t>Model</w:t>
            </w:r>
          </w:p>
        </w:tc>
        <w:tc>
          <w:tcPr>
            <w:tcW w:w="1699" w:type="dxa"/>
            <w:vMerge w:val="restart"/>
            <w:tcBorders>
              <w:top w:val="single" w:sz="2" w:space="0" w:color="auto"/>
              <w:left w:val="nil"/>
              <w:bottom w:val="nil"/>
              <w:right w:val="nil"/>
            </w:tcBorders>
          </w:tcPr>
          <w:p w14:paraId="0F855E33" w14:textId="77777777" w:rsidR="000078E7" w:rsidRPr="00FE4CCD" w:rsidRDefault="000078E7" w:rsidP="00536D52">
            <w:pPr>
              <w:spacing w:line="240" w:lineRule="auto"/>
              <w:ind w:right="-142"/>
              <w:jc w:val="center"/>
              <w:rPr>
                <w:sz w:val="20"/>
                <w:szCs w:val="20"/>
              </w:rPr>
            </w:pPr>
            <w:r w:rsidRPr="00FE4CCD">
              <w:rPr>
                <w:sz w:val="20"/>
                <w:szCs w:val="20"/>
              </w:rPr>
              <w:t>Standardized Coefficients</w:t>
            </w:r>
          </w:p>
          <w:p w14:paraId="5D0197B3" w14:textId="71779B8B" w:rsidR="000078E7" w:rsidRPr="00FE4CCD" w:rsidRDefault="000078E7" w:rsidP="000078E7">
            <w:pPr>
              <w:spacing w:line="240" w:lineRule="auto"/>
              <w:ind w:right="-142"/>
              <w:jc w:val="center"/>
              <w:rPr>
                <w:sz w:val="20"/>
                <w:szCs w:val="20"/>
              </w:rPr>
            </w:pPr>
            <w:r w:rsidRPr="00FE4CCD">
              <w:rPr>
                <w:sz w:val="20"/>
                <w:szCs w:val="20"/>
              </w:rPr>
              <w:lastRenderedPageBreak/>
              <w:t>Beta</w:t>
            </w:r>
          </w:p>
        </w:tc>
        <w:tc>
          <w:tcPr>
            <w:tcW w:w="1699" w:type="dxa"/>
            <w:tcBorders>
              <w:top w:val="single" w:sz="2" w:space="0" w:color="auto"/>
              <w:left w:val="nil"/>
              <w:bottom w:val="nil"/>
              <w:right w:val="nil"/>
            </w:tcBorders>
          </w:tcPr>
          <w:p w14:paraId="2125973B" w14:textId="77777777" w:rsidR="000078E7" w:rsidRPr="00FE4CCD" w:rsidRDefault="000078E7" w:rsidP="00536D52">
            <w:pPr>
              <w:spacing w:line="240" w:lineRule="auto"/>
              <w:ind w:right="-142"/>
              <w:jc w:val="center"/>
              <w:rPr>
                <w:sz w:val="20"/>
                <w:szCs w:val="20"/>
              </w:rPr>
            </w:pPr>
          </w:p>
        </w:tc>
        <w:tc>
          <w:tcPr>
            <w:tcW w:w="1699" w:type="dxa"/>
            <w:vMerge w:val="restart"/>
            <w:tcBorders>
              <w:top w:val="single" w:sz="2" w:space="0" w:color="auto"/>
              <w:left w:val="nil"/>
              <w:bottom w:val="nil"/>
              <w:right w:val="nil"/>
            </w:tcBorders>
            <w:vAlign w:val="bottom"/>
          </w:tcPr>
          <w:p w14:paraId="4B45BC96" w14:textId="77777777" w:rsidR="000078E7" w:rsidRPr="00FE4CCD" w:rsidRDefault="000078E7" w:rsidP="000078E7">
            <w:pPr>
              <w:spacing w:line="240" w:lineRule="auto"/>
              <w:ind w:right="-142"/>
              <w:jc w:val="center"/>
              <w:rPr>
                <w:sz w:val="20"/>
                <w:szCs w:val="20"/>
              </w:rPr>
            </w:pPr>
            <w:r w:rsidRPr="00FE4CCD">
              <w:rPr>
                <w:sz w:val="20"/>
                <w:szCs w:val="20"/>
              </w:rPr>
              <w:t>correlations</w:t>
            </w:r>
          </w:p>
          <w:p w14:paraId="3A2766CF" w14:textId="4D60917F" w:rsidR="000078E7" w:rsidRPr="00FE4CCD" w:rsidRDefault="000078E7" w:rsidP="000078E7">
            <w:pPr>
              <w:spacing w:line="240" w:lineRule="auto"/>
              <w:ind w:right="-142"/>
              <w:jc w:val="center"/>
              <w:rPr>
                <w:sz w:val="20"/>
                <w:szCs w:val="20"/>
              </w:rPr>
            </w:pPr>
            <w:r w:rsidRPr="00FE4CCD">
              <w:rPr>
                <w:sz w:val="20"/>
                <w:szCs w:val="20"/>
              </w:rPr>
              <w:t>%</w:t>
            </w:r>
          </w:p>
        </w:tc>
      </w:tr>
      <w:tr w:rsidR="000078E7" w:rsidRPr="00FE4CCD" w14:paraId="11DA8BAD" w14:textId="77777777" w:rsidTr="000078E7">
        <w:tc>
          <w:tcPr>
            <w:tcW w:w="1699" w:type="dxa"/>
            <w:tcBorders>
              <w:top w:val="nil"/>
              <w:left w:val="nil"/>
              <w:bottom w:val="single" w:sz="2" w:space="0" w:color="auto"/>
              <w:right w:val="nil"/>
            </w:tcBorders>
          </w:tcPr>
          <w:p w14:paraId="56248C81" w14:textId="00C55A23" w:rsidR="000078E7" w:rsidRPr="00FE4CCD" w:rsidRDefault="000078E7" w:rsidP="00536D52">
            <w:pPr>
              <w:spacing w:line="240" w:lineRule="auto"/>
              <w:ind w:right="-142"/>
              <w:jc w:val="center"/>
              <w:rPr>
                <w:sz w:val="20"/>
                <w:szCs w:val="20"/>
              </w:rPr>
            </w:pPr>
          </w:p>
        </w:tc>
        <w:tc>
          <w:tcPr>
            <w:tcW w:w="1699" w:type="dxa"/>
            <w:tcBorders>
              <w:top w:val="nil"/>
              <w:left w:val="nil"/>
              <w:bottom w:val="single" w:sz="2" w:space="0" w:color="auto"/>
              <w:right w:val="nil"/>
            </w:tcBorders>
          </w:tcPr>
          <w:p w14:paraId="532F0395" w14:textId="77777777" w:rsidR="000078E7" w:rsidRPr="00FE4CCD" w:rsidRDefault="000078E7" w:rsidP="00536D52">
            <w:pPr>
              <w:spacing w:line="240" w:lineRule="auto"/>
              <w:ind w:right="-142"/>
              <w:jc w:val="center"/>
              <w:rPr>
                <w:sz w:val="20"/>
                <w:szCs w:val="20"/>
              </w:rPr>
            </w:pPr>
          </w:p>
        </w:tc>
        <w:tc>
          <w:tcPr>
            <w:tcW w:w="1699" w:type="dxa"/>
            <w:vMerge/>
            <w:tcBorders>
              <w:top w:val="nil"/>
              <w:left w:val="nil"/>
              <w:bottom w:val="single" w:sz="2" w:space="0" w:color="auto"/>
              <w:right w:val="nil"/>
            </w:tcBorders>
          </w:tcPr>
          <w:p w14:paraId="4DA95959" w14:textId="77777777" w:rsidR="000078E7" w:rsidRPr="00FE4CCD" w:rsidRDefault="000078E7" w:rsidP="00536D52">
            <w:pPr>
              <w:spacing w:line="240" w:lineRule="auto"/>
              <w:ind w:right="-142"/>
              <w:jc w:val="center"/>
              <w:rPr>
                <w:sz w:val="20"/>
                <w:szCs w:val="20"/>
              </w:rPr>
            </w:pPr>
          </w:p>
        </w:tc>
        <w:tc>
          <w:tcPr>
            <w:tcW w:w="1699" w:type="dxa"/>
            <w:tcBorders>
              <w:top w:val="nil"/>
              <w:left w:val="nil"/>
              <w:bottom w:val="single" w:sz="2" w:space="0" w:color="auto"/>
              <w:right w:val="nil"/>
            </w:tcBorders>
            <w:vAlign w:val="bottom"/>
          </w:tcPr>
          <w:p w14:paraId="74D58C96" w14:textId="0B7DB239" w:rsidR="000078E7" w:rsidRPr="00FE4CCD" w:rsidRDefault="000078E7" w:rsidP="000078E7">
            <w:pPr>
              <w:spacing w:line="240" w:lineRule="auto"/>
              <w:ind w:right="-142"/>
              <w:jc w:val="center"/>
              <w:rPr>
                <w:sz w:val="20"/>
                <w:szCs w:val="20"/>
              </w:rPr>
            </w:pPr>
            <w:r w:rsidRPr="00FE4CCD">
              <w:rPr>
                <w:sz w:val="20"/>
                <w:szCs w:val="20"/>
              </w:rPr>
              <w:t>Zero-order</w:t>
            </w:r>
          </w:p>
        </w:tc>
        <w:tc>
          <w:tcPr>
            <w:tcW w:w="1699" w:type="dxa"/>
            <w:vMerge/>
            <w:tcBorders>
              <w:top w:val="nil"/>
              <w:left w:val="nil"/>
              <w:bottom w:val="single" w:sz="2" w:space="0" w:color="auto"/>
              <w:right w:val="nil"/>
            </w:tcBorders>
            <w:vAlign w:val="bottom"/>
          </w:tcPr>
          <w:p w14:paraId="3F7F4DDA" w14:textId="3B6921E2" w:rsidR="000078E7" w:rsidRPr="00FE4CCD" w:rsidRDefault="000078E7" w:rsidP="000078E7">
            <w:pPr>
              <w:spacing w:line="240" w:lineRule="auto"/>
              <w:ind w:right="-142"/>
              <w:jc w:val="center"/>
              <w:rPr>
                <w:sz w:val="20"/>
                <w:szCs w:val="20"/>
              </w:rPr>
            </w:pPr>
          </w:p>
        </w:tc>
      </w:tr>
      <w:tr w:rsidR="008275F6" w:rsidRPr="00FE4CCD" w14:paraId="17FE433D" w14:textId="77777777" w:rsidTr="000078E7">
        <w:tc>
          <w:tcPr>
            <w:tcW w:w="1699" w:type="dxa"/>
            <w:tcBorders>
              <w:top w:val="single" w:sz="2" w:space="0" w:color="auto"/>
              <w:left w:val="nil"/>
              <w:bottom w:val="nil"/>
              <w:right w:val="nil"/>
            </w:tcBorders>
          </w:tcPr>
          <w:p w14:paraId="082D1968" w14:textId="2E2AE830" w:rsidR="008275F6" w:rsidRPr="00FE4CCD" w:rsidRDefault="008275F6" w:rsidP="00536D52">
            <w:pPr>
              <w:spacing w:line="240" w:lineRule="auto"/>
              <w:ind w:right="-142"/>
              <w:jc w:val="center"/>
              <w:rPr>
                <w:sz w:val="20"/>
                <w:szCs w:val="20"/>
              </w:rPr>
            </w:pPr>
            <w:r w:rsidRPr="00FE4CCD">
              <w:rPr>
                <w:sz w:val="20"/>
                <w:szCs w:val="20"/>
              </w:rPr>
              <w:t>1</w:t>
            </w:r>
          </w:p>
        </w:tc>
        <w:tc>
          <w:tcPr>
            <w:tcW w:w="1699" w:type="dxa"/>
            <w:tcBorders>
              <w:top w:val="single" w:sz="2" w:space="0" w:color="auto"/>
              <w:left w:val="nil"/>
              <w:bottom w:val="nil"/>
              <w:right w:val="nil"/>
            </w:tcBorders>
          </w:tcPr>
          <w:p w14:paraId="46C31FF9" w14:textId="77777777" w:rsidR="008275F6" w:rsidRPr="00FE4CCD" w:rsidRDefault="000078E7" w:rsidP="00536D52">
            <w:pPr>
              <w:spacing w:line="240" w:lineRule="auto"/>
              <w:ind w:right="-142"/>
              <w:jc w:val="center"/>
              <w:rPr>
                <w:sz w:val="20"/>
                <w:szCs w:val="20"/>
              </w:rPr>
            </w:pPr>
            <w:r w:rsidRPr="00FE4CCD">
              <w:rPr>
                <w:sz w:val="20"/>
                <w:szCs w:val="20"/>
              </w:rPr>
              <w:t>(Constant)</w:t>
            </w:r>
          </w:p>
          <w:p w14:paraId="45346F0A" w14:textId="43780A4B" w:rsidR="000078E7" w:rsidRPr="00FE4CCD" w:rsidRDefault="000078E7" w:rsidP="00536D52">
            <w:pPr>
              <w:spacing w:line="240" w:lineRule="auto"/>
              <w:ind w:right="-142"/>
              <w:jc w:val="center"/>
              <w:rPr>
                <w:sz w:val="20"/>
                <w:szCs w:val="20"/>
              </w:rPr>
            </w:pPr>
            <w:r w:rsidRPr="00FE4CCD">
              <w:rPr>
                <w:sz w:val="20"/>
                <w:szCs w:val="20"/>
              </w:rPr>
              <w:t>MVAIC</w:t>
            </w:r>
          </w:p>
        </w:tc>
        <w:tc>
          <w:tcPr>
            <w:tcW w:w="1699" w:type="dxa"/>
            <w:tcBorders>
              <w:top w:val="single" w:sz="2" w:space="0" w:color="auto"/>
              <w:left w:val="nil"/>
              <w:bottom w:val="nil"/>
              <w:right w:val="nil"/>
            </w:tcBorders>
            <w:vAlign w:val="bottom"/>
          </w:tcPr>
          <w:p w14:paraId="0794BEAF" w14:textId="04D6D10A" w:rsidR="008275F6" w:rsidRPr="00FE4CCD" w:rsidRDefault="000078E7" w:rsidP="000078E7">
            <w:pPr>
              <w:spacing w:line="240" w:lineRule="auto"/>
              <w:ind w:right="-142"/>
              <w:jc w:val="center"/>
              <w:rPr>
                <w:sz w:val="20"/>
                <w:szCs w:val="20"/>
              </w:rPr>
            </w:pPr>
            <w:r w:rsidRPr="00FE4CCD">
              <w:rPr>
                <w:sz w:val="20"/>
                <w:szCs w:val="20"/>
              </w:rPr>
              <w:t>.811</w:t>
            </w:r>
          </w:p>
        </w:tc>
        <w:tc>
          <w:tcPr>
            <w:tcW w:w="1699" w:type="dxa"/>
            <w:tcBorders>
              <w:top w:val="single" w:sz="2" w:space="0" w:color="auto"/>
              <w:left w:val="nil"/>
              <w:bottom w:val="nil"/>
              <w:right w:val="nil"/>
            </w:tcBorders>
            <w:vAlign w:val="bottom"/>
          </w:tcPr>
          <w:p w14:paraId="7063F033" w14:textId="4812EA0C" w:rsidR="008275F6" w:rsidRPr="00FE4CCD" w:rsidRDefault="000078E7" w:rsidP="000078E7">
            <w:pPr>
              <w:spacing w:line="240" w:lineRule="auto"/>
              <w:ind w:right="-142"/>
              <w:jc w:val="center"/>
              <w:rPr>
                <w:sz w:val="20"/>
                <w:szCs w:val="20"/>
              </w:rPr>
            </w:pPr>
            <w:r w:rsidRPr="00FE4CCD">
              <w:rPr>
                <w:sz w:val="20"/>
                <w:szCs w:val="20"/>
              </w:rPr>
              <w:t>.819</w:t>
            </w:r>
          </w:p>
        </w:tc>
        <w:tc>
          <w:tcPr>
            <w:tcW w:w="1699" w:type="dxa"/>
            <w:tcBorders>
              <w:top w:val="single" w:sz="2" w:space="0" w:color="auto"/>
              <w:left w:val="nil"/>
              <w:bottom w:val="nil"/>
              <w:right w:val="nil"/>
            </w:tcBorders>
            <w:vAlign w:val="bottom"/>
          </w:tcPr>
          <w:p w14:paraId="4502D04F" w14:textId="582484B6" w:rsidR="008275F6" w:rsidRPr="00FE4CCD" w:rsidRDefault="000078E7" w:rsidP="000078E7">
            <w:pPr>
              <w:spacing w:line="240" w:lineRule="auto"/>
              <w:ind w:right="-142"/>
              <w:jc w:val="center"/>
              <w:rPr>
                <w:sz w:val="20"/>
                <w:szCs w:val="20"/>
              </w:rPr>
            </w:pPr>
            <w:r w:rsidRPr="00FE4CCD">
              <w:rPr>
                <w:sz w:val="20"/>
                <w:szCs w:val="20"/>
              </w:rPr>
              <w:t>66.4%</w:t>
            </w:r>
          </w:p>
        </w:tc>
      </w:tr>
      <w:tr w:rsidR="008275F6" w:rsidRPr="00FE4CCD" w14:paraId="66B47B48" w14:textId="77777777" w:rsidTr="000078E7">
        <w:tc>
          <w:tcPr>
            <w:tcW w:w="1699" w:type="dxa"/>
            <w:tcBorders>
              <w:top w:val="nil"/>
              <w:left w:val="nil"/>
              <w:bottom w:val="single" w:sz="2" w:space="0" w:color="auto"/>
              <w:right w:val="nil"/>
            </w:tcBorders>
          </w:tcPr>
          <w:p w14:paraId="10663B27" w14:textId="2ECBFEFE" w:rsidR="008275F6" w:rsidRPr="00FE4CCD" w:rsidRDefault="000078E7" w:rsidP="00536D52">
            <w:pPr>
              <w:spacing w:line="240" w:lineRule="auto"/>
              <w:ind w:right="-142"/>
              <w:jc w:val="center"/>
              <w:rPr>
                <w:sz w:val="20"/>
                <w:szCs w:val="20"/>
              </w:rPr>
            </w:pPr>
            <w:r w:rsidRPr="00FE4CCD">
              <w:rPr>
                <w:sz w:val="20"/>
                <w:szCs w:val="20"/>
              </w:rPr>
              <w:t>1</w:t>
            </w:r>
          </w:p>
        </w:tc>
        <w:tc>
          <w:tcPr>
            <w:tcW w:w="1699" w:type="dxa"/>
            <w:tcBorders>
              <w:top w:val="nil"/>
              <w:left w:val="nil"/>
              <w:bottom w:val="single" w:sz="2" w:space="0" w:color="auto"/>
              <w:right w:val="nil"/>
            </w:tcBorders>
          </w:tcPr>
          <w:p w14:paraId="4146D595" w14:textId="77777777" w:rsidR="008275F6" w:rsidRPr="00FE4CCD" w:rsidRDefault="000078E7" w:rsidP="00536D52">
            <w:pPr>
              <w:spacing w:line="240" w:lineRule="auto"/>
              <w:ind w:right="-142"/>
              <w:jc w:val="center"/>
              <w:rPr>
                <w:sz w:val="20"/>
                <w:szCs w:val="20"/>
              </w:rPr>
            </w:pPr>
            <w:r w:rsidRPr="00FE4CCD">
              <w:rPr>
                <w:sz w:val="20"/>
                <w:szCs w:val="20"/>
              </w:rPr>
              <w:t>(Constant)</w:t>
            </w:r>
          </w:p>
          <w:p w14:paraId="3CF7FF4A" w14:textId="3E4FA703" w:rsidR="000078E7" w:rsidRPr="00FE4CCD" w:rsidRDefault="000078E7" w:rsidP="00536D52">
            <w:pPr>
              <w:spacing w:line="240" w:lineRule="auto"/>
              <w:ind w:right="-142"/>
              <w:jc w:val="center"/>
              <w:rPr>
                <w:sz w:val="20"/>
                <w:szCs w:val="20"/>
              </w:rPr>
            </w:pPr>
            <w:r w:rsidRPr="00FE4CCD">
              <w:rPr>
                <w:sz w:val="20"/>
                <w:szCs w:val="20"/>
              </w:rPr>
              <w:t>LNTA</w:t>
            </w:r>
          </w:p>
        </w:tc>
        <w:tc>
          <w:tcPr>
            <w:tcW w:w="1699" w:type="dxa"/>
            <w:tcBorders>
              <w:top w:val="nil"/>
              <w:left w:val="nil"/>
              <w:bottom w:val="single" w:sz="2" w:space="0" w:color="auto"/>
              <w:right w:val="nil"/>
            </w:tcBorders>
            <w:vAlign w:val="bottom"/>
          </w:tcPr>
          <w:p w14:paraId="11099599" w14:textId="29B2364A" w:rsidR="008275F6" w:rsidRPr="00FE4CCD" w:rsidRDefault="000078E7" w:rsidP="000078E7">
            <w:pPr>
              <w:spacing w:line="240" w:lineRule="auto"/>
              <w:ind w:right="-142"/>
              <w:jc w:val="center"/>
              <w:rPr>
                <w:sz w:val="20"/>
                <w:szCs w:val="20"/>
              </w:rPr>
            </w:pPr>
            <w:r w:rsidRPr="00FE4CCD">
              <w:rPr>
                <w:sz w:val="20"/>
                <w:szCs w:val="20"/>
              </w:rPr>
              <w:t>.036</w:t>
            </w:r>
          </w:p>
        </w:tc>
        <w:tc>
          <w:tcPr>
            <w:tcW w:w="1699" w:type="dxa"/>
            <w:tcBorders>
              <w:top w:val="nil"/>
              <w:left w:val="nil"/>
              <w:bottom w:val="single" w:sz="2" w:space="0" w:color="auto"/>
              <w:right w:val="nil"/>
            </w:tcBorders>
            <w:vAlign w:val="bottom"/>
          </w:tcPr>
          <w:p w14:paraId="37BCCEA6" w14:textId="5C29058F" w:rsidR="008275F6" w:rsidRPr="00FE4CCD" w:rsidRDefault="000078E7" w:rsidP="000078E7">
            <w:pPr>
              <w:spacing w:line="240" w:lineRule="auto"/>
              <w:ind w:right="-142"/>
              <w:jc w:val="center"/>
              <w:rPr>
                <w:sz w:val="20"/>
                <w:szCs w:val="20"/>
              </w:rPr>
            </w:pPr>
            <w:r w:rsidRPr="00FE4CCD">
              <w:rPr>
                <w:sz w:val="20"/>
                <w:szCs w:val="20"/>
              </w:rPr>
              <w:t>.196</w:t>
            </w:r>
          </w:p>
        </w:tc>
        <w:tc>
          <w:tcPr>
            <w:tcW w:w="1699" w:type="dxa"/>
            <w:tcBorders>
              <w:top w:val="nil"/>
              <w:left w:val="nil"/>
              <w:bottom w:val="single" w:sz="2" w:space="0" w:color="auto"/>
              <w:right w:val="nil"/>
            </w:tcBorders>
            <w:vAlign w:val="bottom"/>
          </w:tcPr>
          <w:p w14:paraId="61507565" w14:textId="600905B1" w:rsidR="008275F6" w:rsidRPr="00FE4CCD" w:rsidRDefault="000078E7" w:rsidP="000078E7">
            <w:pPr>
              <w:spacing w:line="240" w:lineRule="auto"/>
              <w:ind w:right="-142"/>
              <w:jc w:val="center"/>
              <w:rPr>
                <w:sz w:val="20"/>
                <w:szCs w:val="20"/>
              </w:rPr>
            </w:pPr>
            <w:r w:rsidRPr="00FE4CCD">
              <w:rPr>
                <w:sz w:val="20"/>
                <w:szCs w:val="20"/>
              </w:rPr>
              <w:t>0.7%</w:t>
            </w:r>
          </w:p>
        </w:tc>
      </w:tr>
    </w:tbl>
    <w:p w14:paraId="69B9D377" w14:textId="0104DC54" w:rsidR="008275F6" w:rsidRDefault="000078E7" w:rsidP="000078E7">
      <w:pPr>
        <w:spacing w:line="240" w:lineRule="auto"/>
        <w:ind w:right="-142"/>
        <w:jc w:val="left"/>
        <w:rPr>
          <w:sz w:val="22"/>
        </w:rPr>
      </w:pPr>
      <w:r>
        <w:rPr>
          <w:sz w:val="22"/>
        </w:rPr>
        <w:t>Dependent v</w:t>
      </w:r>
      <w:r w:rsidRPr="000078E7">
        <w:rPr>
          <w:sz w:val="22"/>
        </w:rPr>
        <w:t>ariable: ROA</w:t>
      </w:r>
      <w:r>
        <w:rPr>
          <w:sz w:val="22"/>
        </w:rPr>
        <w:t xml:space="preserve"> (Y)</w:t>
      </w:r>
    </w:p>
    <w:p w14:paraId="466E50AC" w14:textId="15493F11" w:rsidR="00D76D05" w:rsidRPr="00D406DC" w:rsidRDefault="00D76D05" w:rsidP="000202FB">
      <w:pPr>
        <w:spacing w:line="240" w:lineRule="auto"/>
        <w:ind w:right="-142"/>
        <w:rPr>
          <w:sz w:val="22"/>
        </w:rPr>
      </w:pPr>
      <w:r>
        <w:rPr>
          <w:sz w:val="22"/>
        </w:rPr>
        <w:tab/>
      </w:r>
      <w:r w:rsidR="000202FB" w:rsidRPr="00D406DC">
        <w:rPr>
          <w:sz w:val="22"/>
        </w:rPr>
        <w:t xml:space="preserve">Through Table 5 it can be calculated that the MVAIC coefficient of determination is 0.811 × 0.819 = 0.664 indicating that 66.4% profitability in sector </w:t>
      </w:r>
      <w:proofErr w:type="gramStart"/>
      <w:r w:rsidR="000202FB" w:rsidRPr="00D406DC">
        <w:rPr>
          <w:sz w:val="22"/>
        </w:rPr>
        <w:t>companies</w:t>
      </w:r>
      <w:proofErr w:type="gramEnd"/>
      <w:r w:rsidR="00D406DC">
        <w:rPr>
          <w:sz w:val="22"/>
        </w:rPr>
        <w:t xml:space="preserve"> </w:t>
      </w:r>
      <w:r w:rsidR="000202FB" w:rsidRPr="00D406DC">
        <w:rPr>
          <w:iCs/>
          <w:sz w:val="22"/>
        </w:rPr>
        <w:t>property</w:t>
      </w:r>
      <w:r w:rsidR="000202FB" w:rsidRPr="00D406DC">
        <w:rPr>
          <w:sz w:val="22"/>
        </w:rPr>
        <w:t xml:space="preserve"> and</w:t>
      </w:r>
      <w:r w:rsidR="00D406DC">
        <w:rPr>
          <w:sz w:val="22"/>
        </w:rPr>
        <w:t xml:space="preserve"> </w:t>
      </w:r>
      <w:r w:rsidR="000202FB" w:rsidRPr="00D406DC">
        <w:rPr>
          <w:iCs/>
          <w:sz w:val="22"/>
        </w:rPr>
        <w:t>real estate</w:t>
      </w:r>
      <w:r w:rsidR="000202FB" w:rsidRPr="00D406DC">
        <w:rPr>
          <w:sz w:val="22"/>
        </w:rPr>
        <w:t xml:space="preserve"> which are listed on the Indonesia Stock Exchange due to</w:t>
      </w:r>
      <w:r w:rsidR="00F82AC7">
        <w:rPr>
          <w:sz w:val="22"/>
        </w:rPr>
        <w:t xml:space="preserve"> </w:t>
      </w:r>
      <w:r w:rsidR="000202FB" w:rsidRPr="00D406DC">
        <w:rPr>
          <w:iCs/>
          <w:sz w:val="22"/>
        </w:rPr>
        <w:t>intellectual capital.</w:t>
      </w:r>
      <w:r w:rsidR="000202FB" w:rsidRPr="00D406DC">
        <w:rPr>
          <w:sz w:val="22"/>
        </w:rPr>
        <w:t xml:space="preserve"> Meanwhile, the coefficient of determination of LNTA is 0.036 × 0.196 = 0.007 indicating that 0.7% profitability in sector </w:t>
      </w:r>
      <w:proofErr w:type="gramStart"/>
      <w:r w:rsidR="000202FB" w:rsidRPr="00D406DC">
        <w:rPr>
          <w:sz w:val="22"/>
        </w:rPr>
        <w:t>companies</w:t>
      </w:r>
      <w:proofErr w:type="gramEnd"/>
      <w:r w:rsidR="00D406DC">
        <w:rPr>
          <w:sz w:val="22"/>
        </w:rPr>
        <w:t xml:space="preserve"> </w:t>
      </w:r>
      <w:r w:rsidR="000202FB" w:rsidRPr="00D406DC">
        <w:rPr>
          <w:iCs/>
          <w:sz w:val="22"/>
        </w:rPr>
        <w:t>property</w:t>
      </w:r>
      <w:r w:rsidR="000202FB" w:rsidRPr="00D406DC">
        <w:rPr>
          <w:sz w:val="22"/>
        </w:rPr>
        <w:t xml:space="preserve"> and</w:t>
      </w:r>
      <w:r w:rsidR="00D406DC">
        <w:rPr>
          <w:sz w:val="22"/>
        </w:rPr>
        <w:t xml:space="preserve"> </w:t>
      </w:r>
      <w:r w:rsidR="000202FB" w:rsidRPr="00D406DC">
        <w:rPr>
          <w:iCs/>
          <w:sz w:val="22"/>
        </w:rPr>
        <w:t>real estate</w:t>
      </w:r>
      <w:r w:rsidR="000202FB" w:rsidRPr="00D406DC">
        <w:rPr>
          <w:sz w:val="22"/>
        </w:rPr>
        <w:t xml:space="preserve"> listed on the Indonesia Stock Exchange due to </w:t>
      </w:r>
      <w:r w:rsidR="00D406DC" w:rsidRPr="00D406DC">
        <w:rPr>
          <w:sz w:val="22"/>
        </w:rPr>
        <w:t>firm size</w:t>
      </w:r>
      <w:r w:rsidR="000202FB" w:rsidRPr="00D406DC">
        <w:rPr>
          <w:sz w:val="22"/>
        </w:rPr>
        <w:t>.</w:t>
      </w:r>
    </w:p>
    <w:p w14:paraId="2A37D806" w14:textId="7D846E4B" w:rsidR="003D346A" w:rsidRPr="00D406DC" w:rsidRDefault="000202FB" w:rsidP="00D76D05">
      <w:pPr>
        <w:spacing w:line="240" w:lineRule="auto"/>
        <w:ind w:right="-142" w:firstLine="720"/>
        <w:rPr>
          <w:sz w:val="22"/>
        </w:rPr>
      </w:pPr>
      <w:proofErr w:type="spellStart"/>
      <w:r w:rsidRPr="00D406DC">
        <w:rPr>
          <w:sz w:val="22"/>
        </w:rPr>
        <w:t>Anova</w:t>
      </w:r>
      <w:proofErr w:type="spellEnd"/>
      <w:r w:rsidRPr="00D406DC">
        <w:rPr>
          <w:sz w:val="22"/>
        </w:rPr>
        <w:t xml:space="preserve"> test is used to determine the effect of independent variables</w:t>
      </w:r>
      <w:r w:rsidR="00D406DC">
        <w:rPr>
          <w:sz w:val="22"/>
        </w:rPr>
        <w:t xml:space="preserve"> </w:t>
      </w:r>
      <w:r w:rsidRPr="00D406DC">
        <w:rPr>
          <w:iCs/>
          <w:sz w:val="22"/>
        </w:rPr>
        <w:t>intellectual capital</w:t>
      </w:r>
      <w:r w:rsidRPr="00D406DC">
        <w:rPr>
          <w:sz w:val="22"/>
        </w:rPr>
        <w:t xml:space="preserve"> and </w:t>
      </w:r>
      <w:r w:rsidR="00D406DC" w:rsidRPr="00D406DC">
        <w:rPr>
          <w:sz w:val="22"/>
        </w:rPr>
        <w:t>firm size</w:t>
      </w:r>
      <w:r w:rsidRPr="00D406DC">
        <w:rPr>
          <w:sz w:val="22"/>
        </w:rPr>
        <w:t xml:space="preserve"> together with the dependent variable of profitability.</w:t>
      </w:r>
    </w:p>
    <w:p w14:paraId="3C6EAA7B" w14:textId="6A72D68C" w:rsidR="00507C04" w:rsidRDefault="00083EDE" w:rsidP="00507C04">
      <w:pPr>
        <w:spacing w:line="240" w:lineRule="auto"/>
        <w:ind w:right="-142"/>
        <w:jc w:val="center"/>
        <w:rPr>
          <w:sz w:val="22"/>
        </w:rPr>
      </w:pPr>
      <w:r>
        <w:rPr>
          <w:sz w:val="22"/>
        </w:rPr>
        <w:t>Tab</w:t>
      </w:r>
      <w:r w:rsidR="00507C04">
        <w:rPr>
          <w:sz w:val="22"/>
        </w:rPr>
        <w:t>l</w:t>
      </w:r>
      <w:r>
        <w:rPr>
          <w:sz w:val="22"/>
        </w:rPr>
        <w:t>e</w:t>
      </w:r>
      <w:r w:rsidR="00507C04">
        <w:rPr>
          <w:sz w:val="22"/>
        </w:rPr>
        <w:t xml:space="preserve"> 6. </w:t>
      </w:r>
      <w:r w:rsidRPr="00083EDE">
        <w:rPr>
          <w:sz w:val="22"/>
        </w:rPr>
        <w:t>ANOVA</w:t>
      </w:r>
      <w:r>
        <w:rPr>
          <w:sz w:val="22"/>
        </w:rPr>
        <w:t xml:space="preserve"> Test</w:t>
      </w:r>
    </w:p>
    <w:tbl>
      <w:tblPr>
        <w:tblW w:w="7878" w:type="dxa"/>
        <w:jc w:val="center"/>
        <w:tblBorders>
          <w:top w:val="single" w:sz="4" w:space="0" w:color="auto"/>
        </w:tblBorders>
        <w:tblLayout w:type="fixed"/>
        <w:tblCellMar>
          <w:left w:w="0" w:type="dxa"/>
          <w:right w:w="0" w:type="dxa"/>
        </w:tblCellMar>
        <w:tblLook w:val="0000" w:firstRow="0" w:lastRow="0" w:firstColumn="0" w:lastColumn="0" w:noHBand="0" w:noVBand="0"/>
      </w:tblPr>
      <w:tblGrid>
        <w:gridCol w:w="735"/>
        <w:gridCol w:w="1284"/>
        <w:gridCol w:w="1469"/>
        <w:gridCol w:w="994"/>
        <w:gridCol w:w="1408"/>
        <w:gridCol w:w="994"/>
        <w:gridCol w:w="994"/>
      </w:tblGrid>
      <w:tr w:rsidR="00507C04" w:rsidRPr="00FE4CCD" w14:paraId="1A83A582" w14:textId="77777777" w:rsidTr="00507C04">
        <w:trPr>
          <w:cantSplit/>
          <w:jc w:val="center"/>
        </w:trPr>
        <w:tc>
          <w:tcPr>
            <w:tcW w:w="7875" w:type="dxa"/>
            <w:gridSpan w:val="7"/>
            <w:tcBorders>
              <w:bottom w:val="single" w:sz="4" w:space="0" w:color="auto"/>
            </w:tcBorders>
            <w:shd w:val="clear" w:color="auto" w:fill="FFFFFF"/>
            <w:vAlign w:val="center"/>
          </w:tcPr>
          <w:p w14:paraId="2F84F3A4" w14:textId="77777777" w:rsidR="00507C04" w:rsidRPr="00FE4CCD" w:rsidRDefault="00507C04" w:rsidP="00CE3C32">
            <w:pPr>
              <w:autoSpaceDE w:val="0"/>
              <w:autoSpaceDN w:val="0"/>
              <w:adjustRightInd w:val="0"/>
              <w:spacing w:line="276" w:lineRule="auto"/>
              <w:ind w:left="60" w:right="60"/>
              <w:jc w:val="center"/>
              <w:rPr>
                <w:color w:val="000000"/>
                <w:sz w:val="20"/>
                <w:szCs w:val="20"/>
              </w:rPr>
            </w:pPr>
            <w:proofErr w:type="spellStart"/>
            <w:r w:rsidRPr="00FE4CCD">
              <w:rPr>
                <w:bCs/>
                <w:color w:val="000000"/>
                <w:sz w:val="20"/>
                <w:szCs w:val="20"/>
              </w:rPr>
              <w:t>ANOVA</w:t>
            </w:r>
            <w:r w:rsidRPr="00FE4CCD">
              <w:rPr>
                <w:bCs/>
                <w:color w:val="000000"/>
                <w:sz w:val="20"/>
                <w:szCs w:val="20"/>
                <w:vertAlign w:val="superscript"/>
              </w:rPr>
              <w:t>a</w:t>
            </w:r>
            <w:proofErr w:type="spellEnd"/>
          </w:p>
        </w:tc>
      </w:tr>
      <w:tr w:rsidR="00507C04" w:rsidRPr="00FE4CCD" w14:paraId="2ABB937D" w14:textId="77777777" w:rsidTr="00507C04">
        <w:trPr>
          <w:cantSplit/>
          <w:jc w:val="center"/>
        </w:trPr>
        <w:tc>
          <w:tcPr>
            <w:tcW w:w="2018" w:type="dxa"/>
            <w:gridSpan w:val="2"/>
            <w:tcBorders>
              <w:top w:val="single" w:sz="4" w:space="0" w:color="auto"/>
              <w:bottom w:val="single" w:sz="4" w:space="0" w:color="auto"/>
            </w:tcBorders>
            <w:shd w:val="clear" w:color="auto" w:fill="FFFFFF"/>
            <w:vAlign w:val="bottom"/>
          </w:tcPr>
          <w:p w14:paraId="47713847" w14:textId="77777777" w:rsidR="00507C04" w:rsidRPr="00FE4CCD" w:rsidRDefault="00507C04" w:rsidP="00CE3C32">
            <w:pPr>
              <w:autoSpaceDE w:val="0"/>
              <w:autoSpaceDN w:val="0"/>
              <w:adjustRightInd w:val="0"/>
              <w:spacing w:line="276" w:lineRule="auto"/>
              <w:ind w:left="60" w:right="60"/>
              <w:rPr>
                <w:color w:val="000000"/>
                <w:sz w:val="20"/>
                <w:szCs w:val="20"/>
              </w:rPr>
            </w:pPr>
            <w:r w:rsidRPr="00FE4CCD">
              <w:rPr>
                <w:color w:val="000000"/>
                <w:sz w:val="20"/>
                <w:szCs w:val="20"/>
              </w:rPr>
              <w:t>Model</w:t>
            </w:r>
          </w:p>
        </w:tc>
        <w:tc>
          <w:tcPr>
            <w:tcW w:w="1468" w:type="dxa"/>
            <w:tcBorders>
              <w:top w:val="single" w:sz="4" w:space="0" w:color="auto"/>
              <w:bottom w:val="single" w:sz="4" w:space="0" w:color="auto"/>
            </w:tcBorders>
            <w:shd w:val="clear" w:color="auto" w:fill="FFFFFF"/>
            <w:vAlign w:val="bottom"/>
          </w:tcPr>
          <w:p w14:paraId="5D88E3A4" w14:textId="77777777" w:rsidR="00507C04" w:rsidRPr="00FE4CCD" w:rsidRDefault="00507C04" w:rsidP="00CE3C32">
            <w:pPr>
              <w:autoSpaceDE w:val="0"/>
              <w:autoSpaceDN w:val="0"/>
              <w:adjustRightInd w:val="0"/>
              <w:spacing w:line="276" w:lineRule="auto"/>
              <w:ind w:left="60" w:right="60"/>
              <w:jc w:val="center"/>
              <w:rPr>
                <w:color w:val="000000"/>
                <w:sz w:val="20"/>
                <w:szCs w:val="20"/>
              </w:rPr>
            </w:pPr>
            <w:r w:rsidRPr="00FE4CCD">
              <w:rPr>
                <w:color w:val="000000"/>
                <w:sz w:val="20"/>
                <w:szCs w:val="20"/>
              </w:rPr>
              <w:t>Sum of Squares</w:t>
            </w:r>
          </w:p>
        </w:tc>
        <w:tc>
          <w:tcPr>
            <w:tcW w:w="994" w:type="dxa"/>
            <w:tcBorders>
              <w:top w:val="single" w:sz="4" w:space="0" w:color="auto"/>
              <w:bottom w:val="single" w:sz="4" w:space="0" w:color="auto"/>
            </w:tcBorders>
            <w:shd w:val="clear" w:color="auto" w:fill="FFFFFF"/>
            <w:vAlign w:val="bottom"/>
          </w:tcPr>
          <w:p w14:paraId="67920156" w14:textId="77777777" w:rsidR="00507C04" w:rsidRPr="00FE4CCD" w:rsidRDefault="00507C04" w:rsidP="00CE3C32">
            <w:pPr>
              <w:autoSpaceDE w:val="0"/>
              <w:autoSpaceDN w:val="0"/>
              <w:adjustRightInd w:val="0"/>
              <w:spacing w:line="276" w:lineRule="auto"/>
              <w:ind w:left="60" w:right="60"/>
              <w:jc w:val="center"/>
              <w:rPr>
                <w:color w:val="000000"/>
                <w:sz w:val="20"/>
                <w:szCs w:val="20"/>
              </w:rPr>
            </w:pPr>
            <w:proofErr w:type="spellStart"/>
            <w:r w:rsidRPr="00FE4CCD">
              <w:rPr>
                <w:color w:val="000000"/>
                <w:sz w:val="20"/>
                <w:szCs w:val="20"/>
              </w:rPr>
              <w:t>Df</w:t>
            </w:r>
            <w:proofErr w:type="spellEnd"/>
          </w:p>
        </w:tc>
        <w:tc>
          <w:tcPr>
            <w:tcW w:w="1407" w:type="dxa"/>
            <w:tcBorders>
              <w:top w:val="single" w:sz="4" w:space="0" w:color="auto"/>
              <w:bottom w:val="single" w:sz="4" w:space="0" w:color="auto"/>
            </w:tcBorders>
            <w:shd w:val="clear" w:color="auto" w:fill="FFFFFF"/>
            <w:vAlign w:val="bottom"/>
          </w:tcPr>
          <w:p w14:paraId="674A3C9F" w14:textId="77777777" w:rsidR="00507C04" w:rsidRPr="00FE4CCD" w:rsidRDefault="00507C04" w:rsidP="00CE3C32">
            <w:pPr>
              <w:autoSpaceDE w:val="0"/>
              <w:autoSpaceDN w:val="0"/>
              <w:adjustRightInd w:val="0"/>
              <w:spacing w:line="276" w:lineRule="auto"/>
              <w:ind w:left="60" w:right="60"/>
              <w:jc w:val="center"/>
              <w:rPr>
                <w:color w:val="000000"/>
                <w:sz w:val="20"/>
                <w:szCs w:val="20"/>
              </w:rPr>
            </w:pPr>
            <w:r w:rsidRPr="00FE4CCD">
              <w:rPr>
                <w:color w:val="000000"/>
                <w:sz w:val="20"/>
                <w:szCs w:val="20"/>
              </w:rPr>
              <w:t>Mean Square</w:t>
            </w:r>
          </w:p>
        </w:tc>
        <w:tc>
          <w:tcPr>
            <w:tcW w:w="994" w:type="dxa"/>
            <w:tcBorders>
              <w:top w:val="single" w:sz="4" w:space="0" w:color="auto"/>
              <w:bottom w:val="single" w:sz="4" w:space="0" w:color="auto"/>
            </w:tcBorders>
            <w:shd w:val="clear" w:color="auto" w:fill="FFFFFF"/>
            <w:vAlign w:val="bottom"/>
          </w:tcPr>
          <w:p w14:paraId="26048DAF" w14:textId="77777777" w:rsidR="00507C04" w:rsidRPr="00FE4CCD" w:rsidRDefault="00507C04" w:rsidP="00CE3C32">
            <w:pPr>
              <w:autoSpaceDE w:val="0"/>
              <w:autoSpaceDN w:val="0"/>
              <w:adjustRightInd w:val="0"/>
              <w:spacing w:line="276" w:lineRule="auto"/>
              <w:ind w:left="60" w:right="60"/>
              <w:jc w:val="center"/>
              <w:rPr>
                <w:color w:val="000000"/>
                <w:sz w:val="20"/>
                <w:szCs w:val="20"/>
              </w:rPr>
            </w:pPr>
            <w:r w:rsidRPr="00FE4CCD">
              <w:rPr>
                <w:color w:val="000000"/>
                <w:sz w:val="20"/>
                <w:szCs w:val="20"/>
              </w:rPr>
              <w:t>F</w:t>
            </w:r>
          </w:p>
        </w:tc>
        <w:tc>
          <w:tcPr>
            <w:tcW w:w="994" w:type="dxa"/>
            <w:tcBorders>
              <w:top w:val="single" w:sz="4" w:space="0" w:color="auto"/>
              <w:bottom w:val="single" w:sz="4" w:space="0" w:color="auto"/>
            </w:tcBorders>
            <w:shd w:val="clear" w:color="auto" w:fill="FFFFFF"/>
            <w:vAlign w:val="bottom"/>
          </w:tcPr>
          <w:p w14:paraId="17BC37F6" w14:textId="77777777" w:rsidR="00507C04" w:rsidRPr="00FE4CCD" w:rsidRDefault="00507C04" w:rsidP="00CE3C32">
            <w:pPr>
              <w:autoSpaceDE w:val="0"/>
              <w:autoSpaceDN w:val="0"/>
              <w:adjustRightInd w:val="0"/>
              <w:spacing w:line="276" w:lineRule="auto"/>
              <w:ind w:left="60" w:right="60"/>
              <w:jc w:val="center"/>
              <w:rPr>
                <w:color w:val="000000"/>
                <w:sz w:val="20"/>
                <w:szCs w:val="20"/>
              </w:rPr>
            </w:pPr>
            <w:r w:rsidRPr="00FE4CCD">
              <w:rPr>
                <w:color w:val="000000"/>
                <w:sz w:val="20"/>
                <w:szCs w:val="20"/>
              </w:rPr>
              <w:t>Sig.</w:t>
            </w:r>
          </w:p>
        </w:tc>
      </w:tr>
      <w:tr w:rsidR="00507C04" w:rsidRPr="00FE4CCD" w14:paraId="4F7DC98D" w14:textId="77777777" w:rsidTr="00507C04">
        <w:trPr>
          <w:cantSplit/>
          <w:jc w:val="center"/>
        </w:trPr>
        <w:tc>
          <w:tcPr>
            <w:tcW w:w="734" w:type="dxa"/>
            <w:vMerge w:val="restart"/>
            <w:tcBorders>
              <w:top w:val="single" w:sz="4" w:space="0" w:color="auto"/>
            </w:tcBorders>
            <w:shd w:val="clear" w:color="auto" w:fill="FFFFFF"/>
          </w:tcPr>
          <w:p w14:paraId="7915E1F2" w14:textId="77777777" w:rsidR="00507C04" w:rsidRPr="00FE4CCD" w:rsidRDefault="00507C04" w:rsidP="00CE3C32">
            <w:pPr>
              <w:autoSpaceDE w:val="0"/>
              <w:autoSpaceDN w:val="0"/>
              <w:adjustRightInd w:val="0"/>
              <w:spacing w:line="276" w:lineRule="auto"/>
              <w:ind w:left="60" w:right="60"/>
              <w:rPr>
                <w:color w:val="000000"/>
                <w:sz w:val="20"/>
                <w:szCs w:val="20"/>
              </w:rPr>
            </w:pPr>
            <w:r w:rsidRPr="00FE4CCD">
              <w:rPr>
                <w:color w:val="000000"/>
                <w:sz w:val="20"/>
                <w:szCs w:val="20"/>
              </w:rPr>
              <w:t>1</w:t>
            </w:r>
          </w:p>
        </w:tc>
        <w:tc>
          <w:tcPr>
            <w:tcW w:w="1284" w:type="dxa"/>
            <w:tcBorders>
              <w:top w:val="single" w:sz="4" w:space="0" w:color="auto"/>
            </w:tcBorders>
            <w:shd w:val="clear" w:color="auto" w:fill="FFFFFF"/>
          </w:tcPr>
          <w:p w14:paraId="578A0250" w14:textId="77777777" w:rsidR="00507C04" w:rsidRPr="00FE4CCD" w:rsidRDefault="00507C04" w:rsidP="00CE3C32">
            <w:pPr>
              <w:autoSpaceDE w:val="0"/>
              <w:autoSpaceDN w:val="0"/>
              <w:adjustRightInd w:val="0"/>
              <w:spacing w:line="276" w:lineRule="auto"/>
              <w:ind w:left="60" w:right="60"/>
              <w:rPr>
                <w:color w:val="000000"/>
                <w:sz w:val="20"/>
                <w:szCs w:val="20"/>
              </w:rPr>
            </w:pPr>
            <w:r w:rsidRPr="00FE4CCD">
              <w:rPr>
                <w:color w:val="000000"/>
                <w:sz w:val="20"/>
                <w:szCs w:val="20"/>
              </w:rPr>
              <w:t>Regression</w:t>
            </w:r>
          </w:p>
        </w:tc>
        <w:tc>
          <w:tcPr>
            <w:tcW w:w="1468" w:type="dxa"/>
            <w:tcBorders>
              <w:top w:val="single" w:sz="4" w:space="0" w:color="auto"/>
            </w:tcBorders>
            <w:shd w:val="clear" w:color="auto" w:fill="FFFFFF"/>
            <w:vAlign w:val="center"/>
          </w:tcPr>
          <w:p w14:paraId="6487AB93" w14:textId="77777777" w:rsidR="00507C04" w:rsidRPr="00FE4CCD" w:rsidRDefault="00507C04" w:rsidP="00CE3C32">
            <w:pPr>
              <w:autoSpaceDE w:val="0"/>
              <w:autoSpaceDN w:val="0"/>
              <w:adjustRightInd w:val="0"/>
              <w:spacing w:line="276" w:lineRule="auto"/>
              <w:ind w:left="60" w:right="60"/>
              <w:jc w:val="right"/>
              <w:rPr>
                <w:color w:val="000000"/>
                <w:sz w:val="20"/>
                <w:szCs w:val="20"/>
              </w:rPr>
            </w:pPr>
            <w:r w:rsidRPr="00FE4CCD">
              <w:rPr>
                <w:color w:val="000000"/>
                <w:sz w:val="20"/>
                <w:szCs w:val="20"/>
              </w:rPr>
              <w:t>6679.381</w:t>
            </w:r>
          </w:p>
        </w:tc>
        <w:tc>
          <w:tcPr>
            <w:tcW w:w="994" w:type="dxa"/>
            <w:tcBorders>
              <w:top w:val="single" w:sz="4" w:space="0" w:color="auto"/>
            </w:tcBorders>
            <w:shd w:val="clear" w:color="auto" w:fill="FFFFFF"/>
            <w:vAlign w:val="center"/>
          </w:tcPr>
          <w:p w14:paraId="43CE118D" w14:textId="77777777" w:rsidR="00507C04" w:rsidRPr="00FE4CCD" w:rsidRDefault="00507C04" w:rsidP="00CE3C32">
            <w:pPr>
              <w:autoSpaceDE w:val="0"/>
              <w:autoSpaceDN w:val="0"/>
              <w:adjustRightInd w:val="0"/>
              <w:spacing w:line="276" w:lineRule="auto"/>
              <w:ind w:left="60" w:right="60"/>
              <w:jc w:val="right"/>
              <w:rPr>
                <w:color w:val="000000"/>
                <w:sz w:val="20"/>
                <w:szCs w:val="20"/>
              </w:rPr>
            </w:pPr>
            <w:r w:rsidRPr="00FE4CCD">
              <w:rPr>
                <w:color w:val="000000"/>
                <w:sz w:val="20"/>
                <w:szCs w:val="20"/>
              </w:rPr>
              <w:t>2</w:t>
            </w:r>
          </w:p>
        </w:tc>
        <w:tc>
          <w:tcPr>
            <w:tcW w:w="1407" w:type="dxa"/>
            <w:tcBorders>
              <w:top w:val="single" w:sz="4" w:space="0" w:color="auto"/>
            </w:tcBorders>
            <w:shd w:val="clear" w:color="auto" w:fill="FFFFFF"/>
            <w:vAlign w:val="center"/>
          </w:tcPr>
          <w:p w14:paraId="53841E52" w14:textId="77777777" w:rsidR="00507C04" w:rsidRPr="00FE4CCD" w:rsidRDefault="00507C04" w:rsidP="00CE3C32">
            <w:pPr>
              <w:autoSpaceDE w:val="0"/>
              <w:autoSpaceDN w:val="0"/>
              <w:adjustRightInd w:val="0"/>
              <w:spacing w:line="276" w:lineRule="auto"/>
              <w:ind w:left="60" w:right="60"/>
              <w:jc w:val="right"/>
              <w:rPr>
                <w:color w:val="000000"/>
                <w:sz w:val="20"/>
                <w:szCs w:val="20"/>
              </w:rPr>
            </w:pPr>
            <w:r w:rsidRPr="00FE4CCD">
              <w:rPr>
                <w:color w:val="000000"/>
                <w:sz w:val="20"/>
                <w:szCs w:val="20"/>
              </w:rPr>
              <w:t>3339.691</w:t>
            </w:r>
          </w:p>
        </w:tc>
        <w:tc>
          <w:tcPr>
            <w:tcW w:w="994" w:type="dxa"/>
            <w:tcBorders>
              <w:top w:val="single" w:sz="4" w:space="0" w:color="auto"/>
            </w:tcBorders>
            <w:shd w:val="clear" w:color="auto" w:fill="FFFFFF"/>
            <w:vAlign w:val="center"/>
          </w:tcPr>
          <w:p w14:paraId="0E8C104D" w14:textId="77777777" w:rsidR="00507C04" w:rsidRPr="00FE4CCD" w:rsidRDefault="00507C04" w:rsidP="00CE3C32">
            <w:pPr>
              <w:autoSpaceDE w:val="0"/>
              <w:autoSpaceDN w:val="0"/>
              <w:adjustRightInd w:val="0"/>
              <w:spacing w:line="276" w:lineRule="auto"/>
              <w:ind w:left="60" w:right="60"/>
              <w:jc w:val="right"/>
              <w:rPr>
                <w:color w:val="000000"/>
                <w:sz w:val="20"/>
                <w:szCs w:val="20"/>
              </w:rPr>
            </w:pPr>
            <w:r w:rsidRPr="00FE4CCD">
              <w:rPr>
                <w:color w:val="000000"/>
                <w:sz w:val="20"/>
                <w:szCs w:val="20"/>
              </w:rPr>
              <w:t>320.691</w:t>
            </w:r>
          </w:p>
        </w:tc>
        <w:tc>
          <w:tcPr>
            <w:tcW w:w="994" w:type="dxa"/>
            <w:tcBorders>
              <w:top w:val="single" w:sz="4" w:space="0" w:color="auto"/>
            </w:tcBorders>
            <w:shd w:val="clear" w:color="auto" w:fill="FFFFFF"/>
            <w:vAlign w:val="center"/>
          </w:tcPr>
          <w:p w14:paraId="2E5A0BA7" w14:textId="77777777" w:rsidR="00507C04" w:rsidRPr="00FE4CCD" w:rsidRDefault="00507C04" w:rsidP="00CE3C32">
            <w:pPr>
              <w:autoSpaceDE w:val="0"/>
              <w:autoSpaceDN w:val="0"/>
              <w:adjustRightInd w:val="0"/>
              <w:spacing w:line="276" w:lineRule="auto"/>
              <w:ind w:left="60" w:right="60"/>
              <w:jc w:val="right"/>
              <w:rPr>
                <w:color w:val="000000"/>
                <w:sz w:val="20"/>
                <w:szCs w:val="20"/>
              </w:rPr>
            </w:pPr>
            <w:r w:rsidRPr="00FE4CCD">
              <w:rPr>
                <w:color w:val="000000"/>
                <w:sz w:val="20"/>
                <w:szCs w:val="20"/>
              </w:rPr>
              <w:t>.000</w:t>
            </w:r>
            <w:r w:rsidRPr="00FE4CCD">
              <w:rPr>
                <w:color w:val="000000"/>
                <w:sz w:val="20"/>
                <w:szCs w:val="20"/>
                <w:vertAlign w:val="superscript"/>
              </w:rPr>
              <w:t>b</w:t>
            </w:r>
          </w:p>
        </w:tc>
      </w:tr>
      <w:tr w:rsidR="00507C04" w:rsidRPr="00FE4CCD" w14:paraId="1EF24C2F" w14:textId="77777777" w:rsidTr="00507C04">
        <w:trPr>
          <w:cantSplit/>
          <w:jc w:val="center"/>
        </w:trPr>
        <w:tc>
          <w:tcPr>
            <w:tcW w:w="734" w:type="dxa"/>
            <w:vMerge/>
            <w:tcBorders>
              <w:top w:val="nil"/>
            </w:tcBorders>
            <w:shd w:val="clear" w:color="auto" w:fill="FFFFFF"/>
          </w:tcPr>
          <w:p w14:paraId="27AA15CB" w14:textId="77777777" w:rsidR="00507C04" w:rsidRPr="00FE4CCD" w:rsidRDefault="00507C04" w:rsidP="00CE3C32">
            <w:pPr>
              <w:autoSpaceDE w:val="0"/>
              <w:autoSpaceDN w:val="0"/>
              <w:adjustRightInd w:val="0"/>
              <w:spacing w:line="276" w:lineRule="auto"/>
              <w:rPr>
                <w:color w:val="000000"/>
                <w:sz w:val="20"/>
                <w:szCs w:val="20"/>
              </w:rPr>
            </w:pPr>
          </w:p>
        </w:tc>
        <w:tc>
          <w:tcPr>
            <w:tcW w:w="1284" w:type="dxa"/>
            <w:tcBorders>
              <w:top w:val="nil"/>
            </w:tcBorders>
            <w:shd w:val="clear" w:color="auto" w:fill="FFFFFF"/>
          </w:tcPr>
          <w:p w14:paraId="4312D1FB" w14:textId="77777777" w:rsidR="00507C04" w:rsidRPr="00FE4CCD" w:rsidRDefault="00507C04" w:rsidP="00CE3C32">
            <w:pPr>
              <w:autoSpaceDE w:val="0"/>
              <w:autoSpaceDN w:val="0"/>
              <w:adjustRightInd w:val="0"/>
              <w:spacing w:line="276" w:lineRule="auto"/>
              <w:ind w:left="60" w:right="60"/>
              <w:rPr>
                <w:color w:val="000000"/>
                <w:sz w:val="20"/>
                <w:szCs w:val="20"/>
              </w:rPr>
            </w:pPr>
            <w:r w:rsidRPr="00FE4CCD">
              <w:rPr>
                <w:color w:val="000000"/>
                <w:sz w:val="20"/>
                <w:szCs w:val="20"/>
              </w:rPr>
              <w:t>Residual</w:t>
            </w:r>
          </w:p>
        </w:tc>
        <w:tc>
          <w:tcPr>
            <w:tcW w:w="1468" w:type="dxa"/>
            <w:tcBorders>
              <w:top w:val="nil"/>
            </w:tcBorders>
            <w:shd w:val="clear" w:color="auto" w:fill="FFFFFF"/>
            <w:vAlign w:val="center"/>
          </w:tcPr>
          <w:p w14:paraId="440E5DBB" w14:textId="77777777" w:rsidR="00507C04" w:rsidRPr="00FE4CCD" w:rsidRDefault="00507C04" w:rsidP="00CE3C32">
            <w:pPr>
              <w:autoSpaceDE w:val="0"/>
              <w:autoSpaceDN w:val="0"/>
              <w:adjustRightInd w:val="0"/>
              <w:spacing w:line="276" w:lineRule="auto"/>
              <w:ind w:left="60" w:right="60"/>
              <w:jc w:val="right"/>
              <w:rPr>
                <w:color w:val="000000"/>
                <w:sz w:val="20"/>
                <w:szCs w:val="20"/>
              </w:rPr>
            </w:pPr>
            <w:r w:rsidRPr="00FE4CCD">
              <w:rPr>
                <w:color w:val="000000"/>
                <w:sz w:val="20"/>
                <w:szCs w:val="20"/>
              </w:rPr>
              <w:t>3270.015</w:t>
            </w:r>
          </w:p>
        </w:tc>
        <w:tc>
          <w:tcPr>
            <w:tcW w:w="994" w:type="dxa"/>
            <w:tcBorders>
              <w:top w:val="nil"/>
            </w:tcBorders>
            <w:shd w:val="clear" w:color="auto" w:fill="FFFFFF"/>
            <w:vAlign w:val="center"/>
          </w:tcPr>
          <w:p w14:paraId="762E96B6" w14:textId="77777777" w:rsidR="00507C04" w:rsidRPr="00FE4CCD" w:rsidRDefault="00507C04" w:rsidP="00CE3C32">
            <w:pPr>
              <w:autoSpaceDE w:val="0"/>
              <w:autoSpaceDN w:val="0"/>
              <w:adjustRightInd w:val="0"/>
              <w:spacing w:line="276" w:lineRule="auto"/>
              <w:ind w:left="60" w:right="60"/>
              <w:jc w:val="right"/>
              <w:rPr>
                <w:color w:val="000000"/>
                <w:sz w:val="20"/>
                <w:szCs w:val="20"/>
              </w:rPr>
            </w:pPr>
            <w:r w:rsidRPr="00FE4CCD">
              <w:rPr>
                <w:color w:val="000000"/>
                <w:sz w:val="20"/>
                <w:szCs w:val="20"/>
              </w:rPr>
              <w:t>314</w:t>
            </w:r>
          </w:p>
        </w:tc>
        <w:tc>
          <w:tcPr>
            <w:tcW w:w="1407" w:type="dxa"/>
            <w:tcBorders>
              <w:top w:val="nil"/>
            </w:tcBorders>
            <w:shd w:val="clear" w:color="auto" w:fill="FFFFFF"/>
            <w:vAlign w:val="center"/>
          </w:tcPr>
          <w:p w14:paraId="7458C4C4" w14:textId="77777777" w:rsidR="00507C04" w:rsidRPr="00FE4CCD" w:rsidRDefault="00507C04" w:rsidP="00CE3C32">
            <w:pPr>
              <w:autoSpaceDE w:val="0"/>
              <w:autoSpaceDN w:val="0"/>
              <w:adjustRightInd w:val="0"/>
              <w:spacing w:line="276" w:lineRule="auto"/>
              <w:ind w:left="60" w:right="60"/>
              <w:jc w:val="right"/>
              <w:rPr>
                <w:color w:val="000000"/>
                <w:sz w:val="20"/>
                <w:szCs w:val="20"/>
              </w:rPr>
            </w:pPr>
            <w:r w:rsidRPr="00FE4CCD">
              <w:rPr>
                <w:color w:val="000000"/>
                <w:sz w:val="20"/>
                <w:szCs w:val="20"/>
              </w:rPr>
              <w:t>10.414</w:t>
            </w:r>
          </w:p>
        </w:tc>
        <w:tc>
          <w:tcPr>
            <w:tcW w:w="994" w:type="dxa"/>
            <w:tcBorders>
              <w:top w:val="nil"/>
            </w:tcBorders>
            <w:shd w:val="clear" w:color="auto" w:fill="FFFFFF"/>
            <w:vAlign w:val="center"/>
          </w:tcPr>
          <w:p w14:paraId="0C818EC3" w14:textId="77777777" w:rsidR="00507C04" w:rsidRPr="00FE4CCD" w:rsidRDefault="00507C04" w:rsidP="00CE3C32">
            <w:pPr>
              <w:autoSpaceDE w:val="0"/>
              <w:autoSpaceDN w:val="0"/>
              <w:adjustRightInd w:val="0"/>
              <w:spacing w:line="276" w:lineRule="auto"/>
              <w:rPr>
                <w:sz w:val="20"/>
                <w:szCs w:val="20"/>
              </w:rPr>
            </w:pPr>
          </w:p>
        </w:tc>
        <w:tc>
          <w:tcPr>
            <w:tcW w:w="994" w:type="dxa"/>
            <w:tcBorders>
              <w:top w:val="nil"/>
            </w:tcBorders>
            <w:shd w:val="clear" w:color="auto" w:fill="FFFFFF"/>
            <w:vAlign w:val="center"/>
          </w:tcPr>
          <w:p w14:paraId="614E968B" w14:textId="77777777" w:rsidR="00507C04" w:rsidRPr="00FE4CCD" w:rsidRDefault="00507C04" w:rsidP="00CE3C32">
            <w:pPr>
              <w:autoSpaceDE w:val="0"/>
              <w:autoSpaceDN w:val="0"/>
              <w:adjustRightInd w:val="0"/>
              <w:spacing w:line="276" w:lineRule="auto"/>
              <w:rPr>
                <w:sz w:val="20"/>
                <w:szCs w:val="20"/>
              </w:rPr>
            </w:pPr>
          </w:p>
        </w:tc>
      </w:tr>
      <w:tr w:rsidR="00507C04" w:rsidRPr="00FE4CCD" w14:paraId="7FE0B695" w14:textId="77777777" w:rsidTr="00507C04">
        <w:trPr>
          <w:cantSplit/>
          <w:jc w:val="center"/>
        </w:trPr>
        <w:tc>
          <w:tcPr>
            <w:tcW w:w="734" w:type="dxa"/>
            <w:vMerge/>
            <w:tcBorders>
              <w:top w:val="nil"/>
              <w:bottom w:val="single" w:sz="4" w:space="0" w:color="auto"/>
            </w:tcBorders>
            <w:shd w:val="clear" w:color="auto" w:fill="FFFFFF"/>
          </w:tcPr>
          <w:p w14:paraId="506159F3" w14:textId="77777777" w:rsidR="00507C04" w:rsidRPr="00FE4CCD" w:rsidRDefault="00507C04" w:rsidP="00CE3C32">
            <w:pPr>
              <w:autoSpaceDE w:val="0"/>
              <w:autoSpaceDN w:val="0"/>
              <w:adjustRightInd w:val="0"/>
              <w:spacing w:line="276" w:lineRule="auto"/>
              <w:rPr>
                <w:sz w:val="20"/>
                <w:szCs w:val="20"/>
              </w:rPr>
            </w:pPr>
          </w:p>
        </w:tc>
        <w:tc>
          <w:tcPr>
            <w:tcW w:w="1284" w:type="dxa"/>
            <w:tcBorders>
              <w:top w:val="nil"/>
              <w:bottom w:val="single" w:sz="4" w:space="0" w:color="auto"/>
            </w:tcBorders>
            <w:shd w:val="clear" w:color="auto" w:fill="FFFFFF"/>
          </w:tcPr>
          <w:p w14:paraId="41C4A5EE" w14:textId="77777777" w:rsidR="00507C04" w:rsidRPr="00FE4CCD" w:rsidRDefault="00507C04" w:rsidP="00CE3C32">
            <w:pPr>
              <w:autoSpaceDE w:val="0"/>
              <w:autoSpaceDN w:val="0"/>
              <w:adjustRightInd w:val="0"/>
              <w:spacing w:line="276" w:lineRule="auto"/>
              <w:ind w:left="60" w:right="60"/>
              <w:rPr>
                <w:color w:val="000000"/>
                <w:sz w:val="20"/>
                <w:szCs w:val="20"/>
              </w:rPr>
            </w:pPr>
            <w:r w:rsidRPr="00FE4CCD">
              <w:rPr>
                <w:color w:val="000000"/>
                <w:sz w:val="20"/>
                <w:szCs w:val="20"/>
              </w:rPr>
              <w:t>Total</w:t>
            </w:r>
          </w:p>
        </w:tc>
        <w:tc>
          <w:tcPr>
            <w:tcW w:w="1468" w:type="dxa"/>
            <w:tcBorders>
              <w:top w:val="nil"/>
              <w:bottom w:val="single" w:sz="4" w:space="0" w:color="auto"/>
            </w:tcBorders>
            <w:shd w:val="clear" w:color="auto" w:fill="FFFFFF"/>
            <w:vAlign w:val="center"/>
          </w:tcPr>
          <w:p w14:paraId="301E6F75" w14:textId="77777777" w:rsidR="00507C04" w:rsidRPr="00FE4CCD" w:rsidRDefault="00507C04" w:rsidP="00CE3C32">
            <w:pPr>
              <w:autoSpaceDE w:val="0"/>
              <w:autoSpaceDN w:val="0"/>
              <w:adjustRightInd w:val="0"/>
              <w:spacing w:line="276" w:lineRule="auto"/>
              <w:ind w:left="60" w:right="60"/>
              <w:jc w:val="right"/>
              <w:rPr>
                <w:color w:val="000000"/>
                <w:sz w:val="20"/>
                <w:szCs w:val="20"/>
              </w:rPr>
            </w:pPr>
            <w:r w:rsidRPr="00FE4CCD">
              <w:rPr>
                <w:color w:val="000000"/>
                <w:sz w:val="20"/>
                <w:szCs w:val="20"/>
              </w:rPr>
              <w:t>9949.396</w:t>
            </w:r>
          </w:p>
        </w:tc>
        <w:tc>
          <w:tcPr>
            <w:tcW w:w="994" w:type="dxa"/>
            <w:tcBorders>
              <w:top w:val="nil"/>
              <w:bottom w:val="single" w:sz="4" w:space="0" w:color="auto"/>
            </w:tcBorders>
            <w:shd w:val="clear" w:color="auto" w:fill="FFFFFF"/>
            <w:vAlign w:val="center"/>
          </w:tcPr>
          <w:p w14:paraId="1AA6A6BC" w14:textId="77777777" w:rsidR="00507C04" w:rsidRPr="00FE4CCD" w:rsidRDefault="00507C04" w:rsidP="00CE3C32">
            <w:pPr>
              <w:autoSpaceDE w:val="0"/>
              <w:autoSpaceDN w:val="0"/>
              <w:adjustRightInd w:val="0"/>
              <w:spacing w:line="276" w:lineRule="auto"/>
              <w:ind w:left="60" w:right="60"/>
              <w:jc w:val="right"/>
              <w:rPr>
                <w:color w:val="000000"/>
                <w:sz w:val="20"/>
                <w:szCs w:val="20"/>
              </w:rPr>
            </w:pPr>
            <w:r w:rsidRPr="00FE4CCD">
              <w:rPr>
                <w:color w:val="000000"/>
                <w:sz w:val="20"/>
                <w:szCs w:val="20"/>
              </w:rPr>
              <w:t>316</w:t>
            </w:r>
          </w:p>
        </w:tc>
        <w:tc>
          <w:tcPr>
            <w:tcW w:w="1407" w:type="dxa"/>
            <w:tcBorders>
              <w:top w:val="nil"/>
              <w:bottom w:val="single" w:sz="4" w:space="0" w:color="auto"/>
            </w:tcBorders>
            <w:shd w:val="clear" w:color="auto" w:fill="FFFFFF"/>
            <w:vAlign w:val="center"/>
          </w:tcPr>
          <w:p w14:paraId="06573BDD" w14:textId="77777777" w:rsidR="00507C04" w:rsidRPr="00FE4CCD" w:rsidRDefault="00507C04" w:rsidP="00CE3C32">
            <w:pPr>
              <w:autoSpaceDE w:val="0"/>
              <w:autoSpaceDN w:val="0"/>
              <w:adjustRightInd w:val="0"/>
              <w:spacing w:line="276" w:lineRule="auto"/>
              <w:rPr>
                <w:sz w:val="20"/>
                <w:szCs w:val="20"/>
              </w:rPr>
            </w:pPr>
          </w:p>
        </w:tc>
        <w:tc>
          <w:tcPr>
            <w:tcW w:w="994" w:type="dxa"/>
            <w:tcBorders>
              <w:top w:val="nil"/>
              <w:bottom w:val="single" w:sz="4" w:space="0" w:color="auto"/>
            </w:tcBorders>
            <w:shd w:val="clear" w:color="auto" w:fill="FFFFFF"/>
            <w:vAlign w:val="center"/>
          </w:tcPr>
          <w:p w14:paraId="5BA03E49" w14:textId="77777777" w:rsidR="00507C04" w:rsidRPr="00FE4CCD" w:rsidRDefault="00507C04" w:rsidP="00CE3C32">
            <w:pPr>
              <w:autoSpaceDE w:val="0"/>
              <w:autoSpaceDN w:val="0"/>
              <w:adjustRightInd w:val="0"/>
              <w:spacing w:line="276" w:lineRule="auto"/>
              <w:rPr>
                <w:sz w:val="20"/>
                <w:szCs w:val="20"/>
              </w:rPr>
            </w:pPr>
          </w:p>
        </w:tc>
        <w:tc>
          <w:tcPr>
            <w:tcW w:w="994" w:type="dxa"/>
            <w:tcBorders>
              <w:top w:val="nil"/>
              <w:bottom w:val="single" w:sz="4" w:space="0" w:color="auto"/>
            </w:tcBorders>
            <w:shd w:val="clear" w:color="auto" w:fill="FFFFFF"/>
            <w:vAlign w:val="center"/>
          </w:tcPr>
          <w:p w14:paraId="2D826EC8" w14:textId="77777777" w:rsidR="00507C04" w:rsidRPr="00FE4CCD" w:rsidRDefault="00507C04" w:rsidP="00CE3C32">
            <w:pPr>
              <w:autoSpaceDE w:val="0"/>
              <w:autoSpaceDN w:val="0"/>
              <w:adjustRightInd w:val="0"/>
              <w:spacing w:line="276" w:lineRule="auto"/>
              <w:rPr>
                <w:sz w:val="20"/>
                <w:szCs w:val="20"/>
              </w:rPr>
            </w:pPr>
          </w:p>
        </w:tc>
      </w:tr>
      <w:tr w:rsidR="00507C04" w:rsidRPr="00FE4CCD" w14:paraId="4F5BDFCB" w14:textId="77777777" w:rsidTr="00507C04">
        <w:trPr>
          <w:cantSplit/>
          <w:jc w:val="center"/>
        </w:trPr>
        <w:tc>
          <w:tcPr>
            <w:tcW w:w="7875" w:type="dxa"/>
            <w:gridSpan w:val="7"/>
            <w:tcBorders>
              <w:top w:val="single" w:sz="4" w:space="0" w:color="auto"/>
            </w:tcBorders>
            <w:shd w:val="clear" w:color="auto" w:fill="FFFFFF"/>
          </w:tcPr>
          <w:p w14:paraId="6AC980B7" w14:textId="77777777" w:rsidR="00507C04" w:rsidRPr="00FE4CCD" w:rsidRDefault="00507C04" w:rsidP="00CE3C32">
            <w:pPr>
              <w:autoSpaceDE w:val="0"/>
              <w:autoSpaceDN w:val="0"/>
              <w:adjustRightInd w:val="0"/>
              <w:spacing w:line="276" w:lineRule="auto"/>
              <w:ind w:left="60" w:right="60"/>
              <w:rPr>
                <w:color w:val="000000"/>
                <w:sz w:val="20"/>
                <w:szCs w:val="20"/>
              </w:rPr>
            </w:pPr>
            <w:r w:rsidRPr="00FE4CCD">
              <w:rPr>
                <w:color w:val="000000"/>
                <w:sz w:val="20"/>
                <w:szCs w:val="20"/>
              </w:rPr>
              <w:t>a. Dependent Variable: ROA</w:t>
            </w:r>
          </w:p>
        </w:tc>
      </w:tr>
      <w:tr w:rsidR="00507C04" w:rsidRPr="00FE4CCD" w14:paraId="6D034FF3" w14:textId="77777777" w:rsidTr="00507C04">
        <w:trPr>
          <w:cantSplit/>
          <w:jc w:val="center"/>
        </w:trPr>
        <w:tc>
          <w:tcPr>
            <w:tcW w:w="7875" w:type="dxa"/>
            <w:gridSpan w:val="7"/>
            <w:shd w:val="clear" w:color="auto" w:fill="FFFFFF"/>
          </w:tcPr>
          <w:p w14:paraId="12A55D91" w14:textId="2FFDF3B6" w:rsidR="00507C04" w:rsidRPr="00FE4CCD" w:rsidRDefault="00507C04" w:rsidP="00CE3C32">
            <w:pPr>
              <w:autoSpaceDE w:val="0"/>
              <w:autoSpaceDN w:val="0"/>
              <w:adjustRightInd w:val="0"/>
              <w:spacing w:line="276" w:lineRule="auto"/>
              <w:ind w:left="60" w:right="60"/>
              <w:rPr>
                <w:color w:val="000000"/>
                <w:sz w:val="20"/>
                <w:szCs w:val="20"/>
              </w:rPr>
            </w:pPr>
            <w:r w:rsidRPr="00FE4CCD">
              <w:rPr>
                <w:color w:val="000000"/>
                <w:sz w:val="20"/>
                <w:szCs w:val="20"/>
              </w:rPr>
              <w:t>b. Predictors: (Constant), LNTA, MVAIC</w:t>
            </w:r>
          </w:p>
        </w:tc>
      </w:tr>
    </w:tbl>
    <w:p w14:paraId="22AF0A8A" w14:textId="53118F8B" w:rsidR="00D406DC" w:rsidRPr="00D406DC" w:rsidRDefault="00D406DC" w:rsidP="00D406DC">
      <w:pPr>
        <w:spacing w:line="240" w:lineRule="auto"/>
        <w:ind w:right="-142" w:firstLine="720"/>
        <w:rPr>
          <w:iCs/>
          <w:sz w:val="22"/>
        </w:rPr>
      </w:pPr>
      <w:r w:rsidRPr="00D406DC">
        <w:rPr>
          <w:iCs/>
          <w:sz w:val="22"/>
        </w:rPr>
        <w:t xml:space="preserve">Based on the processing results as presented in Table 6. it can be seen the value of </w:t>
      </w:r>
      <w:proofErr w:type="spellStart"/>
      <w:r w:rsidRPr="00D406DC">
        <w:rPr>
          <w:iCs/>
          <w:sz w:val="22"/>
        </w:rPr>
        <w:t>F</w:t>
      </w:r>
      <w:r w:rsidR="00F82AC7">
        <w:rPr>
          <w:iCs/>
          <w:sz w:val="22"/>
          <w:vertAlign w:val="subscript"/>
        </w:rPr>
        <w:t>arithmetic</w:t>
      </w:r>
      <w:proofErr w:type="spellEnd"/>
      <w:r w:rsidRPr="00D406DC">
        <w:rPr>
          <w:iCs/>
          <w:sz w:val="22"/>
        </w:rPr>
        <w:t xml:space="preserve"> of 320.69 with a significance value close to zero. Then the F </w:t>
      </w:r>
      <w:proofErr w:type="spellStart"/>
      <w:r w:rsidRPr="00D406DC">
        <w:rPr>
          <w:iCs/>
          <w:sz w:val="22"/>
        </w:rPr>
        <w:t>grade</w:t>
      </w:r>
      <w:r w:rsidRPr="00D406DC">
        <w:rPr>
          <w:iCs/>
          <w:sz w:val="22"/>
          <w:vertAlign w:val="subscript"/>
        </w:rPr>
        <w:t>table</w:t>
      </w:r>
      <w:proofErr w:type="spellEnd"/>
      <w:r w:rsidRPr="00D406DC">
        <w:rPr>
          <w:iCs/>
          <w:sz w:val="22"/>
        </w:rPr>
        <w:t xml:space="preserve"> at a significance level of 5% (a = 0.05) and degrees of freedom 2 and 314 is 3.024. Because </w:t>
      </w:r>
      <w:proofErr w:type="spellStart"/>
      <w:proofErr w:type="gramStart"/>
      <w:r w:rsidRPr="00D406DC">
        <w:rPr>
          <w:iCs/>
          <w:sz w:val="22"/>
        </w:rPr>
        <w:t>F</w:t>
      </w:r>
      <w:r w:rsidR="00F82AC7">
        <w:rPr>
          <w:iCs/>
          <w:sz w:val="22"/>
          <w:vertAlign w:val="subscript"/>
        </w:rPr>
        <w:t>arithmetic</w:t>
      </w:r>
      <w:proofErr w:type="spellEnd"/>
      <w:r w:rsidRPr="00D406DC">
        <w:rPr>
          <w:iCs/>
          <w:sz w:val="22"/>
        </w:rPr>
        <w:t>(</w:t>
      </w:r>
      <w:proofErr w:type="gramEnd"/>
      <w:r w:rsidRPr="00D406DC">
        <w:rPr>
          <w:iCs/>
          <w:sz w:val="22"/>
        </w:rPr>
        <w:t xml:space="preserve">320.69) is greater than </w:t>
      </w:r>
      <w:proofErr w:type="spellStart"/>
      <w:r w:rsidRPr="00D406DC">
        <w:rPr>
          <w:iCs/>
          <w:sz w:val="22"/>
        </w:rPr>
        <w:t>F</w:t>
      </w:r>
      <w:r w:rsidRPr="00D406DC">
        <w:rPr>
          <w:iCs/>
          <w:sz w:val="22"/>
          <w:vertAlign w:val="subscript"/>
        </w:rPr>
        <w:t>table</w:t>
      </w:r>
      <w:proofErr w:type="spellEnd"/>
      <w:r w:rsidRPr="00D406DC">
        <w:rPr>
          <w:iCs/>
          <w:sz w:val="22"/>
        </w:rPr>
        <w:t xml:space="preserve">(3.024), then at an error rate of 5% it was decided to reject Ho so that Ha was accepted. </w:t>
      </w:r>
      <w:proofErr w:type="gramStart"/>
      <w:r w:rsidRPr="00D406DC">
        <w:rPr>
          <w:iCs/>
          <w:sz w:val="22"/>
        </w:rPr>
        <w:t>Thus</w:t>
      </w:r>
      <w:proofErr w:type="gramEnd"/>
      <w:r w:rsidRPr="00D406DC">
        <w:rPr>
          <w:iCs/>
          <w:sz w:val="22"/>
        </w:rPr>
        <w:t xml:space="preserve"> it can be concluded that</w:t>
      </w:r>
      <w:r>
        <w:rPr>
          <w:iCs/>
          <w:sz w:val="22"/>
        </w:rPr>
        <w:t xml:space="preserve"> </w:t>
      </w:r>
      <w:r w:rsidRPr="00D406DC">
        <w:rPr>
          <w:iCs/>
          <w:sz w:val="22"/>
        </w:rPr>
        <w:t>intellectual capital and firm size simultaneously influence the profitability of sector companies</w:t>
      </w:r>
      <w:r>
        <w:rPr>
          <w:iCs/>
          <w:sz w:val="22"/>
        </w:rPr>
        <w:t xml:space="preserve"> </w:t>
      </w:r>
      <w:r w:rsidRPr="00D406DC">
        <w:rPr>
          <w:iCs/>
          <w:sz w:val="22"/>
        </w:rPr>
        <w:t>property and</w:t>
      </w:r>
      <w:r>
        <w:rPr>
          <w:iCs/>
          <w:sz w:val="22"/>
        </w:rPr>
        <w:t xml:space="preserve"> </w:t>
      </w:r>
      <w:r w:rsidRPr="00D406DC">
        <w:rPr>
          <w:iCs/>
          <w:sz w:val="22"/>
        </w:rPr>
        <w:t>real estate which are listed on the Indonesia Stock Exchange</w:t>
      </w:r>
    </w:p>
    <w:p w14:paraId="6B50D173" w14:textId="7F272C54" w:rsidR="00D406DC" w:rsidRPr="00D406DC" w:rsidRDefault="00D406DC" w:rsidP="00D406DC">
      <w:pPr>
        <w:spacing w:line="240" w:lineRule="auto"/>
        <w:ind w:right="-142" w:firstLine="720"/>
        <w:rPr>
          <w:sz w:val="22"/>
        </w:rPr>
      </w:pPr>
      <w:r w:rsidRPr="00D406DC">
        <w:rPr>
          <w:sz w:val="22"/>
        </w:rPr>
        <w:t xml:space="preserve">Testing the coefficient of determination R Square is carried out to determine the magnitude of the influence of the independent </w:t>
      </w:r>
      <w:proofErr w:type="spellStart"/>
      <w:r w:rsidRPr="00D406DC">
        <w:rPr>
          <w:sz w:val="22"/>
        </w:rPr>
        <w:t>variables</w:t>
      </w:r>
      <w:r w:rsidRPr="00D406DC">
        <w:rPr>
          <w:iCs/>
          <w:sz w:val="22"/>
        </w:rPr>
        <w:t>intellectual</w:t>
      </w:r>
      <w:proofErr w:type="spellEnd"/>
      <w:r w:rsidRPr="00D406DC">
        <w:rPr>
          <w:iCs/>
          <w:sz w:val="22"/>
        </w:rPr>
        <w:t xml:space="preserve"> capital</w:t>
      </w:r>
      <w:r w:rsidRPr="00D406DC">
        <w:rPr>
          <w:sz w:val="22"/>
        </w:rPr>
        <w:t xml:space="preserve"> and firm size together with the dependent variable profitability which is expressed in the form of a percentage</w:t>
      </w:r>
    </w:p>
    <w:p w14:paraId="4FBA5D7C" w14:textId="59849CC8" w:rsidR="00536D52" w:rsidRDefault="00507C04" w:rsidP="00547C68">
      <w:pPr>
        <w:spacing w:line="240" w:lineRule="auto"/>
        <w:ind w:right="-142"/>
        <w:jc w:val="center"/>
        <w:rPr>
          <w:sz w:val="22"/>
        </w:rPr>
      </w:pPr>
      <w:r>
        <w:rPr>
          <w:sz w:val="22"/>
        </w:rPr>
        <w:t>Tabel 7</w:t>
      </w:r>
      <w:r w:rsidR="00547C68">
        <w:rPr>
          <w:sz w:val="22"/>
        </w:rPr>
        <w:t xml:space="preserve">. </w:t>
      </w:r>
      <w:r w:rsidR="00083EDE">
        <w:rPr>
          <w:sz w:val="22"/>
        </w:rPr>
        <w:t>Determination Test Simultaneous</w:t>
      </w:r>
    </w:p>
    <w:tbl>
      <w:tblPr>
        <w:tblW w:w="8137" w:type="dxa"/>
        <w:jc w:val="center"/>
        <w:tblBorders>
          <w:top w:val="single" w:sz="2" w:space="0" w:color="auto"/>
          <w:bottom w:val="single" w:sz="2" w:space="0" w:color="auto"/>
        </w:tblBorders>
        <w:tblLayout w:type="fixed"/>
        <w:tblCellMar>
          <w:left w:w="0" w:type="dxa"/>
          <w:right w:w="0" w:type="dxa"/>
        </w:tblCellMar>
        <w:tblLook w:val="0000" w:firstRow="0" w:lastRow="0" w:firstColumn="0" w:lastColumn="0" w:noHBand="0" w:noVBand="0"/>
      </w:tblPr>
      <w:tblGrid>
        <w:gridCol w:w="904"/>
        <w:gridCol w:w="1117"/>
        <w:gridCol w:w="1239"/>
        <w:gridCol w:w="1675"/>
        <w:gridCol w:w="1675"/>
        <w:gridCol w:w="1527"/>
      </w:tblGrid>
      <w:tr w:rsidR="00507C04" w:rsidRPr="00FE4CCD" w14:paraId="44E612A6" w14:textId="77777777" w:rsidTr="00FE4CCD">
        <w:trPr>
          <w:cantSplit/>
          <w:trHeight w:val="202"/>
          <w:jc w:val="center"/>
        </w:trPr>
        <w:tc>
          <w:tcPr>
            <w:tcW w:w="8137" w:type="dxa"/>
            <w:gridSpan w:val="6"/>
            <w:tcBorders>
              <w:bottom w:val="single" w:sz="2" w:space="0" w:color="auto"/>
            </w:tcBorders>
            <w:shd w:val="clear" w:color="auto" w:fill="FFFFFF"/>
            <w:vAlign w:val="center"/>
          </w:tcPr>
          <w:p w14:paraId="16D001E9" w14:textId="77777777" w:rsidR="00507C04" w:rsidRPr="00FE4CCD" w:rsidRDefault="00507C04" w:rsidP="00CE3C32">
            <w:pPr>
              <w:autoSpaceDE w:val="0"/>
              <w:autoSpaceDN w:val="0"/>
              <w:adjustRightInd w:val="0"/>
              <w:spacing w:line="276" w:lineRule="auto"/>
              <w:ind w:left="60" w:right="60"/>
              <w:jc w:val="center"/>
              <w:rPr>
                <w:color w:val="000000"/>
                <w:sz w:val="20"/>
                <w:szCs w:val="20"/>
              </w:rPr>
            </w:pPr>
            <w:r w:rsidRPr="00FE4CCD">
              <w:rPr>
                <w:bCs/>
                <w:color w:val="000000"/>
                <w:sz w:val="20"/>
                <w:szCs w:val="20"/>
              </w:rPr>
              <w:t xml:space="preserve">Model </w:t>
            </w:r>
            <w:proofErr w:type="spellStart"/>
            <w:r w:rsidRPr="00FE4CCD">
              <w:rPr>
                <w:bCs/>
                <w:color w:val="000000"/>
                <w:sz w:val="20"/>
                <w:szCs w:val="20"/>
              </w:rPr>
              <w:t>Summary</w:t>
            </w:r>
            <w:r w:rsidRPr="00FE4CCD">
              <w:rPr>
                <w:bCs/>
                <w:color w:val="000000"/>
                <w:sz w:val="20"/>
                <w:szCs w:val="20"/>
                <w:vertAlign w:val="superscript"/>
              </w:rPr>
              <w:t>b</w:t>
            </w:r>
            <w:proofErr w:type="spellEnd"/>
          </w:p>
        </w:tc>
      </w:tr>
      <w:tr w:rsidR="00FE4CCD" w:rsidRPr="00FE4CCD" w14:paraId="179F1236" w14:textId="77777777" w:rsidTr="00FE4CCD">
        <w:trPr>
          <w:cantSplit/>
          <w:trHeight w:val="397"/>
          <w:jc w:val="center"/>
        </w:trPr>
        <w:tc>
          <w:tcPr>
            <w:tcW w:w="904" w:type="dxa"/>
            <w:tcBorders>
              <w:top w:val="single" w:sz="2" w:space="0" w:color="auto"/>
              <w:bottom w:val="single" w:sz="2" w:space="0" w:color="auto"/>
            </w:tcBorders>
            <w:shd w:val="clear" w:color="auto" w:fill="FFFFFF"/>
            <w:vAlign w:val="bottom"/>
          </w:tcPr>
          <w:p w14:paraId="49663D53" w14:textId="77777777" w:rsidR="00507C04" w:rsidRPr="00FE4CCD" w:rsidRDefault="00507C04" w:rsidP="00CE3C32">
            <w:pPr>
              <w:autoSpaceDE w:val="0"/>
              <w:autoSpaceDN w:val="0"/>
              <w:adjustRightInd w:val="0"/>
              <w:spacing w:line="276" w:lineRule="auto"/>
              <w:ind w:left="60" w:right="60"/>
              <w:rPr>
                <w:color w:val="000000"/>
                <w:sz w:val="20"/>
                <w:szCs w:val="20"/>
              </w:rPr>
            </w:pPr>
            <w:r w:rsidRPr="00FE4CCD">
              <w:rPr>
                <w:color w:val="000000"/>
                <w:sz w:val="20"/>
                <w:szCs w:val="20"/>
              </w:rPr>
              <w:t>Model</w:t>
            </w:r>
          </w:p>
        </w:tc>
        <w:tc>
          <w:tcPr>
            <w:tcW w:w="1117" w:type="dxa"/>
            <w:tcBorders>
              <w:top w:val="single" w:sz="2" w:space="0" w:color="auto"/>
              <w:bottom w:val="single" w:sz="2" w:space="0" w:color="auto"/>
            </w:tcBorders>
            <w:shd w:val="clear" w:color="auto" w:fill="FFFFFF"/>
            <w:vAlign w:val="bottom"/>
          </w:tcPr>
          <w:p w14:paraId="724B7CE1" w14:textId="77777777" w:rsidR="00507C04" w:rsidRPr="00FE4CCD" w:rsidRDefault="00507C04" w:rsidP="00CE3C32">
            <w:pPr>
              <w:autoSpaceDE w:val="0"/>
              <w:autoSpaceDN w:val="0"/>
              <w:adjustRightInd w:val="0"/>
              <w:spacing w:line="276" w:lineRule="auto"/>
              <w:ind w:left="60" w:right="60"/>
              <w:jc w:val="center"/>
              <w:rPr>
                <w:color w:val="000000"/>
                <w:sz w:val="20"/>
                <w:szCs w:val="20"/>
              </w:rPr>
            </w:pPr>
            <w:r w:rsidRPr="00FE4CCD">
              <w:rPr>
                <w:color w:val="000000"/>
                <w:sz w:val="20"/>
                <w:szCs w:val="20"/>
              </w:rPr>
              <w:t>R</w:t>
            </w:r>
          </w:p>
        </w:tc>
        <w:tc>
          <w:tcPr>
            <w:tcW w:w="1239" w:type="dxa"/>
            <w:tcBorders>
              <w:top w:val="single" w:sz="2" w:space="0" w:color="auto"/>
              <w:bottom w:val="single" w:sz="2" w:space="0" w:color="auto"/>
            </w:tcBorders>
            <w:shd w:val="clear" w:color="auto" w:fill="FFFFFF"/>
            <w:vAlign w:val="bottom"/>
          </w:tcPr>
          <w:p w14:paraId="5502BAE0" w14:textId="77777777" w:rsidR="00507C04" w:rsidRPr="00FE4CCD" w:rsidRDefault="00507C04" w:rsidP="00CE3C32">
            <w:pPr>
              <w:autoSpaceDE w:val="0"/>
              <w:autoSpaceDN w:val="0"/>
              <w:adjustRightInd w:val="0"/>
              <w:spacing w:line="276" w:lineRule="auto"/>
              <w:ind w:left="60" w:right="60"/>
              <w:jc w:val="center"/>
              <w:rPr>
                <w:color w:val="000000"/>
                <w:sz w:val="20"/>
                <w:szCs w:val="20"/>
              </w:rPr>
            </w:pPr>
            <w:r w:rsidRPr="00FE4CCD">
              <w:rPr>
                <w:color w:val="000000"/>
                <w:sz w:val="20"/>
                <w:szCs w:val="20"/>
              </w:rPr>
              <w:t>R Square</w:t>
            </w:r>
          </w:p>
        </w:tc>
        <w:tc>
          <w:tcPr>
            <w:tcW w:w="1675" w:type="dxa"/>
            <w:tcBorders>
              <w:top w:val="single" w:sz="2" w:space="0" w:color="auto"/>
              <w:bottom w:val="single" w:sz="2" w:space="0" w:color="auto"/>
            </w:tcBorders>
            <w:shd w:val="clear" w:color="auto" w:fill="FFFFFF"/>
            <w:vAlign w:val="bottom"/>
          </w:tcPr>
          <w:p w14:paraId="64C7F605" w14:textId="77777777" w:rsidR="00507C04" w:rsidRPr="00FE4CCD" w:rsidRDefault="00507C04" w:rsidP="00CE3C32">
            <w:pPr>
              <w:autoSpaceDE w:val="0"/>
              <w:autoSpaceDN w:val="0"/>
              <w:adjustRightInd w:val="0"/>
              <w:spacing w:line="276" w:lineRule="auto"/>
              <w:ind w:left="60" w:right="60"/>
              <w:jc w:val="center"/>
              <w:rPr>
                <w:color w:val="000000"/>
                <w:sz w:val="20"/>
                <w:szCs w:val="20"/>
              </w:rPr>
            </w:pPr>
            <w:r w:rsidRPr="00FE4CCD">
              <w:rPr>
                <w:color w:val="000000"/>
                <w:sz w:val="20"/>
                <w:szCs w:val="20"/>
              </w:rPr>
              <w:t>Adjusted R Square</w:t>
            </w:r>
          </w:p>
        </w:tc>
        <w:tc>
          <w:tcPr>
            <w:tcW w:w="1675" w:type="dxa"/>
            <w:tcBorders>
              <w:top w:val="single" w:sz="2" w:space="0" w:color="auto"/>
              <w:bottom w:val="single" w:sz="2" w:space="0" w:color="auto"/>
            </w:tcBorders>
            <w:shd w:val="clear" w:color="auto" w:fill="FFFFFF"/>
            <w:vAlign w:val="bottom"/>
          </w:tcPr>
          <w:p w14:paraId="66360511" w14:textId="77777777" w:rsidR="00507C04" w:rsidRPr="00FE4CCD" w:rsidRDefault="00507C04" w:rsidP="00CE3C32">
            <w:pPr>
              <w:autoSpaceDE w:val="0"/>
              <w:autoSpaceDN w:val="0"/>
              <w:adjustRightInd w:val="0"/>
              <w:spacing w:line="276" w:lineRule="auto"/>
              <w:ind w:left="60" w:right="60"/>
              <w:jc w:val="center"/>
              <w:rPr>
                <w:color w:val="000000"/>
                <w:sz w:val="20"/>
                <w:szCs w:val="20"/>
              </w:rPr>
            </w:pPr>
            <w:r w:rsidRPr="00FE4CCD">
              <w:rPr>
                <w:color w:val="000000"/>
                <w:sz w:val="20"/>
                <w:szCs w:val="20"/>
              </w:rPr>
              <w:t>Std. Error of the Estimate</w:t>
            </w:r>
          </w:p>
        </w:tc>
        <w:tc>
          <w:tcPr>
            <w:tcW w:w="1526" w:type="dxa"/>
            <w:tcBorders>
              <w:top w:val="single" w:sz="2" w:space="0" w:color="auto"/>
              <w:bottom w:val="single" w:sz="2" w:space="0" w:color="auto"/>
            </w:tcBorders>
            <w:shd w:val="clear" w:color="auto" w:fill="FFFFFF"/>
            <w:vAlign w:val="bottom"/>
          </w:tcPr>
          <w:p w14:paraId="416D428E" w14:textId="77777777" w:rsidR="00507C04" w:rsidRPr="00FE4CCD" w:rsidRDefault="00507C04" w:rsidP="00CE3C32">
            <w:pPr>
              <w:autoSpaceDE w:val="0"/>
              <w:autoSpaceDN w:val="0"/>
              <w:adjustRightInd w:val="0"/>
              <w:spacing w:line="276" w:lineRule="auto"/>
              <w:ind w:left="60" w:right="60"/>
              <w:jc w:val="center"/>
              <w:rPr>
                <w:color w:val="000000"/>
                <w:sz w:val="20"/>
                <w:szCs w:val="20"/>
              </w:rPr>
            </w:pPr>
            <w:r w:rsidRPr="00FE4CCD">
              <w:rPr>
                <w:color w:val="000000"/>
                <w:sz w:val="20"/>
                <w:szCs w:val="20"/>
              </w:rPr>
              <w:t>Durbin-Watson</w:t>
            </w:r>
          </w:p>
        </w:tc>
      </w:tr>
      <w:tr w:rsidR="00FE4CCD" w:rsidRPr="00FE4CCD" w14:paraId="01B84B03" w14:textId="77777777" w:rsidTr="00FE4CCD">
        <w:trPr>
          <w:cantSplit/>
          <w:trHeight w:val="194"/>
          <w:jc w:val="center"/>
        </w:trPr>
        <w:tc>
          <w:tcPr>
            <w:tcW w:w="904" w:type="dxa"/>
            <w:tcBorders>
              <w:top w:val="single" w:sz="2" w:space="0" w:color="auto"/>
              <w:bottom w:val="single" w:sz="2" w:space="0" w:color="auto"/>
            </w:tcBorders>
            <w:shd w:val="clear" w:color="auto" w:fill="FFFFFF"/>
          </w:tcPr>
          <w:p w14:paraId="4C8A662D" w14:textId="77777777" w:rsidR="00507C04" w:rsidRPr="00FE4CCD" w:rsidRDefault="00507C04" w:rsidP="00CE3C32">
            <w:pPr>
              <w:autoSpaceDE w:val="0"/>
              <w:autoSpaceDN w:val="0"/>
              <w:adjustRightInd w:val="0"/>
              <w:spacing w:line="276" w:lineRule="auto"/>
              <w:ind w:left="60" w:right="60"/>
              <w:rPr>
                <w:color w:val="000000"/>
                <w:sz w:val="20"/>
                <w:szCs w:val="20"/>
              </w:rPr>
            </w:pPr>
            <w:r w:rsidRPr="00FE4CCD">
              <w:rPr>
                <w:color w:val="000000"/>
                <w:sz w:val="20"/>
                <w:szCs w:val="20"/>
              </w:rPr>
              <w:t>1</w:t>
            </w:r>
          </w:p>
        </w:tc>
        <w:tc>
          <w:tcPr>
            <w:tcW w:w="1117" w:type="dxa"/>
            <w:tcBorders>
              <w:top w:val="single" w:sz="2" w:space="0" w:color="auto"/>
              <w:bottom w:val="single" w:sz="2" w:space="0" w:color="auto"/>
            </w:tcBorders>
            <w:shd w:val="clear" w:color="auto" w:fill="FFFFFF"/>
            <w:vAlign w:val="center"/>
          </w:tcPr>
          <w:p w14:paraId="747EADE7" w14:textId="77777777" w:rsidR="00507C04" w:rsidRPr="00FE4CCD" w:rsidRDefault="00507C04" w:rsidP="00CE3C32">
            <w:pPr>
              <w:autoSpaceDE w:val="0"/>
              <w:autoSpaceDN w:val="0"/>
              <w:adjustRightInd w:val="0"/>
              <w:spacing w:line="276" w:lineRule="auto"/>
              <w:ind w:left="60" w:right="60"/>
              <w:jc w:val="right"/>
              <w:rPr>
                <w:color w:val="000000"/>
                <w:sz w:val="20"/>
                <w:szCs w:val="20"/>
              </w:rPr>
            </w:pPr>
            <w:r w:rsidRPr="00FE4CCD">
              <w:rPr>
                <w:color w:val="000000"/>
                <w:sz w:val="20"/>
                <w:szCs w:val="20"/>
              </w:rPr>
              <w:t>.819</w:t>
            </w:r>
            <w:r w:rsidRPr="00FE4CCD">
              <w:rPr>
                <w:color w:val="000000"/>
                <w:sz w:val="20"/>
                <w:szCs w:val="20"/>
                <w:vertAlign w:val="superscript"/>
              </w:rPr>
              <w:t>a</w:t>
            </w:r>
          </w:p>
        </w:tc>
        <w:tc>
          <w:tcPr>
            <w:tcW w:w="1239" w:type="dxa"/>
            <w:tcBorders>
              <w:top w:val="single" w:sz="2" w:space="0" w:color="auto"/>
              <w:bottom w:val="single" w:sz="2" w:space="0" w:color="auto"/>
            </w:tcBorders>
            <w:shd w:val="clear" w:color="auto" w:fill="FFFFFF"/>
            <w:vAlign w:val="center"/>
          </w:tcPr>
          <w:p w14:paraId="3AE263CA" w14:textId="77777777" w:rsidR="00507C04" w:rsidRPr="00FE4CCD" w:rsidRDefault="00507C04" w:rsidP="00CE3C32">
            <w:pPr>
              <w:autoSpaceDE w:val="0"/>
              <w:autoSpaceDN w:val="0"/>
              <w:adjustRightInd w:val="0"/>
              <w:spacing w:line="276" w:lineRule="auto"/>
              <w:ind w:left="60" w:right="60"/>
              <w:jc w:val="right"/>
              <w:rPr>
                <w:color w:val="000000"/>
                <w:sz w:val="20"/>
                <w:szCs w:val="20"/>
              </w:rPr>
            </w:pPr>
            <w:r w:rsidRPr="00FE4CCD">
              <w:rPr>
                <w:color w:val="000000"/>
                <w:sz w:val="20"/>
                <w:szCs w:val="20"/>
              </w:rPr>
              <w:t>.671</w:t>
            </w:r>
          </w:p>
        </w:tc>
        <w:tc>
          <w:tcPr>
            <w:tcW w:w="1675" w:type="dxa"/>
            <w:tcBorders>
              <w:top w:val="single" w:sz="2" w:space="0" w:color="auto"/>
              <w:bottom w:val="single" w:sz="2" w:space="0" w:color="auto"/>
            </w:tcBorders>
            <w:shd w:val="clear" w:color="auto" w:fill="FFFFFF"/>
            <w:vAlign w:val="center"/>
          </w:tcPr>
          <w:p w14:paraId="1A1B1361" w14:textId="77777777" w:rsidR="00507C04" w:rsidRPr="00FE4CCD" w:rsidRDefault="00507C04" w:rsidP="00CE3C32">
            <w:pPr>
              <w:autoSpaceDE w:val="0"/>
              <w:autoSpaceDN w:val="0"/>
              <w:adjustRightInd w:val="0"/>
              <w:spacing w:line="276" w:lineRule="auto"/>
              <w:ind w:left="60" w:right="60"/>
              <w:jc w:val="right"/>
              <w:rPr>
                <w:color w:val="000000"/>
                <w:sz w:val="20"/>
                <w:szCs w:val="20"/>
              </w:rPr>
            </w:pPr>
            <w:r w:rsidRPr="00FE4CCD">
              <w:rPr>
                <w:color w:val="000000"/>
                <w:sz w:val="20"/>
                <w:szCs w:val="20"/>
              </w:rPr>
              <w:t>.669</w:t>
            </w:r>
          </w:p>
        </w:tc>
        <w:tc>
          <w:tcPr>
            <w:tcW w:w="1675" w:type="dxa"/>
            <w:tcBorders>
              <w:top w:val="single" w:sz="2" w:space="0" w:color="auto"/>
              <w:bottom w:val="single" w:sz="2" w:space="0" w:color="auto"/>
            </w:tcBorders>
            <w:shd w:val="clear" w:color="auto" w:fill="FFFFFF"/>
            <w:vAlign w:val="center"/>
          </w:tcPr>
          <w:p w14:paraId="1BC31F4C" w14:textId="77777777" w:rsidR="00507C04" w:rsidRPr="00FE4CCD" w:rsidRDefault="00507C04" w:rsidP="00CE3C32">
            <w:pPr>
              <w:autoSpaceDE w:val="0"/>
              <w:autoSpaceDN w:val="0"/>
              <w:adjustRightInd w:val="0"/>
              <w:spacing w:line="276" w:lineRule="auto"/>
              <w:ind w:left="60" w:right="60"/>
              <w:jc w:val="right"/>
              <w:rPr>
                <w:color w:val="000000"/>
                <w:sz w:val="20"/>
                <w:szCs w:val="20"/>
              </w:rPr>
            </w:pPr>
            <w:r w:rsidRPr="00FE4CCD">
              <w:rPr>
                <w:color w:val="000000"/>
                <w:sz w:val="20"/>
                <w:szCs w:val="20"/>
              </w:rPr>
              <w:t>3.22708</w:t>
            </w:r>
          </w:p>
        </w:tc>
        <w:tc>
          <w:tcPr>
            <w:tcW w:w="1526" w:type="dxa"/>
            <w:tcBorders>
              <w:top w:val="single" w:sz="2" w:space="0" w:color="auto"/>
              <w:bottom w:val="single" w:sz="2" w:space="0" w:color="auto"/>
            </w:tcBorders>
            <w:shd w:val="clear" w:color="auto" w:fill="FFFFFF"/>
            <w:vAlign w:val="center"/>
          </w:tcPr>
          <w:p w14:paraId="27945CC9" w14:textId="77777777" w:rsidR="00507C04" w:rsidRPr="00FE4CCD" w:rsidRDefault="00507C04" w:rsidP="00CE3C32">
            <w:pPr>
              <w:autoSpaceDE w:val="0"/>
              <w:autoSpaceDN w:val="0"/>
              <w:adjustRightInd w:val="0"/>
              <w:spacing w:line="276" w:lineRule="auto"/>
              <w:ind w:left="60" w:right="60"/>
              <w:jc w:val="right"/>
              <w:rPr>
                <w:color w:val="000000"/>
                <w:sz w:val="20"/>
                <w:szCs w:val="20"/>
              </w:rPr>
            </w:pPr>
            <w:r w:rsidRPr="00FE4CCD">
              <w:rPr>
                <w:color w:val="000000"/>
                <w:sz w:val="20"/>
                <w:szCs w:val="20"/>
              </w:rPr>
              <w:t>1.990</w:t>
            </w:r>
          </w:p>
        </w:tc>
      </w:tr>
      <w:tr w:rsidR="00507C04" w:rsidRPr="00FE4CCD" w14:paraId="41517555" w14:textId="77777777" w:rsidTr="00FE4CCD">
        <w:trPr>
          <w:cantSplit/>
          <w:trHeight w:val="202"/>
          <w:jc w:val="center"/>
        </w:trPr>
        <w:tc>
          <w:tcPr>
            <w:tcW w:w="8137" w:type="dxa"/>
            <w:gridSpan w:val="6"/>
            <w:tcBorders>
              <w:top w:val="single" w:sz="2" w:space="0" w:color="auto"/>
              <w:bottom w:val="nil"/>
            </w:tcBorders>
            <w:shd w:val="clear" w:color="auto" w:fill="FFFFFF"/>
          </w:tcPr>
          <w:p w14:paraId="16226A37" w14:textId="48AB4CCD" w:rsidR="00507C04" w:rsidRPr="00FE4CCD" w:rsidRDefault="00507C04" w:rsidP="00CE3C32">
            <w:pPr>
              <w:autoSpaceDE w:val="0"/>
              <w:autoSpaceDN w:val="0"/>
              <w:adjustRightInd w:val="0"/>
              <w:spacing w:line="276" w:lineRule="auto"/>
              <w:ind w:left="60" w:right="60"/>
              <w:rPr>
                <w:color w:val="000000"/>
                <w:sz w:val="20"/>
                <w:szCs w:val="20"/>
              </w:rPr>
            </w:pPr>
            <w:r w:rsidRPr="00FE4CCD">
              <w:rPr>
                <w:color w:val="000000"/>
                <w:sz w:val="20"/>
                <w:szCs w:val="20"/>
              </w:rPr>
              <w:t>a. Predictors: (Constant), LNTA , MVAIC</w:t>
            </w:r>
          </w:p>
        </w:tc>
      </w:tr>
      <w:tr w:rsidR="00507C04" w:rsidRPr="00FE4CCD" w14:paraId="754BB676" w14:textId="77777777" w:rsidTr="00FE4CCD">
        <w:trPr>
          <w:cantSplit/>
          <w:trHeight w:val="361"/>
          <w:jc w:val="center"/>
        </w:trPr>
        <w:tc>
          <w:tcPr>
            <w:tcW w:w="8137" w:type="dxa"/>
            <w:gridSpan w:val="6"/>
            <w:tcBorders>
              <w:top w:val="nil"/>
              <w:left w:val="nil"/>
              <w:bottom w:val="nil"/>
              <w:right w:val="nil"/>
            </w:tcBorders>
            <w:shd w:val="clear" w:color="auto" w:fill="FFFFFF"/>
          </w:tcPr>
          <w:p w14:paraId="21F72B90" w14:textId="77777777" w:rsidR="00507C04" w:rsidRPr="00FE4CCD" w:rsidRDefault="00507C04" w:rsidP="00FE4CCD">
            <w:pPr>
              <w:autoSpaceDE w:val="0"/>
              <w:autoSpaceDN w:val="0"/>
              <w:adjustRightInd w:val="0"/>
              <w:spacing w:line="240" w:lineRule="auto"/>
              <w:ind w:left="62" w:right="62"/>
              <w:rPr>
                <w:color w:val="000000"/>
                <w:sz w:val="20"/>
                <w:szCs w:val="20"/>
              </w:rPr>
            </w:pPr>
            <w:r w:rsidRPr="00FE4CCD">
              <w:rPr>
                <w:color w:val="000000"/>
                <w:sz w:val="20"/>
                <w:szCs w:val="20"/>
              </w:rPr>
              <w:t>b. Dependent Variable: ROA</w:t>
            </w:r>
          </w:p>
          <w:p w14:paraId="76A3644C" w14:textId="7D14CC86" w:rsidR="00FE4CCD" w:rsidRPr="00FE4CCD" w:rsidRDefault="00FE4CCD" w:rsidP="00FE4CCD">
            <w:pPr>
              <w:autoSpaceDE w:val="0"/>
              <w:autoSpaceDN w:val="0"/>
              <w:adjustRightInd w:val="0"/>
              <w:spacing w:line="276" w:lineRule="auto"/>
              <w:ind w:left="60" w:right="60"/>
              <w:rPr>
                <w:color w:val="000000"/>
                <w:sz w:val="20"/>
                <w:szCs w:val="20"/>
              </w:rPr>
            </w:pPr>
          </w:p>
        </w:tc>
      </w:tr>
    </w:tbl>
    <w:p w14:paraId="3C305EE5" w14:textId="69F31A1C" w:rsidR="00507C04" w:rsidRPr="00D406DC" w:rsidRDefault="00D406DC" w:rsidP="00FE4CCD">
      <w:pPr>
        <w:spacing w:line="240" w:lineRule="auto"/>
        <w:ind w:right="-142"/>
        <w:rPr>
          <w:sz w:val="22"/>
        </w:rPr>
      </w:pPr>
      <w:r>
        <w:rPr>
          <w:sz w:val="22"/>
        </w:rPr>
        <w:tab/>
        <w:t xml:space="preserve">  </w:t>
      </w:r>
      <w:r w:rsidRPr="00D406DC">
        <w:rPr>
          <w:sz w:val="22"/>
        </w:rPr>
        <w:t xml:space="preserve">In Table 7. above it can be seen that the R-square is 0.671 which is known as the coefficient of determination (KD). Through the value of the coefficient of determination it can be seen that </w:t>
      </w:r>
      <w:r w:rsidRPr="00D406DC">
        <w:rPr>
          <w:iCs/>
          <w:sz w:val="22"/>
        </w:rPr>
        <w:t>intellectual capital</w:t>
      </w:r>
      <w:r w:rsidRPr="00D406DC">
        <w:rPr>
          <w:sz w:val="22"/>
        </w:rPr>
        <w:t xml:space="preserve"> and firm size simultaneously have an influence of 67.1% on the profitability of sector </w:t>
      </w:r>
      <w:proofErr w:type="gramStart"/>
      <w:r w:rsidRPr="00D406DC">
        <w:rPr>
          <w:sz w:val="22"/>
        </w:rPr>
        <w:t>companies</w:t>
      </w:r>
      <w:proofErr w:type="gramEnd"/>
      <w:r w:rsidRPr="00D406DC">
        <w:rPr>
          <w:sz w:val="22"/>
        </w:rPr>
        <w:t xml:space="preserve"> </w:t>
      </w:r>
      <w:r w:rsidRPr="00D406DC">
        <w:rPr>
          <w:iCs/>
          <w:sz w:val="22"/>
        </w:rPr>
        <w:t>property</w:t>
      </w:r>
      <w:r w:rsidRPr="00D406DC">
        <w:rPr>
          <w:sz w:val="22"/>
        </w:rPr>
        <w:t xml:space="preserve"> and </w:t>
      </w:r>
      <w:r w:rsidRPr="00D406DC">
        <w:rPr>
          <w:iCs/>
          <w:sz w:val="22"/>
        </w:rPr>
        <w:t>real estate</w:t>
      </w:r>
      <w:r w:rsidRPr="00D406DC">
        <w:rPr>
          <w:sz w:val="22"/>
        </w:rPr>
        <w:t xml:space="preserve"> which are listed on the Indonesia Stock Exchange. While the remaining 32.9% is the influence of other factors outside </w:t>
      </w:r>
      <w:r w:rsidRPr="00D406DC">
        <w:rPr>
          <w:iCs/>
          <w:sz w:val="22"/>
        </w:rPr>
        <w:t>intellectual capital</w:t>
      </w:r>
      <w:r w:rsidRPr="00D406DC">
        <w:rPr>
          <w:sz w:val="22"/>
        </w:rPr>
        <w:t xml:space="preserve"> and firm size.</w:t>
      </w:r>
    </w:p>
    <w:p w14:paraId="46D1D159" w14:textId="236C34AF" w:rsidR="002947F5" w:rsidRPr="008F2EE3" w:rsidRDefault="009E42A2" w:rsidP="0013091B">
      <w:pPr>
        <w:spacing w:line="240" w:lineRule="auto"/>
        <w:ind w:right="-142"/>
        <w:jc w:val="center"/>
        <w:rPr>
          <w:b/>
          <w:sz w:val="22"/>
        </w:rPr>
      </w:pPr>
      <w:r w:rsidRPr="008F2EE3">
        <w:rPr>
          <w:b/>
          <w:sz w:val="22"/>
        </w:rPr>
        <w:t>DISCUSSION</w:t>
      </w:r>
    </w:p>
    <w:p w14:paraId="092DD866" w14:textId="77777777" w:rsidR="002947F5" w:rsidRPr="008F2EE3" w:rsidRDefault="002947F5" w:rsidP="0013091B">
      <w:pPr>
        <w:spacing w:line="240" w:lineRule="auto"/>
        <w:ind w:right="-142"/>
        <w:jc w:val="center"/>
        <w:rPr>
          <w:b/>
          <w:sz w:val="22"/>
        </w:rPr>
      </w:pPr>
    </w:p>
    <w:p w14:paraId="3B16EAF2" w14:textId="45D6FE44" w:rsidR="009E5C6D" w:rsidRPr="00D406DC" w:rsidRDefault="00D406DC" w:rsidP="009E5C6D">
      <w:pPr>
        <w:spacing w:line="240" w:lineRule="auto"/>
        <w:ind w:right="-142" w:firstLine="720"/>
        <w:rPr>
          <w:sz w:val="22"/>
        </w:rPr>
      </w:pPr>
      <w:r w:rsidRPr="00D406DC">
        <w:rPr>
          <w:sz w:val="22"/>
        </w:rPr>
        <w:t xml:space="preserve">The results obtained from the comparison of variables </w:t>
      </w:r>
      <w:r w:rsidRPr="00D406DC">
        <w:rPr>
          <w:iCs/>
          <w:sz w:val="22"/>
        </w:rPr>
        <w:t xml:space="preserve">intellectual </w:t>
      </w:r>
      <w:proofErr w:type="gramStart"/>
      <w:r w:rsidRPr="00D406DC">
        <w:rPr>
          <w:iCs/>
          <w:sz w:val="22"/>
        </w:rPr>
        <w:t>capital</w:t>
      </w:r>
      <w:r w:rsidR="009408C7">
        <w:rPr>
          <w:sz w:val="22"/>
        </w:rPr>
        <w:t xml:space="preserve">  </w:t>
      </w:r>
      <w:proofErr w:type="spellStart"/>
      <w:r w:rsidR="009408C7">
        <w:rPr>
          <w:sz w:val="22"/>
        </w:rPr>
        <w:t>t</w:t>
      </w:r>
      <w:r w:rsidR="00F82AC7">
        <w:rPr>
          <w:sz w:val="22"/>
          <w:vertAlign w:val="subscript"/>
        </w:rPr>
        <w:t>arithmetic</w:t>
      </w:r>
      <w:proofErr w:type="spellEnd"/>
      <w:proofErr w:type="gramEnd"/>
      <w:r w:rsidRPr="00D406DC">
        <w:rPr>
          <w:sz w:val="22"/>
        </w:rPr>
        <w:t xml:space="preserve"> with </w:t>
      </w:r>
      <w:proofErr w:type="spellStart"/>
      <w:r w:rsidRPr="009408C7">
        <w:rPr>
          <w:sz w:val="22"/>
        </w:rPr>
        <w:t>t</w:t>
      </w:r>
      <w:r w:rsidRPr="009408C7">
        <w:rPr>
          <w:sz w:val="22"/>
          <w:vertAlign w:val="subscript"/>
        </w:rPr>
        <w:t>table</w:t>
      </w:r>
      <w:proofErr w:type="spellEnd"/>
      <w:r w:rsidR="009408C7">
        <w:rPr>
          <w:sz w:val="22"/>
        </w:rPr>
        <w:t xml:space="preserve"> </w:t>
      </w:r>
      <w:r w:rsidRPr="009408C7">
        <w:rPr>
          <w:sz w:val="22"/>
        </w:rPr>
        <w:t>is</w:t>
      </w:r>
      <w:r w:rsidRPr="00D406DC">
        <w:rPr>
          <w:sz w:val="22"/>
        </w:rPr>
        <w:t xml:space="preserve"> </w:t>
      </w:r>
      <w:proofErr w:type="spellStart"/>
      <w:r w:rsidRPr="00D406DC">
        <w:rPr>
          <w:sz w:val="22"/>
        </w:rPr>
        <w:t>t</w:t>
      </w:r>
      <w:r w:rsidR="00F82AC7">
        <w:rPr>
          <w:sz w:val="22"/>
          <w:vertAlign w:val="subscript"/>
        </w:rPr>
        <w:t>arithmetic</w:t>
      </w:r>
      <w:proofErr w:type="spellEnd"/>
      <w:r w:rsidR="009408C7">
        <w:rPr>
          <w:sz w:val="22"/>
          <w:vertAlign w:val="subscript"/>
        </w:rPr>
        <w:t xml:space="preserve"> </w:t>
      </w:r>
      <w:r w:rsidRPr="00D406DC">
        <w:rPr>
          <w:sz w:val="22"/>
        </w:rPr>
        <w:t xml:space="preserve">bigger than </w:t>
      </w:r>
      <w:proofErr w:type="spellStart"/>
      <w:r w:rsidRPr="00D406DC">
        <w:rPr>
          <w:sz w:val="22"/>
        </w:rPr>
        <w:t>t</w:t>
      </w:r>
      <w:r w:rsidRPr="00D406DC">
        <w:rPr>
          <w:sz w:val="22"/>
          <w:vertAlign w:val="subscript"/>
        </w:rPr>
        <w:t>table</w:t>
      </w:r>
      <w:proofErr w:type="spellEnd"/>
      <w:r w:rsidRPr="00D406DC">
        <w:rPr>
          <w:sz w:val="22"/>
        </w:rPr>
        <w:t xml:space="preserve"> (24.593 &gt; 1.968) and the significance value is less than 0.05, so that at the 5% error level it was decided to reject H</w:t>
      </w:r>
      <w:r w:rsidRPr="009408C7">
        <w:rPr>
          <w:sz w:val="22"/>
          <w:vertAlign w:val="subscript"/>
        </w:rPr>
        <w:t>o</w:t>
      </w:r>
      <w:r w:rsidRPr="00D406DC">
        <w:rPr>
          <w:sz w:val="22"/>
        </w:rPr>
        <w:t xml:space="preserve"> so that H</w:t>
      </w:r>
      <w:r w:rsidRPr="009408C7">
        <w:rPr>
          <w:sz w:val="22"/>
          <w:vertAlign w:val="subscript"/>
        </w:rPr>
        <w:t>a</w:t>
      </w:r>
      <w:r w:rsidRPr="00D406DC">
        <w:rPr>
          <w:sz w:val="22"/>
        </w:rPr>
        <w:t xml:space="preserve"> was accepted. Thus it can be concluded that </w:t>
      </w:r>
      <w:r w:rsidRPr="00D406DC">
        <w:rPr>
          <w:iCs/>
          <w:sz w:val="22"/>
        </w:rPr>
        <w:t>intellectual capital</w:t>
      </w:r>
      <w:r w:rsidRPr="00D406DC">
        <w:rPr>
          <w:sz w:val="22"/>
        </w:rPr>
        <w:t xml:space="preserve"> effect on profitability in the corporate sector </w:t>
      </w:r>
      <w:r w:rsidRPr="00D406DC">
        <w:rPr>
          <w:iCs/>
          <w:sz w:val="22"/>
        </w:rPr>
        <w:t>property</w:t>
      </w:r>
      <w:r w:rsidRPr="00D406DC">
        <w:rPr>
          <w:sz w:val="22"/>
        </w:rPr>
        <w:t xml:space="preserve"> and </w:t>
      </w:r>
      <w:r w:rsidRPr="00D406DC">
        <w:rPr>
          <w:iCs/>
          <w:sz w:val="22"/>
        </w:rPr>
        <w:t>real estate</w:t>
      </w:r>
      <w:r w:rsidRPr="00D406DC">
        <w:rPr>
          <w:sz w:val="22"/>
        </w:rPr>
        <w:t xml:space="preserve"> which are listed on the Indonesia Stock Exchange. </w:t>
      </w:r>
      <w:r w:rsidRPr="00D406DC">
        <w:rPr>
          <w:iCs/>
          <w:sz w:val="22"/>
        </w:rPr>
        <w:t>Intellectual capital</w:t>
      </w:r>
      <w:r w:rsidRPr="00D406DC">
        <w:rPr>
          <w:sz w:val="22"/>
        </w:rPr>
        <w:t xml:space="preserve"> is a combination of intangible assets in the form of intellectual property, knowledge, information, experience and others, which if properly </w:t>
      </w:r>
      <w:r w:rsidRPr="00D406DC">
        <w:rPr>
          <w:sz w:val="22"/>
        </w:rPr>
        <w:lastRenderedPageBreak/>
        <w:t xml:space="preserve">utilized can increase the company's profits and competitiveness, with the efficient use of a combination of tangible assets and intangible assets it is hoped that it can help the company's productivity so that it can improve the company's financial performance, especially in generating profits / profits. The results of this study are consistent with the theory expressed by Cahyani et al (2015) </w:t>
      </w:r>
      <w:r w:rsidRPr="00D406DC">
        <w:rPr>
          <w:iCs/>
          <w:sz w:val="22"/>
        </w:rPr>
        <w:t>Intellectual capital</w:t>
      </w:r>
      <w:r w:rsidRPr="00D406DC">
        <w:rPr>
          <w:sz w:val="22"/>
        </w:rPr>
        <w:t xml:space="preserve"> is part of the intangible assets that play an important role in increasing the competitiveness of companies and can also be used effectively by management to increase company profitability. According to </w:t>
      </w:r>
      <w:proofErr w:type="spellStart"/>
      <w:r w:rsidRPr="00D406DC">
        <w:rPr>
          <w:sz w:val="22"/>
        </w:rPr>
        <w:t>Martiningsih</w:t>
      </w:r>
      <w:proofErr w:type="spellEnd"/>
      <w:r w:rsidRPr="00D406DC">
        <w:rPr>
          <w:sz w:val="22"/>
        </w:rPr>
        <w:t xml:space="preserve">, Sri </w:t>
      </w:r>
      <w:proofErr w:type="spellStart"/>
      <w:r w:rsidRPr="00D406DC">
        <w:rPr>
          <w:sz w:val="22"/>
        </w:rPr>
        <w:t>Wulandari</w:t>
      </w:r>
      <w:proofErr w:type="spellEnd"/>
      <w:r w:rsidRPr="00D406DC">
        <w:rPr>
          <w:sz w:val="22"/>
        </w:rPr>
        <w:t xml:space="preserve"> and </w:t>
      </w:r>
      <w:proofErr w:type="spellStart"/>
      <w:r w:rsidRPr="00D406DC">
        <w:rPr>
          <w:sz w:val="22"/>
        </w:rPr>
        <w:t>Yuliandhari</w:t>
      </w:r>
      <w:proofErr w:type="spellEnd"/>
      <w:r w:rsidRPr="00D406DC">
        <w:rPr>
          <w:sz w:val="22"/>
        </w:rPr>
        <w:t xml:space="preserve"> (2018) that companies that can use intellectual capital effectively can increase their profitability. Siniša Radić (2018) that intellectual capital has a positive and significant effect on profitability as measured by ROA. </w:t>
      </w:r>
      <w:proofErr w:type="spellStart"/>
      <w:r w:rsidRPr="00D406DC">
        <w:rPr>
          <w:sz w:val="22"/>
        </w:rPr>
        <w:t>Rashedul</w:t>
      </w:r>
      <w:proofErr w:type="spellEnd"/>
      <w:r w:rsidRPr="00D406DC">
        <w:rPr>
          <w:sz w:val="22"/>
        </w:rPr>
        <w:t xml:space="preserve"> Hasan et al. (2017) that intellectual capital influences profitability.</w:t>
      </w:r>
    </w:p>
    <w:p w14:paraId="7CFF23F8" w14:textId="77FF6F36" w:rsidR="009E5C6D" w:rsidRPr="00D406DC" w:rsidRDefault="009E5C6D" w:rsidP="009E5C6D">
      <w:pPr>
        <w:spacing w:line="240" w:lineRule="auto"/>
        <w:ind w:right="-142"/>
        <w:rPr>
          <w:sz w:val="22"/>
        </w:rPr>
      </w:pPr>
      <w:r w:rsidRPr="00D406DC">
        <w:rPr>
          <w:sz w:val="22"/>
        </w:rPr>
        <w:tab/>
      </w:r>
      <w:r w:rsidR="00D406DC" w:rsidRPr="00D406DC">
        <w:rPr>
          <w:sz w:val="22"/>
        </w:rPr>
        <w:t xml:space="preserve">The results obtained from the comparison of firm size variables </w:t>
      </w:r>
      <w:proofErr w:type="spellStart"/>
      <w:r w:rsidR="00D406DC" w:rsidRPr="00D406DC">
        <w:rPr>
          <w:sz w:val="22"/>
        </w:rPr>
        <w:t>t</w:t>
      </w:r>
      <w:r w:rsidR="00F82AC7">
        <w:rPr>
          <w:sz w:val="22"/>
          <w:vertAlign w:val="subscript"/>
        </w:rPr>
        <w:t>arithmetic</w:t>
      </w:r>
      <w:proofErr w:type="spellEnd"/>
      <w:r w:rsidR="00D406DC" w:rsidRPr="00D406DC">
        <w:rPr>
          <w:sz w:val="22"/>
        </w:rPr>
        <w:t xml:space="preserve"> with </w:t>
      </w:r>
      <w:proofErr w:type="spellStart"/>
      <w:r w:rsidR="00D406DC" w:rsidRPr="00D406DC">
        <w:rPr>
          <w:sz w:val="22"/>
        </w:rPr>
        <w:t>t</w:t>
      </w:r>
      <w:r w:rsidR="00D406DC" w:rsidRPr="00D406DC">
        <w:rPr>
          <w:sz w:val="22"/>
          <w:vertAlign w:val="subscript"/>
        </w:rPr>
        <w:t>table</w:t>
      </w:r>
      <w:r w:rsidR="00D406DC" w:rsidRPr="00D406DC">
        <w:rPr>
          <w:sz w:val="22"/>
        </w:rPr>
        <w:t>is</w:t>
      </w:r>
      <w:proofErr w:type="spellEnd"/>
      <w:r w:rsidR="00D406DC" w:rsidRPr="00D406DC">
        <w:rPr>
          <w:sz w:val="22"/>
        </w:rPr>
        <w:t xml:space="preserve"> </w:t>
      </w:r>
      <w:proofErr w:type="spellStart"/>
      <w:r w:rsidR="00D406DC" w:rsidRPr="00D406DC">
        <w:rPr>
          <w:sz w:val="22"/>
        </w:rPr>
        <w:t>t</w:t>
      </w:r>
      <w:r w:rsidR="00F82AC7">
        <w:rPr>
          <w:sz w:val="22"/>
          <w:vertAlign w:val="subscript"/>
        </w:rPr>
        <w:t>arithmetic</w:t>
      </w:r>
      <w:r w:rsidR="00D406DC" w:rsidRPr="00D406DC">
        <w:rPr>
          <w:sz w:val="22"/>
        </w:rPr>
        <w:t>is</w:t>
      </w:r>
      <w:proofErr w:type="spellEnd"/>
      <w:r w:rsidR="00D406DC" w:rsidRPr="00D406DC">
        <w:rPr>
          <w:sz w:val="22"/>
        </w:rPr>
        <w:t xml:space="preserve"> between negative and positive </w:t>
      </w:r>
      <w:proofErr w:type="spellStart"/>
      <w:r w:rsidR="00D406DC" w:rsidRPr="00D406DC">
        <w:rPr>
          <w:sz w:val="22"/>
        </w:rPr>
        <w:t>t</w:t>
      </w:r>
      <w:r w:rsidR="00D406DC" w:rsidRPr="00D406DC">
        <w:rPr>
          <w:sz w:val="22"/>
          <w:vertAlign w:val="subscript"/>
        </w:rPr>
        <w:t>table</w:t>
      </w:r>
      <w:proofErr w:type="spellEnd"/>
      <w:r w:rsidR="00D406DC" w:rsidRPr="00D406DC">
        <w:rPr>
          <w:sz w:val="22"/>
        </w:rPr>
        <w:t xml:space="preserve"> (-1.968 ≤ 1.106 ≤ 1.968) and the significance value is greater than 0.05, so that at the 5% error level it is decided to accept H</w:t>
      </w:r>
      <w:r w:rsidR="00D406DC" w:rsidRPr="009408C7">
        <w:rPr>
          <w:sz w:val="22"/>
          <w:vertAlign w:val="subscript"/>
        </w:rPr>
        <w:t>o</w:t>
      </w:r>
      <w:r w:rsidR="00D406DC" w:rsidRPr="00D406DC">
        <w:rPr>
          <w:sz w:val="22"/>
        </w:rPr>
        <w:t xml:space="preserve"> so that H</w:t>
      </w:r>
      <w:r w:rsidR="00D406DC" w:rsidRPr="009408C7">
        <w:rPr>
          <w:sz w:val="22"/>
          <w:vertAlign w:val="subscript"/>
        </w:rPr>
        <w:t>a</w:t>
      </w:r>
      <w:r w:rsidR="00D406DC" w:rsidRPr="00D406DC">
        <w:rPr>
          <w:sz w:val="22"/>
        </w:rPr>
        <w:t xml:space="preserve"> is rejected. </w:t>
      </w:r>
      <w:proofErr w:type="gramStart"/>
      <w:r w:rsidR="00D406DC" w:rsidRPr="00D406DC">
        <w:rPr>
          <w:sz w:val="22"/>
        </w:rPr>
        <w:t>Thus</w:t>
      </w:r>
      <w:proofErr w:type="gramEnd"/>
      <w:r w:rsidR="00D406DC" w:rsidRPr="00D406DC">
        <w:rPr>
          <w:sz w:val="22"/>
        </w:rPr>
        <w:t xml:space="preserve"> it can be concluded that firm size has no effect on profitability in sector companies </w:t>
      </w:r>
      <w:r w:rsidR="00D406DC" w:rsidRPr="00D406DC">
        <w:rPr>
          <w:iCs/>
          <w:sz w:val="22"/>
        </w:rPr>
        <w:t>property</w:t>
      </w:r>
      <w:r w:rsidR="00D406DC" w:rsidRPr="00D406DC">
        <w:rPr>
          <w:sz w:val="22"/>
        </w:rPr>
        <w:t xml:space="preserve"> and </w:t>
      </w:r>
      <w:r w:rsidR="00D406DC" w:rsidRPr="00D406DC">
        <w:rPr>
          <w:iCs/>
          <w:sz w:val="22"/>
        </w:rPr>
        <w:t>real estate</w:t>
      </w:r>
      <w:r w:rsidR="00D406DC" w:rsidRPr="00D406DC">
        <w:rPr>
          <w:sz w:val="22"/>
        </w:rPr>
        <w:t xml:space="preserve"> which are listed on the Indonesia Stock Exchange. The results of this study are consistent with the research of Putra and </w:t>
      </w:r>
      <w:proofErr w:type="spellStart"/>
      <w:r w:rsidR="00D406DC" w:rsidRPr="00D406DC">
        <w:rPr>
          <w:sz w:val="22"/>
        </w:rPr>
        <w:t>Badjra</w:t>
      </w:r>
      <w:proofErr w:type="spellEnd"/>
      <w:r w:rsidR="00D406DC" w:rsidRPr="00D406DC">
        <w:rPr>
          <w:sz w:val="22"/>
        </w:rPr>
        <w:t xml:space="preserve"> (2015) that firm size is not the main factor that can affect profitability, because the larger the size of a company, the company will require greater costs to carry out its operational activities so that it will reduce company profitability. Sari and </w:t>
      </w:r>
      <w:proofErr w:type="spellStart"/>
      <w:r w:rsidR="00D406DC" w:rsidRPr="00D406DC">
        <w:rPr>
          <w:sz w:val="22"/>
        </w:rPr>
        <w:t>Budiasih</w:t>
      </w:r>
      <w:proofErr w:type="spellEnd"/>
      <w:r w:rsidR="00D406DC" w:rsidRPr="00D406DC">
        <w:rPr>
          <w:sz w:val="22"/>
        </w:rPr>
        <w:t xml:space="preserve"> (2014) that this is caused when it gets bigger </w:t>
      </w:r>
      <w:r w:rsidR="00D406DC" w:rsidRPr="00D406DC">
        <w:rPr>
          <w:iCs/>
          <w:sz w:val="22"/>
        </w:rPr>
        <w:t>firm size</w:t>
      </w:r>
      <w:r w:rsidR="00D406DC" w:rsidRPr="00D406DC">
        <w:rPr>
          <w:sz w:val="22"/>
        </w:rPr>
        <w:t xml:space="preserve">, then the company will need a lot of costs to carry out its operational activities, so this will reduce the company's profitability. According to </w:t>
      </w:r>
      <w:proofErr w:type="spellStart"/>
      <w:r w:rsidR="00D406DC" w:rsidRPr="00D406DC">
        <w:rPr>
          <w:sz w:val="22"/>
        </w:rPr>
        <w:t>Fachrudin</w:t>
      </w:r>
      <w:proofErr w:type="spellEnd"/>
      <w:r w:rsidR="00D406DC" w:rsidRPr="00D406DC">
        <w:rPr>
          <w:sz w:val="22"/>
        </w:rPr>
        <w:t xml:space="preserve"> in Putra and </w:t>
      </w:r>
      <w:proofErr w:type="spellStart"/>
      <w:r w:rsidR="00D406DC" w:rsidRPr="00D406DC">
        <w:rPr>
          <w:sz w:val="22"/>
        </w:rPr>
        <w:t>Badjra</w:t>
      </w:r>
      <w:proofErr w:type="spellEnd"/>
      <w:r w:rsidR="00D406DC" w:rsidRPr="00D406DC">
        <w:rPr>
          <w:sz w:val="22"/>
        </w:rPr>
        <w:t xml:space="preserve"> (2015) firm size is not a guarantee that the company has the ability to generate good profits. This is also in line with the results of </w:t>
      </w:r>
      <w:proofErr w:type="spellStart"/>
      <w:r w:rsidR="00D406DC" w:rsidRPr="00D406DC">
        <w:rPr>
          <w:sz w:val="22"/>
        </w:rPr>
        <w:t>Dhea</w:t>
      </w:r>
      <w:proofErr w:type="spellEnd"/>
      <w:r w:rsidR="00D406DC" w:rsidRPr="00D406DC">
        <w:rPr>
          <w:sz w:val="22"/>
        </w:rPr>
        <w:t xml:space="preserve"> Lorenza's research (2020) which states that firm size has no significant effect on profitability. Sari and </w:t>
      </w:r>
      <w:proofErr w:type="spellStart"/>
      <w:r w:rsidR="00D406DC" w:rsidRPr="00D406DC">
        <w:rPr>
          <w:sz w:val="22"/>
        </w:rPr>
        <w:t>Budiasih</w:t>
      </w:r>
      <w:proofErr w:type="spellEnd"/>
      <w:r w:rsidR="00D406DC" w:rsidRPr="00D406DC">
        <w:rPr>
          <w:sz w:val="22"/>
        </w:rPr>
        <w:t xml:space="preserve"> (2014) state that firm size has no effect on profitability. Putra and </w:t>
      </w:r>
      <w:proofErr w:type="spellStart"/>
      <w:r w:rsidR="00D406DC" w:rsidRPr="00D406DC">
        <w:rPr>
          <w:sz w:val="22"/>
        </w:rPr>
        <w:t>Badjra</w:t>
      </w:r>
      <w:proofErr w:type="spellEnd"/>
      <w:r w:rsidR="00D406DC" w:rsidRPr="00D406DC">
        <w:rPr>
          <w:sz w:val="22"/>
        </w:rPr>
        <w:t xml:space="preserve"> (2015) state that firm size has a negative effect on profitability.</w:t>
      </w:r>
    </w:p>
    <w:p w14:paraId="73A47C8F" w14:textId="5144749E" w:rsidR="009E5C6D" w:rsidRPr="009E5C6D" w:rsidRDefault="009E5C6D" w:rsidP="009E5C6D">
      <w:pPr>
        <w:spacing w:line="240" w:lineRule="auto"/>
        <w:ind w:right="-142"/>
        <w:rPr>
          <w:sz w:val="22"/>
        </w:rPr>
      </w:pPr>
      <w:r>
        <w:rPr>
          <w:sz w:val="22"/>
        </w:rPr>
        <w:tab/>
      </w:r>
    </w:p>
    <w:p w14:paraId="09C1D698" w14:textId="15676295" w:rsidR="002947F5" w:rsidRPr="008F2EE3" w:rsidRDefault="002947F5" w:rsidP="0013091B">
      <w:pPr>
        <w:spacing w:line="240" w:lineRule="auto"/>
        <w:ind w:right="-142"/>
        <w:rPr>
          <w:sz w:val="22"/>
        </w:rPr>
      </w:pPr>
    </w:p>
    <w:p w14:paraId="7160C8A4" w14:textId="77777777" w:rsidR="00146539" w:rsidRPr="008F2EE3" w:rsidRDefault="009E42A2" w:rsidP="0013091B">
      <w:pPr>
        <w:spacing w:line="240" w:lineRule="auto"/>
        <w:ind w:right="-142"/>
        <w:jc w:val="center"/>
        <w:rPr>
          <w:b/>
          <w:sz w:val="22"/>
        </w:rPr>
      </w:pPr>
      <w:r w:rsidRPr="008F2EE3">
        <w:rPr>
          <w:b/>
          <w:sz w:val="22"/>
        </w:rPr>
        <w:t>CONCLUSION</w:t>
      </w:r>
    </w:p>
    <w:p w14:paraId="28FE418D" w14:textId="266D9E4A" w:rsidR="00146539" w:rsidRPr="008F2EE3" w:rsidRDefault="00146539" w:rsidP="0013091B">
      <w:pPr>
        <w:spacing w:line="240" w:lineRule="auto"/>
        <w:ind w:right="-142"/>
        <w:rPr>
          <w:sz w:val="22"/>
        </w:rPr>
      </w:pPr>
    </w:p>
    <w:p w14:paraId="2A6AE895" w14:textId="46A75AC4" w:rsidR="002947F5" w:rsidRDefault="00D406DC" w:rsidP="0013091B">
      <w:pPr>
        <w:spacing w:line="240" w:lineRule="auto"/>
        <w:ind w:right="-142" w:firstLine="567"/>
        <w:rPr>
          <w:sz w:val="22"/>
        </w:rPr>
      </w:pPr>
      <w:r w:rsidRPr="00550D48">
        <w:rPr>
          <w:iCs/>
          <w:sz w:val="22"/>
        </w:rPr>
        <w:t>Intellectual capital</w:t>
      </w:r>
      <w:r w:rsidRPr="00550D48">
        <w:rPr>
          <w:sz w:val="22"/>
        </w:rPr>
        <w:t xml:space="preserve"> proxied by </w:t>
      </w:r>
      <w:r w:rsidRPr="00550D48">
        <w:rPr>
          <w:iCs/>
          <w:sz w:val="22"/>
        </w:rPr>
        <w:t>modified value added intellectual coefficient</w:t>
      </w:r>
      <w:r w:rsidRPr="00550D48">
        <w:rPr>
          <w:sz w:val="22"/>
        </w:rPr>
        <w:t xml:space="preserve"> (MVAIC) effect on profitability.</w:t>
      </w:r>
      <w:r w:rsidR="009408C7">
        <w:rPr>
          <w:sz w:val="22"/>
        </w:rPr>
        <w:t xml:space="preserve"> </w:t>
      </w:r>
      <w:r w:rsidRPr="00550D48">
        <w:rPr>
          <w:iCs/>
          <w:sz w:val="22"/>
        </w:rPr>
        <w:t>Intellectual capital</w:t>
      </w:r>
      <w:r w:rsidRPr="00550D48">
        <w:rPr>
          <w:sz w:val="22"/>
        </w:rPr>
        <w:t xml:space="preserve"> is a combination of intangible assets in the form of intellectual property, knowledge, information, experience and others, which if properly utilized can increase the company's profits and competitiveness, with the efficient use of a combination of tangible assets and intangible assets it is hoped that it can help the company's productivity so that it can improve the company's financial performance, especially in generating profits. While the firm size variable is proxied by </w:t>
      </w:r>
      <w:proofErr w:type="spellStart"/>
      <w:r w:rsidRPr="00550D48">
        <w:rPr>
          <w:iCs/>
          <w:sz w:val="22"/>
        </w:rPr>
        <w:t>logaritma</w:t>
      </w:r>
      <w:proofErr w:type="spellEnd"/>
      <w:r w:rsidRPr="00550D48">
        <w:rPr>
          <w:iCs/>
          <w:sz w:val="22"/>
        </w:rPr>
        <w:t xml:space="preserve"> natural total assets</w:t>
      </w:r>
      <w:r w:rsidRPr="00550D48">
        <w:rPr>
          <w:sz w:val="22"/>
        </w:rPr>
        <w:t xml:space="preserve"> (LNTA) has no effect on profitability.</w:t>
      </w:r>
      <w:r w:rsidR="00F82AC7">
        <w:rPr>
          <w:sz w:val="22"/>
        </w:rPr>
        <w:t xml:space="preserve"> </w:t>
      </w:r>
      <w:r w:rsidRPr="00550D48">
        <w:rPr>
          <w:iCs/>
          <w:sz w:val="22"/>
        </w:rPr>
        <w:t>Intellectual capital</w:t>
      </w:r>
      <w:r w:rsidRPr="00550D48">
        <w:rPr>
          <w:sz w:val="22"/>
        </w:rPr>
        <w:t xml:space="preserve"> and firm size simultaneously influence the profitability of sector </w:t>
      </w:r>
      <w:proofErr w:type="gramStart"/>
      <w:r w:rsidRPr="00550D48">
        <w:rPr>
          <w:sz w:val="22"/>
        </w:rPr>
        <w:t>companies</w:t>
      </w:r>
      <w:proofErr w:type="gramEnd"/>
      <w:r w:rsidRPr="00550D48">
        <w:rPr>
          <w:sz w:val="22"/>
        </w:rPr>
        <w:t xml:space="preserve"> </w:t>
      </w:r>
      <w:r w:rsidRPr="00550D48">
        <w:rPr>
          <w:iCs/>
          <w:sz w:val="22"/>
        </w:rPr>
        <w:t>property</w:t>
      </w:r>
      <w:r w:rsidRPr="00550D48">
        <w:rPr>
          <w:sz w:val="22"/>
        </w:rPr>
        <w:t xml:space="preserve"> and </w:t>
      </w:r>
      <w:r w:rsidRPr="00550D48">
        <w:rPr>
          <w:iCs/>
          <w:sz w:val="22"/>
        </w:rPr>
        <w:t>real estate</w:t>
      </w:r>
      <w:r w:rsidRPr="00550D48">
        <w:rPr>
          <w:sz w:val="22"/>
        </w:rPr>
        <w:t xml:space="preserve"> which are listed on the Indonesia Stock Exchange.</w:t>
      </w:r>
    </w:p>
    <w:p w14:paraId="56B830A7" w14:textId="77777777" w:rsidR="00F82AC7" w:rsidRPr="00550D48" w:rsidRDefault="00F82AC7" w:rsidP="0013091B">
      <w:pPr>
        <w:spacing w:line="240" w:lineRule="auto"/>
        <w:ind w:right="-142" w:firstLine="567"/>
        <w:rPr>
          <w:sz w:val="22"/>
        </w:rPr>
      </w:pPr>
    </w:p>
    <w:p w14:paraId="565E4437" w14:textId="77777777" w:rsidR="002947F5" w:rsidRPr="008F2EE3" w:rsidRDefault="002947F5" w:rsidP="0013091B">
      <w:pPr>
        <w:spacing w:line="240" w:lineRule="auto"/>
        <w:ind w:right="-142"/>
        <w:rPr>
          <w:sz w:val="22"/>
        </w:rPr>
      </w:pPr>
    </w:p>
    <w:p w14:paraId="332DE0B7" w14:textId="77777777" w:rsidR="00E520F1" w:rsidRDefault="009E42A2" w:rsidP="0013091B">
      <w:pPr>
        <w:spacing w:line="240" w:lineRule="auto"/>
        <w:ind w:right="-142"/>
        <w:jc w:val="center"/>
        <w:rPr>
          <w:b/>
          <w:sz w:val="22"/>
        </w:rPr>
      </w:pPr>
      <w:r w:rsidRPr="008F2EE3">
        <w:rPr>
          <w:b/>
          <w:sz w:val="22"/>
        </w:rPr>
        <w:t>REFERENCES</w:t>
      </w:r>
    </w:p>
    <w:p w14:paraId="0EA8DFE5" w14:textId="5350BD70" w:rsidR="007B43B0" w:rsidRPr="00D406DC" w:rsidRDefault="00421745" w:rsidP="00D406DC">
      <w:pPr>
        <w:spacing w:line="240" w:lineRule="auto"/>
        <w:ind w:right="-142"/>
        <w:jc w:val="center"/>
        <w:rPr>
          <w:b/>
          <w:sz w:val="22"/>
        </w:rPr>
      </w:pPr>
      <w:r w:rsidRPr="008F2EE3">
        <w:rPr>
          <w:sz w:val="22"/>
        </w:rPr>
        <w:fldChar w:fldCharType="begin" w:fldLock="1"/>
      </w:r>
      <w:r w:rsidRPr="008F2EE3">
        <w:rPr>
          <w:sz w:val="22"/>
        </w:rPr>
        <w:instrText xml:space="preserve">ADDIN Mendeley Bibliography CSL_BIBLIOGRAPHY </w:instrText>
      </w:r>
      <w:r w:rsidRPr="008F2EE3">
        <w:rPr>
          <w:sz w:val="22"/>
        </w:rPr>
        <w:fldChar w:fldCharType="separate"/>
      </w:r>
    </w:p>
    <w:p w14:paraId="6894694D" w14:textId="77777777" w:rsidR="008553ED" w:rsidRDefault="008553ED" w:rsidP="0013091B">
      <w:pPr>
        <w:spacing w:line="240" w:lineRule="auto"/>
        <w:ind w:left="540" w:right="-142" w:hanging="540"/>
        <w:rPr>
          <w:bCs/>
          <w:sz w:val="22"/>
        </w:rPr>
      </w:pPr>
    </w:p>
    <w:p w14:paraId="2098A776" w14:textId="77777777" w:rsidR="008553ED" w:rsidRPr="00B94635" w:rsidRDefault="008553ED" w:rsidP="0013091B">
      <w:pPr>
        <w:spacing w:line="240" w:lineRule="auto"/>
        <w:ind w:left="540" w:right="-142" w:hanging="540"/>
        <w:rPr>
          <w:bCs/>
          <w:sz w:val="22"/>
        </w:rPr>
      </w:pPr>
      <w:r w:rsidRPr="00B94635">
        <w:rPr>
          <w:bCs/>
          <w:sz w:val="22"/>
        </w:rPr>
        <w:t xml:space="preserve">Astuti, M., Sarda, S., &amp; Muchran, M., 2019: Pengaruh </w:t>
      </w:r>
      <w:r w:rsidRPr="00B94635">
        <w:rPr>
          <w:bCs/>
          <w:i/>
          <w:sz w:val="22"/>
        </w:rPr>
        <w:t>Intellectual Capital</w:t>
      </w:r>
      <w:r w:rsidRPr="00B94635">
        <w:rPr>
          <w:bCs/>
          <w:sz w:val="22"/>
        </w:rPr>
        <w:t xml:space="preserve"> Terhadap Profitabilitas Pada Perusahaan Manufaktur Yang Terdaftar Di Bursa Efek Indonesia. </w:t>
      </w:r>
      <w:r w:rsidRPr="00B94635">
        <w:rPr>
          <w:bCs/>
          <w:i/>
          <w:iCs/>
          <w:sz w:val="22"/>
        </w:rPr>
        <w:t>Jurnal Ilmu Manajemen Profitability</w:t>
      </w:r>
      <w:r w:rsidRPr="00B94635">
        <w:rPr>
          <w:bCs/>
          <w:sz w:val="22"/>
        </w:rPr>
        <w:t xml:space="preserve">, Vol. </w:t>
      </w:r>
      <w:r w:rsidRPr="00B94635">
        <w:rPr>
          <w:bCs/>
          <w:i/>
          <w:iCs/>
          <w:sz w:val="22"/>
        </w:rPr>
        <w:t xml:space="preserve">3, </w:t>
      </w:r>
      <w:r w:rsidRPr="00B94635">
        <w:rPr>
          <w:bCs/>
          <w:iCs/>
          <w:sz w:val="22"/>
        </w:rPr>
        <w:t xml:space="preserve">No. </w:t>
      </w:r>
      <w:r w:rsidRPr="00B94635">
        <w:rPr>
          <w:bCs/>
          <w:sz w:val="22"/>
        </w:rPr>
        <w:t>2, Hal. 103-118.</w:t>
      </w:r>
    </w:p>
    <w:p w14:paraId="1B5D1058" w14:textId="77777777" w:rsidR="008553ED" w:rsidRPr="00B94635" w:rsidRDefault="008553ED" w:rsidP="0013091B">
      <w:pPr>
        <w:spacing w:line="240" w:lineRule="auto"/>
        <w:ind w:left="540" w:right="-142" w:hanging="540"/>
        <w:rPr>
          <w:sz w:val="22"/>
        </w:rPr>
      </w:pPr>
      <w:r w:rsidRPr="00B94635">
        <w:rPr>
          <w:sz w:val="22"/>
        </w:rPr>
        <w:t>Caroline, Annauly Maria, and Haryanto., 2015: </w:t>
      </w:r>
      <w:r w:rsidRPr="00B94635">
        <w:rPr>
          <w:iCs/>
          <w:sz w:val="22"/>
        </w:rPr>
        <w:t>Pengaruh Modal Intelektual Terhadap Profitabilitas Perusahaan (Studi Empiris pada Perusahaan Manufaktur yang Terdaftar di Bursa Efek Indonesia Tahun 2011-2013)</w:t>
      </w:r>
      <w:r w:rsidRPr="00B94635">
        <w:rPr>
          <w:sz w:val="22"/>
        </w:rPr>
        <w:t xml:space="preserve">. </w:t>
      </w:r>
      <w:r w:rsidRPr="00B94635">
        <w:rPr>
          <w:i/>
          <w:sz w:val="22"/>
        </w:rPr>
        <w:t>Diponegoro Journal of Accounting</w:t>
      </w:r>
      <w:r w:rsidRPr="00B94635">
        <w:rPr>
          <w:sz w:val="22"/>
        </w:rPr>
        <w:t>. Volume 4, Nomor 3, Tahun 2015, Hal. 1-10.</w:t>
      </w:r>
    </w:p>
    <w:p w14:paraId="5C48B577" w14:textId="77777777" w:rsidR="008553ED" w:rsidRPr="00B94635" w:rsidRDefault="008553ED" w:rsidP="0013091B">
      <w:pPr>
        <w:spacing w:line="240" w:lineRule="auto"/>
        <w:ind w:left="540" w:right="-142" w:hanging="540"/>
        <w:rPr>
          <w:bCs/>
          <w:sz w:val="22"/>
        </w:rPr>
      </w:pPr>
      <w:r w:rsidRPr="00B94635">
        <w:rPr>
          <w:bCs/>
          <w:sz w:val="22"/>
        </w:rPr>
        <w:t xml:space="preserve">Faradina, I., &amp; Gayatri., 2016: Pengaruh </w:t>
      </w:r>
      <w:r w:rsidRPr="00B94635">
        <w:rPr>
          <w:bCs/>
          <w:i/>
          <w:sz w:val="22"/>
        </w:rPr>
        <w:t>Intellectual Capital</w:t>
      </w:r>
      <w:r w:rsidRPr="00B94635">
        <w:rPr>
          <w:bCs/>
          <w:sz w:val="22"/>
        </w:rPr>
        <w:t xml:space="preserve"> Dan </w:t>
      </w:r>
      <w:r w:rsidRPr="00B94635">
        <w:rPr>
          <w:bCs/>
          <w:i/>
          <w:sz w:val="22"/>
        </w:rPr>
        <w:t>Intellectual Capital Disclosure</w:t>
      </w:r>
      <w:r w:rsidRPr="00B94635">
        <w:rPr>
          <w:bCs/>
          <w:sz w:val="22"/>
        </w:rPr>
        <w:t xml:space="preserve"> Terhadap Kinerja Keuangan Perusahaan. </w:t>
      </w:r>
      <w:r w:rsidRPr="00B94635">
        <w:rPr>
          <w:bCs/>
          <w:i/>
          <w:iCs/>
          <w:sz w:val="22"/>
        </w:rPr>
        <w:t xml:space="preserve">E-Jurnal Akuntansi, </w:t>
      </w:r>
      <w:r w:rsidRPr="00B94635">
        <w:rPr>
          <w:bCs/>
          <w:iCs/>
          <w:sz w:val="22"/>
        </w:rPr>
        <w:t>Vol. 15</w:t>
      </w:r>
      <w:r w:rsidRPr="00B94635">
        <w:rPr>
          <w:bCs/>
          <w:sz w:val="22"/>
        </w:rPr>
        <w:t>, Vol. 2, Hal. 1623-1653</w:t>
      </w:r>
    </w:p>
    <w:p w14:paraId="6C668A97" w14:textId="77777777" w:rsidR="008553ED" w:rsidRPr="00CE3C32" w:rsidRDefault="008553ED" w:rsidP="00CE3C32">
      <w:pPr>
        <w:spacing w:line="240" w:lineRule="auto"/>
        <w:ind w:left="540" w:right="-142" w:hanging="540"/>
        <w:rPr>
          <w:bCs/>
          <w:sz w:val="22"/>
        </w:rPr>
      </w:pPr>
      <w:r w:rsidRPr="00CE3C32">
        <w:rPr>
          <w:bCs/>
          <w:sz w:val="22"/>
        </w:rPr>
        <w:lastRenderedPageBreak/>
        <w:t>Hartono, Jogiyanto., 2014., Teori Portofolio dan Analisis Invest</w:t>
      </w:r>
      <w:r>
        <w:rPr>
          <w:bCs/>
          <w:sz w:val="22"/>
        </w:rPr>
        <w:t>asi, Edisi 9, BPFE, Yogyakarta.</w:t>
      </w:r>
    </w:p>
    <w:p w14:paraId="34DFC66E" w14:textId="77777777" w:rsidR="008553ED" w:rsidRPr="00B94635" w:rsidRDefault="008553ED" w:rsidP="0013091B">
      <w:pPr>
        <w:spacing w:line="240" w:lineRule="auto"/>
        <w:ind w:left="540" w:right="-142" w:hanging="540"/>
        <w:rPr>
          <w:bCs/>
          <w:sz w:val="22"/>
        </w:rPr>
      </w:pPr>
      <w:r w:rsidRPr="00B94635">
        <w:rPr>
          <w:bCs/>
          <w:sz w:val="22"/>
        </w:rPr>
        <w:t xml:space="preserve">Hasan, Rashedul &amp; Acma, Niaz &amp; Alam, Mohammad., 2017: </w:t>
      </w:r>
      <w:r w:rsidRPr="00B94635">
        <w:rPr>
          <w:bCs/>
          <w:i/>
          <w:sz w:val="22"/>
        </w:rPr>
        <w:t>Impact of Intellectual Capital on Profitability-Conventional versus Islamic Banks</w:t>
      </w:r>
      <w:r w:rsidRPr="00B94635">
        <w:rPr>
          <w:bCs/>
          <w:sz w:val="22"/>
        </w:rPr>
        <w:t xml:space="preserve">. </w:t>
      </w:r>
      <w:r w:rsidRPr="00B94635">
        <w:rPr>
          <w:bCs/>
          <w:i/>
          <w:sz w:val="22"/>
        </w:rPr>
        <w:t>Journal Of Accounting, Finance And Auditing Studies</w:t>
      </w:r>
      <w:r w:rsidRPr="00B94635">
        <w:rPr>
          <w:bCs/>
          <w:sz w:val="22"/>
        </w:rPr>
        <w:t>. Vol. 3, No. 2, Hal. 64-80.</w:t>
      </w:r>
    </w:p>
    <w:p w14:paraId="07CC424E" w14:textId="77777777" w:rsidR="008553ED" w:rsidRDefault="008553ED" w:rsidP="00CE3C32">
      <w:pPr>
        <w:spacing w:line="240" w:lineRule="auto"/>
        <w:ind w:left="540" w:right="-142" w:hanging="540"/>
        <w:rPr>
          <w:bCs/>
          <w:sz w:val="22"/>
        </w:rPr>
      </w:pPr>
      <w:r w:rsidRPr="00CE3C32">
        <w:rPr>
          <w:bCs/>
          <w:sz w:val="22"/>
        </w:rPr>
        <w:t xml:space="preserve">Hery., 2018., Analisis Laporan Keuangan </w:t>
      </w:r>
      <w:r w:rsidRPr="00CE3C32">
        <w:rPr>
          <w:bCs/>
          <w:i/>
          <w:sz w:val="22"/>
        </w:rPr>
        <w:t>Integrated and Comprehensive Edition</w:t>
      </w:r>
      <w:r w:rsidRPr="00CE3C32">
        <w:rPr>
          <w:bCs/>
          <w:sz w:val="22"/>
        </w:rPr>
        <w:t>, Cetakan Ketiga, PT. Gramedia, Jakarta.</w:t>
      </w:r>
    </w:p>
    <w:p w14:paraId="3CB6DC05" w14:textId="77777777" w:rsidR="008553ED" w:rsidRPr="00B94635" w:rsidRDefault="008553ED" w:rsidP="0013091B">
      <w:pPr>
        <w:spacing w:line="240" w:lineRule="auto"/>
        <w:ind w:left="540" w:right="-142" w:hanging="540"/>
        <w:rPr>
          <w:bCs/>
          <w:sz w:val="22"/>
        </w:rPr>
      </w:pPr>
      <w:r w:rsidRPr="00B94635">
        <w:rPr>
          <w:bCs/>
          <w:sz w:val="22"/>
        </w:rPr>
        <w:t xml:space="preserve">Kartikasari, D. and Merianti, M., 2016: </w:t>
      </w:r>
      <w:r w:rsidRPr="00B94635">
        <w:rPr>
          <w:bCs/>
          <w:i/>
          <w:sz w:val="22"/>
        </w:rPr>
        <w:t>The effect of leverage and firm size to profitability of public manufacturing companies in Indonesia</w:t>
      </w:r>
      <w:r w:rsidRPr="00B94635">
        <w:rPr>
          <w:bCs/>
          <w:sz w:val="22"/>
        </w:rPr>
        <w:t>. </w:t>
      </w:r>
      <w:r w:rsidRPr="00B94635">
        <w:rPr>
          <w:bCs/>
          <w:i/>
          <w:iCs/>
          <w:sz w:val="22"/>
        </w:rPr>
        <w:t>International Journal of Economics and Financial Issues</w:t>
      </w:r>
      <w:r w:rsidRPr="00B94635">
        <w:rPr>
          <w:bCs/>
          <w:sz w:val="22"/>
        </w:rPr>
        <w:t xml:space="preserve">, Vol. </w:t>
      </w:r>
      <w:r w:rsidRPr="00B94635">
        <w:rPr>
          <w:bCs/>
          <w:iCs/>
          <w:sz w:val="22"/>
        </w:rPr>
        <w:t>6</w:t>
      </w:r>
      <w:r w:rsidRPr="00B94635">
        <w:rPr>
          <w:bCs/>
          <w:sz w:val="22"/>
        </w:rPr>
        <w:t>, No. 2, Hal. 409-413.</w:t>
      </w:r>
    </w:p>
    <w:p w14:paraId="40EE50AE" w14:textId="7C5AEE63" w:rsidR="008553ED" w:rsidRPr="008553ED" w:rsidRDefault="008553ED" w:rsidP="008553ED">
      <w:pPr>
        <w:spacing w:line="240" w:lineRule="auto"/>
        <w:ind w:left="540" w:right="-142" w:hanging="540"/>
        <w:rPr>
          <w:bCs/>
          <w:sz w:val="22"/>
        </w:rPr>
      </w:pPr>
      <w:r w:rsidRPr="00CE3C32">
        <w:rPr>
          <w:bCs/>
          <w:sz w:val="22"/>
        </w:rPr>
        <w:t>Kasmir., 2018., Analisis Laporan Keuangan, Edisi 1 Cetakan Kesebelas, Raja Grafindo Persada, Jakarta.</w:t>
      </w:r>
    </w:p>
    <w:p w14:paraId="119A0BAA" w14:textId="77777777" w:rsidR="008553ED" w:rsidRPr="00B94635" w:rsidRDefault="008553ED" w:rsidP="0013091B">
      <w:pPr>
        <w:spacing w:line="240" w:lineRule="auto"/>
        <w:ind w:left="540" w:right="-142" w:hanging="540"/>
        <w:rPr>
          <w:bCs/>
          <w:sz w:val="22"/>
        </w:rPr>
      </w:pPr>
      <w:r w:rsidRPr="00B94635">
        <w:rPr>
          <w:bCs/>
          <w:sz w:val="22"/>
        </w:rPr>
        <w:t>Lorenza, D., Kadir, M., &amp; Sjahruddin, H. (2020). Pengaruh Struktur Modal Dan Ukuran Perusahaan Terhadap Profitabilitas Pada Perusahaan Otomotif Yang Terdaftar Di Bursa Efek Indonesia. Jurnal Ekonomi Manajemen, 6(1), 13-20</w:t>
      </w:r>
    </w:p>
    <w:p w14:paraId="5DBE342D" w14:textId="77777777" w:rsidR="008553ED" w:rsidRPr="00B94635" w:rsidRDefault="008553ED" w:rsidP="0013091B">
      <w:pPr>
        <w:spacing w:line="240" w:lineRule="auto"/>
        <w:ind w:left="540" w:right="-142" w:hanging="540"/>
        <w:rPr>
          <w:bCs/>
          <w:sz w:val="22"/>
        </w:rPr>
      </w:pPr>
      <w:r w:rsidRPr="00B94635">
        <w:rPr>
          <w:bCs/>
          <w:sz w:val="22"/>
        </w:rPr>
        <w:t>Maria, M., Wiagustini, L.P. and Sedana, I.P., 2019: Pengaruh Ukuran Perusahaan, Leverage Dan Liquiditas Terhadap Profitabilitas Di Perusahaan Esperanca Timor-Oan (ETO) Dili Timor-Leste. </w:t>
      </w:r>
      <w:r w:rsidRPr="00B94635">
        <w:rPr>
          <w:bCs/>
          <w:i/>
          <w:iCs/>
          <w:sz w:val="22"/>
        </w:rPr>
        <w:t>E-Jurnal Ekonomi dan Bisnis Universitas Udayana</w:t>
      </w:r>
      <w:r w:rsidRPr="00B94635">
        <w:rPr>
          <w:bCs/>
          <w:sz w:val="22"/>
        </w:rPr>
        <w:t xml:space="preserve">, Vol. </w:t>
      </w:r>
      <w:r w:rsidRPr="00B94635">
        <w:rPr>
          <w:bCs/>
          <w:i/>
          <w:iCs/>
          <w:sz w:val="22"/>
        </w:rPr>
        <w:t>8</w:t>
      </w:r>
      <w:r w:rsidRPr="00B94635">
        <w:rPr>
          <w:bCs/>
          <w:sz w:val="22"/>
        </w:rPr>
        <w:t>, No. 1, Hal. 23-40.</w:t>
      </w:r>
    </w:p>
    <w:p w14:paraId="64E47DC2" w14:textId="77777777" w:rsidR="008553ED" w:rsidRPr="00B94635" w:rsidRDefault="008553ED" w:rsidP="0013091B">
      <w:pPr>
        <w:spacing w:line="240" w:lineRule="auto"/>
        <w:ind w:left="540" w:right="-142" w:hanging="540"/>
        <w:rPr>
          <w:bCs/>
          <w:sz w:val="22"/>
        </w:rPr>
      </w:pPr>
      <w:r w:rsidRPr="00B94635">
        <w:rPr>
          <w:bCs/>
          <w:sz w:val="22"/>
        </w:rPr>
        <w:t>Martiningsih, S. W., 2018: Pengaruh Modal Intelektual Dan Pengungkapan Laporan Keberlanjutan Terhadap Profitabilitas (Studi pada Perusahaan yang Terdaftar di Bursa Efek Indonesia Periode 2014-2016). </w:t>
      </w:r>
      <w:r w:rsidRPr="00B94635">
        <w:rPr>
          <w:bCs/>
          <w:i/>
          <w:iCs/>
          <w:sz w:val="22"/>
        </w:rPr>
        <w:t>Jurnal Akuntansi Bisnis dan Ekonomi</w:t>
      </w:r>
      <w:r w:rsidRPr="00B94635">
        <w:rPr>
          <w:bCs/>
          <w:sz w:val="22"/>
        </w:rPr>
        <w:t xml:space="preserve">, Vol. </w:t>
      </w:r>
      <w:r w:rsidRPr="00B94635">
        <w:rPr>
          <w:bCs/>
          <w:iCs/>
          <w:sz w:val="22"/>
        </w:rPr>
        <w:t>4</w:t>
      </w:r>
      <w:r w:rsidRPr="00B94635">
        <w:rPr>
          <w:bCs/>
          <w:i/>
          <w:iCs/>
          <w:sz w:val="22"/>
        </w:rPr>
        <w:t xml:space="preserve">, </w:t>
      </w:r>
      <w:r w:rsidRPr="00B94635">
        <w:rPr>
          <w:bCs/>
          <w:iCs/>
          <w:sz w:val="22"/>
        </w:rPr>
        <w:t>No</w:t>
      </w:r>
      <w:r w:rsidRPr="00B94635">
        <w:rPr>
          <w:bCs/>
          <w:sz w:val="22"/>
        </w:rPr>
        <w:t>. 2, Hal. 1211–1224.</w:t>
      </w:r>
    </w:p>
    <w:p w14:paraId="2CB96C65" w14:textId="77777777" w:rsidR="008553ED" w:rsidRPr="00B94635" w:rsidRDefault="008553ED" w:rsidP="0013091B">
      <w:pPr>
        <w:spacing w:line="240" w:lineRule="auto"/>
        <w:ind w:left="540" w:right="-142" w:hanging="540"/>
        <w:rPr>
          <w:bCs/>
          <w:sz w:val="22"/>
        </w:rPr>
      </w:pPr>
      <w:r w:rsidRPr="00B94635">
        <w:rPr>
          <w:bCs/>
          <w:sz w:val="22"/>
        </w:rPr>
        <w:t>Megawati, N.L.A. and Sedana, I.B.P., 2019: Pengaruh Ukuran Perusahaan, Financial Leverage, Manajemen Modal Kerja Terhadap Profitabilitas Perusahaan Sektor Industri Barang Konsumsi. </w:t>
      </w:r>
      <w:r w:rsidRPr="00B94635">
        <w:rPr>
          <w:bCs/>
          <w:i/>
          <w:iCs/>
          <w:sz w:val="22"/>
        </w:rPr>
        <w:t>E-Jurnal Manajemen. Universitas Udayana</w:t>
      </w:r>
      <w:r w:rsidRPr="00B94635">
        <w:rPr>
          <w:bCs/>
          <w:sz w:val="22"/>
        </w:rPr>
        <w:t xml:space="preserve">, Vol. </w:t>
      </w:r>
      <w:r w:rsidRPr="00B94635">
        <w:rPr>
          <w:bCs/>
          <w:i/>
          <w:iCs/>
          <w:sz w:val="22"/>
        </w:rPr>
        <w:t>8</w:t>
      </w:r>
      <w:r w:rsidRPr="00B94635">
        <w:rPr>
          <w:bCs/>
          <w:sz w:val="22"/>
        </w:rPr>
        <w:t>, No. 8, Hal. 5325-5343.</w:t>
      </w:r>
    </w:p>
    <w:p w14:paraId="60802E43" w14:textId="77777777" w:rsidR="008553ED" w:rsidRPr="00B94635" w:rsidRDefault="008553ED" w:rsidP="0013091B">
      <w:pPr>
        <w:spacing w:line="240" w:lineRule="auto"/>
        <w:ind w:left="540" w:right="-142" w:hanging="540"/>
        <w:rPr>
          <w:bCs/>
          <w:sz w:val="22"/>
        </w:rPr>
      </w:pPr>
      <w:r w:rsidRPr="00B94635">
        <w:rPr>
          <w:bCs/>
          <w:sz w:val="22"/>
        </w:rPr>
        <w:t>Mulyani, N., &amp; Agustinus, E., 2021: Analisa Pengaruh Ukuran Perusahaan, Struktur Aset, Dan Struktur Modal Terhadap Profitabilitas. </w:t>
      </w:r>
      <w:r w:rsidRPr="00B94635">
        <w:rPr>
          <w:bCs/>
          <w:i/>
          <w:iCs/>
          <w:sz w:val="22"/>
        </w:rPr>
        <w:t xml:space="preserve">Jurnal Arastirma, </w:t>
      </w:r>
      <w:r w:rsidRPr="00B94635">
        <w:rPr>
          <w:bCs/>
          <w:iCs/>
          <w:sz w:val="22"/>
        </w:rPr>
        <w:t>Vol. 2</w:t>
      </w:r>
      <w:r w:rsidRPr="00B94635">
        <w:rPr>
          <w:bCs/>
          <w:sz w:val="22"/>
        </w:rPr>
        <w:t>, No.1, Hal. 19-26.</w:t>
      </w:r>
    </w:p>
    <w:p w14:paraId="307BBCCC" w14:textId="77777777" w:rsidR="008553ED" w:rsidRPr="00B94635" w:rsidRDefault="008553ED" w:rsidP="0013091B">
      <w:pPr>
        <w:spacing w:line="240" w:lineRule="auto"/>
        <w:ind w:left="540" w:right="-142" w:hanging="540"/>
        <w:rPr>
          <w:sz w:val="22"/>
        </w:rPr>
      </w:pPr>
      <w:r w:rsidRPr="00B94635">
        <w:rPr>
          <w:sz w:val="22"/>
        </w:rPr>
        <w:t>Nainggolan, M.N., Sirait, A., Nasution, O.N. and Astuty, F., 2022: Pengaruh Ukuran Perusahaan, Pertumbuhan Penjualan, dan L</w:t>
      </w:r>
      <w:r w:rsidRPr="00B94635">
        <w:rPr>
          <w:i/>
          <w:sz w:val="22"/>
        </w:rPr>
        <w:t>everage</w:t>
      </w:r>
      <w:r w:rsidRPr="00B94635">
        <w:rPr>
          <w:sz w:val="22"/>
        </w:rPr>
        <w:t xml:space="preserve"> Terhadap Profitabilitas Melalui Rasio ROA Pada Sektor Food &amp; Beverage dalam BEI Periode 2015-2019. </w:t>
      </w:r>
      <w:r w:rsidRPr="00B94635">
        <w:rPr>
          <w:i/>
          <w:iCs/>
          <w:sz w:val="22"/>
        </w:rPr>
        <w:t>Owner: Riset dan Jurnal Akuntansi</w:t>
      </w:r>
      <w:r w:rsidRPr="00B94635">
        <w:rPr>
          <w:sz w:val="22"/>
        </w:rPr>
        <w:t xml:space="preserve">. Vol. 6, No. 1, Hal: 948-963. </w:t>
      </w:r>
    </w:p>
    <w:p w14:paraId="1606ACA3" w14:textId="77777777" w:rsidR="008553ED" w:rsidRPr="00B94635" w:rsidRDefault="008553ED" w:rsidP="0013091B">
      <w:pPr>
        <w:spacing w:line="240" w:lineRule="auto"/>
        <w:ind w:left="540" w:right="-142" w:hanging="540"/>
        <w:rPr>
          <w:bCs/>
          <w:sz w:val="22"/>
        </w:rPr>
      </w:pPr>
      <w:r w:rsidRPr="00B94635">
        <w:rPr>
          <w:bCs/>
          <w:sz w:val="22"/>
        </w:rPr>
        <w:t>Novari, P.M. and Lestari, P.V., 2016: </w:t>
      </w:r>
      <w:r w:rsidRPr="00B94635">
        <w:rPr>
          <w:bCs/>
          <w:iCs/>
          <w:sz w:val="22"/>
        </w:rPr>
        <w:t xml:space="preserve">Pengaruh Ukuran Perusahaan, Leverage, dan Profitabilitas Terhadap Nilai Perusahaan pada Sektor </w:t>
      </w:r>
      <w:r w:rsidRPr="00B94635">
        <w:rPr>
          <w:bCs/>
          <w:i/>
          <w:iCs/>
          <w:sz w:val="22"/>
        </w:rPr>
        <w:t>Property</w:t>
      </w:r>
      <w:r w:rsidRPr="00B94635">
        <w:rPr>
          <w:bCs/>
          <w:iCs/>
          <w:sz w:val="22"/>
        </w:rPr>
        <w:t xml:space="preserve"> dan </w:t>
      </w:r>
      <w:r w:rsidRPr="00B94635">
        <w:rPr>
          <w:bCs/>
          <w:i/>
          <w:iCs/>
          <w:sz w:val="22"/>
        </w:rPr>
        <w:t>Real Estate</w:t>
      </w:r>
      <w:r w:rsidRPr="00B94635">
        <w:rPr>
          <w:bCs/>
          <w:sz w:val="22"/>
        </w:rPr>
        <w:t xml:space="preserve">, </w:t>
      </w:r>
      <w:r w:rsidRPr="00B94635">
        <w:rPr>
          <w:bCs/>
          <w:i/>
          <w:sz w:val="22"/>
        </w:rPr>
        <w:t>E-Jurnal Manajemen Unud</w:t>
      </w:r>
      <w:r w:rsidRPr="00B94635">
        <w:rPr>
          <w:bCs/>
          <w:sz w:val="22"/>
        </w:rPr>
        <w:t>, Vol. 5, No.9, 2016:5671-5694.</w:t>
      </w:r>
    </w:p>
    <w:p w14:paraId="134A5CBB" w14:textId="77777777" w:rsidR="008553ED" w:rsidRPr="00B94635" w:rsidRDefault="008553ED" w:rsidP="0013091B">
      <w:pPr>
        <w:spacing w:line="240" w:lineRule="auto"/>
        <w:ind w:left="540" w:right="-142" w:hanging="540"/>
        <w:rPr>
          <w:sz w:val="22"/>
        </w:rPr>
      </w:pPr>
      <w:r w:rsidRPr="00B94635">
        <w:rPr>
          <w:sz w:val="22"/>
        </w:rPr>
        <w:t xml:space="preserve">Putra, A.A. Wela Yulia., dan Ida Bagus Badjra., 2015: Pengaruh Leverage, Pertumbuhan Penjualan dan Ukuran Perusahaan Terhadap Profitabilitas. </w:t>
      </w:r>
      <w:r w:rsidRPr="00B94635">
        <w:rPr>
          <w:i/>
          <w:sz w:val="22"/>
        </w:rPr>
        <w:t>E- Jurnal Manajemen Unud</w:t>
      </w:r>
      <w:r w:rsidRPr="00B94635">
        <w:rPr>
          <w:sz w:val="22"/>
        </w:rPr>
        <w:t>, Vol. 4, No. 7, Hal: 2052-2067.</w:t>
      </w:r>
    </w:p>
    <w:p w14:paraId="26D4385E" w14:textId="77777777" w:rsidR="008553ED" w:rsidRPr="00B94635" w:rsidRDefault="008553ED" w:rsidP="0013091B">
      <w:pPr>
        <w:spacing w:line="240" w:lineRule="auto"/>
        <w:ind w:left="540" w:right="-142" w:hanging="540"/>
        <w:rPr>
          <w:bCs/>
          <w:sz w:val="22"/>
        </w:rPr>
      </w:pPr>
      <w:r w:rsidRPr="00B94635">
        <w:rPr>
          <w:bCs/>
          <w:sz w:val="22"/>
        </w:rPr>
        <w:t xml:space="preserve">Radić, S., 2018: </w:t>
      </w:r>
      <w:r w:rsidRPr="00B94635">
        <w:rPr>
          <w:bCs/>
          <w:i/>
          <w:sz w:val="22"/>
        </w:rPr>
        <w:t>The Impact Of Intellectual Capital On The Profitability Of Commercial Banks In Serbia</w:t>
      </w:r>
      <w:r w:rsidRPr="00B94635">
        <w:rPr>
          <w:bCs/>
          <w:sz w:val="22"/>
        </w:rPr>
        <w:t>. </w:t>
      </w:r>
      <w:r w:rsidRPr="00B94635">
        <w:rPr>
          <w:bCs/>
          <w:i/>
          <w:iCs/>
          <w:sz w:val="22"/>
        </w:rPr>
        <w:t>Economic annals</w:t>
      </w:r>
      <w:r w:rsidRPr="00B94635">
        <w:rPr>
          <w:bCs/>
          <w:sz w:val="22"/>
        </w:rPr>
        <w:t xml:space="preserve">, Vol. </w:t>
      </w:r>
      <w:r w:rsidRPr="00B94635">
        <w:rPr>
          <w:bCs/>
          <w:i/>
          <w:iCs/>
          <w:sz w:val="22"/>
        </w:rPr>
        <w:t>63</w:t>
      </w:r>
      <w:r w:rsidRPr="00B94635">
        <w:rPr>
          <w:bCs/>
          <w:sz w:val="22"/>
        </w:rPr>
        <w:t>, No.216, Hal. 85-109.</w:t>
      </w:r>
    </w:p>
    <w:p w14:paraId="36833E19" w14:textId="77777777" w:rsidR="008553ED" w:rsidRPr="00B94635" w:rsidRDefault="008553ED" w:rsidP="0013091B">
      <w:pPr>
        <w:spacing w:line="240" w:lineRule="auto"/>
        <w:ind w:left="540" w:right="-142" w:hanging="540"/>
        <w:rPr>
          <w:bCs/>
          <w:sz w:val="22"/>
        </w:rPr>
      </w:pPr>
      <w:r w:rsidRPr="00B94635">
        <w:rPr>
          <w:bCs/>
          <w:sz w:val="22"/>
        </w:rPr>
        <w:t xml:space="preserve">Sari, N., &amp; Budiasih, I. (2014). Pengaruh </w:t>
      </w:r>
      <w:r w:rsidRPr="00B94635">
        <w:rPr>
          <w:bCs/>
          <w:i/>
          <w:sz w:val="22"/>
        </w:rPr>
        <w:t>Debt To Equity Ratio, Firm Size, Inventory Turnover Dan Assets Turnover</w:t>
      </w:r>
      <w:r w:rsidRPr="00B94635">
        <w:rPr>
          <w:bCs/>
          <w:sz w:val="22"/>
        </w:rPr>
        <w:t xml:space="preserve"> Pada Profitabilitas. </w:t>
      </w:r>
      <w:r w:rsidRPr="00B94635">
        <w:rPr>
          <w:bCs/>
          <w:i/>
          <w:sz w:val="22"/>
        </w:rPr>
        <w:t>E-Jurnal Akuntansi</w:t>
      </w:r>
      <w:r w:rsidRPr="00B94635">
        <w:rPr>
          <w:bCs/>
          <w:sz w:val="22"/>
        </w:rPr>
        <w:t>, 6(2), 261-273.</w:t>
      </w:r>
    </w:p>
    <w:p w14:paraId="63F217A7" w14:textId="77777777" w:rsidR="008553ED" w:rsidRPr="00B94635" w:rsidRDefault="008553ED" w:rsidP="0013091B">
      <w:pPr>
        <w:spacing w:line="240" w:lineRule="auto"/>
        <w:ind w:left="540" w:right="-142" w:hanging="540"/>
        <w:rPr>
          <w:bCs/>
          <w:sz w:val="22"/>
        </w:rPr>
      </w:pPr>
      <w:r w:rsidRPr="00B94635">
        <w:rPr>
          <w:bCs/>
          <w:sz w:val="22"/>
        </w:rPr>
        <w:t xml:space="preserve">Setiawan, C. and de Jesus Pereira, N.F., 2022: </w:t>
      </w:r>
      <w:r w:rsidRPr="00B94635">
        <w:rPr>
          <w:bCs/>
          <w:i/>
          <w:sz w:val="22"/>
        </w:rPr>
        <w:t>Capital Structure, Liquidity, And Firm Size Impact On Profitability Of Mining Industry In Indonesia</w:t>
      </w:r>
      <w:r w:rsidRPr="00B94635">
        <w:rPr>
          <w:bCs/>
          <w:sz w:val="22"/>
        </w:rPr>
        <w:t xml:space="preserve">. </w:t>
      </w:r>
      <w:r w:rsidRPr="00B94635">
        <w:rPr>
          <w:bCs/>
          <w:i/>
          <w:sz w:val="22"/>
        </w:rPr>
        <w:t>In</w:t>
      </w:r>
      <w:r w:rsidRPr="00B94635">
        <w:rPr>
          <w:bCs/>
          <w:sz w:val="22"/>
        </w:rPr>
        <w:t> </w:t>
      </w:r>
      <w:r w:rsidRPr="00B94635">
        <w:rPr>
          <w:bCs/>
          <w:i/>
          <w:iCs/>
          <w:sz w:val="22"/>
        </w:rPr>
        <w:t>Proceeding of the International Conference on Family Business and Entrepreneurship</w:t>
      </w:r>
      <w:r w:rsidRPr="00B94635">
        <w:rPr>
          <w:bCs/>
          <w:sz w:val="22"/>
        </w:rPr>
        <w:t>, Vol. 2, No. 1, Hal. 361-368.</w:t>
      </w:r>
    </w:p>
    <w:p w14:paraId="598241F3" w14:textId="77777777" w:rsidR="008553ED" w:rsidRPr="00B94635" w:rsidRDefault="008553ED" w:rsidP="0013091B">
      <w:pPr>
        <w:spacing w:line="240" w:lineRule="auto"/>
        <w:ind w:left="540" w:right="-142" w:hanging="540"/>
        <w:rPr>
          <w:bCs/>
          <w:sz w:val="22"/>
        </w:rPr>
      </w:pPr>
      <w:r w:rsidRPr="00B94635">
        <w:rPr>
          <w:bCs/>
          <w:sz w:val="22"/>
        </w:rPr>
        <w:t>Tandanu, A. and Suryadi, L., 2020: Pengaruh Profitabilitas, Likuiditas, Ukuran Perusahaan, Terhadap Nilai Perusahaan. </w:t>
      </w:r>
      <w:r w:rsidRPr="00B94635">
        <w:rPr>
          <w:bCs/>
          <w:i/>
          <w:iCs/>
          <w:sz w:val="22"/>
        </w:rPr>
        <w:t>Jurnal Paradigma Akuntansi</w:t>
      </w:r>
      <w:r w:rsidRPr="00B94635">
        <w:rPr>
          <w:bCs/>
          <w:sz w:val="22"/>
        </w:rPr>
        <w:t xml:space="preserve">, Vol. </w:t>
      </w:r>
      <w:r w:rsidRPr="00B94635">
        <w:rPr>
          <w:bCs/>
          <w:i/>
          <w:iCs/>
          <w:sz w:val="22"/>
        </w:rPr>
        <w:t>2</w:t>
      </w:r>
      <w:r w:rsidRPr="00B94635">
        <w:rPr>
          <w:bCs/>
          <w:sz w:val="22"/>
        </w:rPr>
        <w:t>, No. 1, Hal 108-117.</w:t>
      </w:r>
    </w:p>
    <w:p w14:paraId="7528F0C6" w14:textId="77777777" w:rsidR="008553ED" w:rsidRPr="00CE3C32" w:rsidRDefault="008553ED" w:rsidP="00CE3C32">
      <w:pPr>
        <w:spacing w:line="240" w:lineRule="auto"/>
        <w:ind w:left="540" w:right="-142" w:hanging="540"/>
        <w:rPr>
          <w:bCs/>
          <w:sz w:val="22"/>
        </w:rPr>
      </w:pPr>
      <w:r w:rsidRPr="00CE3C32">
        <w:rPr>
          <w:bCs/>
          <w:sz w:val="22"/>
        </w:rPr>
        <w:t xml:space="preserve">Ulum, I., 2017., </w:t>
      </w:r>
      <w:r w:rsidRPr="00CE3C32">
        <w:rPr>
          <w:bCs/>
          <w:i/>
          <w:sz w:val="22"/>
        </w:rPr>
        <w:t>Intellectual Capital</w:t>
      </w:r>
      <w:r w:rsidRPr="00CE3C32">
        <w:rPr>
          <w:bCs/>
          <w:sz w:val="22"/>
        </w:rPr>
        <w:t>: Model Pengukuran, Framework Pengungkapan &amp; Kinerja Organisasi, UMM Press, Semarang</w:t>
      </w:r>
    </w:p>
    <w:p w14:paraId="3EA9D28B" w14:textId="77777777" w:rsidR="008553ED" w:rsidRPr="00CE3C32" w:rsidRDefault="008553ED" w:rsidP="00CE3C32">
      <w:pPr>
        <w:spacing w:line="240" w:lineRule="auto"/>
        <w:ind w:left="540" w:right="-142" w:hanging="540"/>
        <w:rPr>
          <w:bCs/>
          <w:sz w:val="22"/>
        </w:rPr>
      </w:pPr>
      <w:r w:rsidRPr="007B43B0">
        <w:rPr>
          <w:bCs/>
          <w:sz w:val="22"/>
        </w:rPr>
        <w:t>Ulum, I., Kharismawati, N., &amp; Syam, D. (2017). Modified value-added intellectual coefficient (MVAIC) and traditional financial performance of Indonesian biggest companies. </w:t>
      </w:r>
      <w:r w:rsidRPr="007B43B0">
        <w:rPr>
          <w:bCs/>
          <w:i/>
          <w:iCs/>
          <w:sz w:val="22"/>
        </w:rPr>
        <w:t>International Journal of Learning and Intellectual Capital</w:t>
      </w:r>
      <w:r w:rsidRPr="007B43B0">
        <w:rPr>
          <w:bCs/>
          <w:sz w:val="22"/>
        </w:rPr>
        <w:t>, </w:t>
      </w:r>
      <w:r w:rsidRPr="007B43B0">
        <w:rPr>
          <w:bCs/>
          <w:i/>
          <w:iCs/>
          <w:sz w:val="22"/>
        </w:rPr>
        <w:t>14</w:t>
      </w:r>
      <w:r w:rsidRPr="007B43B0">
        <w:rPr>
          <w:bCs/>
          <w:sz w:val="22"/>
        </w:rPr>
        <w:t>(3), 207-219.</w:t>
      </w:r>
    </w:p>
    <w:p w14:paraId="13FEE6A8" w14:textId="7DB00D49" w:rsidR="008553ED" w:rsidRDefault="008553ED" w:rsidP="0013091B">
      <w:pPr>
        <w:spacing w:line="240" w:lineRule="auto"/>
        <w:ind w:left="540" w:right="-142" w:hanging="540"/>
        <w:rPr>
          <w:bCs/>
          <w:sz w:val="22"/>
        </w:rPr>
      </w:pPr>
      <w:r w:rsidRPr="00B94635">
        <w:rPr>
          <w:bCs/>
          <w:sz w:val="22"/>
        </w:rPr>
        <w:t xml:space="preserve">Ulum, Ihyaul &amp; Ghozali, Imam &amp; Agus, Purwanto. (2014). </w:t>
      </w:r>
      <w:r w:rsidRPr="00B94635">
        <w:rPr>
          <w:bCs/>
          <w:i/>
          <w:sz w:val="22"/>
        </w:rPr>
        <w:t>Intellectual Capital Performance of Indonesian Banking Sector: A Modified VAIC (M-VAIC) Perspective. Asian Journal of Finance &amp; Accounting</w:t>
      </w:r>
      <w:r w:rsidRPr="00B94635">
        <w:rPr>
          <w:bCs/>
          <w:sz w:val="22"/>
        </w:rPr>
        <w:t>.</w:t>
      </w:r>
    </w:p>
    <w:p w14:paraId="4FC0C7F3" w14:textId="516A96D6" w:rsidR="008553ED" w:rsidRPr="008553ED" w:rsidRDefault="008553ED" w:rsidP="008553ED">
      <w:pPr>
        <w:spacing w:line="240" w:lineRule="auto"/>
        <w:ind w:left="540" w:right="-142" w:hanging="540"/>
        <w:rPr>
          <w:bCs/>
          <w:sz w:val="22"/>
        </w:rPr>
      </w:pPr>
      <w:r w:rsidRPr="008553ED">
        <w:rPr>
          <w:bCs/>
          <w:sz w:val="22"/>
        </w:rPr>
        <w:lastRenderedPageBreak/>
        <w:t>Imbas Pandemi Covid-19, Pendapatan Sektor Properti Turun 50 Persen. 29 Juli 2020.</w:t>
      </w:r>
      <w:r>
        <w:rPr>
          <w:bCs/>
          <w:sz w:val="22"/>
        </w:rPr>
        <w:t xml:space="preserve"> 25 Oktober 2022.</w:t>
      </w:r>
      <w:r w:rsidRPr="008553ED">
        <w:rPr>
          <w:bCs/>
          <w:sz w:val="22"/>
        </w:rPr>
        <w:t xml:space="preserve"> www.merdeka.com/uang/imbas-pandemi-covid-19-pendapatan-sektor-properti-turun-50-persen.html</w:t>
      </w:r>
    </w:p>
    <w:p w14:paraId="65FAA0E1" w14:textId="374CFB9B" w:rsidR="008553ED" w:rsidRDefault="008553ED" w:rsidP="008553ED">
      <w:pPr>
        <w:spacing w:line="240" w:lineRule="auto"/>
        <w:ind w:left="540" w:right="-142" w:hanging="540"/>
        <w:rPr>
          <w:bCs/>
          <w:sz w:val="22"/>
        </w:rPr>
      </w:pPr>
    </w:p>
    <w:p w14:paraId="2906325E" w14:textId="3F1FE483" w:rsidR="00056370" w:rsidRPr="008F2EE3" w:rsidRDefault="00421745" w:rsidP="0013091B">
      <w:pPr>
        <w:spacing w:line="240" w:lineRule="auto"/>
        <w:ind w:left="426" w:right="-142" w:hanging="426"/>
        <w:rPr>
          <w:sz w:val="22"/>
        </w:rPr>
        <w:sectPr w:rsidR="00056370" w:rsidRPr="008F2EE3" w:rsidSect="00E11104">
          <w:headerReference w:type="even" r:id="rId28"/>
          <w:headerReference w:type="default" r:id="rId29"/>
          <w:footerReference w:type="even" r:id="rId30"/>
          <w:type w:val="continuous"/>
          <w:pgSz w:w="11907" w:h="16839" w:code="9"/>
          <w:pgMar w:top="1701" w:right="1701" w:bottom="1701" w:left="1701" w:header="1134" w:footer="720" w:gutter="0"/>
          <w:cols w:space="340"/>
          <w:docGrid w:linePitch="360"/>
        </w:sectPr>
      </w:pPr>
      <w:r w:rsidRPr="008F2EE3">
        <w:rPr>
          <w:sz w:val="22"/>
        </w:rPr>
        <w:fldChar w:fldCharType="end"/>
      </w:r>
    </w:p>
    <w:p w14:paraId="26F3FC5D" w14:textId="77777777" w:rsidR="0073455D" w:rsidRPr="008F2EE3" w:rsidRDefault="0073455D" w:rsidP="0013091B">
      <w:pPr>
        <w:spacing w:line="240" w:lineRule="auto"/>
        <w:ind w:right="-142"/>
        <w:sectPr w:rsidR="0073455D" w:rsidRPr="008F2EE3" w:rsidSect="00600151">
          <w:headerReference w:type="even" r:id="rId31"/>
          <w:headerReference w:type="default" r:id="rId32"/>
          <w:type w:val="continuous"/>
          <w:pgSz w:w="11907" w:h="16839" w:code="9"/>
          <w:pgMar w:top="1701" w:right="1701" w:bottom="1701" w:left="1701" w:header="851" w:footer="709" w:gutter="0"/>
          <w:cols w:num="2" w:space="340"/>
          <w:docGrid w:linePitch="360"/>
        </w:sectPr>
      </w:pPr>
    </w:p>
    <w:p w14:paraId="676C5212" w14:textId="214523A6" w:rsidR="008553ED" w:rsidRPr="00CE3C32" w:rsidRDefault="008553ED" w:rsidP="008553ED">
      <w:pPr>
        <w:spacing w:line="240" w:lineRule="auto"/>
        <w:ind w:right="-142"/>
        <w:rPr>
          <w:bCs/>
          <w:sz w:val="22"/>
          <w:u w:val="single"/>
        </w:rPr>
      </w:pPr>
    </w:p>
    <w:p w14:paraId="7086AEF8" w14:textId="75BDDA57" w:rsidR="003E6882" w:rsidRPr="008F2EE3" w:rsidRDefault="003E6882" w:rsidP="0013091B">
      <w:pPr>
        <w:spacing w:line="240" w:lineRule="auto"/>
        <w:ind w:right="-142"/>
        <w:rPr>
          <w:sz w:val="22"/>
        </w:rPr>
      </w:pPr>
    </w:p>
    <w:sectPr w:rsidR="003E6882" w:rsidRPr="008F2EE3" w:rsidSect="00761DDF">
      <w:headerReference w:type="default" r:id="rId33"/>
      <w:type w:val="continuous"/>
      <w:pgSz w:w="11907" w:h="16839" w:code="9"/>
      <w:pgMar w:top="1701" w:right="1701" w:bottom="1701" w:left="1701" w:header="851" w:footer="709"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B03B7F" w14:textId="77777777" w:rsidR="00BB66B2" w:rsidRDefault="00BB66B2">
      <w:pPr>
        <w:spacing w:line="240" w:lineRule="auto"/>
      </w:pPr>
      <w:r>
        <w:separator/>
      </w:r>
    </w:p>
  </w:endnote>
  <w:endnote w:type="continuationSeparator" w:id="0">
    <w:p w14:paraId="2E8999E6" w14:textId="77777777" w:rsidR="00BB66B2" w:rsidRDefault="00BB66B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Ebrima">
    <w:panose1 w:val="02000000000000000000"/>
    <w:charset w:val="00"/>
    <w:family w:val="auto"/>
    <w:pitch w:val="variable"/>
    <w:sig w:usb0="A000005F" w:usb1="02000041" w:usb2="00000800" w:usb3="00000000" w:csb0="00000093"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3A3A9" w14:textId="77777777" w:rsidR="00032D04" w:rsidRDefault="00032D04">
    <w:pPr>
      <w:pStyle w:val="Footer"/>
    </w:pPr>
  </w:p>
  <w:p w14:paraId="4A2A7624" w14:textId="77777777" w:rsidR="00032D04" w:rsidRDefault="00032D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8F5EE" w14:textId="77777777" w:rsidR="00032D04" w:rsidRPr="00C66605" w:rsidRDefault="00032D04" w:rsidP="00934791">
    <w:pPr>
      <w:pStyle w:val="Header"/>
      <w:rPr>
        <w:rFonts w:ascii="Ebrima" w:hAnsi="Ebrima"/>
      </w:rPr>
    </w:pPr>
  </w:p>
  <w:p w14:paraId="37BF7CD5" w14:textId="77777777" w:rsidR="00032D04" w:rsidRDefault="00032D0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971DE" w14:textId="1B32223C" w:rsidR="00083EDE" w:rsidRDefault="00083EDE">
    <w:pPr>
      <w:pStyle w:val="Footer"/>
    </w:pPr>
  </w:p>
  <w:p w14:paraId="4C223D78" w14:textId="5A01C84D" w:rsidR="00083EDE" w:rsidRDefault="00083ED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F5383" w14:textId="77777777" w:rsidR="00083EDE" w:rsidRPr="00C66605" w:rsidRDefault="00083EDE" w:rsidP="00934791">
    <w:pPr>
      <w:pStyle w:val="Header"/>
      <w:rPr>
        <w:rFonts w:ascii="Ebrima" w:hAnsi="Ebrima"/>
      </w:rPr>
    </w:pPr>
  </w:p>
  <w:p w14:paraId="236394A5" w14:textId="77777777" w:rsidR="00083EDE" w:rsidRDefault="00083ED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474C3" w14:textId="7CDD92E4" w:rsidR="00083EDE" w:rsidRDefault="00083EDE" w:rsidP="00734487">
    <w:pPr>
      <w:pStyle w:val="Footer"/>
      <w:tabs>
        <w:tab w:val="clear" w:pos="4680"/>
        <w:tab w:val="clear" w:pos="9360"/>
        <w:tab w:val="left" w:pos="229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5723DC" w14:textId="77777777" w:rsidR="00BB66B2" w:rsidRDefault="00BB66B2">
      <w:pPr>
        <w:spacing w:line="240" w:lineRule="auto"/>
      </w:pPr>
      <w:r>
        <w:separator/>
      </w:r>
    </w:p>
  </w:footnote>
  <w:footnote w:type="continuationSeparator" w:id="0">
    <w:p w14:paraId="08AD1C5C" w14:textId="77777777" w:rsidR="00BB66B2" w:rsidRDefault="00BB66B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699721"/>
      <w:docPartObj>
        <w:docPartGallery w:val="Page Numbers (Top of Page)"/>
        <w:docPartUnique/>
      </w:docPartObj>
    </w:sdtPr>
    <w:sdtEndPr>
      <w:rPr>
        <w:noProof/>
      </w:rPr>
    </w:sdtEndPr>
    <w:sdtContent>
      <w:p w14:paraId="4FDCA9A4" w14:textId="77777777" w:rsidR="00032D04" w:rsidRDefault="00032D04">
        <w:pPr>
          <w:pStyle w:val="Header"/>
          <w:jc w:val="right"/>
        </w:pPr>
        <w:r>
          <w:fldChar w:fldCharType="begin"/>
        </w:r>
        <w:r>
          <w:instrText xml:space="preserve"> PAGE   \* MERGEFORMAT </w:instrText>
        </w:r>
        <w:r>
          <w:fldChar w:fldCharType="separate"/>
        </w:r>
        <w:r>
          <w:rPr>
            <w:noProof/>
          </w:rPr>
          <w:t>3</w:t>
        </w:r>
        <w:r>
          <w:rPr>
            <w:noProof/>
          </w:rPr>
          <w:fldChar w:fldCharType="end"/>
        </w:r>
      </w:p>
    </w:sdtContent>
  </w:sdt>
  <w:p w14:paraId="5F64C8F9" w14:textId="77777777" w:rsidR="00032D04" w:rsidRDefault="00032D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9260371"/>
      <w:docPartObj>
        <w:docPartGallery w:val="Page Numbers (Top of Page)"/>
        <w:docPartUnique/>
      </w:docPartObj>
    </w:sdtPr>
    <w:sdtEndPr>
      <w:rPr>
        <w:noProof/>
      </w:rPr>
    </w:sdtEndPr>
    <w:sdtContent>
      <w:p w14:paraId="45A42798" w14:textId="77777777" w:rsidR="00032D04" w:rsidRDefault="00032D04">
        <w:pPr>
          <w:pStyle w:val="Header"/>
          <w:jc w:val="right"/>
        </w:pPr>
        <w:r>
          <w:fldChar w:fldCharType="begin"/>
        </w:r>
        <w:r>
          <w:instrText xml:space="preserve"> PAGE   \* MERGEFORMAT </w:instrText>
        </w:r>
        <w:r>
          <w:fldChar w:fldCharType="separate"/>
        </w:r>
        <w:r>
          <w:rPr>
            <w:noProof/>
          </w:rPr>
          <w:t>10</w:t>
        </w:r>
        <w:r>
          <w:rPr>
            <w:noProof/>
          </w:rPr>
          <w:fldChar w:fldCharType="end"/>
        </w:r>
      </w:p>
    </w:sdtContent>
  </w:sdt>
  <w:p w14:paraId="458FC504" w14:textId="77777777" w:rsidR="00032D04" w:rsidRDefault="00032D0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1967356"/>
      <w:docPartObj>
        <w:docPartGallery w:val="Page Numbers (Top of Page)"/>
        <w:docPartUnique/>
      </w:docPartObj>
    </w:sdtPr>
    <w:sdtEndPr>
      <w:rPr>
        <w:noProof/>
      </w:rPr>
    </w:sdtEndPr>
    <w:sdtContent>
      <w:p w14:paraId="2B067EF8" w14:textId="0C6A200A" w:rsidR="00083EDE" w:rsidRDefault="00083EDE">
        <w:pPr>
          <w:pStyle w:val="Header"/>
          <w:jc w:val="right"/>
        </w:pPr>
        <w:r>
          <w:fldChar w:fldCharType="begin"/>
        </w:r>
        <w:r>
          <w:instrText xml:space="preserve"> PAGE   \* MERGEFORMAT </w:instrText>
        </w:r>
        <w:r>
          <w:fldChar w:fldCharType="separate"/>
        </w:r>
        <w:r>
          <w:rPr>
            <w:noProof/>
          </w:rPr>
          <w:t>3</w:t>
        </w:r>
        <w:r>
          <w:rPr>
            <w:noProof/>
          </w:rPr>
          <w:fldChar w:fldCharType="end"/>
        </w:r>
      </w:p>
    </w:sdtContent>
  </w:sdt>
  <w:p w14:paraId="3341A97D" w14:textId="77777777" w:rsidR="00083EDE" w:rsidRDefault="00083ED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3408168"/>
      <w:docPartObj>
        <w:docPartGallery w:val="Page Numbers (Top of Page)"/>
        <w:docPartUnique/>
      </w:docPartObj>
    </w:sdtPr>
    <w:sdtEndPr>
      <w:rPr>
        <w:noProof/>
      </w:rPr>
    </w:sdtEndPr>
    <w:sdtContent>
      <w:p w14:paraId="5F660C02" w14:textId="0D3A538D" w:rsidR="00083EDE" w:rsidRDefault="00083EDE">
        <w:pPr>
          <w:pStyle w:val="Header"/>
          <w:jc w:val="right"/>
        </w:pPr>
        <w:r>
          <w:fldChar w:fldCharType="begin"/>
        </w:r>
        <w:r>
          <w:instrText xml:space="preserve"> PAGE   \* MERGEFORMAT </w:instrText>
        </w:r>
        <w:r>
          <w:fldChar w:fldCharType="separate"/>
        </w:r>
        <w:r>
          <w:rPr>
            <w:noProof/>
          </w:rPr>
          <w:t>10</w:t>
        </w:r>
        <w:r>
          <w:rPr>
            <w:noProof/>
          </w:rPr>
          <w:fldChar w:fldCharType="end"/>
        </w:r>
      </w:p>
    </w:sdtContent>
  </w:sdt>
  <w:p w14:paraId="0B049242" w14:textId="77777777" w:rsidR="00083EDE" w:rsidRDefault="00083ED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8015491"/>
      <w:docPartObj>
        <w:docPartGallery w:val="Page Numbers (Top of Page)"/>
        <w:docPartUnique/>
      </w:docPartObj>
    </w:sdtPr>
    <w:sdtEndPr>
      <w:rPr>
        <w:noProof/>
        <w:color w:val="FFFFFF" w:themeColor="background1"/>
      </w:rPr>
    </w:sdtEndPr>
    <w:sdtContent>
      <w:p w14:paraId="607DE317" w14:textId="483DBA31" w:rsidR="00083EDE" w:rsidRPr="00803334" w:rsidRDefault="00083EDE" w:rsidP="00056370">
        <w:pPr>
          <w:pStyle w:val="Header"/>
          <w:tabs>
            <w:tab w:val="clear" w:pos="9360"/>
            <w:tab w:val="right" w:pos="9214"/>
          </w:tabs>
          <w:ind w:right="141"/>
          <w:jc w:val="right"/>
          <w:rPr>
            <w:color w:val="FFFFFF" w:themeColor="background1"/>
          </w:rPr>
        </w:pPr>
        <w:r w:rsidRPr="00803334">
          <w:rPr>
            <w:noProof/>
            <w:color w:val="FFFFFF" w:themeColor="background1"/>
          </w:rPr>
          <mc:AlternateContent>
            <mc:Choice Requires="wps">
              <w:drawing>
                <wp:anchor distT="45720" distB="45720" distL="114300" distR="114300" simplePos="0" relativeHeight="251659264" behindDoc="0" locked="0" layoutInCell="1" allowOverlap="1" wp14:anchorId="3676A817" wp14:editId="00BCC756">
                  <wp:simplePos x="0" y="0"/>
                  <wp:positionH relativeFrom="column">
                    <wp:posOffset>464572</wp:posOffset>
                  </wp:positionH>
                  <wp:positionV relativeFrom="paragraph">
                    <wp:posOffset>-19768</wp:posOffset>
                  </wp:positionV>
                  <wp:extent cx="4709795" cy="304800"/>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9795" cy="304800"/>
                          </a:xfrm>
                          <a:prstGeom prst="rect">
                            <a:avLst/>
                          </a:prstGeom>
                          <a:noFill/>
                          <a:ln w="9525">
                            <a:noFill/>
                            <a:miter lim="800000"/>
                            <a:headEnd/>
                            <a:tailEnd/>
                          </a:ln>
                        </wps:spPr>
                        <wps:txbx>
                          <w:txbxContent>
                            <w:p w14:paraId="4A53A42A" w14:textId="463BD228" w:rsidR="00083EDE" w:rsidRPr="00D406DC" w:rsidRDefault="00083EDE" w:rsidP="00D406DC">
                              <w:pPr>
                                <w:spacing w:line="240" w:lineRule="auto"/>
                                <w:jc w:val="right"/>
                                <w:rPr>
                                  <w:rFonts w:ascii="Ebrima" w:hAnsi="Ebrima"/>
                                  <w:color w:val="FFFFFF" w:themeColor="background1"/>
                                  <w:sz w:val="18"/>
                                  <w:szCs w:val="18"/>
                                  <w:lang w:val="en"/>
                                </w:rPr>
                              </w:pPr>
                              <w:r w:rsidRPr="00D406DC">
                                <w:rPr>
                                  <w:rFonts w:ascii="Ebrima" w:hAnsi="Ebrima"/>
                                  <w:color w:val="FFFFFF" w:themeColor="background1"/>
                                  <w:sz w:val="18"/>
                                  <w:szCs w:val="18"/>
                                  <w:lang w:val="en"/>
                                </w:rPr>
                                <w:t xml:space="preserve">The Influence </w:t>
                              </w:r>
                              <w:proofErr w:type="gramStart"/>
                              <w:r w:rsidRPr="00D406DC">
                                <w:rPr>
                                  <w:rFonts w:ascii="Ebrima" w:hAnsi="Ebrima"/>
                                  <w:color w:val="FFFFFF" w:themeColor="background1"/>
                                  <w:sz w:val="18"/>
                                  <w:szCs w:val="18"/>
                                  <w:lang w:val="en"/>
                                </w:rPr>
                                <w:t>Of</w:t>
                              </w:r>
                              <w:proofErr w:type="gramEnd"/>
                              <w:r w:rsidRPr="00D406DC">
                                <w:rPr>
                                  <w:rFonts w:ascii="Ebrima" w:hAnsi="Ebrima"/>
                                  <w:color w:val="FFFFFF" w:themeColor="background1"/>
                                  <w:sz w:val="18"/>
                                  <w:szCs w:val="18"/>
                                  <w:lang w:val="en"/>
                                </w:rPr>
                                <w:t xml:space="preserve"> Intellectual Capital And Firm Size On Profitability</w:t>
                              </w:r>
                            </w:p>
                            <w:p w14:paraId="1B3EF34E" w14:textId="2A40187C" w:rsidR="00083EDE" w:rsidRPr="00803334" w:rsidRDefault="00083EDE" w:rsidP="00803334">
                              <w:pPr>
                                <w:spacing w:line="240" w:lineRule="auto"/>
                                <w:jc w:val="right"/>
                                <w:rPr>
                                  <w:rFonts w:ascii="Ebrima" w:hAnsi="Ebrima"/>
                                  <w:color w:val="FFFFFF" w:themeColor="background1"/>
                                  <w:sz w:val="16"/>
                                  <w:szCs w:val="16"/>
                                </w:rPr>
                              </w:pPr>
                              <w:r>
                                <w:rPr>
                                  <w:rFonts w:ascii="Ebrima" w:hAnsi="Ebrima"/>
                                  <w:color w:val="FFFFFF" w:themeColor="background1"/>
                                  <w:sz w:val="16"/>
                                  <w:szCs w:val="16"/>
                                </w:rPr>
                                <w:t xml:space="preserve"> </w:t>
                              </w:r>
                            </w:p>
                            <w:p w14:paraId="21AA572D" w14:textId="77777777" w:rsidR="00083EDE" w:rsidRPr="00803334" w:rsidRDefault="00083EDE" w:rsidP="00056370">
                              <w:pPr>
                                <w:jc w:val="right"/>
                                <w:rPr>
                                  <w:color w:val="FFFFFF" w:themeColor="background1"/>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76A817" id="_x0000_t202" coordsize="21600,21600" o:spt="202" path="m,l,21600r21600,l21600,xe">
                  <v:stroke joinstyle="miter"/>
                  <v:path gradientshapeok="t" o:connecttype="rect"/>
                </v:shapetype>
                <v:shape id="_x0000_s1034" type="#_x0000_t202" style="position:absolute;left:0;text-align:left;margin-left:36.6pt;margin-top:-1.55pt;width:370.85pt;height:2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" filled="f" stroked="f">
                  <v:textbox>
                    <w:txbxContent>
                      <w:p w14:paraId="4A53A42A" w14:textId="463BD228" w:rsidR="00083EDE" w:rsidRPr="00D406DC" w:rsidRDefault="00083EDE" w:rsidP="00D406DC">
                        <w:pPr>
                          <w:spacing w:line="240" w:lineRule="auto"/>
                          <w:jc w:val="right"/>
                          <w:rPr>
                            <w:rFonts w:ascii="Ebrima" w:hAnsi="Ebrima"/>
                            <w:color w:val="FFFFFF" w:themeColor="background1"/>
                            <w:sz w:val="18"/>
                            <w:szCs w:val="18"/>
                            <w:lang w:val="en"/>
                          </w:rPr>
                        </w:pPr>
                        <w:r w:rsidRPr="00D406DC">
                          <w:rPr>
                            <w:rFonts w:ascii="Ebrima" w:hAnsi="Ebrima"/>
                            <w:color w:val="FFFFFF" w:themeColor="background1"/>
                            <w:sz w:val="18"/>
                            <w:szCs w:val="18"/>
                            <w:lang w:val="en"/>
                          </w:rPr>
                          <w:t xml:space="preserve">The Influence </w:t>
                        </w:r>
                        <w:proofErr w:type="gramStart"/>
                        <w:r w:rsidRPr="00D406DC">
                          <w:rPr>
                            <w:rFonts w:ascii="Ebrima" w:hAnsi="Ebrima"/>
                            <w:color w:val="FFFFFF" w:themeColor="background1"/>
                            <w:sz w:val="18"/>
                            <w:szCs w:val="18"/>
                            <w:lang w:val="en"/>
                          </w:rPr>
                          <w:t>Of</w:t>
                        </w:r>
                        <w:proofErr w:type="gramEnd"/>
                        <w:r w:rsidRPr="00D406DC">
                          <w:rPr>
                            <w:rFonts w:ascii="Ebrima" w:hAnsi="Ebrima"/>
                            <w:color w:val="FFFFFF" w:themeColor="background1"/>
                            <w:sz w:val="18"/>
                            <w:szCs w:val="18"/>
                            <w:lang w:val="en"/>
                          </w:rPr>
                          <w:t xml:space="preserve"> Intellectual Capital And Firm Size On Profitability</w:t>
                        </w:r>
                      </w:p>
                      <w:p w14:paraId="1B3EF34E" w14:textId="2A40187C" w:rsidR="00083EDE" w:rsidRPr="00803334" w:rsidRDefault="00083EDE" w:rsidP="00803334">
                        <w:pPr>
                          <w:spacing w:line="240" w:lineRule="auto"/>
                          <w:jc w:val="right"/>
                          <w:rPr>
                            <w:rFonts w:ascii="Ebrima" w:hAnsi="Ebrima"/>
                            <w:color w:val="FFFFFF" w:themeColor="background1"/>
                            <w:sz w:val="16"/>
                            <w:szCs w:val="16"/>
                          </w:rPr>
                        </w:pPr>
                        <w:r>
                          <w:rPr>
                            <w:rFonts w:ascii="Ebrima" w:hAnsi="Ebrima"/>
                            <w:color w:val="FFFFFF" w:themeColor="background1"/>
                            <w:sz w:val="16"/>
                            <w:szCs w:val="16"/>
                          </w:rPr>
                          <w:t xml:space="preserve"> </w:t>
                        </w:r>
                      </w:p>
                      <w:p w14:paraId="21AA572D" w14:textId="77777777" w:rsidR="00083EDE" w:rsidRPr="00803334" w:rsidRDefault="00083EDE" w:rsidP="00056370">
                        <w:pPr>
                          <w:jc w:val="right"/>
                          <w:rPr>
                            <w:color w:val="FFFFFF" w:themeColor="background1"/>
                            <w:sz w:val="20"/>
                          </w:rPr>
                        </w:pPr>
                      </w:p>
                    </w:txbxContent>
                  </v:textbox>
                </v:shape>
              </w:pict>
            </mc:Fallback>
          </mc:AlternateContent>
        </w:r>
        <w:r w:rsidRPr="00803334">
          <w:rPr>
            <w:noProof/>
            <w:color w:val="FFFFFF" w:themeColor="background1"/>
          </w:rPr>
          <mc:AlternateContent>
            <mc:Choice Requires="wps">
              <w:drawing>
                <wp:anchor distT="45720" distB="45720" distL="114300" distR="114300" simplePos="0" relativeHeight="251666944" behindDoc="1" locked="0" layoutInCell="1" allowOverlap="1" wp14:anchorId="37C4E29F" wp14:editId="1021D4F2">
                  <wp:simplePos x="0" y="0"/>
                  <wp:positionH relativeFrom="column">
                    <wp:posOffset>-3810</wp:posOffset>
                  </wp:positionH>
                  <wp:positionV relativeFrom="paragraph">
                    <wp:posOffset>-120015</wp:posOffset>
                  </wp:positionV>
                  <wp:extent cx="5676900" cy="405130"/>
                  <wp:effectExtent l="0" t="0" r="19050" b="1397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405130"/>
                          </a:xfrm>
                          <a:prstGeom prst="rect">
                            <a:avLst/>
                          </a:prstGeom>
                          <a:solidFill>
                            <a:srgbClr val="C00000"/>
                          </a:solidFill>
                          <a:ln w="9525">
                            <a:solidFill>
                              <a:schemeClr val="tx1"/>
                            </a:solidFill>
                            <a:miter lim="800000"/>
                            <a:headEnd/>
                            <a:tailEnd/>
                          </a:ln>
                        </wps:spPr>
                        <wps:txbx>
                          <w:txbxContent>
                            <w:p w14:paraId="085FD0AE" w14:textId="24B6FE1A" w:rsidR="00083EDE" w:rsidRPr="00803334" w:rsidRDefault="00083EDE" w:rsidP="00803334">
                              <w:pPr>
                                <w:spacing w:line="240" w:lineRule="auto"/>
                                <w:jc w:val="right"/>
                                <w:rPr>
                                  <w:rFonts w:ascii="Ebrima" w:hAnsi="Ebrima"/>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C4E29F" id="_x0000_s1035" type="#_x0000_t202" style="position:absolute;left:0;text-align:left;margin-left:-.3pt;margin-top:-9.45pt;width:447pt;height:31.9pt;z-index:-2516495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" fillcolor="#c00000" strokecolor="black [3213]">
                  <v:textbox>
                    <w:txbxContent>
                      <w:p w14:paraId="085FD0AE" w14:textId="24B6FE1A" w:rsidR="00083EDE" w:rsidRPr="00803334" w:rsidRDefault="00083EDE" w:rsidP="00803334">
                        <w:pPr>
                          <w:spacing w:line="240" w:lineRule="auto"/>
                          <w:jc w:val="right"/>
                          <w:rPr>
                            <w:rFonts w:ascii="Ebrima" w:hAnsi="Ebrima"/>
                            <w:sz w:val="16"/>
                            <w:szCs w:val="16"/>
                          </w:rPr>
                        </w:pPr>
                      </w:p>
                    </w:txbxContent>
                  </v:textbox>
                </v:shape>
              </w:pict>
            </mc:Fallback>
          </mc:AlternateContent>
        </w:r>
        <w:r w:rsidRPr="00803334">
          <w:rPr>
            <w:color w:val="FFFFFF" w:themeColor="background1"/>
          </w:rPr>
          <w:fldChar w:fldCharType="begin"/>
        </w:r>
        <w:r w:rsidRPr="00803334">
          <w:rPr>
            <w:color w:val="FFFFFF" w:themeColor="background1"/>
          </w:rPr>
          <w:instrText xml:space="preserve"> PAGE   \* MERGEFORMAT </w:instrText>
        </w:r>
        <w:r w:rsidRPr="00803334">
          <w:rPr>
            <w:color w:val="FFFFFF" w:themeColor="background1"/>
          </w:rPr>
          <w:fldChar w:fldCharType="separate"/>
        </w:r>
        <w:r w:rsidR="009D7701">
          <w:rPr>
            <w:noProof/>
            <w:color w:val="FFFFFF" w:themeColor="background1"/>
          </w:rPr>
          <w:t>18</w:t>
        </w:r>
        <w:r w:rsidRPr="00803334">
          <w:rPr>
            <w:noProof/>
            <w:color w:val="FFFFFF" w:themeColor="background1"/>
          </w:rPr>
          <w:fldChar w:fldCharType="end"/>
        </w:r>
      </w:p>
    </w:sdtContent>
  </w:sdt>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046676"/>
      <w:docPartObj>
        <w:docPartGallery w:val="Page Numbers (Top of Page)"/>
        <w:docPartUnique/>
      </w:docPartObj>
    </w:sdtPr>
    <w:sdtEndPr>
      <w:rPr>
        <w:noProof/>
        <w:color w:val="FFFFFF" w:themeColor="background1"/>
      </w:rPr>
    </w:sdtEndPr>
    <w:sdtContent>
      <w:p w14:paraId="623C8715" w14:textId="047E3A3E" w:rsidR="00083EDE" w:rsidRPr="00803334" w:rsidRDefault="00083EDE">
        <w:pPr>
          <w:pStyle w:val="Header"/>
          <w:jc w:val="right"/>
          <w:rPr>
            <w:color w:val="FFFFFF" w:themeColor="background1"/>
          </w:rPr>
        </w:pPr>
        <w:r>
          <w:rPr>
            <w:noProof/>
            <w:color w:val="FFFFFF" w:themeColor="background1"/>
          </w:rPr>
          <mc:AlternateContent>
            <mc:Choice Requires="wps">
              <w:drawing>
                <wp:anchor distT="0" distB="0" distL="114300" distR="114300" simplePos="0" relativeHeight="251673600" behindDoc="0" locked="0" layoutInCell="1" allowOverlap="1" wp14:anchorId="06DC8D71" wp14:editId="55CD4146">
                  <wp:simplePos x="0" y="0"/>
                  <wp:positionH relativeFrom="column">
                    <wp:posOffset>4291965</wp:posOffset>
                  </wp:positionH>
                  <wp:positionV relativeFrom="paragraph">
                    <wp:posOffset>-145679</wp:posOffset>
                  </wp:positionV>
                  <wp:extent cx="1476375" cy="342900"/>
                  <wp:effectExtent l="0" t="0" r="0" b="0"/>
                  <wp:wrapNone/>
                  <wp:docPr id="16" name="Text Box 16"/>
                  <wp:cNvGraphicFramePr/>
                  <a:graphic xmlns:a="http://schemas.openxmlformats.org/drawingml/2006/main">
                    <a:graphicData uri="http://schemas.microsoft.com/office/word/2010/wordprocessingShape">
                      <wps:wsp>
                        <wps:cNvSpPr txBox="1"/>
                        <wps:spPr>
                          <a:xfrm>
                            <a:off x="0" y="0"/>
                            <a:ext cx="1476375" cy="342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BEEAD73" w14:textId="1B7658D8" w:rsidR="00083EDE" w:rsidRPr="00B94635" w:rsidRDefault="00083EDE" w:rsidP="00B94635">
                              <w:pPr>
                                <w:spacing w:line="240" w:lineRule="auto"/>
                                <w:rPr>
                                  <w:color w:val="FFFFFF" w:themeColor="background1"/>
                                  <w:sz w:val="18"/>
                                  <w:szCs w:val="18"/>
                                </w:rPr>
                              </w:pPr>
                              <w:proofErr w:type="spellStart"/>
                              <w:r w:rsidRPr="00B94635">
                                <w:rPr>
                                  <w:color w:val="FFFFFF" w:themeColor="background1"/>
                                  <w:sz w:val="18"/>
                                  <w:szCs w:val="18"/>
                                </w:rPr>
                                <w:t>Ruslina</w:t>
                              </w:r>
                              <w:proofErr w:type="spellEnd"/>
                              <w:r w:rsidRPr="00B94635">
                                <w:rPr>
                                  <w:color w:val="FFFFFF" w:themeColor="background1"/>
                                  <w:sz w:val="18"/>
                                  <w:szCs w:val="18"/>
                                </w:rPr>
                                <w:t xml:space="preserve"> </w:t>
                              </w:r>
                              <w:proofErr w:type="spellStart"/>
                              <w:r w:rsidRPr="00B94635">
                                <w:rPr>
                                  <w:color w:val="FFFFFF" w:themeColor="background1"/>
                                  <w:sz w:val="18"/>
                                  <w:szCs w:val="18"/>
                                </w:rPr>
                                <w:t>Lisda</w:t>
                              </w:r>
                              <w:proofErr w:type="spellEnd"/>
                            </w:p>
                            <w:p w14:paraId="263B07D9" w14:textId="34C7B4F0" w:rsidR="00083EDE" w:rsidRPr="00B94635" w:rsidRDefault="00083EDE" w:rsidP="00B94635">
                              <w:pPr>
                                <w:spacing w:line="240" w:lineRule="auto"/>
                                <w:rPr>
                                  <w:color w:val="FFFFFF" w:themeColor="background1"/>
                                  <w:sz w:val="18"/>
                                  <w:szCs w:val="18"/>
                                </w:rPr>
                              </w:pPr>
                              <w:r w:rsidRPr="00B94635">
                                <w:rPr>
                                  <w:color w:val="FFFFFF" w:themeColor="background1"/>
                                  <w:sz w:val="18"/>
                                  <w:szCs w:val="18"/>
                                </w:rPr>
                                <w:t>Anthony</w:t>
                              </w:r>
                            </w:p>
                            <w:p w14:paraId="6C751B06" w14:textId="77777777" w:rsidR="00083EDE" w:rsidRPr="00CA1A18" w:rsidRDefault="00083EDE">
                              <w:pPr>
                                <w:rPr>
                                  <w:color w:val="FFFFFF" w:themeColor="background1"/>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6DC8D71" id="_x0000_t202" coordsize="21600,21600" o:spt="202" path="m,l,21600r21600,l21600,xe">
                  <v:stroke joinstyle="miter"/>
                  <v:path gradientshapeok="t" o:connecttype="rect"/>
                </v:shapetype>
                <v:shape id="Text Box 16" o:spid="_x0000_s1036" type="#_x0000_t202" style="position:absolute;left:0;text-align:left;margin-left:337.95pt;margin-top:-11.45pt;width:116.25pt;height:27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" filled="f" stroked="f" strokeweight=".5pt">
                  <v:textbox>
                    <w:txbxContent>
                      <w:p w14:paraId="1BEEAD73" w14:textId="1B7658D8" w:rsidR="00083EDE" w:rsidRPr="00B94635" w:rsidRDefault="00083EDE" w:rsidP="00B94635">
                        <w:pPr>
                          <w:spacing w:line="240" w:lineRule="auto"/>
                          <w:rPr>
                            <w:color w:val="FFFFFF" w:themeColor="background1"/>
                            <w:sz w:val="18"/>
                            <w:szCs w:val="18"/>
                          </w:rPr>
                        </w:pPr>
                        <w:r w:rsidRPr="00B94635">
                          <w:rPr>
                            <w:color w:val="FFFFFF" w:themeColor="background1"/>
                            <w:sz w:val="18"/>
                            <w:szCs w:val="18"/>
                          </w:rPr>
                          <w:t>Ruslina Lisda</w:t>
                        </w:r>
                      </w:p>
                      <w:p w14:paraId="263B07D9" w14:textId="34C7B4F0" w:rsidR="00083EDE" w:rsidRPr="00B94635" w:rsidRDefault="00083EDE" w:rsidP="00B94635">
                        <w:pPr>
                          <w:spacing w:line="240" w:lineRule="auto"/>
                          <w:rPr>
                            <w:color w:val="FFFFFF" w:themeColor="background1"/>
                            <w:sz w:val="18"/>
                            <w:szCs w:val="18"/>
                          </w:rPr>
                        </w:pPr>
                        <w:r w:rsidRPr="00B94635">
                          <w:rPr>
                            <w:color w:val="FFFFFF" w:themeColor="background1"/>
                            <w:sz w:val="18"/>
                            <w:szCs w:val="18"/>
                          </w:rPr>
                          <w:t>Anthony</w:t>
                        </w:r>
                      </w:p>
                      <w:p w14:paraId="6C751B06" w14:textId="77777777" w:rsidR="00083EDE" w:rsidRPr="00CA1A18" w:rsidRDefault="00083EDE">
                        <w:pPr>
                          <w:rPr>
                            <w:color w:val="FFFFFF" w:themeColor="background1"/>
                            <w:sz w:val="18"/>
                          </w:rPr>
                        </w:pPr>
                      </w:p>
                    </w:txbxContent>
                  </v:textbox>
                </v:shape>
              </w:pict>
            </mc:Fallback>
          </mc:AlternateContent>
        </w:r>
        <w:r w:rsidRPr="00803334">
          <w:rPr>
            <w:noProof/>
            <w:color w:val="FFFFFF" w:themeColor="background1"/>
          </w:rPr>
          <mc:AlternateContent>
            <mc:Choice Requires="wps">
              <w:drawing>
                <wp:anchor distT="45720" distB="45720" distL="114300" distR="114300" simplePos="0" relativeHeight="251673088" behindDoc="1" locked="0" layoutInCell="1" allowOverlap="1" wp14:anchorId="5C48C247" wp14:editId="753B7C73">
                  <wp:simplePos x="0" y="0"/>
                  <wp:positionH relativeFrom="column">
                    <wp:posOffset>-156210</wp:posOffset>
                  </wp:positionH>
                  <wp:positionV relativeFrom="paragraph">
                    <wp:posOffset>-148590</wp:posOffset>
                  </wp:positionV>
                  <wp:extent cx="5676900" cy="405130"/>
                  <wp:effectExtent l="0" t="0" r="12700" b="1397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405130"/>
                          </a:xfrm>
                          <a:prstGeom prst="rect">
                            <a:avLst/>
                          </a:prstGeom>
                          <a:solidFill>
                            <a:srgbClr val="C00000"/>
                          </a:solidFill>
                          <a:ln w="9525">
                            <a:solidFill>
                              <a:schemeClr val="tx1"/>
                            </a:solidFill>
                            <a:miter lim="800000"/>
                            <a:headEnd/>
                            <a:tailEnd/>
                          </a:ln>
                        </wps:spPr>
                        <wps:txbx>
                          <w:txbxContent>
                            <w:p w14:paraId="760FB4C5" w14:textId="3FF9DB46" w:rsidR="00083EDE" w:rsidRDefault="00083EDE" w:rsidP="00803334">
                              <w:pPr>
                                <w:spacing w:line="240" w:lineRule="auto"/>
                                <w:jc w:val="left"/>
                                <w:rPr>
                                  <w:rFonts w:ascii="Ebrima" w:hAnsi="Ebrima"/>
                                  <w:sz w:val="16"/>
                                  <w:szCs w:val="16"/>
                                </w:rPr>
                              </w:pPr>
                              <w:proofErr w:type="spellStart"/>
                              <w:r>
                                <w:rPr>
                                  <w:rFonts w:ascii="Ebrima" w:hAnsi="Ebrima"/>
                                  <w:sz w:val="16"/>
                                  <w:szCs w:val="16"/>
                                </w:rPr>
                                <w:t>Jurnal</w:t>
                              </w:r>
                              <w:proofErr w:type="spellEnd"/>
                              <w:r>
                                <w:rPr>
                                  <w:rFonts w:ascii="Ebrima" w:hAnsi="Ebrima"/>
                                  <w:sz w:val="16"/>
                                  <w:szCs w:val="16"/>
                                </w:rPr>
                                <w:t xml:space="preserve"> </w:t>
                              </w:r>
                              <w:proofErr w:type="spellStart"/>
                              <w:r>
                                <w:rPr>
                                  <w:rFonts w:ascii="Ebrima" w:hAnsi="Ebrima"/>
                                  <w:sz w:val="16"/>
                                  <w:szCs w:val="16"/>
                                </w:rPr>
                                <w:t>Riset</w:t>
                              </w:r>
                              <w:proofErr w:type="spellEnd"/>
                              <w:r>
                                <w:rPr>
                                  <w:rFonts w:ascii="Ebrima" w:hAnsi="Ebrima"/>
                                  <w:sz w:val="16"/>
                                  <w:szCs w:val="16"/>
                                </w:rPr>
                                <w:t xml:space="preserve"> </w:t>
                              </w:r>
                              <w:proofErr w:type="spellStart"/>
                              <w:r>
                                <w:rPr>
                                  <w:rFonts w:ascii="Ebrima" w:hAnsi="Ebrima"/>
                                  <w:sz w:val="16"/>
                                  <w:szCs w:val="16"/>
                                </w:rPr>
                                <w:t>Akuntansi</w:t>
                              </w:r>
                              <w:proofErr w:type="spellEnd"/>
                              <w:r>
                                <w:rPr>
                                  <w:rFonts w:ascii="Ebrima" w:hAnsi="Ebrima"/>
                                  <w:sz w:val="16"/>
                                  <w:szCs w:val="16"/>
                                </w:rPr>
                                <w:t xml:space="preserve"> </w:t>
                              </w:r>
                              <w:proofErr w:type="spellStart"/>
                              <w:r>
                                <w:rPr>
                                  <w:rFonts w:ascii="Ebrima" w:hAnsi="Ebrima"/>
                                  <w:sz w:val="16"/>
                                  <w:szCs w:val="16"/>
                                </w:rPr>
                                <w:t>Kontemporer</w:t>
                              </w:r>
                              <w:proofErr w:type="spellEnd"/>
                            </w:p>
                            <w:p w14:paraId="2EE5C66C" w14:textId="49EB9579" w:rsidR="00083EDE" w:rsidRPr="00803334" w:rsidRDefault="00083EDE" w:rsidP="00803334">
                              <w:pPr>
                                <w:spacing w:line="240" w:lineRule="auto"/>
                                <w:jc w:val="left"/>
                                <w:rPr>
                                  <w:rFonts w:ascii="Ebrima" w:hAnsi="Ebrima"/>
                                  <w:sz w:val="16"/>
                                  <w:szCs w:val="16"/>
                                </w:rPr>
                              </w:pPr>
                              <w:r>
                                <w:rPr>
                                  <w:rFonts w:ascii="Ebrima" w:hAnsi="Ebrima"/>
                                  <w:sz w:val="16"/>
                                  <w:szCs w:val="16"/>
                                </w:rPr>
                                <w:t xml:space="preserve">Volume </w:t>
                              </w:r>
                              <w:r w:rsidR="00032D04">
                                <w:rPr>
                                  <w:rFonts w:ascii="Ebrima" w:hAnsi="Ebrima"/>
                                  <w:sz w:val="16"/>
                                  <w:szCs w:val="16"/>
                                </w:rPr>
                                <w:t>15</w:t>
                              </w:r>
                              <w:r>
                                <w:rPr>
                                  <w:rFonts w:ascii="Ebrima" w:hAnsi="Ebrima"/>
                                  <w:sz w:val="16"/>
                                  <w:szCs w:val="16"/>
                                </w:rPr>
                                <w:t xml:space="preserve"> No. </w:t>
                              </w:r>
                              <w:r w:rsidR="00032D04">
                                <w:rPr>
                                  <w:rFonts w:ascii="Ebrima" w:hAnsi="Ebrima"/>
                                  <w:sz w:val="16"/>
                                  <w:szCs w:val="16"/>
                                </w:rPr>
                                <w:t>2</w:t>
                              </w:r>
                              <w:r>
                                <w:rPr>
                                  <w:rFonts w:ascii="Ebrima" w:hAnsi="Ebrima"/>
                                  <w:sz w:val="16"/>
                                  <w:szCs w:val="16"/>
                                </w:rPr>
                                <w:t xml:space="preserve"> </w:t>
                              </w:r>
                              <w:proofErr w:type="spellStart"/>
                              <w:r>
                                <w:rPr>
                                  <w:rFonts w:ascii="Ebrima" w:hAnsi="Ebrima"/>
                                  <w:sz w:val="16"/>
                                  <w:szCs w:val="16"/>
                                </w:rPr>
                                <w:t>Oktober</w:t>
                              </w:r>
                              <w:proofErr w:type="spellEnd"/>
                              <w:r>
                                <w:rPr>
                                  <w:rFonts w:ascii="Ebrima" w:hAnsi="Ebrima"/>
                                  <w:sz w:val="16"/>
                                  <w:szCs w:val="16"/>
                                </w:rPr>
                                <w:t xml:space="preserve"> 202</w:t>
                              </w:r>
                              <w:r w:rsidR="00032D04">
                                <w:rPr>
                                  <w:rFonts w:ascii="Ebrima" w:hAnsi="Ebrima"/>
                                  <w:sz w:val="16"/>
                                  <w:szCs w:val="16"/>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48C247" id="_x0000_t202" coordsize="21600,21600" o:spt="202" path="m,l,21600r21600,l21600,xe">
                  <v:stroke joinstyle="miter"/>
                  <v:path gradientshapeok="t" o:connecttype="rect"/>
                </v:shapetype>
                <v:shape id="_x0000_s1037" type="#_x0000_t202" style="position:absolute;left:0;text-align:left;margin-left:-12.3pt;margin-top:-11.7pt;width:447pt;height:31.9pt;z-index:-2516433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" fillcolor="#c00000" strokecolor="black [3213]">
                  <v:textbox>
                    <w:txbxContent>
                      <w:p w14:paraId="760FB4C5" w14:textId="3FF9DB46" w:rsidR="00083EDE" w:rsidRDefault="00083EDE" w:rsidP="00803334">
                        <w:pPr>
                          <w:spacing w:line="240" w:lineRule="auto"/>
                          <w:jc w:val="left"/>
                          <w:rPr>
                            <w:rFonts w:ascii="Ebrima" w:hAnsi="Ebrima"/>
                            <w:sz w:val="16"/>
                            <w:szCs w:val="16"/>
                          </w:rPr>
                        </w:pPr>
                        <w:proofErr w:type="spellStart"/>
                        <w:r>
                          <w:rPr>
                            <w:rFonts w:ascii="Ebrima" w:hAnsi="Ebrima"/>
                            <w:sz w:val="16"/>
                            <w:szCs w:val="16"/>
                          </w:rPr>
                          <w:t>Jurnal</w:t>
                        </w:r>
                        <w:proofErr w:type="spellEnd"/>
                        <w:r>
                          <w:rPr>
                            <w:rFonts w:ascii="Ebrima" w:hAnsi="Ebrima"/>
                            <w:sz w:val="16"/>
                            <w:szCs w:val="16"/>
                          </w:rPr>
                          <w:t xml:space="preserve"> </w:t>
                        </w:r>
                        <w:proofErr w:type="spellStart"/>
                        <w:r>
                          <w:rPr>
                            <w:rFonts w:ascii="Ebrima" w:hAnsi="Ebrima"/>
                            <w:sz w:val="16"/>
                            <w:szCs w:val="16"/>
                          </w:rPr>
                          <w:t>Riset</w:t>
                        </w:r>
                        <w:proofErr w:type="spellEnd"/>
                        <w:r>
                          <w:rPr>
                            <w:rFonts w:ascii="Ebrima" w:hAnsi="Ebrima"/>
                            <w:sz w:val="16"/>
                            <w:szCs w:val="16"/>
                          </w:rPr>
                          <w:t xml:space="preserve"> </w:t>
                        </w:r>
                        <w:proofErr w:type="spellStart"/>
                        <w:r>
                          <w:rPr>
                            <w:rFonts w:ascii="Ebrima" w:hAnsi="Ebrima"/>
                            <w:sz w:val="16"/>
                            <w:szCs w:val="16"/>
                          </w:rPr>
                          <w:t>Akuntansi</w:t>
                        </w:r>
                        <w:proofErr w:type="spellEnd"/>
                        <w:r>
                          <w:rPr>
                            <w:rFonts w:ascii="Ebrima" w:hAnsi="Ebrima"/>
                            <w:sz w:val="16"/>
                            <w:szCs w:val="16"/>
                          </w:rPr>
                          <w:t xml:space="preserve"> </w:t>
                        </w:r>
                        <w:proofErr w:type="spellStart"/>
                        <w:r>
                          <w:rPr>
                            <w:rFonts w:ascii="Ebrima" w:hAnsi="Ebrima"/>
                            <w:sz w:val="16"/>
                            <w:szCs w:val="16"/>
                          </w:rPr>
                          <w:t>Kontemporer</w:t>
                        </w:r>
                        <w:proofErr w:type="spellEnd"/>
                      </w:p>
                      <w:p w14:paraId="2EE5C66C" w14:textId="49EB9579" w:rsidR="00083EDE" w:rsidRPr="00803334" w:rsidRDefault="00083EDE" w:rsidP="00803334">
                        <w:pPr>
                          <w:spacing w:line="240" w:lineRule="auto"/>
                          <w:jc w:val="left"/>
                          <w:rPr>
                            <w:rFonts w:ascii="Ebrima" w:hAnsi="Ebrima"/>
                            <w:sz w:val="16"/>
                            <w:szCs w:val="16"/>
                          </w:rPr>
                        </w:pPr>
                        <w:r>
                          <w:rPr>
                            <w:rFonts w:ascii="Ebrima" w:hAnsi="Ebrima"/>
                            <w:sz w:val="16"/>
                            <w:szCs w:val="16"/>
                          </w:rPr>
                          <w:t xml:space="preserve">Volume </w:t>
                        </w:r>
                        <w:r w:rsidR="00032D04">
                          <w:rPr>
                            <w:rFonts w:ascii="Ebrima" w:hAnsi="Ebrima"/>
                            <w:sz w:val="16"/>
                            <w:szCs w:val="16"/>
                          </w:rPr>
                          <w:t>15</w:t>
                        </w:r>
                        <w:r>
                          <w:rPr>
                            <w:rFonts w:ascii="Ebrima" w:hAnsi="Ebrima"/>
                            <w:sz w:val="16"/>
                            <w:szCs w:val="16"/>
                          </w:rPr>
                          <w:t xml:space="preserve"> No. </w:t>
                        </w:r>
                        <w:r w:rsidR="00032D04">
                          <w:rPr>
                            <w:rFonts w:ascii="Ebrima" w:hAnsi="Ebrima"/>
                            <w:sz w:val="16"/>
                            <w:szCs w:val="16"/>
                          </w:rPr>
                          <w:t>2</w:t>
                        </w:r>
                        <w:r>
                          <w:rPr>
                            <w:rFonts w:ascii="Ebrima" w:hAnsi="Ebrima"/>
                            <w:sz w:val="16"/>
                            <w:szCs w:val="16"/>
                          </w:rPr>
                          <w:t xml:space="preserve"> </w:t>
                        </w:r>
                        <w:proofErr w:type="spellStart"/>
                        <w:r>
                          <w:rPr>
                            <w:rFonts w:ascii="Ebrima" w:hAnsi="Ebrima"/>
                            <w:sz w:val="16"/>
                            <w:szCs w:val="16"/>
                          </w:rPr>
                          <w:t>Oktober</w:t>
                        </w:r>
                        <w:proofErr w:type="spellEnd"/>
                        <w:r>
                          <w:rPr>
                            <w:rFonts w:ascii="Ebrima" w:hAnsi="Ebrima"/>
                            <w:sz w:val="16"/>
                            <w:szCs w:val="16"/>
                          </w:rPr>
                          <w:t xml:space="preserve"> 202</w:t>
                        </w:r>
                        <w:r w:rsidR="00032D04">
                          <w:rPr>
                            <w:rFonts w:ascii="Ebrima" w:hAnsi="Ebrima"/>
                            <w:sz w:val="16"/>
                            <w:szCs w:val="16"/>
                          </w:rPr>
                          <w:t>3</w:t>
                        </w:r>
                      </w:p>
                    </w:txbxContent>
                  </v:textbox>
                </v:shape>
              </w:pict>
            </mc:Fallback>
          </mc:AlternateContent>
        </w:r>
        <w:r w:rsidRPr="00803334">
          <w:rPr>
            <w:color w:val="FFFFFF" w:themeColor="background1"/>
          </w:rPr>
          <w:fldChar w:fldCharType="begin"/>
        </w:r>
        <w:r w:rsidRPr="00803334">
          <w:rPr>
            <w:color w:val="FFFFFF" w:themeColor="background1"/>
          </w:rPr>
          <w:instrText xml:space="preserve"> PAGE   \* MERGEFORMAT </w:instrText>
        </w:r>
        <w:r w:rsidRPr="00803334">
          <w:rPr>
            <w:color w:val="FFFFFF" w:themeColor="background1"/>
          </w:rPr>
          <w:fldChar w:fldCharType="separate"/>
        </w:r>
        <w:r w:rsidR="009D7701">
          <w:rPr>
            <w:noProof/>
            <w:color w:val="FFFFFF" w:themeColor="background1"/>
          </w:rPr>
          <w:t>19</w:t>
        </w:r>
        <w:r w:rsidRPr="00803334">
          <w:rPr>
            <w:noProof/>
            <w:color w:val="FFFFFF" w:themeColor="background1"/>
          </w:rPr>
          <w:fldChar w:fldCharType="end"/>
        </w:r>
      </w:p>
    </w:sdtContent>
  </w:sdt>
  <w:p w14:paraId="6B546B3B" w14:textId="59350638" w:rsidR="00083EDE" w:rsidRDefault="00083EDE">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4647145"/>
      <w:docPartObj>
        <w:docPartGallery w:val="Page Numbers (Top of Page)"/>
        <w:docPartUnique/>
      </w:docPartObj>
    </w:sdtPr>
    <w:sdtEndPr>
      <w:rPr>
        <w:noProof/>
      </w:rPr>
    </w:sdtEndPr>
    <w:sdtContent>
      <w:p w14:paraId="15097E7E" w14:textId="2B88F63F" w:rsidR="00083EDE" w:rsidRDefault="00083EDE" w:rsidP="00FF1C59">
        <w:pPr>
          <w:pStyle w:val="Header"/>
          <w:tabs>
            <w:tab w:val="clear" w:pos="9360"/>
            <w:tab w:val="right" w:pos="9214"/>
          </w:tabs>
          <w:ind w:right="141"/>
          <w:jc w:val="right"/>
        </w:pPr>
        <w:r>
          <w:rPr>
            <w:noProof/>
          </w:rPr>
          <mc:AlternateContent>
            <mc:Choice Requires="wps">
              <w:drawing>
                <wp:anchor distT="45720" distB="45720" distL="114300" distR="114300" simplePos="0" relativeHeight="251666432" behindDoc="0" locked="0" layoutInCell="1" allowOverlap="1" wp14:anchorId="2DE4F33B" wp14:editId="00313B75">
                  <wp:simplePos x="0" y="0"/>
                  <wp:positionH relativeFrom="column">
                    <wp:posOffset>2819400</wp:posOffset>
                  </wp:positionH>
                  <wp:positionV relativeFrom="paragraph">
                    <wp:posOffset>-288290</wp:posOffset>
                  </wp:positionV>
                  <wp:extent cx="2319020" cy="638175"/>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9020" cy="638175"/>
                          </a:xfrm>
                          <a:prstGeom prst="rect">
                            <a:avLst/>
                          </a:prstGeom>
                          <a:noFill/>
                          <a:ln w="9525">
                            <a:noFill/>
                            <a:miter lim="800000"/>
                            <a:headEnd/>
                            <a:tailEnd/>
                          </a:ln>
                        </wps:spPr>
                        <wps:txbx>
                          <w:txbxContent>
                            <w:p w14:paraId="1458A667" w14:textId="1FAE860A" w:rsidR="00083EDE" w:rsidRPr="00600151" w:rsidRDefault="00083EDE" w:rsidP="0067063F">
                              <w:pPr>
                                <w:rPr>
                                  <w:sz w:val="20"/>
                                </w:rPr>
                              </w:pPr>
                            </w:p>
                            <w:p w14:paraId="27F4867A" w14:textId="77777777" w:rsidR="00083EDE" w:rsidRPr="00600151" w:rsidRDefault="00083EDE" w:rsidP="00FF1C59">
                              <w:pPr>
                                <w:jc w:val="right"/>
                                <w:rPr>
                                  <w:sz w:val="20"/>
                                </w:rPr>
                              </w:pP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type w14:anchorId="2DE4F33B" id="_x0000_t202" coordsize="21600,21600" o:spt="202" path="m,l,21600r21600,l21600,xe">
                  <v:stroke joinstyle="miter"/>
                  <v:path gradientshapeok="t" o:connecttype="rect"/>
                </v:shapetype>
                <v:shape id="_x0000_s1038" type="#_x0000_t202" style="position:absolute;left:0;text-align:left;margin-left:222pt;margin-top:-22.7pt;width:182.6pt;height:50.2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" filled="f" stroked="f">
                  <v:textbox>
                    <w:txbxContent>
                      <w:p w14:paraId="1458A667" w14:textId="1FAE860A" w:rsidR="00083EDE" w:rsidRPr="00600151" w:rsidRDefault="00083EDE" w:rsidP="0067063F">
                        <w:pPr>
                          <w:rPr>
                            <w:sz w:val="20"/>
                          </w:rPr>
                        </w:pPr>
                      </w:p>
                      <w:p w14:paraId="27F4867A" w14:textId="77777777" w:rsidR="00083EDE" w:rsidRPr="00600151" w:rsidRDefault="00083EDE" w:rsidP="00FF1C59">
                        <w:pPr>
                          <w:jc w:val="right"/>
                          <w:rPr>
                            <w:sz w:val="20"/>
                          </w:rPr>
                        </w:pPr>
                      </w:p>
                    </w:txbxContent>
                  </v:textbox>
                </v:shape>
              </w:pict>
            </mc:Fallback>
          </mc:AlternateContent>
        </w:r>
      </w:p>
    </w:sdtContent>
  </w:sdt>
  <w:p w14:paraId="284674A7" w14:textId="77777777" w:rsidR="00083EDE" w:rsidRDefault="00083EDE">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EAB0F" w14:textId="69D1A832" w:rsidR="00083EDE" w:rsidRDefault="00083EDE">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AF44D" w14:textId="27DB1992" w:rsidR="00083EDE" w:rsidRDefault="00083E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02B3E"/>
    <w:multiLevelType w:val="hybridMultilevel"/>
    <w:tmpl w:val="33D62030"/>
    <w:lvl w:ilvl="0" w:tplc="185A94B6">
      <w:start w:val="1"/>
      <w:numFmt w:val="low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6C33C7"/>
    <w:multiLevelType w:val="hybridMultilevel"/>
    <w:tmpl w:val="1C7ABD74"/>
    <w:lvl w:ilvl="0" w:tplc="1A2C6982">
      <w:start w:val="1"/>
      <w:numFmt w:val="decimal"/>
      <w:lvlText w:val="%1."/>
      <w:lvlJc w:val="left"/>
      <w:pPr>
        <w:ind w:left="1571" w:hanging="360"/>
      </w:pPr>
      <w:rPr>
        <w:i w:val="0"/>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 w15:restartNumberingAfterBreak="0">
    <w:nsid w:val="1AEA396F"/>
    <w:multiLevelType w:val="hybridMultilevel"/>
    <w:tmpl w:val="89366C5E"/>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15:restartNumberingAfterBreak="0">
    <w:nsid w:val="22B93A1F"/>
    <w:multiLevelType w:val="multilevel"/>
    <w:tmpl w:val="99E6828C"/>
    <w:lvl w:ilvl="0">
      <w:start w:val="1"/>
      <w:numFmt w:val="decimal"/>
      <w:lvlText w:val="%1."/>
      <w:lvlJc w:val="left"/>
      <w:pPr>
        <w:ind w:left="420" w:hanging="360"/>
      </w:pPr>
      <w:rPr>
        <w:rFonts w:hint="default"/>
      </w:rPr>
    </w:lvl>
    <w:lvl w:ilvl="1">
      <w:start w:val="3"/>
      <w:numFmt w:val="decimal"/>
      <w:isLgl/>
      <w:lvlText w:val="%1.%2"/>
      <w:lvlJc w:val="left"/>
      <w:pPr>
        <w:ind w:left="420" w:hanging="360"/>
      </w:pPr>
      <w:rPr>
        <w:rFonts w:hint="default"/>
      </w:rPr>
    </w:lvl>
    <w:lvl w:ilvl="2">
      <w:start w:val="2"/>
      <w:numFmt w:val="decimal"/>
      <w:isLgl/>
      <w:lvlText w:val="%1.%2.%3"/>
      <w:lvlJc w:val="left"/>
      <w:pPr>
        <w:ind w:left="780" w:hanging="720"/>
      </w:pPr>
      <w:rPr>
        <w:rFonts w:hint="default"/>
      </w:rPr>
    </w:lvl>
    <w:lvl w:ilvl="3">
      <w:start w:val="2"/>
      <w:numFmt w:val="decimal"/>
      <w:isLgl/>
      <w:lvlText w:val="%1.%2.%3.%4"/>
      <w:lvlJc w:val="left"/>
      <w:pPr>
        <w:ind w:left="780" w:hanging="72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140" w:hanging="108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500" w:hanging="1440"/>
      </w:pPr>
      <w:rPr>
        <w:rFonts w:hint="default"/>
      </w:rPr>
    </w:lvl>
    <w:lvl w:ilvl="8">
      <w:start w:val="1"/>
      <w:numFmt w:val="decimal"/>
      <w:isLgl/>
      <w:lvlText w:val="%1.%2.%3.%4.%5.%6.%7.%8.%9"/>
      <w:lvlJc w:val="left"/>
      <w:pPr>
        <w:ind w:left="1860" w:hanging="1800"/>
      </w:pPr>
      <w:rPr>
        <w:rFonts w:hint="default"/>
      </w:rPr>
    </w:lvl>
  </w:abstractNum>
  <w:abstractNum w:abstractNumId="4" w15:restartNumberingAfterBreak="0">
    <w:nsid w:val="38F54AE7"/>
    <w:multiLevelType w:val="hybridMultilevel"/>
    <w:tmpl w:val="DC729510"/>
    <w:lvl w:ilvl="0" w:tplc="7CE021D8">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15:restartNumberingAfterBreak="0">
    <w:nsid w:val="4B80274B"/>
    <w:multiLevelType w:val="multilevel"/>
    <w:tmpl w:val="2DCC5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273438F"/>
    <w:multiLevelType w:val="hybridMultilevel"/>
    <w:tmpl w:val="7D1AEC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2936D9E"/>
    <w:multiLevelType w:val="hybridMultilevel"/>
    <w:tmpl w:val="8B42F1FC"/>
    <w:lvl w:ilvl="0" w:tplc="1E02967C">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 w15:restartNumberingAfterBreak="0">
    <w:nsid w:val="73E431AD"/>
    <w:multiLevelType w:val="hybridMultilevel"/>
    <w:tmpl w:val="E01047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71268267">
    <w:abstractNumId w:val="5"/>
  </w:num>
  <w:num w:numId="2" w16cid:durableId="239680463">
    <w:abstractNumId w:val="6"/>
  </w:num>
  <w:num w:numId="3" w16cid:durableId="214001715">
    <w:abstractNumId w:val="7"/>
  </w:num>
  <w:num w:numId="4" w16cid:durableId="955334211">
    <w:abstractNumId w:val="4"/>
  </w:num>
  <w:num w:numId="5" w16cid:durableId="1407417912">
    <w:abstractNumId w:val="8"/>
  </w:num>
  <w:num w:numId="6" w16cid:durableId="1261177107">
    <w:abstractNumId w:val="0"/>
  </w:num>
  <w:num w:numId="7" w16cid:durableId="949047416">
    <w:abstractNumId w:val="1"/>
  </w:num>
  <w:num w:numId="8" w16cid:durableId="854466116">
    <w:abstractNumId w:val="3"/>
  </w:num>
  <w:num w:numId="9" w16cid:durableId="18054641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hideSpellingErrors/>
  <w:hideGrammaticalErrors/>
  <w:proofState w:spelling="clean" w:grammar="clean"/>
  <w:attachedTemplate r:id="rId1"/>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639"/>
    <w:rsid w:val="000078E7"/>
    <w:rsid w:val="000117BD"/>
    <w:rsid w:val="00012ABE"/>
    <w:rsid w:val="000166CD"/>
    <w:rsid w:val="000202FB"/>
    <w:rsid w:val="00032D04"/>
    <w:rsid w:val="00037A3A"/>
    <w:rsid w:val="00041E63"/>
    <w:rsid w:val="00050021"/>
    <w:rsid w:val="00056370"/>
    <w:rsid w:val="00063881"/>
    <w:rsid w:val="0007164F"/>
    <w:rsid w:val="00073658"/>
    <w:rsid w:val="00077D42"/>
    <w:rsid w:val="00083EDE"/>
    <w:rsid w:val="00085236"/>
    <w:rsid w:val="00094A93"/>
    <w:rsid w:val="000A7245"/>
    <w:rsid w:val="000A7A96"/>
    <w:rsid w:val="000C079F"/>
    <w:rsid w:val="000C3D7E"/>
    <w:rsid w:val="000D1850"/>
    <w:rsid w:val="000D7888"/>
    <w:rsid w:val="000E06E3"/>
    <w:rsid w:val="000E7607"/>
    <w:rsid w:val="000E7A25"/>
    <w:rsid w:val="000E7CA2"/>
    <w:rsid w:val="000F4CFC"/>
    <w:rsid w:val="000F5A27"/>
    <w:rsid w:val="000F6D09"/>
    <w:rsid w:val="000F7AAB"/>
    <w:rsid w:val="000F7B54"/>
    <w:rsid w:val="0010215F"/>
    <w:rsid w:val="0010278F"/>
    <w:rsid w:val="00104C8C"/>
    <w:rsid w:val="00106C4A"/>
    <w:rsid w:val="00107DE7"/>
    <w:rsid w:val="0011552B"/>
    <w:rsid w:val="00115C87"/>
    <w:rsid w:val="00126F3B"/>
    <w:rsid w:val="0013091B"/>
    <w:rsid w:val="00132D41"/>
    <w:rsid w:val="00133D9E"/>
    <w:rsid w:val="001373D1"/>
    <w:rsid w:val="00140B42"/>
    <w:rsid w:val="001412DC"/>
    <w:rsid w:val="00146539"/>
    <w:rsid w:val="00155559"/>
    <w:rsid w:val="0015639D"/>
    <w:rsid w:val="0016697B"/>
    <w:rsid w:val="00195177"/>
    <w:rsid w:val="001A3A5A"/>
    <w:rsid w:val="001B0DF4"/>
    <w:rsid w:val="001B378D"/>
    <w:rsid w:val="001D04E3"/>
    <w:rsid w:val="001F199C"/>
    <w:rsid w:val="00202BD8"/>
    <w:rsid w:val="00206D4C"/>
    <w:rsid w:val="002115A8"/>
    <w:rsid w:val="002115D1"/>
    <w:rsid w:val="00214F04"/>
    <w:rsid w:val="002161EF"/>
    <w:rsid w:val="00225353"/>
    <w:rsid w:val="00230DB4"/>
    <w:rsid w:val="00234533"/>
    <w:rsid w:val="00244B58"/>
    <w:rsid w:val="002450CC"/>
    <w:rsid w:val="002472C5"/>
    <w:rsid w:val="002474F9"/>
    <w:rsid w:val="00257C19"/>
    <w:rsid w:val="002610E7"/>
    <w:rsid w:val="00266927"/>
    <w:rsid w:val="00266AB5"/>
    <w:rsid w:val="00274B07"/>
    <w:rsid w:val="00275E97"/>
    <w:rsid w:val="00276166"/>
    <w:rsid w:val="00276354"/>
    <w:rsid w:val="00285B6D"/>
    <w:rsid w:val="00292147"/>
    <w:rsid w:val="002947F5"/>
    <w:rsid w:val="00295AE8"/>
    <w:rsid w:val="002A15C2"/>
    <w:rsid w:val="002B16C3"/>
    <w:rsid w:val="002B2F4F"/>
    <w:rsid w:val="002B3679"/>
    <w:rsid w:val="002B7487"/>
    <w:rsid w:val="002B7CE1"/>
    <w:rsid w:val="002D0AB7"/>
    <w:rsid w:val="002D32DA"/>
    <w:rsid w:val="002E4215"/>
    <w:rsid w:val="002E4CD8"/>
    <w:rsid w:val="002F5306"/>
    <w:rsid w:val="002F5516"/>
    <w:rsid w:val="002F77FB"/>
    <w:rsid w:val="00300D11"/>
    <w:rsid w:val="0031516D"/>
    <w:rsid w:val="003201AD"/>
    <w:rsid w:val="003228B6"/>
    <w:rsid w:val="00332D99"/>
    <w:rsid w:val="00346359"/>
    <w:rsid w:val="0035396B"/>
    <w:rsid w:val="0035762D"/>
    <w:rsid w:val="00367A5F"/>
    <w:rsid w:val="00374E94"/>
    <w:rsid w:val="00376C6E"/>
    <w:rsid w:val="00376EA4"/>
    <w:rsid w:val="003A15E9"/>
    <w:rsid w:val="003A3014"/>
    <w:rsid w:val="003A3160"/>
    <w:rsid w:val="003A31D2"/>
    <w:rsid w:val="003A44EC"/>
    <w:rsid w:val="003B0A03"/>
    <w:rsid w:val="003B22C7"/>
    <w:rsid w:val="003B43D7"/>
    <w:rsid w:val="003B511E"/>
    <w:rsid w:val="003B5C11"/>
    <w:rsid w:val="003B68ED"/>
    <w:rsid w:val="003B77D1"/>
    <w:rsid w:val="003C3486"/>
    <w:rsid w:val="003C472D"/>
    <w:rsid w:val="003D346A"/>
    <w:rsid w:val="003E0639"/>
    <w:rsid w:val="003E5AF5"/>
    <w:rsid w:val="003E6882"/>
    <w:rsid w:val="003F0F7F"/>
    <w:rsid w:val="003F5FF1"/>
    <w:rsid w:val="00400516"/>
    <w:rsid w:val="00404CD2"/>
    <w:rsid w:val="00421745"/>
    <w:rsid w:val="0042631B"/>
    <w:rsid w:val="0042659C"/>
    <w:rsid w:val="00430779"/>
    <w:rsid w:val="00435717"/>
    <w:rsid w:val="00436061"/>
    <w:rsid w:val="00437302"/>
    <w:rsid w:val="00440B0B"/>
    <w:rsid w:val="00442109"/>
    <w:rsid w:val="0044634E"/>
    <w:rsid w:val="00452470"/>
    <w:rsid w:val="004529DC"/>
    <w:rsid w:val="00455843"/>
    <w:rsid w:val="004567D8"/>
    <w:rsid w:val="0046585D"/>
    <w:rsid w:val="004726E6"/>
    <w:rsid w:val="004758E3"/>
    <w:rsid w:val="00492DB2"/>
    <w:rsid w:val="0049786D"/>
    <w:rsid w:val="004A33E6"/>
    <w:rsid w:val="004A414F"/>
    <w:rsid w:val="004A5880"/>
    <w:rsid w:val="004A621F"/>
    <w:rsid w:val="004A7C09"/>
    <w:rsid w:val="004B29E8"/>
    <w:rsid w:val="004C32A1"/>
    <w:rsid w:val="004D025B"/>
    <w:rsid w:val="004D0444"/>
    <w:rsid w:val="004D3E3D"/>
    <w:rsid w:val="004E7843"/>
    <w:rsid w:val="005007C2"/>
    <w:rsid w:val="00507C04"/>
    <w:rsid w:val="005103BB"/>
    <w:rsid w:val="0051312F"/>
    <w:rsid w:val="00513C4E"/>
    <w:rsid w:val="005162AF"/>
    <w:rsid w:val="005229C3"/>
    <w:rsid w:val="00536D52"/>
    <w:rsid w:val="00541AF9"/>
    <w:rsid w:val="0054565A"/>
    <w:rsid w:val="00547729"/>
    <w:rsid w:val="00547C68"/>
    <w:rsid w:val="00550D48"/>
    <w:rsid w:val="005566D4"/>
    <w:rsid w:val="00557987"/>
    <w:rsid w:val="0056398E"/>
    <w:rsid w:val="00571645"/>
    <w:rsid w:val="00573988"/>
    <w:rsid w:val="00574037"/>
    <w:rsid w:val="005749F3"/>
    <w:rsid w:val="005854FA"/>
    <w:rsid w:val="005B3609"/>
    <w:rsid w:val="005B64D5"/>
    <w:rsid w:val="005C2DF0"/>
    <w:rsid w:val="00600151"/>
    <w:rsid w:val="00607447"/>
    <w:rsid w:val="0062076B"/>
    <w:rsid w:val="00637C99"/>
    <w:rsid w:val="006427AB"/>
    <w:rsid w:val="00644523"/>
    <w:rsid w:val="00647787"/>
    <w:rsid w:val="00656BE2"/>
    <w:rsid w:val="00656F83"/>
    <w:rsid w:val="00665664"/>
    <w:rsid w:val="0067063F"/>
    <w:rsid w:val="00681819"/>
    <w:rsid w:val="0068562F"/>
    <w:rsid w:val="00685708"/>
    <w:rsid w:val="006B6F4B"/>
    <w:rsid w:val="006D1E9F"/>
    <w:rsid w:val="006D6D9E"/>
    <w:rsid w:val="006E0ABF"/>
    <w:rsid w:val="006E1586"/>
    <w:rsid w:val="006E76E7"/>
    <w:rsid w:val="00703EA2"/>
    <w:rsid w:val="00704D26"/>
    <w:rsid w:val="00712F23"/>
    <w:rsid w:val="007138FB"/>
    <w:rsid w:val="00715326"/>
    <w:rsid w:val="00721C29"/>
    <w:rsid w:val="007261DE"/>
    <w:rsid w:val="0073436D"/>
    <w:rsid w:val="00734487"/>
    <w:rsid w:val="0073455D"/>
    <w:rsid w:val="0075221E"/>
    <w:rsid w:val="00761338"/>
    <w:rsid w:val="00761DDF"/>
    <w:rsid w:val="00772391"/>
    <w:rsid w:val="007818A8"/>
    <w:rsid w:val="007921AD"/>
    <w:rsid w:val="00795640"/>
    <w:rsid w:val="00796C6E"/>
    <w:rsid w:val="00796CF8"/>
    <w:rsid w:val="007B2687"/>
    <w:rsid w:val="007B43B0"/>
    <w:rsid w:val="007B69C1"/>
    <w:rsid w:val="007C0EED"/>
    <w:rsid w:val="007C7E0F"/>
    <w:rsid w:val="007D0AAC"/>
    <w:rsid w:val="007F69BF"/>
    <w:rsid w:val="00803334"/>
    <w:rsid w:val="00803517"/>
    <w:rsid w:val="00822693"/>
    <w:rsid w:val="008259FB"/>
    <w:rsid w:val="008275F6"/>
    <w:rsid w:val="00834379"/>
    <w:rsid w:val="00837220"/>
    <w:rsid w:val="00841C44"/>
    <w:rsid w:val="00844384"/>
    <w:rsid w:val="00853AF4"/>
    <w:rsid w:val="008553ED"/>
    <w:rsid w:val="008562F5"/>
    <w:rsid w:val="00856497"/>
    <w:rsid w:val="008622B9"/>
    <w:rsid w:val="00867941"/>
    <w:rsid w:val="00870302"/>
    <w:rsid w:val="00880F58"/>
    <w:rsid w:val="008862D2"/>
    <w:rsid w:val="00890FF0"/>
    <w:rsid w:val="00893280"/>
    <w:rsid w:val="008B1206"/>
    <w:rsid w:val="008B158D"/>
    <w:rsid w:val="008B224C"/>
    <w:rsid w:val="008D6502"/>
    <w:rsid w:val="008E3103"/>
    <w:rsid w:val="008E6334"/>
    <w:rsid w:val="008F2EE3"/>
    <w:rsid w:val="008F57E8"/>
    <w:rsid w:val="008F7AF2"/>
    <w:rsid w:val="00911E16"/>
    <w:rsid w:val="00917929"/>
    <w:rsid w:val="009179DB"/>
    <w:rsid w:val="00927B54"/>
    <w:rsid w:val="009322B3"/>
    <w:rsid w:val="00934791"/>
    <w:rsid w:val="009408C7"/>
    <w:rsid w:val="0094749B"/>
    <w:rsid w:val="00953655"/>
    <w:rsid w:val="009579B1"/>
    <w:rsid w:val="00961D55"/>
    <w:rsid w:val="00962A4C"/>
    <w:rsid w:val="00964659"/>
    <w:rsid w:val="009711EC"/>
    <w:rsid w:val="00977555"/>
    <w:rsid w:val="0098201C"/>
    <w:rsid w:val="00986A87"/>
    <w:rsid w:val="009876C5"/>
    <w:rsid w:val="009924C5"/>
    <w:rsid w:val="009A1952"/>
    <w:rsid w:val="009A72F8"/>
    <w:rsid w:val="009C2B7D"/>
    <w:rsid w:val="009D04B5"/>
    <w:rsid w:val="009D17D9"/>
    <w:rsid w:val="009D4FD0"/>
    <w:rsid w:val="009D5051"/>
    <w:rsid w:val="009D7701"/>
    <w:rsid w:val="009E42A2"/>
    <w:rsid w:val="009E5C6D"/>
    <w:rsid w:val="009E7208"/>
    <w:rsid w:val="009E728A"/>
    <w:rsid w:val="00A002F6"/>
    <w:rsid w:val="00A02754"/>
    <w:rsid w:val="00A23DA4"/>
    <w:rsid w:val="00A34A57"/>
    <w:rsid w:val="00A3784E"/>
    <w:rsid w:val="00A46F7A"/>
    <w:rsid w:val="00A67303"/>
    <w:rsid w:val="00A90E2B"/>
    <w:rsid w:val="00A91F94"/>
    <w:rsid w:val="00AB11F1"/>
    <w:rsid w:val="00AB271B"/>
    <w:rsid w:val="00AB69B1"/>
    <w:rsid w:val="00AC0448"/>
    <w:rsid w:val="00AE3208"/>
    <w:rsid w:val="00AF1251"/>
    <w:rsid w:val="00AF158F"/>
    <w:rsid w:val="00AF2A13"/>
    <w:rsid w:val="00B01035"/>
    <w:rsid w:val="00B033E4"/>
    <w:rsid w:val="00B03523"/>
    <w:rsid w:val="00B050AD"/>
    <w:rsid w:val="00B104F9"/>
    <w:rsid w:val="00B16B7F"/>
    <w:rsid w:val="00B21AD1"/>
    <w:rsid w:val="00B301AB"/>
    <w:rsid w:val="00B32F17"/>
    <w:rsid w:val="00B45C3A"/>
    <w:rsid w:val="00B52059"/>
    <w:rsid w:val="00B54D33"/>
    <w:rsid w:val="00B62173"/>
    <w:rsid w:val="00B80915"/>
    <w:rsid w:val="00B82914"/>
    <w:rsid w:val="00B82FDE"/>
    <w:rsid w:val="00B84438"/>
    <w:rsid w:val="00B87BBC"/>
    <w:rsid w:val="00B94635"/>
    <w:rsid w:val="00BB6499"/>
    <w:rsid w:val="00BB66B2"/>
    <w:rsid w:val="00BB7A14"/>
    <w:rsid w:val="00BC59C7"/>
    <w:rsid w:val="00BD6C39"/>
    <w:rsid w:val="00BE15DE"/>
    <w:rsid w:val="00BE69CE"/>
    <w:rsid w:val="00BE7837"/>
    <w:rsid w:val="00BF215D"/>
    <w:rsid w:val="00BF6A7F"/>
    <w:rsid w:val="00C054D2"/>
    <w:rsid w:val="00C05F77"/>
    <w:rsid w:val="00C12ECB"/>
    <w:rsid w:val="00C337CF"/>
    <w:rsid w:val="00C36B8A"/>
    <w:rsid w:val="00C44FC8"/>
    <w:rsid w:val="00C52952"/>
    <w:rsid w:val="00C52C1A"/>
    <w:rsid w:val="00C64CE4"/>
    <w:rsid w:val="00C6627C"/>
    <w:rsid w:val="00C71D4A"/>
    <w:rsid w:val="00C7345F"/>
    <w:rsid w:val="00C830FB"/>
    <w:rsid w:val="00C83108"/>
    <w:rsid w:val="00C83967"/>
    <w:rsid w:val="00C95864"/>
    <w:rsid w:val="00CA0189"/>
    <w:rsid w:val="00CA1A18"/>
    <w:rsid w:val="00CB2B86"/>
    <w:rsid w:val="00CC319C"/>
    <w:rsid w:val="00CC57AE"/>
    <w:rsid w:val="00CC62EE"/>
    <w:rsid w:val="00CD5AB8"/>
    <w:rsid w:val="00CE170B"/>
    <w:rsid w:val="00CE31AF"/>
    <w:rsid w:val="00CE3C32"/>
    <w:rsid w:val="00CF571B"/>
    <w:rsid w:val="00CF5974"/>
    <w:rsid w:val="00CF6BF5"/>
    <w:rsid w:val="00D04FF0"/>
    <w:rsid w:val="00D05770"/>
    <w:rsid w:val="00D05847"/>
    <w:rsid w:val="00D11672"/>
    <w:rsid w:val="00D129C4"/>
    <w:rsid w:val="00D15D93"/>
    <w:rsid w:val="00D32521"/>
    <w:rsid w:val="00D365AC"/>
    <w:rsid w:val="00D406DC"/>
    <w:rsid w:val="00D40BFC"/>
    <w:rsid w:val="00D51037"/>
    <w:rsid w:val="00D62798"/>
    <w:rsid w:val="00D67A7B"/>
    <w:rsid w:val="00D76D05"/>
    <w:rsid w:val="00D85727"/>
    <w:rsid w:val="00D92F25"/>
    <w:rsid w:val="00D966BC"/>
    <w:rsid w:val="00D97F6F"/>
    <w:rsid w:val="00DB0FE4"/>
    <w:rsid w:val="00DC0A9F"/>
    <w:rsid w:val="00DE796E"/>
    <w:rsid w:val="00DF30DE"/>
    <w:rsid w:val="00DF4386"/>
    <w:rsid w:val="00DF5946"/>
    <w:rsid w:val="00DF5ECC"/>
    <w:rsid w:val="00E00B55"/>
    <w:rsid w:val="00E04FA7"/>
    <w:rsid w:val="00E10A0C"/>
    <w:rsid w:val="00E11104"/>
    <w:rsid w:val="00E40516"/>
    <w:rsid w:val="00E41611"/>
    <w:rsid w:val="00E441F6"/>
    <w:rsid w:val="00E462CB"/>
    <w:rsid w:val="00E51DA0"/>
    <w:rsid w:val="00E520F1"/>
    <w:rsid w:val="00E548BD"/>
    <w:rsid w:val="00E60025"/>
    <w:rsid w:val="00E71B86"/>
    <w:rsid w:val="00E71F1E"/>
    <w:rsid w:val="00E721F6"/>
    <w:rsid w:val="00E72A35"/>
    <w:rsid w:val="00E734C3"/>
    <w:rsid w:val="00E90F09"/>
    <w:rsid w:val="00E95B67"/>
    <w:rsid w:val="00E97B53"/>
    <w:rsid w:val="00EB6355"/>
    <w:rsid w:val="00EC1EFB"/>
    <w:rsid w:val="00EC2878"/>
    <w:rsid w:val="00EC387A"/>
    <w:rsid w:val="00ED0222"/>
    <w:rsid w:val="00ED4984"/>
    <w:rsid w:val="00ED53B1"/>
    <w:rsid w:val="00ED68C1"/>
    <w:rsid w:val="00EE436A"/>
    <w:rsid w:val="00EF63A3"/>
    <w:rsid w:val="00F03656"/>
    <w:rsid w:val="00F04297"/>
    <w:rsid w:val="00F050F9"/>
    <w:rsid w:val="00F1324F"/>
    <w:rsid w:val="00F13E6C"/>
    <w:rsid w:val="00F21D03"/>
    <w:rsid w:val="00F22E5D"/>
    <w:rsid w:val="00F25748"/>
    <w:rsid w:val="00F419FB"/>
    <w:rsid w:val="00F51F65"/>
    <w:rsid w:val="00F6415C"/>
    <w:rsid w:val="00F7000F"/>
    <w:rsid w:val="00F70F8A"/>
    <w:rsid w:val="00F76069"/>
    <w:rsid w:val="00F82AC7"/>
    <w:rsid w:val="00F845FF"/>
    <w:rsid w:val="00F90758"/>
    <w:rsid w:val="00F969AA"/>
    <w:rsid w:val="00F96AD4"/>
    <w:rsid w:val="00FA0F98"/>
    <w:rsid w:val="00FA3BFF"/>
    <w:rsid w:val="00FA3F63"/>
    <w:rsid w:val="00FA6DB7"/>
    <w:rsid w:val="00FC3F58"/>
    <w:rsid w:val="00FC4C3A"/>
    <w:rsid w:val="00FD04B3"/>
    <w:rsid w:val="00FD3677"/>
    <w:rsid w:val="00FD50B5"/>
    <w:rsid w:val="00FE354E"/>
    <w:rsid w:val="00FE44E6"/>
    <w:rsid w:val="00FE4CCD"/>
    <w:rsid w:val="00FE4E9B"/>
    <w:rsid w:val="00FE4FC6"/>
    <w:rsid w:val="00FF1C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D97878"/>
  <w15:docId w15:val="{BE8DDAAD-0B63-4C30-B078-54E487691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837"/>
    <w:pPr>
      <w:spacing w:after="0" w:line="360" w:lineRule="auto"/>
      <w:jc w:val="both"/>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E7837"/>
    <w:rPr>
      <w:color w:val="0563C1"/>
      <w:u w:val="single"/>
    </w:rPr>
  </w:style>
  <w:style w:type="paragraph" w:styleId="Header">
    <w:name w:val="header"/>
    <w:basedOn w:val="Normal"/>
    <w:link w:val="HeaderChar"/>
    <w:uiPriority w:val="99"/>
    <w:unhideWhenUsed/>
    <w:rsid w:val="00BE7837"/>
    <w:pPr>
      <w:tabs>
        <w:tab w:val="center" w:pos="4680"/>
        <w:tab w:val="right" w:pos="9360"/>
      </w:tabs>
      <w:spacing w:line="240" w:lineRule="auto"/>
    </w:pPr>
  </w:style>
  <w:style w:type="character" w:customStyle="1" w:styleId="HeaderChar">
    <w:name w:val="Header Char"/>
    <w:basedOn w:val="DefaultParagraphFont"/>
    <w:link w:val="Header"/>
    <w:uiPriority w:val="99"/>
    <w:rsid w:val="00BE7837"/>
    <w:rPr>
      <w:rFonts w:ascii="Times New Roman" w:eastAsia="Calibri" w:hAnsi="Times New Roman" w:cs="Times New Roman"/>
      <w:sz w:val="24"/>
    </w:rPr>
  </w:style>
  <w:style w:type="paragraph" w:styleId="Footer">
    <w:name w:val="footer"/>
    <w:basedOn w:val="Normal"/>
    <w:link w:val="FooterChar"/>
    <w:uiPriority w:val="99"/>
    <w:unhideWhenUsed/>
    <w:rsid w:val="00BE7837"/>
    <w:pPr>
      <w:tabs>
        <w:tab w:val="center" w:pos="4680"/>
        <w:tab w:val="right" w:pos="9360"/>
      </w:tabs>
      <w:spacing w:line="240" w:lineRule="auto"/>
    </w:pPr>
  </w:style>
  <w:style w:type="character" w:customStyle="1" w:styleId="FooterChar">
    <w:name w:val="Footer Char"/>
    <w:basedOn w:val="DefaultParagraphFont"/>
    <w:link w:val="Footer"/>
    <w:uiPriority w:val="99"/>
    <w:rsid w:val="00BE7837"/>
    <w:rPr>
      <w:rFonts w:ascii="Times New Roman" w:eastAsia="Calibri" w:hAnsi="Times New Roman" w:cs="Times New Roman"/>
      <w:sz w:val="24"/>
    </w:rPr>
  </w:style>
  <w:style w:type="table" w:styleId="TableGrid">
    <w:name w:val="Table Grid"/>
    <w:basedOn w:val="TableNormal"/>
    <w:uiPriority w:val="59"/>
    <w:rsid w:val="00BE78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050021"/>
    <w:pPr>
      <w:spacing w:after="200" w:line="240" w:lineRule="auto"/>
    </w:pPr>
    <w:rPr>
      <w:i/>
      <w:iCs/>
      <w:color w:val="44546A"/>
      <w:sz w:val="18"/>
      <w:szCs w:val="18"/>
    </w:rPr>
  </w:style>
  <w:style w:type="character" w:customStyle="1" w:styleId="UnresolvedMention1">
    <w:name w:val="Unresolved Mention1"/>
    <w:basedOn w:val="DefaultParagraphFont"/>
    <w:uiPriority w:val="99"/>
    <w:semiHidden/>
    <w:unhideWhenUsed/>
    <w:rsid w:val="00803517"/>
    <w:rPr>
      <w:color w:val="605E5C"/>
      <w:shd w:val="clear" w:color="auto" w:fill="E1DFDD"/>
    </w:rPr>
  </w:style>
  <w:style w:type="paragraph" w:styleId="NormalWeb">
    <w:name w:val="Normal (Web)"/>
    <w:basedOn w:val="Normal"/>
    <w:uiPriority w:val="99"/>
    <w:unhideWhenUsed/>
    <w:rsid w:val="001A3A5A"/>
    <w:pPr>
      <w:spacing w:before="100" w:beforeAutospacing="1" w:after="100" w:afterAutospacing="1" w:line="240" w:lineRule="auto"/>
      <w:jc w:val="left"/>
    </w:pPr>
    <w:rPr>
      <w:rFonts w:eastAsia="Times New Roman"/>
      <w:szCs w:val="24"/>
    </w:rPr>
  </w:style>
  <w:style w:type="paragraph" w:styleId="BalloonText">
    <w:name w:val="Balloon Text"/>
    <w:basedOn w:val="Normal"/>
    <w:link w:val="BalloonTextChar"/>
    <w:uiPriority w:val="99"/>
    <w:semiHidden/>
    <w:unhideWhenUsed/>
    <w:rsid w:val="002A15C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15C2"/>
    <w:rPr>
      <w:rFonts w:ascii="Tahoma" w:eastAsia="Calibri" w:hAnsi="Tahoma" w:cs="Tahoma"/>
      <w:sz w:val="16"/>
      <w:szCs w:val="16"/>
    </w:rPr>
  </w:style>
  <w:style w:type="character" w:styleId="CommentReference">
    <w:name w:val="annotation reference"/>
    <w:basedOn w:val="DefaultParagraphFont"/>
    <w:uiPriority w:val="99"/>
    <w:semiHidden/>
    <w:unhideWhenUsed/>
    <w:rsid w:val="003A31D2"/>
    <w:rPr>
      <w:sz w:val="16"/>
      <w:szCs w:val="16"/>
    </w:rPr>
  </w:style>
  <w:style w:type="paragraph" w:styleId="ListParagraph">
    <w:name w:val="List Paragraph"/>
    <w:basedOn w:val="Normal"/>
    <w:uiPriority w:val="34"/>
    <w:qFormat/>
    <w:rsid w:val="00BB7A14"/>
    <w:pPr>
      <w:spacing w:after="160" w:line="259" w:lineRule="auto"/>
      <w:ind w:left="720"/>
      <w:contextualSpacing/>
      <w:jc w:val="left"/>
    </w:pPr>
    <w:rPr>
      <w:rFonts w:asciiTheme="minorHAnsi" w:eastAsiaTheme="minorHAnsi" w:hAnsiTheme="minorHAnsi" w:cstheme="minorBidi"/>
      <w:sz w:val="22"/>
    </w:rPr>
  </w:style>
  <w:style w:type="paragraph" w:styleId="CommentText">
    <w:name w:val="annotation text"/>
    <w:basedOn w:val="Normal"/>
    <w:link w:val="CommentTextChar"/>
    <w:uiPriority w:val="99"/>
    <w:semiHidden/>
    <w:unhideWhenUsed/>
    <w:rsid w:val="00CA0189"/>
    <w:pPr>
      <w:spacing w:line="240" w:lineRule="auto"/>
    </w:pPr>
    <w:rPr>
      <w:sz w:val="20"/>
      <w:szCs w:val="20"/>
    </w:rPr>
  </w:style>
  <w:style w:type="character" w:customStyle="1" w:styleId="CommentTextChar">
    <w:name w:val="Comment Text Char"/>
    <w:basedOn w:val="DefaultParagraphFont"/>
    <w:link w:val="CommentText"/>
    <w:uiPriority w:val="99"/>
    <w:semiHidden/>
    <w:rsid w:val="00CA0189"/>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A0189"/>
    <w:rPr>
      <w:b/>
      <w:bCs/>
    </w:rPr>
  </w:style>
  <w:style w:type="character" w:customStyle="1" w:styleId="CommentSubjectChar">
    <w:name w:val="Comment Subject Char"/>
    <w:basedOn w:val="CommentTextChar"/>
    <w:link w:val="CommentSubject"/>
    <w:uiPriority w:val="99"/>
    <w:semiHidden/>
    <w:rsid w:val="00CA0189"/>
    <w:rPr>
      <w:rFonts w:ascii="Times New Roman" w:eastAsia="Calibri"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919920">
      <w:bodyDiv w:val="1"/>
      <w:marLeft w:val="0"/>
      <w:marRight w:val="0"/>
      <w:marTop w:val="0"/>
      <w:marBottom w:val="0"/>
      <w:divBdr>
        <w:top w:val="none" w:sz="0" w:space="0" w:color="auto"/>
        <w:left w:val="none" w:sz="0" w:space="0" w:color="auto"/>
        <w:bottom w:val="none" w:sz="0" w:space="0" w:color="auto"/>
        <w:right w:val="none" w:sz="0" w:space="0" w:color="auto"/>
      </w:divBdr>
    </w:div>
    <w:div w:id="234096303">
      <w:bodyDiv w:val="1"/>
      <w:marLeft w:val="0"/>
      <w:marRight w:val="0"/>
      <w:marTop w:val="0"/>
      <w:marBottom w:val="0"/>
      <w:divBdr>
        <w:top w:val="none" w:sz="0" w:space="0" w:color="auto"/>
        <w:left w:val="none" w:sz="0" w:space="0" w:color="auto"/>
        <w:bottom w:val="none" w:sz="0" w:space="0" w:color="auto"/>
        <w:right w:val="none" w:sz="0" w:space="0" w:color="auto"/>
      </w:divBdr>
    </w:div>
    <w:div w:id="345717996">
      <w:bodyDiv w:val="1"/>
      <w:marLeft w:val="0"/>
      <w:marRight w:val="0"/>
      <w:marTop w:val="0"/>
      <w:marBottom w:val="0"/>
      <w:divBdr>
        <w:top w:val="none" w:sz="0" w:space="0" w:color="auto"/>
        <w:left w:val="none" w:sz="0" w:space="0" w:color="auto"/>
        <w:bottom w:val="none" w:sz="0" w:space="0" w:color="auto"/>
        <w:right w:val="none" w:sz="0" w:space="0" w:color="auto"/>
      </w:divBdr>
    </w:div>
    <w:div w:id="392388872">
      <w:bodyDiv w:val="1"/>
      <w:marLeft w:val="0"/>
      <w:marRight w:val="0"/>
      <w:marTop w:val="0"/>
      <w:marBottom w:val="0"/>
      <w:divBdr>
        <w:top w:val="none" w:sz="0" w:space="0" w:color="auto"/>
        <w:left w:val="none" w:sz="0" w:space="0" w:color="auto"/>
        <w:bottom w:val="none" w:sz="0" w:space="0" w:color="auto"/>
        <w:right w:val="none" w:sz="0" w:space="0" w:color="auto"/>
      </w:divBdr>
    </w:div>
    <w:div w:id="887256939">
      <w:bodyDiv w:val="1"/>
      <w:marLeft w:val="0"/>
      <w:marRight w:val="0"/>
      <w:marTop w:val="0"/>
      <w:marBottom w:val="0"/>
      <w:divBdr>
        <w:top w:val="none" w:sz="0" w:space="0" w:color="auto"/>
        <w:left w:val="none" w:sz="0" w:space="0" w:color="auto"/>
        <w:bottom w:val="none" w:sz="0" w:space="0" w:color="auto"/>
        <w:right w:val="none" w:sz="0" w:space="0" w:color="auto"/>
      </w:divBdr>
    </w:div>
    <w:div w:id="1017850391">
      <w:bodyDiv w:val="1"/>
      <w:marLeft w:val="0"/>
      <w:marRight w:val="0"/>
      <w:marTop w:val="0"/>
      <w:marBottom w:val="0"/>
      <w:divBdr>
        <w:top w:val="none" w:sz="0" w:space="0" w:color="auto"/>
        <w:left w:val="none" w:sz="0" w:space="0" w:color="auto"/>
        <w:bottom w:val="none" w:sz="0" w:space="0" w:color="auto"/>
        <w:right w:val="none" w:sz="0" w:space="0" w:color="auto"/>
      </w:divBdr>
    </w:div>
    <w:div w:id="1292638998">
      <w:bodyDiv w:val="1"/>
      <w:marLeft w:val="0"/>
      <w:marRight w:val="0"/>
      <w:marTop w:val="0"/>
      <w:marBottom w:val="0"/>
      <w:divBdr>
        <w:top w:val="none" w:sz="0" w:space="0" w:color="auto"/>
        <w:left w:val="none" w:sz="0" w:space="0" w:color="auto"/>
        <w:bottom w:val="none" w:sz="0" w:space="0" w:color="auto"/>
        <w:right w:val="none" w:sz="0" w:space="0" w:color="auto"/>
      </w:divBdr>
    </w:div>
    <w:div w:id="1307128176">
      <w:bodyDiv w:val="1"/>
      <w:marLeft w:val="0"/>
      <w:marRight w:val="0"/>
      <w:marTop w:val="0"/>
      <w:marBottom w:val="0"/>
      <w:divBdr>
        <w:top w:val="none" w:sz="0" w:space="0" w:color="auto"/>
        <w:left w:val="none" w:sz="0" w:space="0" w:color="auto"/>
        <w:bottom w:val="none" w:sz="0" w:space="0" w:color="auto"/>
        <w:right w:val="none" w:sz="0" w:space="0" w:color="auto"/>
      </w:divBdr>
    </w:div>
    <w:div w:id="1322387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hyperlink" Target="http://www.pondokindahgroup.co.id" TargetMode="External"/><Relationship Id="rId3" Type="http://schemas.openxmlformats.org/officeDocument/2006/relationships/styles" Target="styles.xml"/><Relationship Id="rId21" Type="http://schemas.openxmlformats.org/officeDocument/2006/relationships/hyperlink" Target="http://www.pp-properti.com"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www.pondokindahgroup.co.id" TargetMode="External"/><Relationship Id="rId33"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www.merdeka.com" TargetMode="Externa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y.anthony2001@gmail.com" TargetMode="External"/><Relationship Id="rId24" Type="http://schemas.openxmlformats.org/officeDocument/2006/relationships/hyperlink" Target="http://www.pondokindahgroup.co.id" TargetMode="External"/><Relationship Id="rId32"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http://www.summarecon.com" TargetMode="External"/><Relationship Id="rId28" Type="http://schemas.openxmlformats.org/officeDocument/2006/relationships/header" Target="header5.xml"/><Relationship Id="rId10" Type="http://schemas.openxmlformats.org/officeDocument/2006/relationships/hyperlink" Target="mailto:ruslinalisda@unpas.ac.id" TargetMode="External"/><Relationship Id="rId19" Type="http://schemas.openxmlformats.org/officeDocument/2006/relationships/footer" Target="footer4.xml"/><Relationship Id="rId31" Type="http://schemas.openxmlformats.org/officeDocument/2006/relationships/header" Target="header7.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 Id="rId22" Type="http://schemas.openxmlformats.org/officeDocument/2006/relationships/hyperlink" Target="http://www.jayaproperty.com" TargetMode="External"/><Relationship Id="rId27" Type="http://schemas.openxmlformats.org/officeDocument/2006/relationships/chart" Target="charts/chart1.xml"/><Relationship Id="rId30" Type="http://schemas.openxmlformats.org/officeDocument/2006/relationships/footer" Target="footer5.xml"/><Relationship Id="rId35" Type="http://schemas.openxmlformats.org/officeDocument/2006/relationships/theme" Target="theme/theme1.xml"/><Relationship Id="rId8"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ata%20Ayat\00%20Penelitian\JRAK%20Unpas\Paper\Template%20JRAK%202020.dotx"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D:\Universitas%20Pasundan\Data%20Keuangan%20Sampel%20Perusahaan\Tabulasi%20Grafik%20Anthony%20Deskriptif.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sz="1200"/>
              <a:t>Net</a:t>
            </a:r>
            <a:r>
              <a:rPr lang="en-US" sz="1200" baseline="0"/>
              <a:t> Profit</a:t>
            </a:r>
            <a:endParaRPr lang="en-US" sz="1200"/>
          </a:p>
        </c:rich>
      </c:tx>
      <c:layout>
        <c:manualLayout>
          <c:xMode val="edge"/>
          <c:yMode val="edge"/>
          <c:x val="0.42299300087489061"/>
          <c:y val="4.1666666666666664E-2"/>
        </c:manualLayout>
      </c:layout>
      <c:overlay val="0"/>
      <c:spPr>
        <a:noFill/>
        <a:ln>
          <a:noFill/>
        </a:ln>
        <a:effectLst/>
      </c:spPr>
      <c:txPr>
        <a:bodyPr rot="0" spcFirstLastPara="1" vertOverflow="ellipsis" vert="horz" wrap="square" anchor="ctr" anchorCtr="1"/>
        <a:lstStyle/>
        <a:p>
          <a:pPr>
            <a:defRPr sz="9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lineChart>
        <c:grouping val="standard"/>
        <c:varyColors val="0"/>
        <c:ser>
          <c:idx val="0"/>
          <c:order val="0"/>
          <c:tx>
            <c:strRef>
              <c:f>'Grafik BAB 1'!$D$7</c:f>
              <c:strCache>
                <c:ptCount val="1"/>
                <c:pt idx="0">
                  <c:v>PT PP Properti Tbk</c:v>
                </c:pt>
              </c:strCache>
            </c:strRef>
          </c:tx>
          <c:spPr>
            <a:ln w="28575" cap="rnd">
              <a:solidFill>
                <a:schemeClr val="accent1"/>
              </a:solidFill>
              <a:round/>
            </a:ln>
            <a:effectLst/>
          </c:spPr>
          <c:marker>
            <c:symbol val="none"/>
          </c:marker>
          <c:cat>
            <c:numRef>
              <c:f>'Grafik BAB 1'!$E$6:$J$6</c:f>
              <c:numCache>
                <c:formatCode>General</c:formatCode>
                <c:ptCount val="6"/>
                <c:pt idx="0">
                  <c:v>2016</c:v>
                </c:pt>
                <c:pt idx="1">
                  <c:v>2017</c:v>
                </c:pt>
                <c:pt idx="2">
                  <c:v>2018</c:v>
                </c:pt>
                <c:pt idx="3">
                  <c:v>2019</c:v>
                </c:pt>
                <c:pt idx="4">
                  <c:v>2020</c:v>
                </c:pt>
                <c:pt idx="5">
                  <c:v>2021</c:v>
                </c:pt>
              </c:numCache>
            </c:numRef>
          </c:cat>
          <c:val>
            <c:numRef>
              <c:f>'Grafik BAB 1'!$E$7:$J$7</c:f>
              <c:numCache>
                <c:formatCode>General</c:formatCode>
                <c:ptCount val="6"/>
                <c:pt idx="0">
                  <c:v>366.1</c:v>
                </c:pt>
                <c:pt idx="1">
                  <c:v>459.64</c:v>
                </c:pt>
                <c:pt idx="2" formatCode="0.00">
                  <c:v>496.78</c:v>
                </c:pt>
                <c:pt idx="3">
                  <c:v>247.27</c:v>
                </c:pt>
                <c:pt idx="4">
                  <c:v>106.37</c:v>
                </c:pt>
                <c:pt idx="5">
                  <c:v>21.02</c:v>
                </c:pt>
              </c:numCache>
            </c:numRef>
          </c:val>
          <c:smooth val="0"/>
          <c:extLst>
            <c:ext xmlns:c16="http://schemas.microsoft.com/office/drawing/2014/chart" uri="{C3380CC4-5D6E-409C-BE32-E72D297353CC}">
              <c16:uniqueId val="{00000000-4832-424E-994A-2CBF988EBC57}"/>
            </c:ext>
          </c:extLst>
        </c:ser>
        <c:ser>
          <c:idx val="1"/>
          <c:order val="1"/>
          <c:tx>
            <c:strRef>
              <c:f>'Grafik BAB 1'!$D$8</c:f>
              <c:strCache>
                <c:ptCount val="1"/>
                <c:pt idx="0">
                  <c:v>PT Jaya Real Properti Tbk</c:v>
                </c:pt>
              </c:strCache>
            </c:strRef>
          </c:tx>
          <c:spPr>
            <a:ln w="28575" cap="rnd">
              <a:solidFill>
                <a:schemeClr val="accent2"/>
              </a:solidFill>
              <a:round/>
            </a:ln>
            <a:effectLst/>
          </c:spPr>
          <c:marker>
            <c:symbol val="none"/>
          </c:marker>
          <c:cat>
            <c:numRef>
              <c:f>'Grafik BAB 1'!$E$6:$J$6</c:f>
              <c:numCache>
                <c:formatCode>General</c:formatCode>
                <c:ptCount val="6"/>
                <c:pt idx="0">
                  <c:v>2016</c:v>
                </c:pt>
                <c:pt idx="1">
                  <c:v>2017</c:v>
                </c:pt>
                <c:pt idx="2">
                  <c:v>2018</c:v>
                </c:pt>
                <c:pt idx="3">
                  <c:v>2019</c:v>
                </c:pt>
                <c:pt idx="4">
                  <c:v>2020</c:v>
                </c:pt>
                <c:pt idx="5">
                  <c:v>2021</c:v>
                </c:pt>
              </c:numCache>
            </c:numRef>
          </c:cat>
          <c:val>
            <c:numRef>
              <c:f>'Grafik BAB 1'!$E$8:$J$8</c:f>
              <c:numCache>
                <c:formatCode>General</c:formatCode>
                <c:ptCount val="6"/>
                <c:pt idx="0">
                  <c:v>1108.8499999999999</c:v>
                </c:pt>
                <c:pt idx="1">
                  <c:v>1117.3499999999999</c:v>
                </c:pt>
                <c:pt idx="2">
                  <c:v>1030</c:v>
                </c:pt>
                <c:pt idx="3">
                  <c:v>1010</c:v>
                </c:pt>
                <c:pt idx="4">
                  <c:v>924.9</c:v>
                </c:pt>
                <c:pt idx="5">
                  <c:v>786.91</c:v>
                </c:pt>
              </c:numCache>
            </c:numRef>
          </c:val>
          <c:smooth val="0"/>
          <c:extLst>
            <c:ext xmlns:c16="http://schemas.microsoft.com/office/drawing/2014/chart" uri="{C3380CC4-5D6E-409C-BE32-E72D297353CC}">
              <c16:uniqueId val="{00000001-4832-424E-994A-2CBF988EBC57}"/>
            </c:ext>
          </c:extLst>
        </c:ser>
        <c:ser>
          <c:idx val="2"/>
          <c:order val="2"/>
          <c:tx>
            <c:strRef>
              <c:f>'Grafik BAB 1'!$D$9</c:f>
              <c:strCache>
                <c:ptCount val="1"/>
                <c:pt idx="0">
                  <c:v>PT Summarecon Agung Tbk</c:v>
                </c:pt>
              </c:strCache>
            </c:strRef>
          </c:tx>
          <c:spPr>
            <a:ln w="28575" cap="rnd">
              <a:solidFill>
                <a:schemeClr val="accent3"/>
              </a:solidFill>
              <a:round/>
            </a:ln>
            <a:effectLst/>
          </c:spPr>
          <c:marker>
            <c:symbol val="none"/>
          </c:marker>
          <c:cat>
            <c:numRef>
              <c:f>'Grafik BAB 1'!$E$6:$J$6</c:f>
              <c:numCache>
                <c:formatCode>General</c:formatCode>
                <c:ptCount val="6"/>
                <c:pt idx="0">
                  <c:v>2016</c:v>
                </c:pt>
                <c:pt idx="1">
                  <c:v>2017</c:v>
                </c:pt>
                <c:pt idx="2">
                  <c:v>2018</c:v>
                </c:pt>
                <c:pt idx="3">
                  <c:v>2019</c:v>
                </c:pt>
                <c:pt idx="4">
                  <c:v>2020</c:v>
                </c:pt>
                <c:pt idx="5">
                  <c:v>2021</c:v>
                </c:pt>
              </c:numCache>
            </c:numRef>
          </c:cat>
          <c:val>
            <c:numRef>
              <c:f>'Grafik BAB 1'!$E$9:$J$9</c:f>
              <c:numCache>
                <c:formatCode>General</c:formatCode>
                <c:ptCount val="6"/>
                <c:pt idx="0">
                  <c:v>605.04999999999995</c:v>
                </c:pt>
                <c:pt idx="1">
                  <c:v>532.42999999999995</c:v>
                </c:pt>
                <c:pt idx="2">
                  <c:v>691</c:v>
                </c:pt>
                <c:pt idx="3">
                  <c:v>613</c:v>
                </c:pt>
                <c:pt idx="4">
                  <c:v>246</c:v>
                </c:pt>
                <c:pt idx="5">
                  <c:v>550</c:v>
                </c:pt>
              </c:numCache>
            </c:numRef>
          </c:val>
          <c:smooth val="0"/>
          <c:extLst>
            <c:ext xmlns:c16="http://schemas.microsoft.com/office/drawing/2014/chart" uri="{C3380CC4-5D6E-409C-BE32-E72D297353CC}">
              <c16:uniqueId val="{00000002-4832-424E-994A-2CBF988EBC57}"/>
            </c:ext>
          </c:extLst>
        </c:ser>
        <c:ser>
          <c:idx val="3"/>
          <c:order val="3"/>
          <c:tx>
            <c:strRef>
              <c:f>'Grafik BAB 1'!$D$10</c:f>
              <c:strCache>
                <c:ptCount val="1"/>
                <c:pt idx="0">
                  <c:v>PT Metropolitan Kentjana Tbk</c:v>
                </c:pt>
              </c:strCache>
            </c:strRef>
          </c:tx>
          <c:spPr>
            <a:ln w="28575" cap="rnd">
              <a:solidFill>
                <a:schemeClr val="accent4"/>
              </a:solidFill>
              <a:round/>
            </a:ln>
            <a:effectLst/>
          </c:spPr>
          <c:marker>
            <c:symbol val="none"/>
          </c:marker>
          <c:cat>
            <c:numRef>
              <c:f>'Grafik BAB 1'!$E$6:$J$6</c:f>
              <c:numCache>
                <c:formatCode>General</c:formatCode>
                <c:ptCount val="6"/>
                <c:pt idx="0">
                  <c:v>2016</c:v>
                </c:pt>
                <c:pt idx="1">
                  <c:v>2017</c:v>
                </c:pt>
                <c:pt idx="2">
                  <c:v>2018</c:v>
                </c:pt>
                <c:pt idx="3">
                  <c:v>2019</c:v>
                </c:pt>
                <c:pt idx="4">
                  <c:v>2020</c:v>
                </c:pt>
                <c:pt idx="5">
                  <c:v>2021</c:v>
                </c:pt>
              </c:numCache>
            </c:numRef>
          </c:cat>
          <c:val>
            <c:numRef>
              <c:f>'Grafik BAB 1'!$E$10:$J$10</c:f>
              <c:numCache>
                <c:formatCode>General</c:formatCode>
                <c:ptCount val="6"/>
                <c:pt idx="0">
                  <c:v>1199.3699999999999</c:v>
                </c:pt>
                <c:pt idx="1">
                  <c:v>1193.6300000000001</c:v>
                </c:pt>
                <c:pt idx="2">
                  <c:v>1010</c:v>
                </c:pt>
                <c:pt idx="3">
                  <c:v>614</c:v>
                </c:pt>
                <c:pt idx="4">
                  <c:v>231.71</c:v>
                </c:pt>
                <c:pt idx="5">
                  <c:v>324.67</c:v>
                </c:pt>
              </c:numCache>
            </c:numRef>
          </c:val>
          <c:smooth val="0"/>
          <c:extLst>
            <c:ext xmlns:c16="http://schemas.microsoft.com/office/drawing/2014/chart" uri="{C3380CC4-5D6E-409C-BE32-E72D297353CC}">
              <c16:uniqueId val="{00000003-4832-424E-994A-2CBF988EBC57}"/>
            </c:ext>
          </c:extLst>
        </c:ser>
        <c:dLbls>
          <c:showLegendKey val="0"/>
          <c:showVal val="0"/>
          <c:showCatName val="0"/>
          <c:showSerName val="0"/>
          <c:showPercent val="0"/>
          <c:showBubbleSize val="0"/>
        </c:dLbls>
        <c:smooth val="0"/>
        <c:axId val="1923729103"/>
        <c:axId val="1923729519"/>
      </c:lineChart>
      <c:catAx>
        <c:axId val="192372910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923729519"/>
        <c:crosses val="autoZero"/>
        <c:auto val="1"/>
        <c:lblAlgn val="ctr"/>
        <c:lblOffset val="100"/>
        <c:noMultiLvlLbl val="0"/>
      </c:catAx>
      <c:valAx>
        <c:axId val="1923729519"/>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923729103"/>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100">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2CB68E-1C00-4E90-808D-04F89FF30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D:\Data Ayat\00 Penelitian\JRAK Unpas\Paper\Template JRAK 2020.dotx</Template>
  <TotalTime>0</TotalTime>
  <Pages>10</Pages>
  <Words>4824</Words>
  <Characters>27502</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Musyaffi</dc:creator>
  <cp:lastModifiedBy>Microsoft Office User</cp:lastModifiedBy>
  <cp:revision>2</cp:revision>
  <dcterms:created xsi:type="dcterms:W3CDTF">2023-08-18T12:25:00Z</dcterms:created>
  <dcterms:modified xsi:type="dcterms:W3CDTF">2023-08-18T12:25:00Z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Citation Style_1">
    <vt:lpwstr>http://www.zotero.org/styles/harvard1</vt:lpwstr>
  </property>
  <property fmtid="{D5CDD505-2E9C-101B-9397-08002B2CF9AE}" pid="3" name="Mendeley Document_1">
    <vt:lpwstr>True</vt:lpwstr>
  </property>
  <property fmtid="{D5CDD505-2E9C-101B-9397-08002B2CF9AE}" pid="4" name="Mendeley Recent Style Id 0_1">
    <vt:lpwstr>http://www.zotero.org/styles/american-medical-association</vt:lpwstr>
  </property>
  <property fmtid="{D5CDD505-2E9C-101B-9397-08002B2CF9AE}" pid="5" name="Mendeley Recent Style Id 1_1">
    <vt:lpwstr>http://www.zotero.org/styles/american-political-science-association</vt:lpwstr>
  </property>
  <property fmtid="{D5CDD505-2E9C-101B-9397-08002B2CF9AE}" pid="6" name="Mendeley Recent Style Id 2_1">
    <vt:lpwstr>http://www.zotero.org/styles/apa</vt:lpwstr>
  </property>
  <property fmtid="{D5CDD505-2E9C-101B-9397-08002B2CF9AE}" pid="7" name="Mendeley Recent Style Id 3_1">
    <vt:lpwstr>http://www.zotero.org/styles/american-sociological-association</vt:lpwstr>
  </property>
  <property fmtid="{D5CDD505-2E9C-101B-9397-08002B2CF9AE}" pid="8" name="Mendeley Recent Style Id 4_1">
    <vt:lpwstr>http://www.zotero.org/styles/chicago-author-date</vt:lpwstr>
  </property>
  <property fmtid="{D5CDD505-2E9C-101B-9397-08002B2CF9AE}" pid="9" name="Mendeley Recent Style Id 5_1">
    <vt:lpwstr>http://www.zotero.org/styles/harvard-cite-them-right</vt:lpwstr>
  </property>
  <property fmtid="{D5CDD505-2E9C-101B-9397-08002B2CF9AE}" pid="10" name="Mendeley Recent Style Id 6_1">
    <vt:lpwstr>http://www.zotero.org/styles/harvard1</vt:lpwstr>
  </property>
  <property fmtid="{D5CDD505-2E9C-101B-9397-08002B2CF9AE}" pid="11" name="Mendeley Recent Style Id 7_1">
    <vt:lpwstr>http://www.zotero.org/styles/modern-language-association</vt:lpwstr>
  </property>
  <property fmtid="{D5CDD505-2E9C-101B-9397-08002B2CF9AE}" pid="12" name="Mendeley Recent Style Id 8_1">
    <vt:lpwstr>http://www.zotero.org/styles/nature</vt:lpwstr>
  </property>
  <property fmtid="{D5CDD505-2E9C-101B-9397-08002B2CF9AE}" pid="13" name="Mendeley Recent Style Id 9_1">
    <vt:lpwstr>http://www.zotero.org/styles/vancouver</vt:lpwstr>
  </property>
  <property fmtid="{D5CDD505-2E9C-101B-9397-08002B2CF9AE}" pid="14" name="Mendeley Recent Style Name 0_1">
    <vt:lpwstr>American Medical Association</vt:lpwstr>
  </property>
  <property fmtid="{D5CDD505-2E9C-101B-9397-08002B2CF9AE}" pid="15" name="Mendeley Recent Style Name 1_1">
    <vt:lpwstr>American Political Science Association</vt:lpwstr>
  </property>
  <property fmtid="{D5CDD505-2E9C-101B-9397-08002B2CF9AE}" pid="16" name="Mendeley Recent Style Name 2_1">
    <vt:lpwstr>American Psychological Association 6th edition</vt:lpwstr>
  </property>
  <property fmtid="{D5CDD505-2E9C-101B-9397-08002B2CF9AE}" pid="17" name="Mendeley Recent Style Name 3_1">
    <vt:lpwstr>American Sociological Association</vt:lpwstr>
  </property>
  <property fmtid="{D5CDD505-2E9C-101B-9397-08002B2CF9AE}" pid="18" name="Mendeley Recent Style Name 4_1">
    <vt:lpwstr>Chicago Manual of Style 17th edition (author-date)</vt:lpwstr>
  </property>
  <property fmtid="{D5CDD505-2E9C-101B-9397-08002B2CF9AE}" pid="19" name="Mendeley Recent Style Name 5_1">
    <vt:lpwstr>Cite Them Right 10th edition - Harvard</vt:lpwstr>
  </property>
  <property fmtid="{D5CDD505-2E9C-101B-9397-08002B2CF9AE}" pid="20" name="Mendeley Recent Style Name 6_1">
    <vt:lpwstr>Harvard reference format 1 (deprecated)</vt:lpwstr>
  </property>
  <property fmtid="{D5CDD505-2E9C-101B-9397-08002B2CF9AE}" pid="21" name="Mendeley Recent Style Name 7_1">
    <vt:lpwstr>Modern Language Association 8th edition</vt:lpwstr>
  </property>
  <property fmtid="{D5CDD505-2E9C-101B-9397-08002B2CF9AE}" pid="22" name="Mendeley Recent Style Name 8_1">
    <vt:lpwstr>Nature</vt:lpwstr>
  </property>
  <property fmtid="{D5CDD505-2E9C-101B-9397-08002B2CF9AE}" pid="23" name="Mendeley Recent Style Name 9_1">
    <vt:lpwstr>Vancouver</vt:lpwstr>
  </property>
  <property fmtid="{D5CDD505-2E9C-101B-9397-08002B2CF9AE}" pid="24" name="Mendeley Unique User Id_1">
    <vt:lpwstr>bcbbfc25-7c88-3056-a465-a77b73456dde</vt:lpwstr>
  </property>
</Properties>
</file>