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CE" w:rsidRPr="009440CE" w:rsidRDefault="009440CE" w:rsidP="009440CE">
      <w:pPr>
        <w:keepNext/>
        <w:keepLines/>
        <w:spacing w:before="240" w:after="0"/>
        <w:jc w:val="center"/>
        <w:outlineLvl w:val="0"/>
        <w:rPr>
          <w:rFonts w:ascii="Times New Roman" w:eastAsia="DengXian" w:hAnsi="Times New Roman" w:cs="Times New Roman"/>
          <w:b/>
          <w:sz w:val="28"/>
          <w:szCs w:val="24"/>
          <w:lang w:val="zh-CN" w:bidi="hi-IN"/>
        </w:rPr>
      </w:pPr>
      <w:bookmarkStart w:id="0" w:name="_Toc140680358"/>
      <w:r w:rsidRPr="009440CE">
        <w:rPr>
          <w:rFonts w:ascii="Times New Roman" w:eastAsia="DengXian" w:hAnsi="Times New Roman" w:cs="Times New Roman"/>
          <w:b/>
          <w:sz w:val="28"/>
          <w:szCs w:val="24"/>
          <w:lang w:val="zh-CN" w:bidi="hi-IN"/>
        </w:rPr>
        <w:t>DAFTAR PUSTAKA</w:t>
      </w:r>
      <w:bookmarkEnd w:id="0"/>
    </w:p>
    <w:p w:rsidR="009440CE" w:rsidRPr="009440CE" w:rsidRDefault="009440CE" w:rsidP="009440CE">
      <w:pPr>
        <w:rPr>
          <w:rFonts w:ascii="Times New Roman" w:eastAsia="DengXian" w:hAnsi="Times New Roman" w:cs="Times New Roman"/>
          <w:szCs w:val="20"/>
          <w:lang w:val="zh-CN" w:bidi="hi-IN"/>
        </w:rPr>
      </w:pPr>
    </w:p>
    <w:p w:rsidR="009440CE" w:rsidRPr="009440CE" w:rsidRDefault="009440CE" w:rsidP="009440CE">
      <w:pPr>
        <w:numPr>
          <w:ilvl w:val="0"/>
          <w:numId w:val="3"/>
        </w:numPr>
        <w:spacing w:line="480" w:lineRule="auto"/>
        <w:ind w:left="284"/>
        <w:contextualSpacing/>
        <w:jc w:val="both"/>
        <w:outlineLvl w:val="1"/>
        <w:rPr>
          <w:rFonts w:ascii="Times New Roman" w:eastAsia="Calibri" w:hAnsi="Times New Roman" w:cs="Times New Roman"/>
          <w:b/>
          <w:iCs/>
          <w:sz w:val="24"/>
          <w:szCs w:val="24"/>
          <w:shd w:val="clear" w:color="auto" w:fill="FFFFFF"/>
          <w:lang w:val="en-US"/>
        </w:rPr>
      </w:pPr>
      <w:bookmarkStart w:id="1" w:name="_Toc140680359"/>
      <w:r w:rsidRPr="009440CE">
        <w:rPr>
          <w:rFonts w:ascii="Times New Roman" w:eastAsia="Calibri" w:hAnsi="Times New Roman" w:cs="Times New Roman"/>
          <w:b/>
          <w:iCs/>
          <w:sz w:val="24"/>
          <w:szCs w:val="24"/>
          <w:shd w:val="clear" w:color="auto" w:fill="FFFFFF"/>
          <w:lang w:val="en-US"/>
        </w:rPr>
        <w:t>Buku-Buku</w:t>
      </w:r>
      <w:bookmarkEnd w:id="1"/>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 xml:space="preserve">Bernard L. Tanya, dkk, </w:t>
      </w:r>
      <w:r w:rsidRPr="009440CE">
        <w:rPr>
          <w:rFonts w:ascii="Times New Roman" w:eastAsia="Calibri" w:hAnsi="Times New Roman" w:cs="Times New Roman"/>
          <w:i/>
          <w:sz w:val="24"/>
          <w:szCs w:val="24"/>
          <w:lang w:val="zh-CN" w:eastAsia="zh-CN"/>
        </w:rPr>
        <w:t>Teori Hukum Strategi Tertib Manusia Lintas Ruang dan Generasi</w:t>
      </w:r>
      <w:r w:rsidRPr="009440CE">
        <w:rPr>
          <w:rFonts w:ascii="Times New Roman" w:eastAsia="Calibri" w:hAnsi="Times New Roman" w:cs="Times New Roman"/>
          <w:sz w:val="24"/>
          <w:szCs w:val="24"/>
          <w:lang w:val="zh-CN" w:eastAsia="zh-CN"/>
        </w:rPr>
        <w:t>, Genta Publishing, Yogyakarta, 2013;</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Effendie Bachtiar, Kumpulan Tulisan tentang Hukum Tanah, Bandung: Alumni, 1993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E.Utrecht/Moh.Saleh Djindang, Pengantar Dalam Hukum Indonesia, Pustaka Sinar Harapan, Cetakan Kesebelas, Jakarta, 1989 ;</w:t>
      </w:r>
    </w:p>
    <w:p w:rsidR="009440CE" w:rsidRPr="009440CE" w:rsidRDefault="009440CE" w:rsidP="009440CE">
      <w:pPr>
        <w:spacing w:after="0" w:line="480" w:lineRule="auto"/>
        <w:ind w:left="851" w:right="51" w:hanging="567"/>
        <w:jc w:val="both"/>
        <w:rPr>
          <w:rFonts w:ascii="Times New Roman" w:eastAsia="Calibri" w:hAnsi="Times New Roman" w:cs="Times New Roman"/>
          <w:sz w:val="24"/>
          <w:szCs w:val="24"/>
          <w:lang w:val="zh-CN" w:eastAsia="zh-CN"/>
        </w:rPr>
      </w:pPr>
      <w:r w:rsidRPr="009440CE">
        <w:rPr>
          <w:rFonts w:ascii="Times New Roman" w:eastAsia="Calibri" w:hAnsi="Times New Roman" w:cs="Times New Roman"/>
          <w:sz w:val="24"/>
          <w:szCs w:val="24"/>
          <w:lang w:val="zh-CN" w:eastAsia="zh-CN"/>
        </w:rPr>
        <w:t>Florianus,S.PSangsun,Tata Cara Mengurus Sertifikat Tanah, VisiMedia, Jakarta, 2008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___________, Pendaftaran Tanah di Indonesia dan Peraturan-peraturan Pelaksanaannya Bandung: Alumni, 2003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Harsono Boedi, Hukum Agraria Indonesia (Sejarah Pembentukan UUPA, Isi dan Pelaksanaannya) Jilid 2, Djambatan ,Jakarta, 2008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______________, Hukum Agraria Indonesia, Himpunan Peraturan-peraturan Hukum Tanah Jakarta: Djambatan, 2009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Hutagalung Arie S., Tebaran Pemikiran Seputar Masalah Hukum Tanah, Lembaga Pemberdayaan Hukum Indonesia, Jakarta, 2005 ;</w:t>
      </w:r>
    </w:p>
    <w:p w:rsidR="009440CE" w:rsidRPr="009440CE" w:rsidRDefault="009440CE" w:rsidP="009440CE">
      <w:pPr>
        <w:spacing w:after="0" w:line="480" w:lineRule="auto"/>
        <w:ind w:left="851" w:right="51" w:hanging="567"/>
        <w:jc w:val="both"/>
        <w:rPr>
          <w:rFonts w:ascii="Times New Roman" w:eastAsia="Calibri" w:hAnsi="Times New Roman" w:cs="Times New Roman"/>
          <w:sz w:val="24"/>
          <w:szCs w:val="24"/>
          <w:lang w:val="zh-CN" w:eastAsia="zh-CN"/>
        </w:rPr>
      </w:pPr>
      <w:r w:rsidRPr="009440CE">
        <w:rPr>
          <w:rFonts w:ascii="Times New Roman" w:eastAsia="Calibri" w:hAnsi="Times New Roman" w:cs="Times New Roman"/>
          <w:sz w:val="24"/>
          <w:szCs w:val="24"/>
          <w:lang w:val="zh-CN" w:eastAsia="zh-CN"/>
        </w:rPr>
        <w:t xml:space="preserve">Kusumaatmadja Mochtar, </w:t>
      </w:r>
      <w:r w:rsidRPr="009440CE">
        <w:rPr>
          <w:rFonts w:ascii="Times New Roman" w:eastAsia="Calibri" w:hAnsi="Times New Roman" w:cs="Times New Roman"/>
          <w:i/>
          <w:sz w:val="24"/>
          <w:szCs w:val="24"/>
          <w:lang w:val="zh-CN" w:eastAsia="zh-CN"/>
        </w:rPr>
        <w:t>Hukum, Masyarakat dan Pembinaan Hukum Nasional</w:t>
      </w:r>
      <w:r w:rsidRPr="009440CE">
        <w:rPr>
          <w:rFonts w:ascii="Times New Roman" w:eastAsia="Calibri" w:hAnsi="Times New Roman" w:cs="Times New Roman"/>
          <w:sz w:val="24"/>
          <w:szCs w:val="24"/>
          <w:lang w:val="zh-CN" w:eastAsia="zh-CN"/>
        </w:rPr>
        <w:t>, Bina Cipta, Bandung, 1995 ;</w:t>
      </w:r>
    </w:p>
    <w:p w:rsidR="009440CE" w:rsidRPr="009440CE" w:rsidRDefault="009440CE" w:rsidP="009440CE">
      <w:pPr>
        <w:spacing w:after="0" w:line="480" w:lineRule="auto"/>
        <w:ind w:left="851" w:right="51" w:hanging="567"/>
        <w:jc w:val="both"/>
        <w:rPr>
          <w:rFonts w:ascii="Times New Roman" w:eastAsia="Calibri" w:hAnsi="Times New Roman" w:cs="Times New Roman"/>
          <w:sz w:val="24"/>
          <w:szCs w:val="24"/>
          <w:lang w:val="zh-CN" w:eastAsia="zh-CN"/>
        </w:rPr>
      </w:pP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lastRenderedPageBreak/>
        <w:t>Isnaeni Diyan dan Suratman, Reforma Agraria Land Reform dan Redistribusi Tanah di Indonesia. (Malang: Intrans Publishing, 2018)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Limbong Benhard, Konflik Pertanahan, Margaretha Pustaka, Jakarta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 xml:space="preserve">Rasjidi Lili, </w:t>
      </w:r>
      <w:r w:rsidRPr="009440CE">
        <w:rPr>
          <w:rFonts w:ascii="Times New Roman" w:eastAsia="Calibri" w:hAnsi="Times New Roman" w:cs="Times New Roman"/>
          <w:i/>
          <w:sz w:val="24"/>
          <w:szCs w:val="24"/>
          <w:lang w:val="zh-CN" w:eastAsia="zh-CN"/>
        </w:rPr>
        <w:t>Dasar-dasar Filsafat dan Teori Hukum, Citra Aditya Bakti</w:t>
      </w:r>
      <w:r w:rsidRPr="009440CE">
        <w:rPr>
          <w:rFonts w:ascii="Times New Roman" w:eastAsia="Calibri" w:hAnsi="Times New Roman" w:cs="Times New Roman"/>
          <w:sz w:val="24"/>
          <w:szCs w:val="24"/>
          <w:lang w:val="zh-CN" w:eastAsia="zh-CN"/>
        </w:rPr>
        <w:t>, Bandung, 2012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Lubis Yamin et.al., Hukum Pendaftaran Tanah (Bandung: CV. Mandar Maju, 2008)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Lubis Yamin Muhammad dan Lubis Rahim Abdul, Pencabutan Hak, Pembebasan, dan Pengadaan Tanah (Bandung: CV. Mandar Maju, 2011),</w:t>
      </w:r>
    </w:p>
    <w:p w:rsidR="009440CE" w:rsidRPr="009440CE" w:rsidRDefault="009440CE" w:rsidP="009440CE">
      <w:pPr>
        <w:spacing w:after="0" w:line="480" w:lineRule="auto"/>
        <w:ind w:left="851" w:right="51" w:hanging="567"/>
        <w:jc w:val="both"/>
        <w:rPr>
          <w:rFonts w:ascii="Times New Roman" w:eastAsia="Calibri" w:hAnsi="Times New Roman" w:cs="Times New Roman"/>
          <w:sz w:val="24"/>
          <w:szCs w:val="24"/>
          <w:lang w:val="zh-CN" w:eastAsia="zh-CN"/>
        </w:rPr>
      </w:pPr>
      <w:r w:rsidRPr="009440CE">
        <w:rPr>
          <w:rFonts w:ascii="Times New Roman" w:eastAsia="Calibri" w:hAnsi="Times New Roman" w:cs="Times New Roman"/>
          <w:sz w:val="24"/>
          <w:szCs w:val="24"/>
          <w:lang w:val="zh-CN" w:eastAsia="zh-CN"/>
        </w:rPr>
        <w:t>________ Hukum Pendaftaran Tanah, Mandar Maju, Bandung, 2008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Marzuki Mahmud Peter, Pengantar Ilmu Hukum, Kencana, Jakarta, 2008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Moh.Kusnardi dan Harmaily Ibrahim, Hukum Tata Negara Indonesia, Sinar Bakti, Jakarta, 1988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Moh. Nazir, Metode Penelitian, Ghalia, Jakarta, 1998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Mertousumo Sudikno dalam H.Salim Hs, Perkembangan Teori Dalam Ilmu Hukum, PT Raja Grafindo Persada, Jakarta, 2010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M. Hariwijaya dan Bisri M. Djaelani, Teknik Menulis Skripsi dan Thesis, Hanggar Kreator, Yogyakarta, 2008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Parlindungan. AP, Konversi Hak-Hak Atas Tanah, Mandar Maju, Bandung, 1990 ;</w:t>
      </w:r>
    </w:p>
    <w:p w:rsidR="009440CE" w:rsidRPr="009440CE" w:rsidRDefault="009440CE" w:rsidP="009440CE">
      <w:pPr>
        <w:spacing w:after="0" w:line="480" w:lineRule="auto"/>
        <w:ind w:left="851" w:right="51" w:hanging="567"/>
        <w:jc w:val="both"/>
        <w:rPr>
          <w:rFonts w:ascii="Times New Roman" w:eastAsia="Calibri" w:hAnsi="Times New Roman" w:cs="Times New Roman"/>
          <w:sz w:val="24"/>
          <w:szCs w:val="24"/>
          <w:lang w:val="zh-CN" w:eastAsia="zh-CN"/>
        </w:rPr>
      </w:pPr>
      <w:r w:rsidRPr="009440CE">
        <w:rPr>
          <w:rFonts w:ascii="Times New Roman" w:eastAsia="Calibri" w:hAnsi="Times New Roman" w:cs="Times New Roman"/>
          <w:sz w:val="24"/>
          <w:szCs w:val="24"/>
          <w:lang w:val="zh-CN" w:eastAsia="zh-CN"/>
        </w:rPr>
        <w:t>Rachman Fauzi Noer, Land Reform Dari Masa Ke Masa (Yogyakarta: Tanah Air Beta, 2012) ;</w:t>
      </w:r>
    </w:p>
    <w:p w:rsidR="009440CE" w:rsidRPr="009440CE" w:rsidRDefault="009440CE" w:rsidP="009440CE">
      <w:pPr>
        <w:spacing w:after="0" w:line="480" w:lineRule="auto"/>
        <w:ind w:left="851" w:right="51" w:hanging="567"/>
        <w:jc w:val="both"/>
        <w:rPr>
          <w:rFonts w:ascii="Times New Roman" w:eastAsia="Calibri" w:hAnsi="Times New Roman" w:cs="Times New Roman"/>
          <w:sz w:val="24"/>
          <w:szCs w:val="24"/>
          <w:lang w:val="zh-CN" w:eastAsia="zh-CN"/>
        </w:rPr>
      </w:pP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Raharjo Satjipto, Hukum dan Masyarakat, Angkasa Bandung, Semarang, 1980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 xml:space="preserve">RM Gatot P Soemartono, </w:t>
      </w:r>
      <w:r w:rsidRPr="009440CE">
        <w:rPr>
          <w:rFonts w:ascii="Times New Roman" w:eastAsia="Calibri" w:hAnsi="Times New Roman" w:cs="Times New Roman"/>
          <w:i/>
          <w:sz w:val="24"/>
          <w:szCs w:val="24"/>
          <w:lang w:val="zh-CN" w:eastAsia="zh-CN"/>
        </w:rPr>
        <w:t>Hukum Lingkungan Hidup Indonesia</w:t>
      </w:r>
      <w:r w:rsidRPr="009440CE">
        <w:rPr>
          <w:rFonts w:ascii="Times New Roman" w:eastAsia="Calibri" w:hAnsi="Times New Roman" w:cs="Times New Roman"/>
          <w:sz w:val="24"/>
          <w:szCs w:val="24"/>
          <w:lang w:val="zh-CN" w:eastAsia="zh-CN"/>
        </w:rPr>
        <w:t>, Sinar Grafika, Jakarta, 1996 ;</w:t>
      </w:r>
    </w:p>
    <w:p w:rsidR="009440CE" w:rsidRPr="009440CE" w:rsidRDefault="009440CE" w:rsidP="009440CE">
      <w:pPr>
        <w:numPr>
          <w:ilvl w:val="0"/>
          <w:numId w:val="2"/>
        </w:numPr>
        <w:spacing w:after="0" w:line="480" w:lineRule="auto"/>
        <w:ind w:left="851" w:right="51" w:hanging="567"/>
        <w:jc w:val="both"/>
        <w:rPr>
          <w:rFonts w:ascii="Times New Roman" w:eastAsia="SimSun" w:hAnsi="Times New Roman" w:cs="Times New Roman"/>
          <w:sz w:val="24"/>
          <w:szCs w:val="24"/>
          <w:lang w:val="zh-CN" w:eastAsia="zh-CN"/>
        </w:rPr>
      </w:pPr>
      <w:r w:rsidRPr="009440CE">
        <w:rPr>
          <w:rFonts w:ascii="Times New Roman" w:eastAsia="SimSun" w:hAnsi="Times New Roman" w:cs="Times New Roman"/>
          <w:sz w:val="24"/>
          <w:szCs w:val="24"/>
          <w:lang w:val="zh-CN" w:eastAsia="zh-CN"/>
        </w:rPr>
        <w:t>F. Marbun, Hukum Administrasi Negara I, FH UII Press, Yogyakarta, 2012</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Soekanto Soerjono, Pengantar Penelitian Hukum, UI-Press, 2006, Jakarta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Syarief Elza, Pensertifikatan Tanah Bekas Hak Eigendom (Jakarta: Kepustakaan Popoler Gramedia, 2014)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 xml:space="preserve">Soemitro Hanitijo Ronny, </w:t>
      </w:r>
      <w:r w:rsidRPr="009440CE">
        <w:rPr>
          <w:rFonts w:ascii="Times New Roman" w:eastAsia="Calibri" w:hAnsi="Times New Roman" w:cs="Times New Roman"/>
          <w:i/>
          <w:iCs/>
          <w:sz w:val="24"/>
          <w:szCs w:val="24"/>
          <w:lang w:val="zh-CN" w:eastAsia="zh-CN"/>
        </w:rPr>
        <w:t>metode penelitian Hukum dan jumetri,</w:t>
      </w:r>
      <w:r w:rsidRPr="009440CE">
        <w:rPr>
          <w:rFonts w:ascii="Times New Roman" w:eastAsia="Calibri" w:hAnsi="Times New Roman" w:cs="Times New Roman"/>
          <w:sz w:val="24"/>
          <w:szCs w:val="24"/>
          <w:lang w:val="zh-CN" w:eastAsia="zh-CN"/>
        </w:rPr>
        <w:t xml:space="preserve"> Ghalia Indonesia 1990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Zainuddin</w:t>
      </w:r>
      <w:r w:rsidRPr="009440CE">
        <w:rPr>
          <w:rFonts w:ascii="Times New Roman" w:eastAsia="Calibri" w:hAnsi="Times New Roman" w:cs="Times New Roman"/>
          <w:spacing w:val="-1"/>
          <w:sz w:val="24"/>
          <w:szCs w:val="24"/>
          <w:lang w:val="zh-CN" w:eastAsia="zh-CN"/>
        </w:rPr>
        <w:t xml:space="preserve"> </w:t>
      </w:r>
      <w:r w:rsidRPr="009440CE">
        <w:rPr>
          <w:rFonts w:ascii="Times New Roman" w:eastAsia="Calibri" w:hAnsi="Times New Roman" w:cs="Times New Roman"/>
          <w:sz w:val="24"/>
          <w:szCs w:val="24"/>
          <w:lang w:val="zh-CN" w:eastAsia="zh-CN"/>
        </w:rPr>
        <w:t xml:space="preserve">Ali, </w:t>
      </w:r>
      <w:r w:rsidRPr="009440CE">
        <w:rPr>
          <w:rFonts w:ascii="Times New Roman" w:eastAsia="Calibri" w:hAnsi="Times New Roman" w:cs="Times New Roman"/>
          <w:i/>
          <w:sz w:val="24"/>
          <w:szCs w:val="24"/>
          <w:lang w:val="zh-CN" w:eastAsia="zh-CN"/>
        </w:rPr>
        <w:t>Metode</w:t>
      </w:r>
      <w:r w:rsidRPr="009440CE">
        <w:rPr>
          <w:rFonts w:ascii="Times New Roman" w:eastAsia="Calibri" w:hAnsi="Times New Roman" w:cs="Times New Roman"/>
          <w:i/>
          <w:spacing w:val="-1"/>
          <w:sz w:val="24"/>
          <w:szCs w:val="24"/>
          <w:lang w:val="zh-CN" w:eastAsia="zh-CN"/>
        </w:rPr>
        <w:t xml:space="preserve"> </w:t>
      </w:r>
      <w:r w:rsidRPr="009440CE">
        <w:rPr>
          <w:rFonts w:ascii="Times New Roman" w:eastAsia="Calibri" w:hAnsi="Times New Roman" w:cs="Times New Roman"/>
          <w:i/>
          <w:sz w:val="24"/>
          <w:szCs w:val="24"/>
          <w:lang w:val="zh-CN" w:eastAsia="zh-CN"/>
        </w:rPr>
        <w:t>Penelitian</w:t>
      </w:r>
      <w:r w:rsidRPr="009440CE">
        <w:rPr>
          <w:rFonts w:ascii="Times New Roman" w:eastAsia="Calibri" w:hAnsi="Times New Roman" w:cs="Times New Roman"/>
          <w:i/>
          <w:spacing w:val="-4"/>
          <w:sz w:val="24"/>
          <w:szCs w:val="24"/>
          <w:lang w:val="zh-CN" w:eastAsia="zh-CN"/>
        </w:rPr>
        <w:t xml:space="preserve"> </w:t>
      </w:r>
      <w:r w:rsidRPr="009440CE">
        <w:rPr>
          <w:rFonts w:ascii="Times New Roman" w:eastAsia="Calibri" w:hAnsi="Times New Roman" w:cs="Times New Roman"/>
          <w:i/>
          <w:sz w:val="24"/>
          <w:szCs w:val="24"/>
          <w:lang w:val="zh-CN" w:eastAsia="zh-CN"/>
        </w:rPr>
        <w:t>Hukum</w:t>
      </w:r>
      <w:r w:rsidRPr="009440CE">
        <w:rPr>
          <w:rFonts w:ascii="Times New Roman" w:eastAsia="Calibri" w:hAnsi="Times New Roman" w:cs="Times New Roman"/>
          <w:sz w:val="24"/>
          <w:szCs w:val="24"/>
          <w:lang w:val="zh-CN" w:eastAsia="zh-CN"/>
        </w:rPr>
        <w:t>,Sinar</w:t>
      </w:r>
      <w:r w:rsidRPr="009440CE">
        <w:rPr>
          <w:rFonts w:ascii="Times New Roman" w:eastAsia="Calibri" w:hAnsi="Times New Roman" w:cs="Times New Roman"/>
          <w:spacing w:val="-3"/>
          <w:sz w:val="24"/>
          <w:szCs w:val="24"/>
          <w:lang w:val="zh-CN" w:eastAsia="zh-CN"/>
        </w:rPr>
        <w:t xml:space="preserve"> </w:t>
      </w:r>
      <w:r w:rsidRPr="009440CE">
        <w:rPr>
          <w:rFonts w:ascii="Times New Roman" w:eastAsia="Calibri" w:hAnsi="Times New Roman" w:cs="Times New Roman"/>
          <w:sz w:val="24"/>
          <w:szCs w:val="24"/>
          <w:lang w:val="zh-CN" w:eastAsia="zh-CN"/>
        </w:rPr>
        <w:t>Grafika,Palu,</w:t>
      </w:r>
      <w:r w:rsidRPr="009440CE">
        <w:rPr>
          <w:rFonts w:ascii="Times New Roman" w:eastAsia="Calibri" w:hAnsi="Times New Roman" w:cs="Times New Roman"/>
          <w:spacing w:val="-2"/>
          <w:sz w:val="24"/>
          <w:szCs w:val="24"/>
          <w:lang w:val="zh-CN" w:eastAsia="zh-CN"/>
        </w:rPr>
        <w:t xml:space="preserve"> </w:t>
      </w:r>
      <w:r w:rsidRPr="009440CE">
        <w:rPr>
          <w:rFonts w:ascii="Times New Roman" w:eastAsia="Calibri" w:hAnsi="Times New Roman" w:cs="Times New Roman"/>
          <w:sz w:val="24"/>
          <w:szCs w:val="24"/>
          <w:lang w:val="zh-CN" w:eastAsia="zh-CN"/>
        </w:rPr>
        <w:t>2009 ;</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Zainal Asikin,, Pengantar Tata Hukum Indonesia, Rajawali Press, Jakarta 2012</w:t>
      </w:r>
    </w:p>
    <w:p w:rsidR="009440CE" w:rsidRPr="009440CE" w:rsidRDefault="009440CE" w:rsidP="009440CE">
      <w:pPr>
        <w:spacing w:after="0" w:line="480" w:lineRule="auto"/>
        <w:ind w:left="851" w:right="51" w:hanging="567"/>
        <w:jc w:val="both"/>
        <w:rPr>
          <w:rFonts w:ascii="Times New Roman" w:eastAsia="DengXian" w:hAnsi="Times New Roman" w:cs="Times New Roman"/>
          <w:sz w:val="24"/>
          <w:szCs w:val="24"/>
          <w:lang w:val="zh-CN" w:eastAsia="zh-CN"/>
        </w:rPr>
      </w:pPr>
    </w:p>
    <w:p w:rsidR="009440CE" w:rsidRPr="009440CE" w:rsidRDefault="009440CE" w:rsidP="009440CE">
      <w:pPr>
        <w:spacing w:line="480" w:lineRule="auto"/>
        <w:ind w:left="426" w:hanging="360"/>
        <w:contextualSpacing/>
        <w:jc w:val="both"/>
        <w:outlineLvl w:val="1"/>
        <w:rPr>
          <w:rFonts w:ascii="Times New Roman" w:eastAsia="Calibri" w:hAnsi="Times New Roman" w:cs="Times New Roman"/>
          <w:b/>
          <w:i/>
          <w:iCs/>
          <w:sz w:val="24"/>
          <w:szCs w:val="24"/>
          <w:shd w:val="clear" w:color="auto" w:fill="FFFFFF"/>
          <w:lang w:val="en-US"/>
        </w:rPr>
      </w:pPr>
      <w:bookmarkStart w:id="2" w:name="_Toc140680360"/>
      <w:r w:rsidRPr="009440CE">
        <w:rPr>
          <w:rFonts w:ascii="Times New Roman" w:eastAsia="Calibri" w:hAnsi="Times New Roman" w:cs="Times New Roman"/>
          <w:b/>
          <w:iCs/>
          <w:sz w:val="24"/>
          <w:szCs w:val="24"/>
          <w:shd w:val="clear" w:color="auto" w:fill="FFFFFF"/>
          <w:lang w:val="en-US"/>
        </w:rPr>
        <w:t>Undang-undang</w:t>
      </w:r>
      <w:bookmarkEnd w:id="2"/>
    </w:p>
    <w:p w:rsidR="009440CE" w:rsidRPr="009440CE" w:rsidRDefault="009440CE" w:rsidP="009440CE">
      <w:pPr>
        <w:spacing w:line="480" w:lineRule="auto"/>
        <w:ind w:firstLine="426"/>
        <w:jc w:val="both"/>
        <w:rPr>
          <w:rFonts w:ascii="Times New Roman" w:eastAsia="DengXian" w:hAnsi="Times New Roman" w:cs="Times New Roman"/>
          <w:szCs w:val="20"/>
          <w:lang w:val="zh-CN" w:bidi="hi-IN"/>
        </w:rPr>
      </w:pPr>
      <w:r w:rsidRPr="009440CE">
        <w:rPr>
          <w:rFonts w:ascii="Times New Roman" w:eastAsia="DengXian" w:hAnsi="Times New Roman" w:cs="Times New Roman"/>
          <w:szCs w:val="20"/>
          <w:lang w:val="zh-CN" w:bidi="hi-IN"/>
        </w:rPr>
        <w:t>Undang-Undang Dasar Tahun 1945 ;</w:t>
      </w:r>
    </w:p>
    <w:p w:rsidR="009440CE" w:rsidRPr="009440CE" w:rsidRDefault="009440CE" w:rsidP="009440CE">
      <w:pPr>
        <w:spacing w:after="120" w:line="480" w:lineRule="auto"/>
        <w:ind w:left="426" w:right="51"/>
        <w:contextualSpacing/>
        <w:jc w:val="both"/>
        <w:rPr>
          <w:rFonts w:ascii="Times New Roman" w:eastAsia="Calibri" w:hAnsi="Times New Roman" w:cs="Times New Roman"/>
          <w:bCs/>
          <w:sz w:val="24"/>
          <w:szCs w:val="24"/>
          <w:lang w:val="en-US"/>
        </w:rPr>
      </w:pPr>
      <w:r w:rsidRPr="009440CE">
        <w:rPr>
          <w:rFonts w:ascii="Times New Roman" w:eastAsia="Calibri" w:hAnsi="Times New Roman" w:cs="Times New Roman"/>
          <w:bCs/>
          <w:sz w:val="24"/>
          <w:szCs w:val="24"/>
          <w:lang w:val="en-US"/>
        </w:rPr>
        <w:t>Undang-Undang No 5 Tahun 1960 Tentang Dasar Pokok-pokok Agraria</w:t>
      </w:r>
    </w:p>
    <w:p w:rsidR="009440CE" w:rsidRPr="009440CE" w:rsidRDefault="009440CE" w:rsidP="009440CE">
      <w:pPr>
        <w:spacing w:after="120" w:line="480" w:lineRule="auto"/>
        <w:ind w:left="426" w:right="51"/>
        <w:contextualSpacing/>
        <w:jc w:val="both"/>
        <w:rPr>
          <w:rFonts w:ascii="Times New Roman" w:eastAsia="Calibri" w:hAnsi="Times New Roman" w:cs="Times New Roman"/>
          <w:bCs/>
          <w:sz w:val="24"/>
          <w:szCs w:val="24"/>
          <w:lang w:val="en-US"/>
        </w:rPr>
      </w:pPr>
      <w:r w:rsidRPr="009440CE">
        <w:rPr>
          <w:rFonts w:ascii="Times New Roman" w:eastAsia="Calibri" w:hAnsi="Times New Roman" w:cs="Times New Roman"/>
          <w:bCs/>
          <w:sz w:val="24"/>
          <w:szCs w:val="24"/>
          <w:lang w:val="en-US"/>
        </w:rPr>
        <w:t>Peraturan Pemerintah No 24 Tahun 1997 Tentang Pendaftaran Tanah Sebagaimana Telah Di Ubah Oleh Peraturan Pemerintah Republik Indonesia Nomor 18 Tahun 2021 Tentang Hak Pengelolaan, Hak Atas Tanah, Satuan Rumah Susun, Dan Pendaftaran Tanah</w:t>
      </w:r>
    </w:p>
    <w:p w:rsidR="009440CE" w:rsidRPr="009440CE" w:rsidRDefault="009440CE" w:rsidP="009440CE">
      <w:pPr>
        <w:spacing w:after="120" w:line="480" w:lineRule="auto"/>
        <w:ind w:left="426" w:right="51"/>
        <w:contextualSpacing/>
        <w:jc w:val="both"/>
        <w:rPr>
          <w:rFonts w:ascii="Times New Roman" w:eastAsia="Calibri" w:hAnsi="Times New Roman" w:cs="Times New Roman"/>
          <w:bCs/>
          <w:sz w:val="24"/>
          <w:szCs w:val="24"/>
          <w:lang w:val="en-US"/>
        </w:rPr>
      </w:pPr>
    </w:p>
    <w:p w:rsidR="009440CE" w:rsidRPr="009440CE" w:rsidRDefault="009440CE" w:rsidP="009440CE">
      <w:pPr>
        <w:spacing w:after="120" w:line="480" w:lineRule="auto"/>
        <w:ind w:left="426" w:right="51"/>
        <w:contextualSpacing/>
        <w:jc w:val="both"/>
        <w:rPr>
          <w:rFonts w:ascii="Times New Roman" w:eastAsia="Calibri" w:hAnsi="Times New Roman" w:cs="Times New Roman"/>
          <w:bCs/>
          <w:sz w:val="24"/>
          <w:szCs w:val="24"/>
          <w:lang w:val="en-US"/>
        </w:rPr>
      </w:pPr>
    </w:p>
    <w:p w:rsidR="009440CE" w:rsidRPr="009440CE" w:rsidRDefault="009440CE" w:rsidP="009440CE">
      <w:pPr>
        <w:spacing w:after="120" w:line="480" w:lineRule="auto"/>
        <w:ind w:left="426" w:right="51"/>
        <w:contextualSpacing/>
        <w:jc w:val="both"/>
        <w:rPr>
          <w:rFonts w:ascii="Times New Roman" w:eastAsia="Calibri" w:hAnsi="Times New Roman" w:cs="Times New Roman"/>
          <w:bCs/>
          <w:sz w:val="24"/>
          <w:szCs w:val="24"/>
          <w:lang w:val="en-US"/>
        </w:rPr>
      </w:pPr>
    </w:p>
    <w:p w:rsidR="009440CE" w:rsidRPr="009440CE" w:rsidRDefault="009440CE" w:rsidP="009440CE">
      <w:pPr>
        <w:spacing w:after="120" w:line="480" w:lineRule="auto"/>
        <w:ind w:left="426" w:right="51"/>
        <w:contextualSpacing/>
        <w:jc w:val="both"/>
        <w:rPr>
          <w:rFonts w:ascii="Times New Roman" w:eastAsia="Calibri" w:hAnsi="Times New Roman" w:cs="Times New Roman"/>
          <w:bCs/>
          <w:sz w:val="24"/>
          <w:szCs w:val="24"/>
          <w:lang w:val="en-US"/>
        </w:rPr>
      </w:pPr>
    </w:p>
    <w:p w:rsidR="009440CE" w:rsidRPr="009440CE" w:rsidRDefault="009440CE" w:rsidP="009440CE">
      <w:pPr>
        <w:spacing w:line="480" w:lineRule="auto"/>
        <w:ind w:left="426" w:hanging="360"/>
        <w:contextualSpacing/>
        <w:jc w:val="both"/>
        <w:outlineLvl w:val="1"/>
        <w:rPr>
          <w:rFonts w:ascii="Times New Roman" w:eastAsia="Calibri" w:hAnsi="Times New Roman" w:cs="Times New Roman"/>
          <w:b/>
          <w:i/>
          <w:iCs/>
          <w:sz w:val="24"/>
          <w:szCs w:val="24"/>
          <w:shd w:val="clear" w:color="auto" w:fill="FFFFFF"/>
          <w:lang w:val="en-US"/>
        </w:rPr>
      </w:pPr>
      <w:bookmarkStart w:id="3" w:name="_Toc140680361"/>
      <w:proofErr w:type="gramStart"/>
      <w:r w:rsidRPr="009440CE">
        <w:rPr>
          <w:rFonts w:ascii="Times New Roman" w:eastAsia="Calibri" w:hAnsi="Times New Roman" w:cs="Times New Roman"/>
          <w:b/>
          <w:iCs/>
          <w:sz w:val="24"/>
          <w:szCs w:val="24"/>
          <w:shd w:val="clear" w:color="auto" w:fill="FFFFFF"/>
          <w:lang w:val="en-US"/>
        </w:rPr>
        <w:t>Jurnal.</w:t>
      </w:r>
      <w:proofErr w:type="gramEnd"/>
      <w:r w:rsidRPr="009440CE">
        <w:rPr>
          <w:rFonts w:ascii="Times New Roman" w:eastAsia="Calibri" w:hAnsi="Times New Roman" w:cs="Times New Roman"/>
          <w:b/>
          <w:iCs/>
          <w:sz w:val="24"/>
          <w:szCs w:val="24"/>
          <w:shd w:val="clear" w:color="auto" w:fill="FFFFFF"/>
          <w:lang w:val="en-US"/>
        </w:rPr>
        <w:t xml:space="preserve"> Artikel, Sumber lain</w:t>
      </w:r>
      <w:bookmarkEnd w:id="3"/>
    </w:p>
    <w:p w:rsidR="009440CE" w:rsidRPr="009440CE" w:rsidRDefault="009440CE" w:rsidP="009440CE">
      <w:pPr>
        <w:spacing w:after="120" w:line="480" w:lineRule="auto"/>
        <w:ind w:left="851" w:right="51" w:hanging="425"/>
        <w:contextualSpacing/>
        <w:jc w:val="both"/>
        <w:rPr>
          <w:rFonts w:ascii="Times New Roman" w:eastAsia="Calibri" w:hAnsi="Times New Roman" w:cs="Times New Roman"/>
          <w:b/>
          <w:i/>
          <w:sz w:val="24"/>
          <w:szCs w:val="24"/>
          <w:shd w:val="clear" w:color="auto" w:fill="FFFFFF"/>
          <w:lang w:val="en-US"/>
        </w:rPr>
      </w:pPr>
      <w:proofErr w:type="gramStart"/>
      <w:r w:rsidRPr="009440CE">
        <w:rPr>
          <w:rFonts w:ascii="Times New Roman" w:eastAsia="Calibri" w:hAnsi="Times New Roman" w:cs="Times New Roman"/>
          <w:sz w:val="24"/>
          <w:szCs w:val="24"/>
          <w:lang w:val="en-US"/>
        </w:rPr>
        <w:t>Muhlizar, “Eigendom Verponding Sebagai Alas Hak Dalam Persfektif Undang-Undang Nomor 5 Tahun 1960 tentang Peraturan Dasar Pokok-Pokok Agraria” Jurnal Hadharah 12 No. 1 (2020), hlm.90.</w:t>
      </w:r>
      <w:proofErr w:type="gramEnd"/>
      <w:r w:rsidRPr="009440CE">
        <w:rPr>
          <w:rFonts w:ascii="Times New Roman" w:eastAsia="Calibri" w:hAnsi="Times New Roman" w:cs="Times New Roman"/>
          <w:sz w:val="24"/>
          <w:szCs w:val="24"/>
          <w:lang w:val="en-US"/>
        </w:rPr>
        <w:t xml:space="preserve"> https://ejurnal.univamedan.ac.id/index.php/Hadharah/article/view/58/44</w:t>
      </w:r>
    </w:p>
    <w:p w:rsidR="009440CE" w:rsidRPr="009440CE" w:rsidRDefault="00277055" w:rsidP="009440CE">
      <w:pPr>
        <w:spacing w:line="480" w:lineRule="auto"/>
        <w:ind w:left="851" w:hanging="425"/>
        <w:jc w:val="both"/>
        <w:rPr>
          <w:rFonts w:ascii="Times New Roman" w:eastAsia="DengXian" w:hAnsi="Times New Roman" w:cs="Times New Roman"/>
          <w:szCs w:val="20"/>
          <w:lang w:val="zh-CN" w:bidi="hi-IN"/>
        </w:rPr>
      </w:pPr>
      <w:hyperlink r:id="rId8" w:history="1">
        <w:r w:rsidR="009440CE" w:rsidRPr="009440CE">
          <w:rPr>
            <w:rFonts w:ascii="Times New Roman" w:eastAsia="DengXian" w:hAnsi="Times New Roman" w:cs="Times New Roman"/>
            <w:color w:val="0000FF"/>
            <w:szCs w:val="20"/>
            <w:u w:val="single"/>
            <w:lang w:val="zh-CN" w:bidi="hi-IN"/>
          </w:rPr>
          <w:t>http://politikagraria.blogspot.co.id/2013/05/sejarah-hukumagraria-sebelum.html</w:t>
        </w:r>
      </w:hyperlink>
      <w:r w:rsidR="009440CE" w:rsidRPr="009440CE">
        <w:rPr>
          <w:rFonts w:ascii="Times New Roman" w:eastAsia="DengXian" w:hAnsi="Times New Roman" w:cs="Times New Roman"/>
          <w:szCs w:val="20"/>
          <w:lang w:val="zh-CN" w:bidi="hi-IN"/>
        </w:rPr>
        <w:t xml:space="preserve"> ;</w:t>
      </w:r>
    </w:p>
    <w:p w:rsidR="009440CE" w:rsidRPr="009440CE" w:rsidRDefault="009440CE" w:rsidP="009440CE">
      <w:pPr>
        <w:spacing w:after="0" w:line="480" w:lineRule="auto"/>
        <w:ind w:left="851" w:right="51" w:hanging="425"/>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William Seven Liadi, “Kedudukan Eigendom Verponding dalam Hukum Pertanahan di Indonesia” Jurnal Panorama Hukum 4, no. 1 (2019) ;</w:t>
      </w:r>
    </w:p>
    <w:p w:rsidR="009440CE" w:rsidRPr="009440CE" w:rsidRDefault="009440CE" w:rsidP="009440CE">
      <w:pPr>
        <w:spacing w:after="0" w:line="480" w:lineRule="auto"/>
        <w:ind w:left="851" w:right="51" w:hanging="425"/>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http://ejournal.unikama.ac.id/index.php/jph/article/view/3884/2360 (diakses tanggal 20 Mei 2022) ;</w:t>
      </w:r>
    </w:p>
    <w:p w:rsidR="009440CE" w:rsidRPr="009440CE" w:rsidRDefault="009440CE" w:rsidP="009440CE">
      <w:pPr>
        <w:spacing w:after="0" w:line="480" w:lineRule="auto"/>
        <w:ind w:left="851" w:right="51" w:hanging="425"/>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Tim Redaksi FOKUSMEDIA, UUD’45 dan amandemennya, FOKUS MEDIA, Bandung, 2004 ;</w:t>
      </w:r>
    </w:p>
    <w:p w:rsidR="009440CE" w:rsidRPr="009440CE" w:rsidRDefault="009440CE" w:rsidP="009440CE">
      <w:pPr>
        <w:spacing w:after="0" w:line="480" w:lineRule="auto"/>
        <w:ind w:left="851" w:right="51" w:hanging="425"/>
        <w:jc w:val="both"/>
        <w:rPr>
          <w:rFonts w:ascii="Times New Roman" w:eastAsia="DengXian" w:hAnsi="Times New Roman" w:cs="Times New Roman"/>
          <w:sz w:val="24"/>
          <w:szCs w:val="24"/>
          <w:lang w:val="zh-CN" w:eastAsia="zh-CN"/>
        </w:rPr>
      </w:pPr>
      <w:r w:rsidRPr="009440CE">
        <w:rPr>
          <w:rFonts w:ascii="Times New Roman" w:eastAsia="Calibri" w:hAnsi="Times New Roman" w:cs="Times New Roman"/>
          <w:sz w:val="24"/>
          <w:szCs w:val="24"/>
          <w:lang w:val="zh-CN" w:eastAsia="zh-CN"/>
        </w:rPr>
        <w:t>Lawrence M. Wriedman dikutip dari Fauzie Kamal Ismail, Tesis berjudul Kepastian Hukum Atas Akta notaris Yang Berkaitan Dengan Pertanahan, Fakultas Hukum, Universitas Indonesia, Depok, 2011.</w:t>
      </w:r>
    </w:p>
    <w:p w:rsidR="009440CE" w:rsidRPr="009440CE" w:rsidRDefault="009440CE" w:rsidP="009440CE">
      <w:pPr>
        <w:spacing w:after="0" w:line="480" w:lineRule="auto"/>
        <w:ind w:left="851" w:right="51" w:hanging="425"/>
        <w:jc w:val="both"/>
        <w:rPr>
          <w:rFonts w:ascii="Times New Roman" w:eastAsia="Calibri" w:hAnsi="Times New Roman" w:cs="Times New Roman"/>
          <w:sz w:val="24"/>
          <w:szCs w:val="24"/>
          <w:lang w:val="en-US" w:eastAsia="zh-CN"/>
        </w:rPr>
      </w:pPr>
      <w:r w:rsidRPr="009440CE">
        <w:rPr>
          <w:rFonts w:ascii="Times New Roman" w:eastAsia="Calibri" w:hAnsi="Times New Roman" w:cs="Times New Roman"/>
          <w:sz w:val="24"/>
          <w:szCs w:val="24"/>
          <w:lang w:val="en-US" w:eastAsia="zh-CN"/>
        </w:rPr>
        <w:t>Jurnal Komisi Yudisial.co.id E-ISSN 1978-6506 Vol. 14 No 1 April 2021</w:t>
      </w:r>
    </w:p>
    <w:p w:rsidR="009440CE" w:rsidRPr="009440CE" w:rsidRDefault="009440CE" w:rsidP="009440CE">
      <w:pPr>
        <w:spacing w:after="0" w:line="480" w:lineRule="auto"/>
        <w:ind w:left="851" w:right="51" w:hanging="425"/>
        <w:jc w:val="both"/>
        <w:rPr>
          <w:rFonts w:ascii="Times New Roman" w:eastAsia="Calibri" w:hAnsi="Times New Roman" w:cs="Times New Roman"/>
          <w:sz w:val="24"/>
          <w:szCs w:val="24"/>
          <w:lang w:val="en-US" w:eastAsia="zh-CN"/>
        </w:rPr>
      </w:pPr>
      <w:r w:rsidRPr="009440CE">
        <w:rPr>
          <w:rFonts w:ascii="Times New Roman" w:eastAsia="Calibri" w:hAnsi="Times New Roman" w:cs="Times New Roman"/>
          <w:sz w:val="24"/>
          <w:szCs w:val="24"/>
          <w:lang w:val="en-US" w:eastAsia="zh-CN"/>
        </w:rPr>
        <w:t>Jurnal Hukum Adigama Vol 3 No 2 Desember 2020 E-</w:t>
      </w:r>
      <w:proofErr w:type="gramStart"/>
      <w:r w:rsidRPr="009440CE">
        <w:rPr>
          <w:rFonts w:ascii="Times New Roman" w:eastAsia="Calibri" w:hAnsi="Times New Roman" w:cs="Times New Roman"/>
          <w:sz w:val="24"/>
          <w:szCs w:val="24"/>
          <w:lang w:val="en-US" w:eastAsia="zh-CN"/>
        </w:rPr>
        <w:t>ISSN :</w:t>
      </w:r>
      <w:proofErr w:type="gramEnd"/>
      <w:r w:rsidRPr="009440CE">
        <w:rPr>
          <w:rFonts w:ascii="Times New Roman" w:eastAsia="Calibri" w:hAnsi="Times New Roman" w:cs="Times New Roman"/>
          <w:sz w:val="24"/>
          <w:szCs w:val="24"/>
          <w:lang w:val="en-US" w:eastAsia="zh-CN"/>
        </w:rPr>
        <w:t xml:space="preserve"> 2655-7347 | P-ISSN : 2747-0873</w:t>
      </w:r>
    </w:p>
    <w:p w:rsidR="009440CE" w:rsidRPr="009440CE" w:rsidRDefault="009440CE" w:rsidP="009440CE">
      <w:pPr>
        <w:spacing w:after="0" w:line="480" w:lineRule="auto"/>
        <w:ind w:left="851" w:right="51" w:hanging="425"/>
        <w:jc w:val="both"/>
        <w:rPr>
          <w:rFonts w:ascii="Times New Roman" w:eastAsia="Calibri" w:hAnsi="Times New Roman" w:cs="Times New Roman"/>
          <w:sz w:val="24"/>
          <w:szCs w:val="24"/>
          <w:lang w:val="en-US" w:eastAsia="zh-CN"/>
        </w:rPr>
      </w:pPr>
      <w:r w:rsidRPr="009440CE">
        <w:rPr>
          <w:rFonts w:ascii="Times New Roman" w:eastAsia="Calibri" w:hAnsi="Times New Roman" w:cs="Times New Roman"/>
          <w:sz w:val="24"/>
          <w:szCs w:val="24"/>
          <w:lang w:val="en-US" w:eastAsia="zh-CN"/>
        </w:rPr>
        <w:t xml:space="preserve">Jurnal Analogi Hukum berjudul </w:t>
      </w:r>
      <w:r w:rsidRPr="009440CE">
        <w:rPr>
          <w:rFonts w:ascii="Times New Roman" w:eastAsia="SimSun" w:hAnsi="Times New Roman" w:cs="Times New Roman"/>
          <w:sz w:val="24"/>
          <w:szCs w:val="24"/>
          <w:lang w:val="zh-CN" w:eastAsia="zh-CN"/>
        </w:rPr>
        <w:t>Akibat Hukum Konversi Hak Atas Tanah Berdasarkan Peraturan Pemerintah Nomor 24 Tahun 1997 Tentang Pendaftaran Tanah</w:t>
      </w:r>
      <w:r w:rsidRPr="009440CE">
        <w:rPr>
          <w:rFonts w:ascii="Times New Roman" w:eastAsia="SimSun" w:hAnsi="Times New Roman" w:cs="Times New Roman"/>
          <w:sz w:val="24"/>
          <w:szCs w:val="24"/>
          <w:lang w:val="en-US" w:eastAsia="zh-CN"/>
        </w:rPr>
        <w:t xml:space="preserve">, 3 Maret 2021 </w:t>
      </w:r>
      <w:proofErr w:type="gramStart"/>
      <w:r w:rsidRPr="009440CE">
        <w:rPr>
          <w:rFonts w:ascii="Times New Roman" w:eastAsia="SimSun" w:hAnsi="Times New Roman" w:cs="Times New Roman"/>
          <w:sz w:val="24"/>
          <w:szCs w:val="24"/>
          <w:lang w:val="en-US" w:eastAsia="zh-CN"/>
        </w:rPr>
        <w:t>ISSN :</w:t>
      </w:r>
      <w:proofErr w:type="gramEnd"/>
      <w:r w:rsidRPr="009440CE">
        <w:rPr>
          <w:rFonts w:ascii="Times New Roman" w:eastAsia="SimSun" w:hAnsi="Times New Roman" w:cs="Times New Roman"/>
          <w:sz w:val="24"/>
          <w:szCs w:val="24"/>
          <w:lang w:val="en-US" w:eastAsia="zh-CN"/>
        </w:rPr>
        <w:t xml:space="preserve"> 282-287</w:t>
      </w:r>
      <w:bookmarkStart w:id="4" w:name="_GoBack"/>
      <w:bookmarkEnd w:id="4"/>
    </w:p>
    <w:sectPr w:rsidR="009440CE" w:rsidRPr="009440CE" w:rsidSect="00E74D5C">
      <w:headerReference w:type="default" r:id="rId9"/>
      <w:footerReference w:type="default" r:id="rId10"/>
      <w:pgSz w:w="11906" w:h="16838"/>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55" w:rsidRDefault="00277055">
      <w:pPr>
        <w:spacing w:after="0" w:line="240" w:lineRule="auto"/>
      </w:pPr>
      <w:r>
        <w:separator/>
      </w:r>
    </w:p>
  </w:endnote>
  <w:endnote w:type="continuationSeparator" w:id="0">
    <w:p w:rsidR="00277055" w:rsidRDefault="0027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495891"/>
    </w:sdtPr>
    <w:sdtEndPr>
      <w:rPr>
        <w:rFonts w:ascii="Times New Roman" w:hAnsi="Times New Roman" w:cs="Times New Roman"/>
      </w:rPr>
    </w:sdtEndPr>
    <w:sdtContent>
      <w:p w:rsidR="00B57EEF" w:rsidRPr="00E74D5C" w:rsidRDefault="009440CE">
        <w:pPr>
          <w:pStyle w:val="Footer1"/>
          <w:jc w:val="center"/>
          <w:rPr>
            <w:rFonts w:ascii="Times New Roman" w:hAnsi="Times New Roman" w:cs="Times New Roman"/>
          </w:rPr>
        </w:pPr>
        <w:r w:rsidRPr="00E74D5C">
          <w:rPr>
            <w:rFonts w:ascii="Times New Roman" w:hAnsi="Times New Roman" w:cs="Times New Roman"/>
          </w:rPr>
          <w:fldChar w:fldCharType="begin"/>
        </w:r>
        <w:r w:rsidRPr="00E74D5C">
          <w:rPr>
            <w:rFonts w:ascii="Times New Roman" w:hAnsi="Times New Roman" w:cs="Times New Roman"/>
          </w:rPr>
          <w:instrText xml:space="preserve"> PAGE   \* MERGEFORMAT </w:instrText>
        </w:r>
        <w:r w:rsidRPr="00E74D5C">
          <w:rPr>
            <w:rFonts w:ascii="Times New Roman" w:hAnsi="Times New Roman" w:cs="Times New Roman"/>
          </w:rPr>
          <w:fldChar w:fldCharType="separate"/>
        </w:r>
        <w:r w:rsidR="004D7AB2">
          <w:rPr>
            <w:rFonts w:ascii="Times New Roman" w:hAnsi="Times New Roman" w:cs="Times New Roman"/>
            <w:noProof/>
          </w:rPr>
          <w:t>x</w:t>
        </w:r>
        <w:r w:rsidRPr="00E74D5C">
          <w:rPr>
            <w:rFonts w:ascii="Times New Roman" w:hAnsi="Times New Roman" w:cs="Times New Roman"/>
          </w:rPr>
          <w:fldChar w:fldCharType="end"/>
        </w:r>
      </w:p>
    </w:sdtContent>
  </w:sdt>
  <w:p w:rsidR="00B57EEF" w:rsidRDefault="00277055">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55" w:rsidRDefault="00277055">
      <w:pPr>
        <w:spacing w:after="0" w:line="240" w:lineRule="auto"/>
      </w:pPr>
      <w:r>
        <w:separator/>
      </w:r>
    </w:p>
  </w:footnote>
  <w:footnote w:type="continuationSeparator" w:id="0">
    <w:p w:rsidR="00277055" w:rsidRDefault="0027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5C" w:rsidRPr="002F7421" w:rsidRDefault="00277055">
    <w:pPr>
      <w:pStyle w:val="Header1"/>
      <w:jc w:val="right"/>
      <w:rPr>
        <w:rFonts w:ascii="Times New Roman" w:hAnsi="Times New Roman" w:cs="Times New Roman"/>
      </w:rPr>
    </w:pPr>
  </w:p>
  <w:p w:rsidR="00E74D5C" w:rsidRDefault="00277055">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E18CA8"/>
    <w:multiLevelType w:val="singleLevel"/>
    <w:tmpl w:val="86E18CA8"/>
    <w:lvl w:ilvl="0">
      <w:start w:val="19"/>
      <w:numFmt w:val="upperLetter"/>
      <w:suff w:val="space"/>
      <w:lvlText w:val="%1."/>
      <w:lvlJc w:val="left"/>
    </w:lvl>
  </w:abstractNum>
  <w:abstractNum w:abstractNumId="1">
    <w:nsid w:val="3FE73538"/>
    <w:multiLevelType w:val="multilevel"/>
    <w:tmpl w:val="108C35B4"/>
    <w:lvl w:ilvl="0">
      <w:start w:val="1"/>
      <w:numFmt w:val="upperLetter"/>
      <w:pStyle w:val="Heading2"/>
      <w:lvlText w:val="%1."/>
      <w:lvlJc w:val="left"/>
      <w:pPr>
        <w:ind w:left="1440" w:hanging="360"/>
      </w:pPr>
      <w:rPr>
        <w:rFonts w:hint="default"/>
        <w:i w:val="0"/>
        <w:i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CE"/>
    <w:rsid w:val="00277055"/>
    <w:rsid w:val="004D7AB2"/>
    <w:rsid w:val="005E0C68"/>
    <w:rsid w:val="009440CE"/>
    <w:rsid w:val="00D64EA3"/>
    <w:rsid w:val="00F928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uiPriority w:val="9"/>
    <w:unhideWhenUsed/>
    <w:qFormat/>
    <w:rsid w:val="009440CE"/>
    <w:pPr>
      <w:numPr>
        <w:numId w:val="1"/>
      </w:numPr>
      <w:spacing w:line="240" w:lineRule="auto"/>
      <w:jc w:val="both"/>
      <w:outlineLvl w:val="1"/>
    </w:pPr>
    <w:rPr>
      <w:rFonts w:ascii="Times New Roman" w:eastAsia="Calibri" w:hAnsi="Times New Roman" w:cs="Times New Roman"/>
      <w:b/>
      <w:iCs/>
      <w:sz w:val="24"/>
      <w:szCs w:val="24"/>
      <w:shd w:val="clear" w:color="auto" w:fil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0CE"/>
    <w:rPr>
      <w:rFonts w:ascii="Times New Roman" w:eastAsia="Calibri" w:hAnsi="Times New Roman" w:cs="Times New Roman"/>
      <w:b/>
      <w:iCs/>
      <w:sz w:val="24"/>
      <w:szCs w:val="24"/>
      <w:lang w:val="en-US"/>
    </w:rPr>
  </w:style>
  <w:style w:type="paragraph" w:customStyle="1" w:styleId="Footer1">
    <w:name w:val="Footer1"/>
    <w:basedOn w:val="Normal"/>
    <w:next w:val="Footer"/>
    <w:link w:val="FooterChar"/>
    <w:uiPriority w:val="99"/>
    <w:unhideWhenUsed/>
    <w:qFormat/>
    <w:rsid w:val="009440CE"/>
    <w:pPr>
      <w:tabs>
        <w:tab w:val="center" w:pos="4513"/>
        <w:tab w:val="right" w:pos="9026"/>
      </w:tabs>
      <w:spacing w:after="0" w:line="240" w:lineRule="auto"/>
    </w:pPr>
    <w:rPr>
      <w:rFonts w:ascii="DengXian" w:eastAsia="DengXian" w:hAnsi="DengXian" w:cs="Mangal"/>
      <w:lang w:val="zh-CN" w:bidi="hi-IN"/>
    </w:rPr>
  </w:style>
  <w:style w:type="character" w:customStyle="1" w:styleId="FooterChar">
    <w:name w:val="Footer Char"/>
    <w:basedOn w:val="DefaultParagraphFont"/>
    <w:link w:val="Footer1"/>
    <w:uiPriority w:val="99"/>
    <w:qFormat/>
    <w:rsid w:val="009440CE"/>
    <w:rPr>
      <w:rFonts w:ascii="DengXian" w:eastAsia="DengXian" w:hAnsi="DengXian" w:cs="Mangal"/>
      <w:sz w:val="22"/>
      <w:lang w:val="zh-CN" w:eastAsia="en-US" w:bidi="hi-IN"/>
    </w:rPr>
  </w:style>
  <w:style w:type="paragraph" w:customStyle="1" w:styleId="Header1">
    <w:name w:val="Header1"/>
    <w:basedOn w:val="Normal"/>
    <w:next w:val="Header"/>
    <w:link w:val="HeaderChar"/>
    <w:uiPriority w:val="99"/>
    <w:unhideWhenUsed/>
    <w:qFormat/>
    <w:rsid w:val="009440CE"/>
    <w:pPr>
      <w:tabs>
        <w:tab w:val="center" w:pos="4513"/>
        <w:tab w:val="right" w:pos="9026"/>
      </w:tabs>
      <w:spacing w:after="0" w:line="240" w:lineRule="auto"/>
    </w:pPr>
    <w:rPr>
      <w:rFonts w:ascii="DengXian" w:eastAsia="DengXian" w:hAnsi="DengXian" w:cs="Mangal"/>
      <w:lang w:val="zh-CN" w:bidi="hi-IN"/>
    </w:rPr>
  </w:style>
  <w:style w:type="character" w:customStyle="1" w:styleId="HeaderChar">
    <w:name w:val="Header Char"/>
    <w:basedOn w:val="DefaultParagraphFont"/>
    <w:link w:val="Header1"/>
    <w:uiPriority w:val="99"/>
    <w:qFormat/>
    <w:rsid w:val="009440CE"/>
    <w:rPr>
      <w:rFonts w:ascii="DengXian" w:eastAsia="DengXian" w:hAnsi="DengXian" w:cs="Mangal"/>
      <w:sz w:val="22"/>
      <w:lang w:val="zh-CN" w:eastAsia="en-US" w:bidi="hi-IN"/>
    </w:rPr>
  </w:style>
  <w:style w:type="paragraph" w:styleId="ListParagraph">
    <w:name w:val="List Paragraph"/>
    <w:basedOn w:val="Normal"/>
    <w:uiPriority w:val="34"/>
    <w:qFormat/>
    <w:rsid w:val="009440CE"/>
    <w:pPr>
      <w:ind w:left="720"/>
      <w:contextualSpacing/>
    </w:pPr>
  </w:style>
  <w:style w:type="paragraph" w:styleId="Footer">
    <w:name w:val="footer"/>
    <w:basedOn w:val="Normal"/>
    <w:link w:val="FooterChar1"/>
    <w:uiPriority w:val="99"/>
    <w:semiHidden/>
    <w:unhideWhenUsed/>
    <w:rsid w:val="009440CE"/>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9440CE"/>
  </w:style>
  <w:style w:type="paragraph" w:styleId="Header">
    <w:name w:val="header"/>
    <w:basedOn w:val="Normal"/>
    <w:link w:val="HeaderChar1"/>
    <w:uiPriority w:val="99"/>
    <w:semiHidden/>
    <w:unhideWhenUsed/>
    <w:rsid w:val="009440CE"/>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9440CE"/>
  </w:style>
  <w:style w:type="paragraph" w:styleId="BalloonText">
    <w:name w:val="Balloon Text"/>
    <w:basedOn w:val="Normal"/>
    <w:link w:val="BalloonTextChar"/>
    <w:uiPriority w:val="99"/>
    <w:semiHidden/>
    <w:unhideWhenUsed/>
    <w:rsid w:val="004D7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uiPriority w:val="9"/>
    <w:unhideWhenUsed/>
    <w:qFormat/>
    <w:rsid w:val="009440CE"/>
    <w:pPr>
      <w:numPr>
        <w:numId w:val="1"/>
      </w:numPr>
      <w:spacing w:line="240" w:lineRule="auto"/>
      <w:jc w:val="both"/>
      <w:outlineLvl w:val="1"/>
    </w:pPr>
    <w:rPr>
      <w:rFonts w:ascii="Times New Roman" w:eastAsia="Calibri" w:hAnsi="Times New Roman" w:cs="Times New Roman"/>
      <w:b/>
      <w:iCs/>
      <w:sz w:val="24"/>
      <w:szCs w:val="24"/>
      <w:shd w:val="clear" w:color="auto" w:fil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0CE"/>
    <w:rPr>
      <w:rFonts w:ascii="Times New Roman" w:eastAsia="Calibri" w:hAnsi="Times New Roman" w:cs="Times New Roman"/>
      <w:b/>
      <w:iCs/>
      <w:sz w:val="24"/>
      <w:szCs w:val="24"/>
      <w:lang w:val="en-US"/>
    </w:rPr>
  </w:style>
  <w:style w:type="paragraph" w:customStyle="1" w:styleId="Footer1">
    <w:name w:val="Footer1"/>
    <w:basedOn w:val="Normal"/>
    <w:next w:val="Footer"/>
    <w:link w:val="FooterChar"/>
    <w:uiPriority w:val="99"/>
    <w:unhideWhenUsed/>
    <w:qFormat/>
    <w:rsid w:val="009440CE"/>
    <w:pPr>
      <w:tabs>
        <w:tab w:val="center" w:pos="4513"/>
        <w:tab w:val="right" w:pos="9026"/>
      </w:tabs>
      <w:spacing w:after="0" w:line="240" w:lineRule="auto"/>
    </w:pPr>
    <w:rPr>
      <w:rFonts w:ascii="DengXian" w:eastAsia="DengXian" w:hAnsi="DengXian" w:cs="Mangal"/>
      <w:lang w:val="zh-CN" w:bidi="hi-IN"/>
    </w:rPr>
  </w:style>
  <w:style w:type="character" w:customStyle="1" w:styleId="FooterChar">
    <w:name w:val="Footer Char"/>
    <w:basedOn w:val="DefaultParagraphFont"/>
    <w:link w:val="Footer1"/>
    <w:uiPriority w:val="99"/>
    <w:qFormat/>
    <w:rsid w:val="009440CE"/>
    <w:rPr>
      <w:rFonts w:ascii="DengXian" w:eastAsia="DengXian" w:hAnsi="DengXian" w:cs="Mangal"/>
      <w:sz w:val="22"/>
      <w:lang w:val="zh-CN" w:eastAsia="en-US" w:bidi="hi-IN"/>
    </w:rPr>
  </w:style>
  <w:style w:type="paragraph" w:customStyle="1" w:styleId="Header1">
    <w:name w:val="Header1"/>
    <w:basedOn w:val="Normal"/>
    <w:next w:val="Header"/>
    <w:link w:val="HeaderChar"/>
    <w:uiPriority w:val="99"/>
    <w:unhideWhenUsed/>
    <w:qFormat/>
    <w:rsid w:val="009440CE"/>
    <w:pPr>
      <w:tabs>
        <w:tab w:val="center" w:pos="4513"/>
        <w:tab w:val="right" w:pos="9026"/>
      </w:tabs>
      <w:spacing w:after="0" w:line="240" w:lineRule="auto"/>
    </w:pPr>
    <w:rPr>
      <w:rFonts w:ascii="DengXian" w:eastAsia="DengXian" w:hAnsi="DengXian" w:cs="Mangal"/>
      <w:lang w:val="zh-CN" w:bidi="hi-IN"/>
    </w:rPr>
  </w:style>
  <w:style w:type="character" w:customStyle="1" w:styleId="HeaderChar">
    <w:name w:val="Header Char"/>
    <w:basedOn w:val="DefaultParagraphFont"/>
    <w:link w:val="Header1"/>
    <w:uiPriority w:val="99"/>
    <w:qFormat/>
    <w:rsid w:val="009440CE"/>
    <w:rPr>
      <w:rFonts w:ascii="DengXian" w:eastAsia="DengXian" w:hAnsi="DengXian" w:cs="Mangal"/>
      <w:sz w:val="22"/>
      <w:lang w:val="zh-CN" w:eastAsia="en-US" w:bidi="hi-IN"/>
    </w:rPr>
  </w:style>
  <w:style w:type="paragraph" w:styleId="ListParagraph">
    <w:name w:val="List Paragraph"/>
    <w:basedOn w:val="Normal"/>
    <w:uiPriority w:val="34"/>
    <w:qFormat/>
    <w:rsid w:val="009440CE"/>
    <w:pPr>
      <w:ind w:left="720"/>
      <w:contextualSpacing/>
    </w:pPr>
  </w:style>
  <w:style w:type="paragraph" w:styleId="Footer">
    <w:name w:val="footer"/>
    <w:basedOn w:val="Normal"/>
    <w:link w:val="FooterChar1"/>
    <w:uiPriority w:val="99"/>
    <w:semiHidden/>
    <w:unhideWhenUsed/>
    <w:rsid w:val="009440CE"/>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9440CE"/>
  </w:style>
  <w:style w:type="paragraph" w:styleId="Header">
    <w:name w:val="header"/>
    <w:basedOn w:val="Normal"/>
    <w:link w:val="HeaderChar1"/>
    <w:uiPriority w:val="99"/>
    <w:semiHidden/>
    <w:unhideWhenUsed/>
    <w:rsid w:val="009440CE"/>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9440CE"/>
  </w:style>
  <w:style w:type="paragraph" w:styleId="BalloonText">
    <w:name w:val="Balloon Text"/>
    <w:basedOn w:val="Normal"/>
    <w:link w:val="BalloonTextChar"/>
    <w:uiPriority w:val="99"/>
    <w:semiHidden/>
    <w:unhideWhenUsed/>
    <w:rsid w:val="004D7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ikagraria.blogspot.co.id/2013/05/sejarah-hukumagraria-sebelum.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c:creator>
  <cp:keywords/>
  <dc:description/>
  <cp:lastModifiedBy>Windows User</cp:lastModifiedBy>
  <cp:revision>3</cp:revision>
  <dcterms:created xsi:type="dcterms:W3CDTF">2023-07-31T04:27:00Z</dcterms:created>
  <dcterms:modified xsi:type="dcterms:W3CDTF">2023-07-31T04:42:00Z</dcterms:modified>
</cp:coreProperties>
</file>