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EC48AB" w14:textId="77777777" w:rsidR="007604AD" w:rsidRDefault="007604AD" w:rsidP="007604AD">
      <w:pPr>
        <w:pStyle w:val="ListParagraph"/>
        <w:ind w:left="0"/>
        <w:jc w:val="center"/>
        <w:rPr>
          <w:rFonts w:ascii="Palatino Linotype" w:hAnsi="Palatino Linotype" w:cs="Times New Roman"/>
          <w:b/>
          <w:sz w:val="28"/>
          <w:szCs w:val="28"/>
          <w:lang w:val="en-US"/>
        </w:rPr>
      </w:pPr>
      <w:r>
        <w:rPr>
          <w:rFonts w:ascii="Palatino Linotype" w:hAnsi="Palatino Linotype" w:cs="Times New Roman"/>
          <w:b/>
          <w:sz w:val="28"/>
          <w:szCs w:val="28"/>
          <w:lang w:val="en-US"/>
        </w:rPr>
        <w:t>VALIDITAS DAN RELIABILITAS INSTRUMEN ASESMEN KEMAMPUAN BERPIKIR INTUITIF MATEMATIS SISWA</w:t>
      </w:r>
    </w:p>
    <w:p w14:paraId="4CACBE0F" w14:textId="77777777" w:rsidR="007604AD" w:rsidRDefault="007604AD" w:rsidP="007604AD">
      <w:pPr>
        <w:pStyle w:val="ListParagraph"/>
        <w:ind w:left="0"/>
        <w:jc w:val="center"/>
        <w:rPr>
          <w:rFonts w:ascii="Palatino Linotype" w:hAnsi="Palatino Linotype" w:cs="Times New Roman"/>
          <w:b/>
          <w:sz w:val="24"/>
          <w:szCs w:val="24"/>
        </w:rPr>
      </w:pPr>
    </w:p>
    <w:p w14:paraId="1A04328C" w14:textId="77777777" w:rsidR="007604AD" w:rsidRDefault="007604AD" w:rsidP="007604AD">
      <w:pPr>
        <w:jc w:val="center"/>
        <w:rPr>
          <w:rFonts w:ascii="Palatino Linotype" w:hAnsi="Palatino Linotype" w:cs="Times New Roman"/>
          <w:b/>
          <w:bCs/>
          <w:sz w:val="24"/>
          <w:szCs w:val="24"/>
          <w:lang w:val="en-US"/>
        </w:rPr>
      </w:pPr>
    </w:p>
    <w:p w14:paraId="2E13EA52" w14:textId="77777777" w:rsidR="007604AD" w:rsidRDefault="007604AD" w:rsidP="007604AD">
      <w:pPr>
        <w:jc w:val="center"/>
        <w:rPr>
          <w:rFonts w:ascii="Palatino Linotype" w:hAnsi="Palatino Linotype" w:cs="Times New Roman"/>
          <w:bCs/>
          <w:sz w:val="24"/>
          <w:szCs w:val="24"/>
          <w:lang w:val="en-US"/>
        </w:rPr>
      </w:pPr>
      <w:r>
        <w:rPr>
          <w:rFonts w:ascii="Palatino Linotype" w:hAnsi="Palatino Linotype" w:cs="Times New Roman"/>
          <w:b/>
          <w:bCs/>
          <w:lang w:val="en-US"/>
        </w:rPr>
        <w:t>Tayudi</w:t>
      </w:r>
      <w:r>
        <w:rPr>
          <w:rFonts w:ascii="Palatino Linotype" w:hAnsi="Palatino Linotype" w:cs="Times New Roman"/>
          <w:b/>
          <w:bCs/>
          <w:vertAlign w:val="superscript"/>
        </w:rPr>
        <w:t>1</w:t>
      </w:r>
      <w:r>
        <w:rPr>
          <w:rFonts w:ascii="Palatino Linotype" w:hAnsi="Palatino Linotype" w:cs="Times New Roman"/>
          <w:b/>
          <w:bCs/>
          <w:vertAlign w:val="superscript"/>
          <w:lang w:val="en-US"/>
        </w:rPr>
        <w:t xml:space="preserve"> *</w:t>
      </w:r>
    </w:p>
    <w:p w14:paraId="4D110DE0" w14:textId="77777777" w:rsidR="007604AD" w:rsidRDefault="007604AD" w:rsidP="007604AD">
      <w:pPr>
        <w:jc w:val="center"/>
        <w:rPr>
          <w:rFonts w:ascii="Palatino Linotype" w:hAnsi="Palatino Linotype" w:cs="Times New Roman"/>
          <w:szCs w:val="24"/>
        </w:rPr>
      </w:pPr>
      <w:r>
        <w:rPr>
          <w:rFonts w:ascii="Palatino Linotype" w:hAnsi="Palatino Linotype" w:cs="Times New Roman"/>
          <w:szCs w:val="24"/>
          <w:vertAlign w:val="superscript"/>
        </w:rPr>
        <w:t>1,</w:t>
      </w:r>
      <w:r>
        <w:rPr>
          <w:rFonts w:ascii="Palatino Linotype" w:hAnsi="Palatino Linotype" w:cs="Times New Roman"/>
          <w:szCs w:val="24"/>
          <w:lang w:val="en-US"/>
        </w:rPr>
        <w:t xml:space="preserve">Universitas </w:t>
      </w:r>
      <w:r>
        <w:rPr>
          <w:rFonts w:ascii="Palatino Linotype" w:hAnsi="Palatino Linotype" w:cs="Times New Roman"/>
          <w:szCs w:val="24"/>
        </w:rPr>
        <w:t>Pasundan</w:t>
      </w:r>
      <w:r>
        <w:rPr>
          <w:rFonts w:ascii="Palatino Linotype" w:hAnsi="Palatino Linotype" w:cs="Times New Roman"/>
          <w:szCs w:val="24"/>
          <w:lang w:val="en-US"/>
        </w:rPr>
        <w:t xml:space="preserve"> </w:t>
      </w:r>
    </w:p>
    <w:p w14:paraId="224E2C29" w14:textId="77777777" w:rsidR="007604AD" w:rsidRDefault="007604AD" w:rsidP="007604AD">
      <w:pPr>
        <w:jc w:val="center"/>
        <w:rPr>
          <w:rFonts w:ascii="Palatino Linotype" w:hAnsi="Palatino Linotype" w:cs="Times New Roman"/>
          <w:color w:val="000000" w:themeColor="text1"/>
          <w:lang w:val="en-US"/>
        </w:rPr>
      </w:pPr>
      <w:r>
        <w:rPr>
          <w:rFonts w:ascii="Palatino Linotype" w:hAnsi="Palatino Linotype" w:cs="Times New Roman"/>
          <w:color w:val="000000" w:themeColor="text1"/>
          <w:lang w:val="en-US"/>
        </w:rPr>
        <w:t>*cs1.jagocell@gmail.com</w:t>
      </w:r>
    </w:p>
    <w:p w14:paraId="2C00D5F2" w14:textId="77777777" w:rsidR="007604AD" w:rsidRDefault="007604AD" w:rsidP="007604AD">
      <w:pPr>
        <w:pStyle w:val="ListParagraph"/>
        <w:ind w:left="0"/>
        <w:jc w:val="center"/>
        <w:rPr>
          <w:rFonts w:ascii="Palatino Linotype" w:hAnsi="Palatino Linotype" w:cs="Times New Roman"/>
          <w:b/>
          <w:sz w:val="24"/>
          <w:szCs w:val="24"/>
        </w:rPr>
      </w:pPr>
    </w:p>
    <w:p w14:paraId="371C6F78" w14:textId="77777777" w:rsidR="007604AD" w:rsidRDefault="007604AD" w:rsidP="007604AD">
      <w:pPr>
        <w:pStyle w:val="ListParagraph"/>
        <w:ind w:left="0"/>
        <w:jc w:val="center"/>
        <w:rPr>
          <w:rFonts w:ascii="Palatino Linotype" w:hAnsi="Palatino Linotype" w:cs="Times New Roman"/>
          <w:b/>
          <w:sz w:val="24"/>
          <w:szCs w:val="24"/>
        </w:rPr>
      </w:pPr>
    </w:p>
    <w:p w14:paraId="58ED1E2B" w14:textId="77777777" w:rsidR="007604AD" w:rsidRDefault="007604AD" w:rsidP="007604AD">
      <w:pPr>
        <w:pStyle w:val="ListParagraph"/>
        <w:ind w:left="0"/>
        <w:jc w:val="center"/>
        <w:rPr>
          <w:rFonts w:ascii="Palatino Linotype" w:hAnsi="Palatino Linotype" w:cs="Times New Roman"/>
          <w:b/>
          <w:lang w:val="en-US"/>
        </w:rPr>
      </w:pPr>
      <w:r>
        <w:rPr>
          <w:rFonts w:ascii="Palatino Linotype" w:hAnsi="Palatino Linotype" w:cs="Times New Roman"/>
          <w:b/>
        </w:rPr>
        <w:t>Abstrak</w:t>
      </w:r>
      <w:r>
        <w:rPr>
          <w:rFonts w:ascii="Palatino Linotype" w:hAnsi="Palatino Linotype" w:cs="Times New Roman"/>
          <w:b/>
          <w:lang w:val="en-US"/>
        </w:rPr>
        <w:t xml:space="preserve"> </w:t>
      </w:r>
    </w:p>
    <w:p w14:paraId="1BAB2DB7" w14:textId="77777777" w:rsidR="007604AD" w:rsidRDefault="007604AD" w:rsidP="007604AD">
      <w:pPr>
        <w:ind w:left="567" w:right="565"/>
        <w:jc w:val="both"/>
        <w:rPr>
          <w:rFonts w:ascii="Palatino Linotype" w:eastAsia="Times New Roman" w:hAnsi="Palatino Linotype" w:cstheme="minorHAnsi"/>
          <w:color w:val="111111"/>
          <w:lang w:val="en-US"/>
        </w:rPr>
      </w:pPr>
      <w:proofErr w:type="spellStart"/>
      <w:r>
        <w:rPr>
          <w:rFonts w:ascii="Palatino Linotype" w:hAnsi="Palatino Linotype" w:cs="Times New Roman"/>
          <w:lang w:val="en-US"/>
        </w:rPr>
        <w:t>Tujuan</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dari</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penelitian</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ini</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adalah</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untuk</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menguji</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validitas</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dan</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reliabilitas</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instrumen</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asesmen</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kemampuan</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berpikir</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intuitif</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matematis</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siswa</w:t>
      </w:r>
      <w:proofErr w:type="spellEnd"/>
      <w:r>
        <w:rPr>
          <w:rFonts w:ascii="Palatino Linotype" w:eastAsia="Times New Roman" w:hAnsi="Palatino Linotype" w:cstheme="minorHAnsi"/>
          <w:color w:val="111111"/>
        </w:rPr>
        <w:t>.</w:t>
      </w:r>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Penelitian</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ini</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merupakan</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salah</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satu</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bagian</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dari</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tahapan</w:t>
      </w:r>
      <w:proofErr w:type="spellEnd"/>
      <w:r>
        <w:rPr>
          <w:rFonts w:ascii="Palatino Linotype" w:eastAsia="Times New Roman" w:hAnsi="Palatino Linotype" w:cstheme="minorHAnsi"/>
          <w:color w:val="111111"/>
          <w:lang w:val="en-US"/>
        </w:rPr>
        <w:t xml:space="preserve"> Model </w:t>
      </w:r>
      <w:proofErr w:type="spellStart"/>
      <w:r>
        <w:rPr>
          <w:rFonts w:ascii="Palatino Linotype" w:eastAsia="Times New Roman" w:hAnsi="Palatino Linotype" w:cstheme="minorHAnsi"/>
          <w:color w:val="111111"/>
          <w:lang w:val="en-US"/>
        </w:rPr>
        <w:t>penelitian</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dan</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pengembangan</w:t>
      </w:r>
      <w:proofErr w:type="spellEnd"/>
      <w:r>
        <w:rPr>
          <w:rFonts w:ascii="Palatino Linotype" w:eastAsia="Times New Roman" w:hAnsi="Palatino Linotype" w:cstheme="minorHAnsi"/>
          <w:color w:val="111111"/>
          <w:lang w:val="en-US"/>
        </w:rPr>
        <w:t xml:space="preserve"> Four-D </w:t>
      </w:r>
      <w:proofErr w:type="spellStart"/>
      <w:r>
        <w:rPr>
          <w:rFonts w:ascii="Palatino Linotype" w:eastAsia="Times New Roman" w:hAnsi="Palatino Linotype" w:cstheme="minorHAnsi"/>
          <w:color w:val="111111"/>
          <w:lang w:val="en-US"/>
        </w:rPr>
        <w:t>yaitu</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tahapan</w:t>
      </w:r>
      <w:proofErr w:type="spellEnd"/>
      <w:r>
        <w:rPr>
          <w:rFonts w:ascii="Palatino Linotype" w:eastAsia="Times New Roman" w:hAnsi="Palatino Linotype" w:cstheme="minorHAnsi"/>
          <w:color w:val="111111"/>
          <w:lang w:val="en-US"/>
        </w:rPr>
        <w:t xml:space="preserve"> design. </w:t>
      </w:r>
      <w:proofErr w:type="spellStart"/>
      <w:r>
        <w:rPr>
          <w:rFonts w:ascii="Palatino Linotype" w:eastAsia="Times New Roman" w:hAnsi="Palatino Linotype" w:cstheme="minorHAnsi"/>
          <w:color w:val="111111"/>
          <w:lang w:val="en-US"/>
        </w:rPr>
        <w:t>Instrumen</w:t>
      </w:r>
      <w:proofErr w:type="spellEnd"/>
      <w:r>
        <w:rPr>
          <w:rFonts w:ascii="Palatino Linotype" w:eastAsia="Times New Roman" w:hAnsi="Palatino Linotype" w:cstheme="minorHAnsi"/>
          <w:color w:val="111111"/>
          <w:lang w:val="en-US"/>
        </w:rPr>
        <w:t xml:space="preserve"> yang </w:t>
      </w:r>
      <w:proofErr w:type="spellStart"/>
      <w:r>
        <w:rPr>
          <w:rFonts w:ascii="Palatino Linotype" w:eastAsia="Times New Roman" w:hAnsi="Palatino Linotype" w:cstheme="minorHAnsi"/>
          <w:color w:val="111111"/>
          <w:lang w:val="en-US"/>
        </w:rPr>
        <w:t>sudah</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dirancang</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dikonsultasikan</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kepada</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ahli</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untuk</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nantinya</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dibuktikan</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validitas</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dan</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reliabilitas</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Uji</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ahli</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atau</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Validasi</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dilakukan</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dengan</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responden</w:t>
      </w:r>
      <w:proofErr w:type="spellEnd"/>
      <w:r>
        <w:rPr>
          <w:rFonts w:ascii="Palatino Linotype" w:eastAsia="Times New Roman" w:hAnsi="Palatino Linotype" w:cstheme="minorHAnsi"/>
          <w:color w:val="111111"/>
          <w:lang w:val="en-US"/>
        </w:rPr>
        <w:t xml:space="preserve"> para </w:t>
      </w:r>
      <w:proofErr w:type="spellStart"/>
      <w:r>
        <w:rPr>
          <w:rFonts w:ascii="Palatino Linotype" w:eastAsia="Times New Roman" w:hAnsi="Palatino Linotype" w:cstheme="minorHAnsi"/>
          <w:color w:val="111111"/>
          <w:lang w:val="en-US"/>
        </w:rPr>
        <w:t>ahli</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perancangan</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instrumen</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atau</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produk</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Selanjutnya</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analisis</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validitas</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konten</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dilakukan</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dengan</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menganalisis</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hasil</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validasi</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konten</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oleh</w:t>
      </w:r>
      <w:proofErr w:type="spellEnd"/>
      <w:r>
        <w:rPr>
          <w:rFonts w:ascii="Palatino Linotype" w:eastAsia="Times New Roman" w:hAnsi="Palatino Linotype" w:cstheme="minorHAnsi"/>
          <w:color w:val="111111"/>
          <w:lang w:val="en-US"/>
        </w:rPr>
        <w:t xml:space="preserve"> para </w:t>
      </w:r>
      <w:proofErr w:type="spellStart"/>
      <w:r>
        <w:rPr>
          <w:rFonts w:ascii="Palatino Linotype" w:eastAsia="Times New Roman" w:hAnsi="Palatino Linotype" w:cstheme="minorHAnsi"/>
          <w:color w:val="111111"/>
          <w:lang w:val="en-US"/>
        </w:rPr>
        <w:t>ahli</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dengan</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menggunakan</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pendekatan</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rasio</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validitas</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isi</w:t>
      </w:r>
      <w:proofErr w:type="spellEnd"/>
      <w:r>
        <w:rPr>
          <w:rFonts w:ascii="Palatino Linotype" w:eastAsia="Times New Roman" w:hAnsi="Palatino Linotype" w:cstheme="minorHAnsi"/>
          <w:color w:val="111111"/>
          <w:lang w:val="en-US"/>
        </w:rPr>
        <w:t xml:space="preserve"> (Content Validity Ratio/CVR). </w:t>
      </w:r>
      <w:proofErr w:type="spellStart"/>
      <w:r>
        <w:rPr>
          <w:rFonts w:ascii="Palatino Linotype" w:eastAsia="Times New Roman" w:hAnsi="Palatino Linotype" w:cstheme="minorHAnsi"/>
          <w:color w:val="111111"/>
          <w:lang w:val="en-US"/>
        </w:rPr>
        <w:t>Studi</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reliabilitas</w:t>
      </w:r>
      <w:proofErr w:type="spellEnd"/>
      <w:r>
        <w:rPr>
          <w:rFonts w:ascii="Palatino Linotype" w:eastAsia="Times New Roman" w:hAnsi="Palatino Linotype" w:cstheme="minorHAnsi"/>
          <w:color w:val="111111"/>
          <w:lang w:val="en-US"/>
        </w:rPr>
        <w:t xml:space="preserve"> yang </w:t>
      </w:r>
      <w:proofErr w:type="spellStart"/>
      <w:r>
        <w:rPr>
          <w:rFonts w:ascii="Palatino Linotype" w:eastAsia="Times New Roman" w:hAnsi="Palatino Linotype" w:cstheme="minorHAnsi"/>
          <w:color w:val="111111"/>
          <w:lang w:val="en-US"/>
        </w:rPr>
        <w:t>melibatkan</w:t>
      </w:r>
      <w:proofErr w:type="spellEnd"/>
      <w:r>
        <w:rPr>
          <w:rFonts w:ascii="Palatino Linotype" w:eastAsia="Times New Roman" w:hAnsi="Palatino Linotype" w:cstheme="minorHAnsi"/>
          <w:color w:val="111111"/>
          <w:lang w:val="en-US"/>
        </w:rPr>
        <w:t xml:space="preserve"> rater </w:t>
      </w:r>
      <w:proofErr w:type="spellStart"/>
      <w:r>
        <w:rPr>
          <w:rFonts w:ascii="Palatino Linotype" w:eastAsia="Times New Roman" w:hAnsi="Palatino Linotype" w:cstheme="minorHAnsi"/>
          <w:color w:val="111111"/>
          <w:lang w:val="en-US"/>
        </w:rPr>
        <w:t>biasanya</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dinamakan</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dengan</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kesepakatan</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antar</w:t>
      </w:r>
      <w:proofErr w:type="spellEnd"/>
      <w:r>
        <w:rPr>
          <w:rFonts w:ascii="Palatino Linotype" w:eastAsia="Times New Roman" w:hAnsi="Palatino Linotype" w:cstheme="minorHAnsi"/>
          <w:color w:val="111111"/>
          <w:lang w:val="en-US"/>
        </w:rPr>
        <w:t xml:space="preserve"> rater (inter rater agreement) </w:t>
      </w:r>
      <w:proofErr w:type="spellStart"/>
      <w:r>
        <w:rPr>
          <w:rFonts w:ascii="Palatino Linotype" w:eastAsia="Times New Roman" w:hAnsi="Palatino Linotype" w:cstheme="minorHAnsi"/>
          <w:color w:val="111111"/>
          <w:lang w:val="en-US"/>
        </w:rPr>
        <w:t>atau</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reliabilitas</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antar</w:t>
      </w:r>
      <w:proofErr w:type="spellEnd"/>
      <w:r>
        <w:rPr>
          <w:rFonts w:ascii="Palatino Linotype" w:eastAsia="Times New Roman" w:hAnsi="Palatino Linotype" w:cstheme="minorHAnsi"/>
          <w:color w:val="111111"/>
          <w:lang w:val="en-US"/>
        </w:rPr>
        <w:t xml:space="preserve"> rater (inter-rater reliability). </w:t>
      </w:r>
      <w:proofErr w:type="spellStart"/>
      <w:r>
        <w:rPr>
          <w:rFonts w:ascii="Palatino Linotype" w:eastAsia="Times New Roman" w:hAnsi="Palatino Linotype" w:cstheme="minorHAnsi"/>
          <w:color w:val="111111"/>
          <w:lang w:val="en-US"/>
        </w:rPr>
        <w:t>Hasil</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penelitian</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menunjukan</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bahwa</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validasi</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umum</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dari</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ke-empat</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penilai</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terhadap</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instrumen</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asesmen</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kemampuan</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berpikir</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intuitif</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matematis</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yaitu</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dapat</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digunakan</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dilihat</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dari</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nilai</w:t>
      </w:r>
      <w:proofErr w:type="spellEnd"/>
      <w:r>
        <w:rPr>
          <w:rFonts w:ascii="Palatino Linotype" w:eastAsia="Times New Roman" w:hAnsi="Palatino Linotype" w:cstheme="minorHAnsi"/>
          <w:color w:val="111111"/>
          <w:lang w:val="en-US"/>
        </w:rPr>
        <w:t xml:space="preserve"> expert judgment, </w:t>
      </w:r>
      <w:proofErr w:type="spellStart"/>
      <w:r>
        <w:rPr>
          <w:rFonts w:ascii="Palatino Linotype" w:eastAsia="Times New Roman" w:hAnsi="Palatino Linotype" w:cstheme="minorHAnsi"/>
          <w:color w:val="111111"/>
          <w:lang w:val="en-US"/>
        </w:rPr>
        <w:t>tidakada</w:t>
      </w:r>
      <w:proofErr w:type="spellEnd"/>
      <w:r>
        <w:rPr>
          <w:rFonts w:ascii="Palatino Linotype" w:eastAsia="Times New Roman" w:hAnsi="Palatino Linotype" w:cstheme="minorHAnsi"/>
          <w:color w:val="111111"/>
          <w:lang w:val="en-US"/>
        </w:rPr>
        <w:t xml:space="preserve"> yang </w:t>
      </w:r>
      <w:proofErr w:type="spellStart"/>
      <w:r>
        <w:rPr>
          <w:rFonts w:ascii="Palatino Linotype" w:eastAsia="Times New Roman" w:hAnsi="Palatino Linotype" w:cstheme="minorHAnsi"/>
          <w:color w:val="111111"/>
          <w:lang w:val="en-US"/>
        </w:rPr>
        <w:t>mendapatkan</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skor</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maksimal</w:t>
      </w:r>
      <w:proofErr w:type="spellEnd"/>
      <w:r>
        <w:rPr>
          <w:rFonts w:ascii="Palatino Linotype" w:eastAsia="Times New Roman" w:hAnsi="Palatino Linotype" w:cstheme="minorHAnsi"/>
          <w:color w:val="111111"/>
          <w:lang w:val="en-US"/>
        </w:rPr>
        <w:t xml:space="preserve"> 20, </w:t>
      </w:r>
      <w:proofErr w:type="spellStart"/>
      <w:r>
        <w:rPr>
          <w:rFonts w:ascii="Palatino Linotype" w:eastAsia="Times New Roman" w:hAnsi="Palatino Linotype" w:cstheme="minorHAnsi"/>
          <w:color w:val="111111"/>
          <w:lang w:val="en-US"/>
        </w:rPr>
        <w:t>skor</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terbesar</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ada</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pada</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aspek</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kesesuaian</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bahasa</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dengan</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persentase</w:t>
      </w:r>
      <w:proofErr w:type="spellEnd"/>
      <w:r>
        <w:rPr>
          <w:rFonts w:ascii="Palatino Linotype" w:eastAsia="Times New Roman" w:hAnsi="Palatino Linotype" w:cstheme="minorHAnsi"/>
          <w:color w:val="111111"/>
          <w:lang w:val="en-US"/>
        </w:rPr>
        <w:t xml:space="preserve"> 90%. </w:t>
      </w:r>
      <w:proofErr w:type="spellStart"/>
      <w:r>
        <w:rPr>
          <w:rFonts w:ascii="Palatino Linotype" w:eastAsia="Times New Roman" w:hAnsi="Palatino Linotype" w:cstheme="minorHAnsi"/>
          <w:color w:val="111111"/>
          <w:lang w:val="en-US"/>
        </w:rPr>
        <w:t>Hasil</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dalam</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validasi</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isi</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untuk</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perangkat</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asesmen</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unjuk</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kerja</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dianalisis</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dengan</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menggunakan</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Validitas</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isi</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Lawshe</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dimana</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standar</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kevalidan</w:t>
      </w:r>
      <w:proofErr w:type="spellEnd"/>
      <w:r>
        <w:rPr>
          <w:rFonts w:ascii="Palatino Linotype" w:eastAsia="Times New Roman" w:hAnsi="Palatino Linotype" w:cstheme="minorHAnsi"/>
          <w:color w:val="111111"/>
          <w:lang w:val="en-US"/>
        </w:rPr>
        <w:t xml:space="preserve"> CVR </w:t>
      </w:r>
      <w:proofErr w:type="spellStart"/>
      <w:r>
        <w:rPr>
          <w:rFonts w:ascii="Palatino Linotype" w:eastAsia="Times New Roman" w:hAnsi="Palatino Linotype" w:cstheme="minorHAnsi"/>
          <w:color w:val="111111"/>
          <w:lang w:val="en-US"/>
        </w:rPr>
        <w:t>tergantung</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pada</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jumlah</w:t>
      </w:r>
      <w:proofErr w:type="spellEnd"/>
      <w:r>
        <w:rPr>
          <w:rFonts w:ascii="Palatino Linotype" w:eastAsia="Times New Roman" w:hAnsi="Palatino Linotype" w:cstheme="minorHAnsi"/>
          <w:color w:val="111111"/>
          <w:lang w:val="en-US"/>
        </w:rPr>
        <w:t xml:space="preserve"> SME. </w:t>
      </w:r>
      <w:proofErr w:type="spellStart"/>
      <w:r>
        <w:rPr>
          <w:rFonts w:ascii="Palatino Linotype" w:eastAsia="Times New Roman" w:hAnsi="Palatino Linotype" w:cstheme="minorHAnsi"/>
          <w:color w:val="111111"/>
          <w:lang w:val="en-US"/>
        </w:rPr>
        <w:t>Nilai</w:t>
      </w:r>
      <w:proofErr w:type="spellEnd"/>
      <w:r>
        <w:rPr>
          <w:rFonts w:ascii="Palatino Linotype" w:eastAsia="Times New Roman" w:hAnsi="Palatino Linotype" w:cstheme="minorHAnsi"/>
          <w:color w:val="111111"/>
          <w:lang w:val="en-US"/>
        </w:rPr>
        <w:t xml:space="preserve"> CVR </w:t>
      </w:r>
      <w:proofErr w:type="spellStart"/>
      <w:r>
        <w:rPr>
          <w:rFonts w:ascii="Palatino Linotype" w:eastAsia="Times New Roman" w:hAnsi="Palatino Linotype" w:cstheme="minorHAnsi"/>
          <w:color w:val="111111"/>
          <w:lang w:val="en-US"/>
        </w:rPr>
        <w:t>harus</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memenuhi</w:t>
      </w:r>
      <w:proofErr w:type="spellEnd"/>
      <w:r>
        <w:rPr>
          <w:rFonts w:ascii="Palatino Linotype" w:eastAsia="Times New Roman" w:hAnsi="Palatino Linotype" w:cstheme="minorHAnsi"/>
          <w:color w:val="111111"/>
          <w:lang w:val="en-US"/>
        </w:rPr>
        <w:t xml:space="preserve"> 0,99 agar </w:t>
      </w:r>
      <w:proofErr w:type="spellStart"/>
      <w:r>
        <w:rPr>
          <w:rFonts w:ascii="Palatino Linotype" w:eastAsia="Times New Roman" w:hAnsi="Palatino Linotype" w:cstheme="minorHAnsi"/>
          <w:color w:val="111111"/>
          <w:lang w:val="en-US"/>
        </w:rPr>
        <w:t>butir</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dapat</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dinyatakan</w:t>
      </w:r>
      <w:proofErr w:type="spellEnd"/>
      <w:r>
        <w:rPr>
          <w:rFonts w:ascii="Palatino Linotype" w:eastAsia="Times New Roman" w:hAnsi="Palatino Linotype" w:cstheme="minorHAnsi"/>
          <w:color w:val="111111"/>
          <w:lang w:val="en-US"/>
        </w:rPr>
        <w:t xml:space="preserve"> valid. </w:t>
      </w:r>
      <w:proofErr w:type="spellStart"/>
      <w:r>
        <w:rPr>
          <w:rFonts w:ascii="Palatino Linotype" w:eastAsia="Times New Roman" w:hAnsi="Palatino Linotype" w:cstheme="minorHAnsi"/>
          <w:color w:val="111111"/>
          <w:lang w:val="en-US"/>
        </w:rPr>
        <w:t>Hasil</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dari</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perhitungan</w:t>
      </w:r>
      <w:proofErr w:type="spellEnd"/>
      <w:r>
        <w:rPr>
          <w:rFonts w:ascii="Palatino Linotype" w:eastAsia="Times New Roman" w:hAnsi="Palatino Linotype" w:cstheme="minorHAnsi"/>
          <w:color w:val="111111"/>
          <w:lang w:val="en-US"/>
        </w:rPr>
        <w:t xml:space="preserve"> ICC </w:t>
      </w:r>
      <w:proofErr w:type="spellStart"/>
      <w:r>
        <w:rPr>
          <w:rFonts w:ascii="Palatino Linotype" w:eastAsia="Times New Roman" w:hAnsi="Palatino Linotype" w:cstheme="minorHAnsi"/>
          <w:color w:val="111111"/>
          <w:lang w:val="en-US"/>
        </w:rPr>
        <w:t>menggunakan</w:t>
      </w:r>
      <w:proofErr w:type="spellEnd"/>
      <w:r>
        <w:rPr>
          <w:rFonts w:ascii="Palatino Linotype" w:eastAsia="Times New Roman" w:hAnsi="Palatino Linotype" w:cstheme="minorHAnsi"/>
          <w:color w:val="111111"/>
          <w:lang w:val="en-US"/>
        </w:rPr>
        <w:t xml:space="preserve"> SPSS v.20 di </w:t>
      </w:r>
      <w:proofErr w:type="spellStart"/>
      <w:r>
        <w:rPr>
          <w:rFonts w:ascii="Palatino Linotype" w:eastAsia="Times New Roman" w:hAnsi="Palatino Linotype" w:cstheme="minorHAnsi"/>
          <w:color w:val="111111"/>
          <w:lang w:val="en-US"/>
        </w:rPr>
        <w:t>dapat</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Hasil</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analisis</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menunjukkan</w:t>
      </w:r>
      <w:proofErr w:type="spellEnd"/>
      <w:r>
        <w:rPr>
          <w:rFonts w:ascii="Palatino Linotype" w:eastAsia="Times New Roman" w:hAnsi="Palatino Linotype" w:cstheme="minorHAnsi"/>
          <w:color w:val="111111"/>
          <w:lang w:val="en-US"/>
        </w:rPr>
        <w:t xml:space="preserve"> rata-rata </w:t>
      </w:r>
      <w:proofErr w:type="spellStart"/>
      <w:r>
        <w:rPr>
          <w:rFonts w:ascii="Palatino Linotype" w:eastAsia="Times New Roman" w:hAnsi="Palatino Linotype" w:cstheme="minorHAnsi"/>
          <w:color w:val="111111"/>
          <w:lang w:val="en-US"/>
        </w:rPr>
        <w:t>kesepakatan</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antar</w:t>
      </w:r>
      <w:proofErr w:type="spellEnd"/>
      <w:r>
        <w:rPr>
          <w:rFonts w:ascii="Palatino Linotype" w:eastAsia="Times New Roman" w:hAnsi="Palatino Linotype" w:cstheme="minorHAnsi"/>
          <w:color w:val="111111"/>
          <w:lang w:val="en-US"/>
        </w:rPr>
        <w:t xml:space="preserve"> rater </w:t>
      </w:r>
      <w:proofErr w:type="spellStart"/>
      <w:r>
        <w:rPr>
          <w:rFonts w:ascii="Palatino Linotype" w:eastAsia="Times New Roman" w:hAnsi="Palatino Linotype" w:cstheme="minorHAnsi"/>
          <w:color w:val="111111"/>
          <w:lang w:val="en-US"/>
        </w:rPr>
        <w:t>sebesar</w:t>
      </w:r>
      <w:proofErr w:type="spellEnd"/>
      <w:r>
        <w:rPr>
          <w:rFonts w:ascii="Palatino Linotype" w:eastAsia="Times New Roman" w:hAnsi="Palatino Linotype" w:cstheme="minorHAnsi"/>
          <w:color w:val="111111"/>
          <w:lang w:val="en-US"/>
        </w:rPr>
        <w:t xml:space="preserve"> 0,200 </w:t>
      </w:r>
      <w:proofErr w:type="spellStart"/>
      <w:r>
        <w:rPr>
          <w:rFonts w:ascii="Palatino Linotype" w:eastAsia="Times New Roman" w:hAnsi="Palatino Linotype" w:cstheme="minorHAnsi"/>
          <w:color w:val="111111"/>
          <w:lang w:val="en-US"/>
        </w:rPr>
        <w:t>sedangkan</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untuk</w:t>
      </w:r>
      <w:proofErr w:type="spellEnd"/>
      <w:r>
        <w:rPr>
          <w:rFonts w:ascii="Palatino Linotype" w:eastAsia="Times New Roman" w:hAnsi="Palatino Linotype" w:cstheme="minorHAnsi"/>
          <w:color w:val="111111"/>
          <w:lang w:val="en-US"/>
        </w:rPr>
        <w:t xml:space="preserve"> orang rater </w:t>
      </w:r>
      <w:proofErr w:type="spellStart"/>
      <w:r>
        <w:rPr>
          <w:rFonts w:ascii="Palatino Linotype" w:eastAsia="Times New Roman" w:hAnsi="Palatino Linotype" w:cstheme="minorHAnsi"/>
          <w:color w:val="111111"/>
          <w:lang w:val="en-US"/>
        </w:rPr>
        <w:t>konsistensinya</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adalah</w:t>
      </w:r>
      <w:proofErr w:type="spellEnd"/>
      <w:r>
        <w:rPr>
          <w:rFonts w:ascii="Palatino Linotype" w:eastAsia="Times New Roman" w:hAnsi="Palatino Linotype" w:cstheme="minorHAnsi"/>
          <w:color w:val="111111"/>
          <w:lang w:val="en-US"/>
        </w:rPr>
        <w:t xml:space="preserve"> 0.500 yang </w:t>
      </w:r>
      <w:proofErr w:type="spellStart"/>
      <w:r>
        <w:rPr>
          <w:rFonts w:ascii="Palatino Linotype" w:eastAsia="Times New Roman" w:hAnsi="Palatino Linotype" w:cstheme="minorHAnsi"/>
          <w:color w:val="111111"/>
          <w:lang w:val="en-US"/>
        </w:rPr>
        <w:t>itu</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artinya</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mempunyai</w:t>
      </w:r>
      <w:proofErr w:type="spellEnd"/>
      <w:r>
        <w:rPr>
          <w:rFonts w:ascii="Palatino Linotype" w:eastAsia="Times New Roman" w:hAnsi="Palatino Linotype" w:cstheme="minorHAnsi"/>
          <w:color w:val="111111"/>
          <w:lang w:val="en-US"/>
        </w:rPr>
        <w:t xml:space="preserve"> </w:t>
      </w:r>
      <w:proofErr w:type="spellStart"/>
      <w:r>
        <w:rPr>
          <w:rFonts w:ascii="Palatino Linotype" w:eastAsia="Times New Roman" w:hAnsi="Palatino Linotype" w:cstheme="minorHAnsi"/>
          <w:color w:val="111111"/>
          <w:lang w:val="en-US"/>
        </w:rPr>
        <w:t>stabilitas</w:t>
      </w:r>
      <w:proofErr w:type="spellEnd"/>
      <w:r>
        <w:rPr>
          <w:rFonts w:ascii="Palatino Linotype" w:eastAsia="Times New Roman" w:hAnsi="Palatino Linotype" w:cstheme="minorHAnsi"/>
          <w:color w:val="111111"/>
          <w:lang w:val="en-US"/>
        </w:rPr>
        <w:t xml:space="preserve"> yang moderate.</w:t>
      </w:r>
    </w:p>
    <w:p w14:paraId="11059402" w14:textId="77777777" w:rsidR="007604AD" w:rsidRDefault="007604AD" w:rsidP="007604AD">
      <w:pPr>
        <w:ind w:left="567" w:right="565"/>
        <w:jc w:val="both"/>
        <w:rPr>
          <w:rFonts w:ascii="Palatino Linotype" w:hAnsi="Palatino Linotype" w:cs="Times New Roman"/>
          <w:i/>
        </w:rPr>
      </w:pPr>
      <w:r>
        <w:rPr>
          <w:rFonts w:ascii="Palatino Linotype" w:hAnsi="Palatino Linotype" w:cs="Times New Roman"/>
          <w:b/>
        </w:rPr>
        <w:t>Kata kunci</w:t>
      </w:r>
      <w:r>
        <w:rPr>
          <w:rFonts w:ascii="Palatino Linotype" w:hAnsi="Palatino Linotype" w:cs="Times New Roman"/>
          <w:b/>
          <w:bCs/>
        </w:rPr>
        <w:t>:</w:t>
      </w:r>
      <w:r>
        <w:rPr>
          <w:rFonts w:ascii="Palatino Linotype" w:hAnsi="Palatino Linotype" w:cs="Times New Roman"/>
        </w:rPr>
        <w:t xml:space="preserve"> </w:t>
      </w:r>
      <w:proofErr w:type="spellStart"/>
      <w:r>
        <w:rPr>
          <w:rFonts w:ascii="Palatino Linotype" w:hAnsi="Palatino Linotype" w:cs="Times New Roman"/>
          <w:lang w:val="en-US"/>
        </w:rPr>
        <w:t>Asesmen</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kemampuan</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berpikir</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intuitif</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Instrumen</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validitas</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reliabilitas</w:t>
      </w:r>
      <w:proofErr w:type="spellEnd"/>
    </w:p>
    <w:p w14:paraId="1E0BD1FE" w14:textId="77777777" w:rsidR="007604AD" w:rsidRDefault="007604AD" w:rsidP="007604AD">
      <w:pPr>
        <w:pStyle w:val="ListParagraph"/>
        <w:ind w:left="0"/>
        <w:jc w:val="both"/>
        <w:rPr>
          <w:rFonts w:ascii="Palatino Linotype" w:hAnsi="Palatino Linotype" w:cs="Times New Roman"/>
          <w:b/>
        </w:rPr>
      </w:pPr>
    </w:p>
    <w:p w14:paraId="4683B8C4" w14:textId="77777777" w:rsidR="007604AD" w:rsidRDefault="007604AD" w:rsidP="007604AD">
      <w:pPr>
        <w:jc w:val="center"/>
        <w:rPr>
          <w:rFonts w:ascii="Palatino Linotype" w:hAnsi="Palatino Linotype" w:cs="Times New Roman"/>
          <w:b/>
        </w:rPr>
      </w:pPr>
      <w:r>
        <w:rPr>
          <w:rFonts w:ascii="Palatino Linotype" w:hAnsi="Palatino Linotype" w:cs="Times New Roman"/>
          <w:b/>
        </w:rPr>
        <w:t xml:space="preserve">Abstract </w:t>
      </w:r>
    </w:p>
    <w:p w14:paraId="46541995" w14:textId="77777777" w:rsidR="007604AD" w:rsidRDefault="007604AD" w:rsidP="007604AD">
      <w:pPr>
        <w:ind w:left="567" w:right="565"/>
        <w:jc w:val="both"/>
        <w:rPr>
          <w:rFonts w:ascii="Palatino Linotype" w:hAnsi="Palatino Linotype" w:cs="Times New Roman"/>
          <w:iCs/>
        </w:rPr>
      </w:pPr>
      <w:r>
        <w:rPr>
          <w:rFonts w:ascii="Palatino Linotype" w:hAnsi="Palatino Linotype" w:cs="Times New Roman"/>
          <w:iCs/>
          <w:lang w:val="en-US"/>
        </w:rPr>
        <w:t xml:space="preserve">The purpose of this study was to test the validity and reliability of the instrument for assessing students' mathematical intuition. This research is part of one of the stages of the four-dimensional research and development model, namely the design stage. The instruments that have been designed are consulted with experts to later prove their validity and reliability. expert test or validation, carried out with respondents who are experts in instrument or product design. Furthermore, content validity analysis is carried out by analyzing the results of content validation by experts using the content validity ratio (CVR) approach. </w:t>
      </w:r>
      <w:r>
        <w:rPr>
          <w:rFonts w:ascii="Palatino Linotype" w:hAnsi="Palatino Linotype" w:cs="Times New Roman"/>
          <w:iCs/>
          <w:lang w:val="en-US"/>
        </w:rPr>
        <w:lastRenderedPageBreak/>
        <w:t xml:space="preserve">Reliability studies involving raters are usually called "inter-rater agreements" or "inter-rater reliability." The results showed that the general validation of the four assessors of the instrument for assessing mathematical intuitive thinking skills was that it could be used from the point of view of expert judgment. No one got a maximum score of 20, and the biggest score was in the aspect of language suitability with a percentage of 90%. The results of content validation for the performance assessment tool were analyzed using </w:t>
      </w:r>
      <w:proofErr w:type="spellStart"/>
      <w:r>
        <w:rPr>
          <w:rFonts w:ascii="Palatino Linotype" w:hAnsi="Palatino Linotype" w:cs="Times New Roman"/>
          <w:iCs/>
          <w:lang w:val="en-US"/>
        </w:rPr>
        <w:t>Lawshe's</w:t>
      </w:r>
      <w:proofErr w:type="spellEnd"/>
      <w:r>
        <w:rPr>
          <w:rFonts w:ascii="Palatino Linotype" w:hAnsi="Palatino Linotype" w:cs="Times New Roman"/>
          <w:iCs/>
          <w:lang w:val="en-US"/>
        </w:rPr>
        <w:t xml:space="preserve"> content validity, where the validity standard of the CVR depends on the number of SMEs. The CVR value must meet 0.99 so that the items can be declared valid. The results of the ICC calculations using SPSS version 20 are obtained. The results of the analysis show that the average agreement among raters is 0.200, while their consistency is 0.500, which means that they have moderate stability</w:t>
      </w:r>
      <w:proofErr w:type="gramStart"/>
      <w:r>
        <w:rPr>
          <w:rFonts w:ascii="Palatino Linotype" w:hAnsi="Palatino Linotype" w:cs="Times New Roman"/>
          <w:iCs/>
          <w:lang w:val="en-US"/>
        </w:rPr>
        <w:t>..</w:t>
      </w:r>
      <w:proofErr w:type="gramEnd"/>
      <w:r>
        <w:rPr>
          <w:rFonts w:ascii="Palatino Linotype" w:hAnsi="Palatino Linotype" w:cs="Times New Roman"/>
          <w:iCs/>
          <w:lang w:val="en-US"/>
        </w:rPr>
        <w:t xml:space="preserve"> </w:t>
      </w:r>
    </w:p>
    <w:p w14:paraId="236655ED" w14:textId="77777777" w:rsidR="007604AD" w:rsidRDefault="007604AD" w:rsidP="007604AD">
      <w:pPr>
        <w:ind w:left="1701" w:right="565" w:hanging="1134"/>
        <w:jc w:val="both"/>
        <w:rPr>
          <w:rFonts w:ascii="Palatino Linotype" w:hAnsi="Palatino Linotype" w:cs="Times New Roman"/>
          <w:lang w:val="en-US"/>
        </w:rPr>
      </w:pPr>
      <w:r>
        <w:rPr>
          <w:rFonts w:ascii="Palatino Linotype" w:hAnsi="Palatino Linotype" w:cs="Times New Roman"/>
          <w:b/>
        </w:rPr>
        <w:t>Keyword</w:t>
      </w:r>
      <w:r>
        <w:rPr>
          <w:rFonts w:ascii="Palatino Linotype" w:hAnsi="Palatino Linotype" w:cs="Times New Roman"/>
          <w:b/>
          <w:lang w:val="en-US"/>
        </w:rPr>
        <w:t>s</w:t>
      </w:r>
      <w:r>
        <w:rPr>
          <w:rFonts w:ascii="Palatino Linotype" w:hAnsi="Palatino Linotype" w:cs="Times New Roman"/>
          <w:b/>
        </w:rPr>
        <w:t>:</w:t>
      </w:r>
      <w:r>
        <w:rPr>
          <w:rFonts w:ascii="Palatino Linotype" w:hAnsi="Palatino Linotype" w:cs="Times New Roman"/>
          <w:lang w:val="en-US"/>
        </w:rPr>
        <w:t>Assessment of intuitive thinking skills, instruments, validity, reliability</w:t>
      </w:r>
    </w:p>
    <w:p w14:paraId="27FB350C" w14:textId="77777777" w:rsidR="007604AD" w:rsidRDefault="007604AD" w:rsidP="007604AD">
      <w:pPr>
        <w:ind w:left="1701" w:right="565" w:hanging="1134"/>
        <w:jc w:val="both"/>
        <w:rPr>
          <w:rFonts w:ascii="Palatino Linotype" w:hAnsi="Palatino Linotype" w:cs="Times New Roman"/>
          <w:sz w:val="20"/>
        </w:rPr>
      </w:pPr>
    </w:p>
    <w:p w14:paraId="6B2EDFEE" w14:textId="77777777" w:rsidR="007604AD" w:rsidRDefault="007604AD" w:rsidP="007604AD">
      <w:pPr>
        <w:ind w:left="1701" w:right="565" w:hanging="1134"/>
        <w:jc w:val="both"/>
        <w:rPr>
          <w:rFonts w:ascii="Palatino Linotype" w:hAnsi="Palatino Linotype" w:cs="Times New Roman"/>
          <w:sz w:val="20"/>
        </w:rPr>
      </w:pPr>
    </w:p>
    <w:p w14:paraId="00518DBF" w14:textId="77777777" w:rsidR="007604AD" w:rsidRDefault="007604AD" w:rsidP="007604AD">
      <w:pPr>
        <w:pStyle w:val="ListParagraph"/>
        <w:spacing w:line="360" w:lineRule="auto"/>
        <w:ind w:left="0"/>
        <w:jc w:val="both"/>
        <w:rPr>
          <w:rFonts w:ascii="Palatino Linotype" w:hAnsi="Palatino Linotype" w:cs="Times New Roman"/>
          <w:b/>
          <w:sz w:val="24"/>
          <w:szCs w:val="24"/>
        </w:rPr>
      </w:pPr>
    </w:p>
    <w:p w14:paraId="53B79B99" w14:textId="77777777" w:rsidR="007604AD" w:rsidRDefault="007604AD" w:rsidP="007604AD">
      <w:pPr>
        <w:pStyle w:val="ListParagraph"/>
        <w:spacing w:line="360" w:lineRule="auto"/>
        <w:ind w:left="0"/>
        <w:jc w:val="both"/>
        <w:rPr>
          <w:rFonts w:ascii="Palatino Linotype" w:hAnsi="Palatino Linotype" w:cs="Times New Roman"/>
          <w:lang w:val="en-US"/>
        </w:rPr>
      </w:pPr>
      <w:r>
        <w:rPr>
          <w:rFonts w:ascii="Palatino Linotype" w:hAnsi="Palatino Linotype" w:cs="Times New Roman"/>
          <w:b/>
        </w:rPr>
        <w:t>Pendahuluan</w:t>
      </w:r>
      <w:r>
        <w:rPr>
          <w:rFonts w:ascii="Palatino Linotype" w:hAnsi="Palatino Linotype" w:cs="Times New Roman"/>
          <w:b/>
          <w:lang w:val="en-US"/>
        </w:rPr>
        <w:t xml:space="preserve"> </w:t>
      </w:r>
    </w:p>
    <w:p w14:paraId="45D913CD" w14:textId="77777777" w:rsidR="007604AD" w:rsidRDefault="007604AD" w:rsidP="007604AD">
      <w:pPr>
        <w:spacing w:line="360" w:lineRule="auto"/>
        <w:ind w:firstLine="567"/>
        <w:jc w:val="both"/>
        <w:rPr>
          <w:rStyle w:val="fontstyle01"/>
        </w:rPr>
      </w:pPr>
      <w:r>
        <w:rPr>
          <w:rStyle w:val="fontstyle01"/>
        </w:rPr>
        <w:t xml:space="preserve">Pembelajaran matematika memerlukan kreativitas, karena kreativitas ini menjadi salah satu yang tidak dapat dipisahkan dari perkembangan ilmu pengetahuan dan teknologi. Kreativitas menawarkan ide-ide baru yang imajinatif, termasuk perbaikan baru untuk masalah, solusi yang berbeda, dan formulasi masalah yang berbeda. Singh dalam </w:t>
      </w:r>
      <w:r>
        <w:rPr>
          <w:rStyle w:val="fontstyle01"/>
        </w:rPr>
        <w:fldChar w:fldCharType="begin" w:fldLock="1"/>
      </w:r>
      <w:r>
        <w:rPr>
          <w:rStyle w:val="fontstyle01"/>
        </w:rPr>
        <w:instrText>ADDIN CSL_CITATION {"citationItems":[{"id":"ITEM-1","itemData":{"abstract":"The objective of the current study was to investigate childhood students' Mathematics creativity from their teachers' perspectives and observations. It intended to answer two main research questions. First: Is there a significant difference at level (0.05 ≥ α) in early childhood teachers' perspectives of student mathematical creativity with respect to school type, gender and grade level? Second: Is there agreement ration between the teacher mathematical creativity scale rating and observing rating on the same scale for the same child? A group of (31) mathematics teachers randomly selected completed a Childhood Mathematical Creativity Scale on some of their students who were also observed during mathematics classes by the researcher and rated using the same scale. Results indicated that mathematical creativity is not a common aspect for childhood students' on Jordan. Kindergarten teachers rated their student the highest on creativity while third grade were rated the lowest. Also the results revealed that there is no significant difference in children creativity means with respect to school type, gender and grade level form their teachers' perspectives. Also the ratio of agreement between the teacher mathematical creativity scale rating and observing rating on the same scale for the same child was moderate.","author":[{"dropping-particle":"","family":"Sabbagh","given":"Sumailah Ahmed","non-dropping-particle":"","parse-names":false,"suffix":""}],"container-title":"American Journal of Educational Research","id":"ITEM-1","issued":{"date-parts":[["2016"]]},"title":"Childhood Students' Creativity in Mathematics Class in Jordan","type":"article-journal"},"uris":["http://www.mendeley.com/documents/?uuid=265fe430-f5ab-4d99-acd0-4ade00c1baff"]}],"mendeley":{"formattedCitation":"(Sabbagh, 2016)","plainTextFormattedCitation":"(Sabbagh, 2016)","previouslyFormattedCitation":"(Sabbagh, 2016)"},"properties":{"noteIndex":0},"schema":"https://github.com/citation-style-language/schema/raw/master/csl-citation.json"}</w:instrText>
      </w:r>
      <w:r>
        <w:rPr>
          <w:rStyle w:val="fontstyle01"/>
        </w:rPr>
        <w:fldChar w:fldCharType="separate"/>
      </w:r>
      <w:r>
        <w:rPr>
          <w:rStyle w:val="fontstyle01"/>
          <w:noProof/>
        </w:rPr>
        <w:t>(Sabbagh, 2016)</w:t>
      </w:r>
      <w:r>
        <w:rPr>
          <w:rStyle w:val="fontstyle01"/>
        </w:rPr>
        <w:fldChar w:fldCharType="end"/>
      </w:r>
      <w:r>
        <w:rPr>
          <w:rStyle w:val="fontstyle01"/>
        </w:rPr>
        <w:t xml:space="preserve"> menyatakan bahwa kreativitas sebagai proses pembangkit hipotesis berfokus pada kausalitas dalam situasi matematika, menguji dan menguji ulang hipotesis, dan memodifikasi penilaian berdasarkan ide yang berbeda. Matematika, memprediksi apa yang hilang, menjelaskan masalah umum dengan submasalah tertentu, dan akhirnya menyampaikan hasil. Kreativitas adalah kemampuan untuk melihat hubungan an</w:t>
      </w:r>
      <w:bookmarkStart w:id="0" w:name="_GoBack"/>
      <w:bookmarkEnd w:id="0"/>
      <w:r>
        <w:rPr>
          <w:rStyle w:val="fontstyle01"/>
        </w:rPr>
        <w:t xml:space="preserve">tara ide-ide yang tidak berhubungan sehingga menghasilkan ide baru. Kreativitas berperan dalam menciptakan sesuatu yang unik dan berharga </w:t>
      </w:r>
      <w:r>
        <w:rPr>
          <w:rStyle w:val="fontstyle01"/>
        </w:rPr>
        <w:fldChar w:fldCharType="begin" w:fldLock="1"/>
      </w:r>
      <w:r>
        <w:rPr>
          <w:rStyle w:val="fontstyle01"/>
        </w:rPr>
        <w:instrText>ADDIN CSL_CITATION {"citationItems":[{"id":"ITEM-1","itemData":{"DOI":"10.1111/j.2044-8295.2010.02010.x","author":[{"dropping-particle":"","family":"METCALFE","given":"ARRON W. S.","non-dropping-particle":"","parse-names":false,"suffix":""}],"container-title":"British Journal of Psychology","id":"ITEM-1","issued":{"date-parts":[["2011"]]},"title":"Cognitive Psychology: A Student's Handbook (6th Ed.) by M. W. Eysenck and M. T. Keane","type":"article-journal"},"uris":["http://www.mendeley.com/documents/?uuid=fd932424-0422-445b-8d72-eb8e2bd02669"]}],"mendeley":{"formattedCitation":"(METCALFE, 2011)","manualFormatting":"(Metcalfe, 2011)","plainTextFormattedCitation":"(METCALFE, 2011)","previouslyFormattedCitation":"(METCALFE, 2011)"},"properties":{"noteIndex":0},"schema":"https://github.com/citation-style-language/schema/raw/master/csl-citation.json"}</w:instrText>
      </w:r>
      <w:r>
        <w:rPr>
          <w:rStyle w:val="fontstyle01"/>
        </w:rPr>
        <w:fldChar w:fldCharType="separate"/>
      </w:r>
      <w:r>
        <w:rPr>
          <w:rStyle w:val="fontstyle01"/>
          <w:noProof/>
        </w:rPr>
        <w:t>(Metcalfe, 2011)</w:t>
      </w:r>
      <w:r>
        <w:rPr>
          <w:rStyle w:val="fontstyle01"/>
        </w:rPr>
        <w:fldChar w:fldCharType="end"/>
      </w:r>
      <w:r>
        <w:rPr>
          <w:rStyle w:val="fontstyle01"/>
        </w:rPr>
        <w:t xml:space="preserve">. Berpikir kreatif mencakup aspek kemampuan kognitif dan metakognitif </w:t>
      </w:r>
      <w:r>
        <w:rPr>
          <w:rStyle w:val="fontstyle01"/>
        </w:rPr>
        <w:fldChar w:fldCharType="begin" w:fldLock="1"/>
      </w:r>
      <w:r>
        <w:rPr>
          <w:rStyle w:val="fontstyle01"/>
        </w:rPr>
        <w:instrText>ADDIN CSL_CITATION {"citationItems":[{"id":"ITEM-1","itemData":{"DOI":"10.1002/j.2162-6057.2000.tb01203.x","ISSN":"00220175","abstract":"Managers (N = 112) from a large international consumer goods manufacturer participated in a field experiment in which they learned and applied the Simplex process of creative thinking to solve real management problems. The interrelationships among six attitudinal and behavioral skill variables learned during the training were measured to improve understanding of how these variables contribute to the process. Predicted relationships were tested and a best-fit causal model was developed. Behavioral skill in generating quantity of options was the most important variable overall: it was directly associated with behavioral skill in both generating quality options and evaluating options. The key attitudinal skill and the second most important variable overall was the preference for avoiding premature evaluation of options (deferral of judgment). The other attitude measured, the preference for active divergence, played only an indirect role in the process.","author":[{"dropping-particle":"","family":"Basadur","given":"Min","non-dropping-particle":"","parse-names":false,"suffix":""},{"dropping-particle":"","family":"Runco","given":"Mark A.","non-dropping-particle":"","parse-names":false,"suffix":""},{"dropping-particle":"","family":"Vegaxy","given":"Luis A.","non-dropping-particle":"","parse-names":false,"suffix":""}],"container-title":"Journal of Creative Behavior","id":"ITEM-1","issued":{"date-parts":[["2000"]]},"title":"Understanding how creative thinking skills, attitudes and behaviors work together: A causal process model","type":"article-journal"},"uris":["http://www.mendeley.com/documents/?uuid=5ba1ef70-ab68-4ef1-b503-ba95ba379070"]}],"mendeley":{"formattedCitation":"(Basadur et al., 2000)","plainTextFormattedCitation":"(Basadur et al., 2000)","previouslyFormattedCitation":"(Basadur et al., 2000)"},"properties":{"noteIndex":0},"schema":"https://github.com/citation-style-language/schema/raw/master/csl-citation.json"}</w:instrText>
      </w:r>
      <w:r>
        <w:rPr>
          <w:rStyle w:val="fontstyle01"/>
        </w:rPr>
        <w:fldChar w:fldCharType="separate"/>
      </w:r>
      <w:r>
        <w:rPr>
          <w:rStyle w:val="fontstyle01"/>
          <w:noProof/>
        </w:rPr>
        <w:t>(Basadur et al., 2000)</w:t>
      </w:r>
      <w:r>
        <w:rPr>
          <w:rStyle w:val="fontstyle01"/>
        </w:rPr>
        <w:fldChar w:fldCharType="end"/>
      </w:r>
      <w:r>
        <w:rPr>
          <w:rStyle w:val="fontstyle01"/>
        </w:rPr>
        <w:t>. Berpikir kreatif adalah pembelajaran yang mencakup emosi, intuisi, imajinasi, dan berpikir divergen (aktivitas otak kanan), serta pembelajaran analitis yang mencakup logika (aktivitas otak kiri). Berpikir kreatif adalah kemampuan untuk berpikir secara logis dan intuitif, meliputi otak kiri (logical center) dan otak kanan (</w:t>
      </w:r>
      <w:r>
        <w:rPr>
          <w:rStyle w:val="fontstyle01"/>
          <w:i/>
        </w:rPr>
        <w:t>intuition, imajinasi, divergent thinking, center of creative</w:t>
      </w:r>
      <w:r>
        <w:rPr>
          <w:rStyle w:val="fontstyle01"/>
        </w:rPr>
        <w:t xml:space="preserve">) </w:t>
      </w:r>
      <w:r>
        <w:rPr>
          <w:rStyle w:val="fontstyle01"/>
        </w:rPr>
        <w:fldChar w:fldCharType="begin" w:fldLock="1"/>
      </w:r>
      <w:r>
        <w:rPr>
          <w:rStyle w:val="fontstyle01"/>
        </w:rPr>
        <w:instrText>ADDIN CSL_CITATION {"citationItems":[{"id":"ITEM-1","itemData":{"abstract":"Intuition, in creativity and innovation management, is more than a feeling. Rather, it is a central element in decision-making, and the neglected child in the Creative Problem Solving (CPS) tool set. This paper introduces a structured approach to integrating intuitive, cognitive and affective skills into the CPS framework. The approach is summarized in the Integrated CPSTSM (ICPSTSM), which is a wholistic version of the Creative Problem Solving Thinking Skills Model (CPSTSM) (Puccio, Murdock &amp; Mance, 2007). Building on research exploring the link between creativity, intuition and decision-making, this paper explores how intuitive insights can be legitimized, and how intuition can be actively encouraged in Creative Problem Solving. The paper also introduces the concept of intuitive tools (iTools) and a practical definition of intuition that places it on a continuum with rational thinking processes and recognizes it as a product of intention, knowledge, action and trust. Implications and Applications This paper recognizes the fundamental role of intuition in Creative Problem Solving (CPS) and provides encouragement and literature support for facilitators and practitioners who are interested in solving problems wholistically. It highlights the promise and potential in combining cognitive, affective and intuitive skills in new and more effective ways by introducing the Integrated Creative Problem Solving Thinking Skills Model (ICPSTSM) and the concept of deliberate intuition and provides practical strategies for their use. It explains how, regardless of their experience with intuition, CPS facilitators and practitioners can use this integrated approach to build upon the Creative Problem Solving Thinking Skills Model (CPSTSM) (Puccio, Murdock, &amp; Mance, 2007) to 1) leverage a greater diversity of thinking; 2) increase the success with which they introduce innovation in organizational change and learning interventions; and 3) improve creative performance in the process.","author":[{"dropping-particle":"","family":"Burnett","given":"Chnthia","non-dropping-particle":"","parse-names":false,"suffix":""}],"id":"ITEM-1","issued":{"date-parts":[["2007"]]},"page":"236-253","title":"Deliberate intuition : Giving intuitive insights their rightful place in the creative problem solving thinking skills model","type":"article-journal","volume":"3"},"uris":["http://www.mendeley.com/documents/?uuid=a2ba10f0-34c6-4077-b99a-635c576b06cb"]}],"mendeley":{"formattedCitation":"(Burnett, 2007)","plainTextFormattedCitation":"(Burnett, 2007)","previouslyFormattedCitation":"(Burnett, 2007)"},"properties":{"noteIndex":0},"schema":"https://github.com/citation-style-language/schema/raw/master/csl-citation.json"}</w:instrText>
      </w:r>
      <w:r>
        <w:rPr>
          <w:rStyle w:val="fontstyle01"/>
        </w:rPr>
        <w:fldChar w:fldCharType="separate"/>
      </w:r>
      <w:r>
        <w:rPr>
          <w:rStyle w:val="fontstyle01"/>
          <w:noProof/>
        </w:rPr>
        <w:t>(Burnett, 2007)</w:t>
      </w:r>
      <w:r>
        <w:rPr>
          <w:rStyle w:val="fontstyle01"/>
        </w:rPr>
        <w:fldChar w:fldCharType="end"/>
      </w:r>
      <w:r>
        <w:rPr>
          <w:rStyle w:val="fontstyle01"/>
        </w:rPr>
        <w:t xml:space="preserve">. </w:t>
      </w:r>
    </w:p>
    <w:p w14:paraId="33D971D2" w14:textId="77777777" w:rsidR="007604AD" w:rsidRDefault="007604AD" w:rsidP="007604AD">
      <w:pPr>
        <w:spacing w:line="360" w:lineRule="auto"/>
        <w:ind w:firstLine="567"/>
        <w:jc w:val="both"/>
        <w:rPr>
          <w:rStyle w:val="fontstyle01"/>
        </w:rPr>
      </w:pPr>
      <w:r>
        <w:rPr>
          <w:rStyle w:val="fontstyle01"/>
        </w:rPr>
        <w:t xml:space="preserve">Munir (2012) mengatakan bahwa menjadi intuitif dapat digunakan sebagai jembatan untuk memahami, sehingga  membantu dan memfasilitasi asosiasi objek yang disajikan dengan solusi alternatif  yang diinginkan. Solusi yang disukai </w:t>
      </w:r>
      <w:r>
        <w:rPr>
          <w:rStyle w:val="fontstyle01"/>
        </w:rPr>
        <w:fldChar w:fldCharType="begin" w:fldLock="1"/>
      </w:r>
      <w:r>
        <w:rPr>
          <w:rStyle w:val="fontstyle01"/>
        </w:rPr>
        <w:instrText>ADDIN CSL_CITATION {"citationItems":[{"id":"ITEM-1","itemData":{"ISBN":"9789791635387","author":[{"dropping-particle":"","family":"munir","given":"","non-dropping-particle":"","parse-names":false,"suffix":""}],"id":"ITEM-1","issue":"November","issued":{"date-parts":[["2012"]]},"page":"978-979","title":"Model Penalaran Intuitif Siswa","type":"article-journal"},"uris":["http://www.mendeley.com/documents/?uuid=8d9ff2ce-2968-43ee-8200-31d867a2b58a"]}],"mendeley":{"formattedCitation":"(munir, 2012)","plainTextFormattedCitation":"(munir, 2012)","previouslyFormattedCitation":"(munir, 2012)"},"properties":{"noteIndex":0},"schema":"https://github.com/citation-style-language/schema/raw/master/csl-citation.json"}</w:instrText>
      </w:r>
      <w:r>
        <w:rPr>
          <w:rStyle w:val="fontstyle01"/>
        </w:rPr>
        <w:fldChar w:fldCharType="separate"/>
      </w:r>
      <w:r>
        <w:rPr>
          <w:rStyle w:val="fontstyle01"/>
          <w:noProof/>
        </w:rPr>
        <w:t>(munir, 2012)</w:t>
      </w:r>
      <w:r>
        <w:rPr>
          <w:rStyle w:val="fontstyle01"/>
        </w:rPr>
        <w:fldChar w:fldCharType="end"/>
      </w:r>
      <w:r>
        <w:rPr>
          <w:rStyle w:val="fontstyle01"/>
        </w:rPr>
        <w:t xml:space="preserve">. Intuisi diperlukan dalam proses pemecahan masalah matematika untuk menggabungkan </w:t>
      </w:r>
      <w:r>
        <w:rPr>
          <w:rStyle w:val="fontstyle01"/>
        </w:rPr>
        <w:lastRenderedPageBreak/>
        <w:t>keterampilan/pengalaman yang telah dimiliki sebelumnya dalam memecahkan masalah matematika. Tentu saja dalam tahap penyelesaian, munculnya ide-ide tersebut muncul dengan segera, otomatis (segera) atau  tiba-tiba (</w:t>
      </w:r>
      <w:r>
        <w:rPr>
          <w:rStyle w:val="fontstyle01"/>
          <w:i/>
        </w:rPr>
        <w:t>suddenly</w:t>
      </w:r>
      <w:r>
        <w:rPr>
          <w:rStyle w:val="fontstyle01"/>
        </w:rPr>
        <w:t xml:space="preserve">). Ini adalah karakteristik berpikir dengan intuisi </w:t>
      </w:r>
      <w:r>
        <w:rPr>
          <w:rStyle w:val="fontstyle01"/>
        </w:rPr>
        <w:fldChar w:fldCharType="begin" w:fldLock="1"/>
      </w:r>
      <w:r>
        <w:rPr>
          <w:rStyle w:val="fontstyle01"/>
        </w:rPr>
        <w:instrText>ADDIN CSL_CITATION {"citationItems":[{"id":"ITEM-1","itemData":{"DOI":"10.5951/jresematheduc.13.5.0360","ISSN":"0021-8251","abstract":"The intuitions that junior high school students have on selected functional concepts were investigated. The concepts were presented on an abstract and a concrete level, in arrow diagrams, graphical, and tabular settings. The investigation was carried out with reference to a theoretical framework for the study of intuitions and transfer of functional concepts. In this framework, the concept of function was analyzed as corresponding to a 3-dimensional block structure as follows: The function settings correspond to the x-axis of the block, the function concepts to the y-axis, and the levels of abstraction of the concepts to the z-axis. The subjects were 443 students in Grades 6-9 chosen from differing social and ability levels. Different populations were found to possess different intuitions on the concepts, but these intuitions were independent both of the settings in which they were presented and of the levels of abstraction.","author":[{"dropping-particle":"","family":"Dreyfus","given":"Tommy","non-dropping-particle":"","parse-names":false,"suffix":""},{"dropping-particle":"","family":"Eisenberg","given":"Theodore","non-dropping-particle":"","parse-names":false,"suffix":""}],"container-title":"Journal for Research in Mathematics Education","id":"ITEM-1","issued":{"date-parts":[["2020"]]},"title":"Intuitive Functional Concepts: A Baseline Study on Intuitions","type":"article-journal"},"uris":["http://www.mendeley.com/documents/?uuid=c96e1b41-60c6-4e8b-a592-7f4cd02045a5"]}],"mendeley":{"formattedCitation":"(Dreyfus &amp; Eisenberg, 2020)","plainTextFormattedCitation":"(Dreyfus &amp; Eisenberg, 2020)","previouslyFormattedCitation":"(Dreyfus &amp; Eisenberg, 2020)"},"properties":{"noteIndex":0},"schema":"https://github.com/citation-style-language/schema/raw/master/csl-citation.json"}</w:instrText>
      </w:r>
      <w:r>
        <w:rPr>
          <w:rStyle w:val="fontstyle01"/>
        </w:rPr>
        <w:fldChar w:fldCharType="separate"/>
      </w:r>
      <w:r>
        <w:rPr>
          <w:rStyle w:val="fontstyle01"/>
          <w:noProof/>
        </w:rPr>
        <w:t>(Dreyfus &amp; Eisenberg, 2020)</w:t>
      </w:r>
      <w:r>
        <w:rPr>
          <w:rStyle w:val="fontstyle01"/>
        </w:rPr>
        <w:fldChar w:fldCharType="end"/>
      </w:r>
      <w:r>
        <w:rPr>
          <w:rStyle w:val="fontstyle01"/>
        </w:rPr>
        <w:t>.</w:t>
      </w:r>
    </w:p>
    <w:p w14:paraId="37F050AB" w14:textId="77777777" w:rsidR="007604AD" w:rsidRDefault="007604AD" w:rsidP="007604AD">
      <w:pPr>
        <w:spacing w:line="360" w:lineRule="auto"/>
        <w:ind w:firstLine="567"/>
        <w:jc w:val="both"/>
      </w:pPr>
      <w:r>
        <w:rPr>
          <w:rFonts w:ascii="Times New Roman" w:hAnsi="Times New Roman" w:cs="Times New Roman"/>
          <w:sz w:val="24"/>
          <w:szCs w:val="24"/>
        </w:rPr>
        <w:t xml:space="preserve">Penggunaan intuisi dalam matematika bisa saja dapat mengakibatkan kesalahan dalam pemahaman konsep, namun demikian terdapat hasil penelitian yang mendukung pentingnya intuisi dalam pembelajaran matematika dan potensinya dalam meningkatkan pemahaman terhadap matematika serta dalam pemecahan masalah matematika. Pentingnya intuisi dalam pembelajaran matematika seperti yang diungkapkan oleh Raman dalam Erdyana Dwi Etika (2016). Raman menemukan bahwa representasi dan interpretasi intuitif dapat memandu seseorang membuat klaim matematika yang benar. Selain itu ditemukan bahwa bila seseorang menemukan ide kunci (key idea) dalam suatu pembuktian, maka ia dapat mengaitkan pemahaman terhadap klaim dalam pembuktian dengan bukti formal pernyataan matematika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{"citationItems":[{"id":"ITEM-1","itemData":{"abstract":"Tujuan penelitian ini adalah: (1) Mendeskripsikan kategori intuisi siswa kelas VII SMPN 1 Nganjuk tipe climber, camper, dan quitter dalam pemecahan masalah matematika. (2) Mendeskripsikan jenis intuisi siswa kelas VII SMPN 1 Nganjuk tipe climber, camper, dan quitter dalam pemecahan masalah matematika. Jenis Intuisi yang digunakan adalah jenis intuisi menurut Fischbein dan Poincare. Kategori intuisi menurut Fischbein: (1) Intuisi Afirmatori; (2) Intuisi Antisipatori. Jenis intuisi menurut Poincare: (1) Intuisi berdasarkan indera; (2) Intuisi berdasarkan pola pikir induktif; (3) Intuisi berdasarkan penggunaan matematika secara real. Penelitian ini merupakan penelitian studi kasus. Subjek dalam penelitian ini diambil dengan menggunakan menggunakan purposive sampling dengan teknik snowball sampling. Subjek penelitian dipilih dari siswa kelas VII SMP N 1 Nganjuk berjumlah 6 siswa yang terdiri dari 2 siswa tipe climbers, 2 siswa tipe campers, dan 2 siswa tipe quitters siswa kelas VII SMP Negeri 1 Nganjuk. Pengumpulan data dilakukan oleh peneliti sendiri sebagai instrumen utama dan instrumen bantu berupa tes pemecahan masalah matematika. Data penelitian adalah kategori intuisi dan jenis intuisi. Data diperoleh dari Think Aloud Method. Teknik analisis data adalah: (1) menggolongkan data dalam empat kategori : (a) memahami masalah, (b) merencanakan solusi, (c) mencari solusi, (d) memeriksa solusi; (2) menyajikan data dalam bentuk teks narasi; dan (3) menyimpulkan kategori intuisi dan tipe intuisi dari siswa di setiap tipe Adversity Quotient. Hasil penelitian menunjukkan bahwa: (1) kategori intuisi pada siswa SMP N 1 Nganjuk, (a) dengan tipe climbers, dalam memahami masalah, siswa menggunakan kategori intuisi affirmatory, dalam merencanakan solusi, siswa menggunakan intuisi affirmatory, menggunakan intuisi anticipatory dalam memecahkan masalah, siswa menggunakan intuisi affirmatory. (b) Siswa dengan tipe campers, memahami masalah menggunakan intuisi affirmatory, dalam merencanakan solusi siswa menggunakan intuisi antisipatori, dalam melaksanakan rencana solusi siswa tidak menggunakan intuisi, pada tahap memeriksa solusi, siswa tidak menggunakan intuisi. (c) Siswa dengan tipe quitters, memahami masalah tidak menggunakan intuisi, dalam merencanakan jenis intuisi yang digunakan siswa tergolong intuisi affirmatory, siswa menggunakan intuisi anticipatory dalam memecahkan masalah, pada tahap memeriksa solusi siswa tidak menggunakan intuisi. (2) Jenis intuisi pada siswa…","author":[{"dropping-particle":"","family":"Etika","given":"Erdyna Dwi","non-dropping-particle":"","parse-names":false,"suffix":""},{"dropping-particle":"","family":"Sujadi","given":"Imam","non-dropping-particle":"","parse-names":false,"suffix":""},{"dropping-particle":"","family":"Subanti","given":"Sri","non-dropping-particle":"","parse-names":false,"suffix":""}],"container-title":"Jurnal Elektronik Pembelajaran Matematika","id":"ITEM-1","issue":"5","issued":{"date-parts":[["2016"]]},"page":"563-574","title":"Intuisi Kelas VII SMP Negeri 1 Nganjuk dalam Pemecahan Masalah Matematika Ditinjau Dari Adversity Quotient ( Aq )","type":"article-journal","volume":"4"},"uris":["http://www.mendeley.com/documents/?uuid=e8641a6d-52e3-4e65-9807-c8e8e22717ee"]}],"mendeley":{"formattedCitation":"(Etika et al., 2016)","plainTextFormattedCitation":"(Etika et al., 2016)","previouslyFormattedCitation":"(Etika et al.,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(Etika et al., 2016)</w:t>
      </w:r>
      <w:r>
        <w:rPr>
          <w:rFonts w:ascii="Times New Roman" w:hAnsi="Times New Roman" w:cs="Times New Roman"/>
          <w:sz w:val="24"/>
          <w:szCs w:val="24"/>
        </w:rPr>
        <w:fldChar w:fldCharType="end"/>
      </w:r>
      <w:r>
        <w:rPr>
          <w:rFonts w:ascii="Times New Roman" w:hAnsi="Times New Roman" w:cs="Times New Roman"/>
          <w:sz w:val="24"/>
          <w:szCs w:val="24"/>
        </w:rPr>
        <w:t>.</w:t>
      </w:r>
    </w:p>
    <w:p w14:paraId="19537F9F" w14:textId="77777777" w:rsidR="007604AD" w:rsidRDefault="007604AD" w:rsidP="007604A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Penyelesaian matematika merupakan kemampuan dasar yang harus dikuasai oleh siswa. Berpikir intuitif merupakan peran penting dalam menyelesaikan masalah matematika. Dalam menyelesaikan masalah  Matematika diperlukan proses berpikir analitik dan logika. Brunner dan Hart mengungkapkan bahwa dalam menyelesaikan masalah matematika ada dua pendekatan yaitu secara analitik dan intuitif. Berpikir intuitif berperan dalam proses membangun pengetahuan matematika yang tanpa disadari menghasilakan satu keyakinan yang tepat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{"citationItems":[{"id":"ITEM-1","itemData":{"DOI":"10.21274/jtm.2018.1.1.9-22","ISSN":"2621-3990","abstract":"Intuition has a big role when the analytic (formal) thinking process does not have the ability to reach it to the problems at hand. The presence of this intuition is spontaneous, immediate and sudden, and sometimes unpredictable. However, its presence is not suddenly but supported by the knowledge and experience, skills and skills possessed, through perceptions and feelings. In this context, intuition serves to facilitate the realm of the mind and makes it easy to understand and solve problems (red mathematical problems) in addition to the role of analytical and formal thinking is also required. Thus, intuition can be a means of opening the gates of ideas or ideas of solution discovery before formal steps are done analytically. The author seeks to illustrate the frameworks of these two forms of thinking (intuitive-analytical) inseparable from one another, but they give benefit from each other in the cycle of mathematical problem-solving.","author":[{"dropping-particle":"","family":"Muniri","given":"Muniri","non-dropping-particle":"","parse-names":false,"suffix":""}],"container-title":"Jurnal Tadris Matematika","id":"ITEM-1","issued":{"date-parts":[["2018"]]},"title":"Peran Berpikir Intuitif dan Analitis dalam Memecahkan Masalah Matematika","type":"article-journal"},"uris":["http://www.mendeley.com/documents/?uuid=5364bdc3-9177-43df-a857-9fc43a9b2d29"]}],"mendeley":{"formattedCitation":"(Muniri, 2018)","plainTextFormattedCitation":"(Muniri, 2018)","previouslyFormattedCitation":"(Muniri,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(Muniri, 2018)</w:t>
      </w:r>
      <w:r>
        <w:rPr>
          <w:rFonts w:ascii="Times New Roman" w:hAnsi="Times New Roman" w:cs="Times New Roman"/>
          <w:sz w:val="24"/>
          <w:szCs w:val="24"/>
        </w:rPr>
        <w:fldChar w:fldCharType="end"/>
      </w:r>
      <w:r>
        <w:rPr>
          <w:rFonts w:ascii="Times New Roman" w:hAnsi="Times New Roman" w:cs="Times New Roman"/>
          <w:sz w:val="24"/>
          <w:szCs w:val="24"/>
        </w:rPr>
        <w:t>.</w:t>
      </w:r>
    </w:p>
    <w:p w14:paraId="3353C5E3" w14:textId="77777777" w:rsidR="007604AD" w:rsidRDefault="007604AD" w:rsidP="007604A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Instrumen adalah alat yang dapat digunakan untuk mengumpulkan data. Dengan menggunakan data yang terkumpul, peneliti mampu menjelaskan permasalahan yang dihadapi. Data yang dikumpulkan juga memungkinkan peneliti untuk menguji hipotesis yang diajukan dalam penelitian. Oleh karena itu, keabsahan atau keabsahan data yang diperoleh sangat ditentukan oleh kualitas peralatan yang digunakan, selain prosedur pengumpulan data yang digunakan, oleh karena itu peralatan sangat menentukan kualitas suatu penelitian. memainkan peran. Hal ini karena alat membantu mengubah fakta menjadi data, jadi jika alat yang Anda gunakan berkualitas wajar dari segi validitas dan reliabilitas, data yang Anda dapatkan akan sesuai dengan fakta atau situasi nyata di lapangan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 Guru telah memahami bahwa asesmen yang mengacu pada asesmen dalam aspek kognitif, afektif, maupun psikomotor. Selain itu, guru telah memahami teknik dan jenis asesmen dari …","author":[{"dropping-particle":"","family":"Yudha","given":"Rivo Panji","non-dropping-particle":"","parse-names":false,"suffix":""}],"container-title":"CV Budi Utama","id":"ITEM-1","issued":{"date-parts":[["2020"]]},"title":"Asesmen Unjuk Kerja Geometri,","type":"webpage"},"uris":["http://www.mendeley.com/documents/?uuid=b3b9b56d-5e2f-4d98-aa69-a7213a781d75"]}],"mendeley":{"formattedCitation":"(Yudha, 2020)","plainTextFormattedCitation":"(Yudha, 2020)","previouslyFormattedCitation":"(Yudha,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(Yudha, 2020)</w:t>
      </w:r>
      <w:r>
        <w:rPr>
          <w:rFonts w:ascii="Times New Roman" w:hAnsi="Times New Roman" w:cs="Times New Roman"/>
          <w:sz w:val="24"/>
          <w:szCs w:val="24"/>
        </w:rPr>
        <w:fldChar w:fldCharType="end"/>
      </w:r>
      <w:r>
        <w:rPr>
          <w:rFonts w:ascii="Times New Roman" w:hAnsi="Times New Roman" w:cs="Times New Roman"/>
          <w:sz w:val="24"/>
          <w:szCs w:val="24"/>
        </w:rPr>
        <w:t>.</w:t>
      </w:r>
    </w:p>
    <w:p w14:paraId="2FDB681D" w14:textId="77777777" w:rsidR="007604AD" w:rsidRDefault="007604AD" w:rsidP="007604A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Asesmen adalah komponen penting dalam proses pembelajaran dan memiliki peran dalam mengetahui hasil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{"citationItems":[{"id":"ITEM-1","itemData":{"DOI":"10.1080/02602938.2011.609314","ISSN":"02602938","abstract":"As industry demands increase for a new type of graduate, there is more pressure than ever before for higher education (HE) to respond by cultivating and developing students who are prepared for these workplace challenges. This paper explores an innovative experiential learning programme built on the principles of work-related learning that develops students to attain graduate qualities for competitiveness in the business sector. The role and importance of assessment as a core influence for learning is recognised and embedded into the programme, as well as the prevalence of meeting the needs of its stakeholders. Issues concerning assessing work-oriented learning are explored as well as what assessment methods might be most appropriate for enhancing and evaluating learning in this context. Feedback from stakeholders on the structure of the programme and its assessment are discussed as well as the question of how to maintain work-related programmes in HE. If such programmes continue to focus assessment and design around student learning, students will not only have the opportunity to apply their knowledge in a practical context, they will also be maximising their personal learning outcomes with the added advantage of being better equipped to compete in an increasingly competitive marketplace. © 2013 Copyright Taylor and Francis Group, LLC.","author":[{"dropping-particle":"","family":"Clements","given":"Michael David","non-dropping-particle":"","parse-names":false,"suffix":""},{"dropping-particle":"","family":"Cord","given":"Bonnie Amelia","non-dropping-particle":"","parse-names":false,"suffix":""}],"container-title":"Assessment and Evaluation in Higher Education","id":"ITEM-1","issue":"1","issued":{"date-parts":[["2013"]]},"page":"114-124","title":"Assessment Guiding Learning: Developing Graduate Qualities in an Experiential Learning Programme","type":"article-journal","volume":"38"},"uris":["http://www.mendeley.com/documents/?uuid=a4b7b346-54a4-4dec-bd8b-f17ef3d9b46f"]},{"id":"ITEM-2","itemData":{"DOI":"10.21831/pep.v23i1.23391","ISSN":"2338-6061","abstract":"This study is aimed at describing the implementation of attitude assessment conducted by teachers starting from the assessment planning, implementation, results processing, its utilization, and the follow-up. This study employed a qualitative and quantitative method. The subject was elementary school teachers in Bekasi city who had taught in classes applying Curriculum 2013. The data were collected using questionnaires and focus group discussions. The result shows that the implementation of attitude assessment had not been done optimally because of teachers’ lack of understanding. Besides, too many techniques of attitude assessment cause teachers to need a lot of time to learn and conduct the assessment. In Curriculum 2013, students’ involvement is emphasized, yet most students were quite passive in class, and there was no dynamic and active discussion in the learning process. It means teachers need to apply different methods to encourage students to be more active. Lastly, the utilization and follow-up of the assessment results were not optimal. Some recommendations that can be proposed are: (1) schools are hoped to be able to provide independent training for the implementation of assessment in Curriculum 2013; (2) mandatory attitude assessment required to be done by each subject teacher is observation, while other required assessments are done by the classroom teacher; (3) variables in attitude assessment needs to be completed and clearly stated especially in social aspects (KI-2), which are accepting and responding; (4) there should be a detailed description of attitude assessment in students’ reports.","author":[{"dropping-particle":"","family":"Ulumudin","given":"Ikhya","non-dropping-particle":"","parse-names":false,"suffix":""},{"dropping-particle":"","family":"Fujianita","given":"Sisca","non-dropping-particle":"","parse-names":false,"suffix":""}],"container-title":"Jurnal Penelitian dan Evaluasi Pendidikan","id":"ITEM-2","issue":"1","issued":{"date-parts":[["2019"]]},"page":"46-56","title":"The Implementation of Attitude Assessment in Curriculum 2013 at Elementary Schools","type":"article-journal","volume":"23"},"uris":["http://www.mendeley.com/documents/?uuid=2a789dc0-9f4c-40a5-b4a6-7a3d4260bf15"]}],"mendeley":{"formattedCitation":"(Clements &amp; Cord, 2013; Ulumudin &amp; Fujianita, 2019)","plainTextFormattedCitation":"(Clements &amp; Cord, 2013; Ulumudin &amp; Fujianita, 2019)","previouslyFormattedCitation":"(Clements &amp; Cord, 2013; Ulumudin &amp; Fujianita,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(Clements &amp; Cord, 2013; Ulumudin &amp; Fujianita, 2019)</w:t>
      </w:r>
      <w:r>
        <w:rPr>
          <w:rFonts w:ascii="Times New Roman" w:hAnsi="Times New Roman" w:cs="Times New Roman"/>
          <w:sz w:val="24"/>
          <w:szCs w:val="24"/>
        </w:rPr>
        <w:fldChar w:fldCharType="end"/>
      </w:r>
      <w:r>
        <w:rPr>
          <w:rFonts w:ascii="Times New Roman" w:hAnsi="Times New Roman" w:cs="Times New Roman"/>
          <w:sz w:val="24"/>
          <w:szCs w:val="24"/>
        </w:rPr>
        <w:t xml:space="preserve">. Asesmen adalah serangkaian kegiatan untuk memperoleh informasi kualitatif dan kuantitatif awal, berkelanjutan, atau akhir pembelajaran, yang bertujuan untuk mengevaluasi dan mendiagnosis </w:t>
      </w:r>
      <w:r>
        <w:rPr>
          <w:rFonts w:ascii="Times New Roman" w:hAnsi="Times New Roman" w:cs="Times New Roman"/>
          <w:sz w:val="24"/>
          <w:szCs w:val="24"/>
        </w:rPr>
        <w:lastRenderedPageBreak/>
        <w:t xml:space="preserve">hal-hal yang perlu diperbaiki sehingga pendidik dan siswa dapat meninjau, merencanakan, dan menerapkan tindakan yang harus dilakukan selanjutnya untuk mencapai tujuan pembelajaran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{"citationItems":[{"id":"ITEM-1","itemData":{"author":[{"dropping-particle":"","family":"Purnomo","given":"Yoppy Wahyu","non-dropping-particle":"","parse-names":false,"suffix":""}],"container-title":"Sigma Journal","id":"ITEM-1","issue":"June","issued":{"date-parts":[["2014"]]},"title":"Assessment-Based Learning : Sebuah Tinjauan untuk Meningkatkan Motivasi Assessment-Based Learning : Sebuah Tinjauan untuk Meningkatkan Motivasi Belajar dan Pemahaman Matematis","type":"article-journal","volume":"VI"},"uris":["http://www.mendeley.com/documents/?uuid=d049ba73-6802-4830-8841-8c115ed8aa40","http://www.mendeley.com/documents/?uuid=bceee552-5670-4127-97ba-06ab33db439e"]}],"mendeley":{"formattedCitation":"(Purnomo, 2014)","plainTextFormattedCitation":"(Purnomo, 2014)","previouslyFormattedCitation":"(Purnomo, 2014)"},"properties":{"noteIndex":0},"schema":"https://github.com/citation-style-language/schema/raw/master/csl-citation.json"}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(Purnomo, 2014)</w:t>
      </w:r>
      <w:r>
        <w:rPr>
          <w:rFonts w:ascii="Times New Roman" w:hAnsi="Times New Roman" w:cs="Times New Roman"/>
          <w:sz w:val="24"/>
          <w:szCs w:val="24"/>
        </w:rPr>
        <w:fldChar w:fldCharType="end"/>
      </w:r>
      <w:r>
        <w:rPr>
          <w:rFonts w:ascii="Times New Roman" w:hAnsi="Times New Roman" w:cs="Times New Roman"/>
          <w:sz w:val="24"/>
          <w:szCs w:val="24"/>
        </w:rPr>
        <w:t xml:space="preserve">. Asesmen tidak hanya bertujuan untuk pemberian skor, tetapi juga </w:t>
      </w:r>
      <w:r>
        <w:rPr>
          <w:rFonts w:ascii="Times New Roman" w:hAnsi="Times New Roman" w:cs="Times New Roman"/>
          <w:i/>
          <w:sz w:val="24"/>
          <w:szCs w:val="24"/>
        </w:rPr>
        <w:t>feedback</w:t>
      </w:r>
      <w:r>
        <w:rPr>
          <w:rFonts w:ascii="Times New Roman" w:hAnsi="Times New Roman" w:cs="Times New Roman"/>
          <w:sz w:val="24"/>
          <w:szCs w:val="24"/>
        </w:rPr>
        <w:t xml:space="preserve"> baik kepada peserta didik maupun pendidik dalam melakukan perbaikan proses belajar dan mengajar. Dengan demikian, asesmen selalu menjadi bagian integral dan tidak dapat dipisahkan dalam pembelajaran serta menjadi bagian krusial untuk membantu peserta didik dan pendidik dalam proses belajar-mengajar.</w:t>
      </w:r>
    </w:p>
    <w:p w14:paraId="0F35E16D" w14:textId="77777777" w:rsidR="007604AD" w:rsidRDefault="007604AD" w:rsidP="007604AD">
      <w:pPr>
        <w:pStyle w:val="ListParagraph"/>
        <w:spacing w:line="360" w:lineRule="auto"/>
        <w:ind w:left="0" w:firstLine="491"/>
        <w:jc w:val="both"/>
        <w:rPr>
          <w:rFonts w:ascii="Times New Roman" w:hAnsi="Times New Roman" w:cs="Times New Roman"/>
          <w:color w:val="050404"/>
          <w:sz w:val="24"/>
          <w:szCs w:val="24"/>
        </w:rPr>
      </w:pPr>
      <w:r>
        <w:rPr>
          <w:rFonts w:ascii="Times New Roman" w:hAnsi="Times New Roman" w:cs="Times New Roman"/>
          <w:color w:val="050404"/>
          <w:sz w:val="24"/>
          <w:szCs w:val="24"/>
        </w:rPr>
        <w:t xml:space="preserve">Asesmen hasil belajar pada kelompok mata pelajaran matematika dilakukan melalui pengamatan terhadap kemampuan pengetahuan dan keterampilan untuk menilai perkembangan psikomotor dan kognitif siswa </w:t>
      </w:r>
      <w:r>
        <w:rPr>
          <w:rFonts w:ascii="Times New Roman" w:hAnsi="Times New Roman" w:cs="Times New Roman"/>
          <w:color w:val="050404"/>
          <w:sz w:val="24"/>
          <w:szCs w:val="24"/>
        </w:rPr>
        <w:fldChar w:fldCharType="begin" w:fldLock="1"/>
      </w:r>
      <w:r>
        <w:rPr>
          <w:rFonts w:ascii="Times New Roman" w:hAnsi="Times New Roman" w:cs="Times New Roman"/>
          <w:color w:val="050404"/>
          <w:sz w:val="24"/>
          <w:szCs w:val="24"/>
        </w:rPr>
        <w:instrText>ADDIN CSL_CITATION {"citationItems":[{"id":"ITEM-1","itemData":{"abstract":"Berbagai lembaga pendidikan telah mempunyai tenaga pengajar yang cukup, baik kuantitas maupun kualitasnya, sesuai dengan persyaratan yang ditetapkan.Di samping pengetahuan dan keterampilan melaksanakan pendidikan, yang tidak kurang pentingnya adalah kesadaran akan fungsinya sebagai pendidik dan kesungguhan melaksanakannya. Namun, tidak sedikit pula yang masih jauh dari ini, baik kuantitas maupun kualitasnya sebagai pendidik.Ini tercermin antara lain dalam berbagai kecurangan dalam pelaksanaan ujian, dan cara melaksanakan pembelajaran. Semua ini sangat mempengaruhi kualitas hasil pendidikan yang diperoleh. Segala kekurangan ini terutama disebabkan oleh kesejahteraan guru yang kebanyakan masih jauh dari yang seharusnya. Banyak orang yang berpotensi sebagai pendidik enggan menggeluti profesi ini. Kenyataan ini mungkin pula terjadi, karena terabaikannya pengawasan dan evaluasi yang teratur dan berkesinambungan atas pelaksanaan pendidikan itu. Sebagai contoh, masih banyak pelaksanaan pendidikan yang berorientasi pada kuantitas kelulusan ujian, termasuk ujian nasional, daripada pengutamaan pada kualitas penguasaan ilmu yang diajarkan. Fenomena ini tidak termonitor dengan baik. Dua contoh kecil ini hanya sekelumit contoh yang menyimpulkan, bahwa pelaksana, pelaksanaan pendidikan kita dewasa ini belum seperti yang seharusnya diharapkan.","author":[{"dropping-particle":"","family":"BSNP","given":"","non-dropping-particle":"","parse-names":false,"suffix":""}],"container-title":"Paradigma Pendidikan Nasional Abad XXI","id":"ITEM-1","issued":{"date-parts":[["2010"]]},"title":"Paradigma Pendidikan Nasional Abad XXI","type":"book"},"uris":["http://www.mendeley.com/documents/?uuid=a045c1b5-afc9-41be-9604-7367b9f5bdd0"]}],"mendeley":{"formattedCitation":"(BSNP, 2010)","plainTextFormattedCitation":"(BSNP, 2010)","previouslyFormattedCitation":"(BSNP, 2010)"},"properties":{"noteIndex":0},"schema":"https://github.com/citation-style-language/schema/raw/master/csl-citation.json"}</w:instrText>
      </w:r>
      <w:r>
        <w:rPr>
          <w:rFonts w:ascii="Times New Roman" w:hAnsi="Times New Roman" w:cs="Times New Roman"/>
          <w:color w:val="050404"/>
          <w:sz w:val="24"/>
          <w:szCs w:val="24"/>
        </w:rPr>
        <w:fldChar w:fldCharType="separate"/>
      </w:r>
      <w:r>
        <w:rPr>
          <w:rFonts w:ascii="Times New Roman" w:hAnsi="Times New Roman" w:cs="Times New Roman"/>
          <w:noProof/>
          <w:color w:val="050404"/>
          <w:sz w:val="24"/>
          <w:szCs w:val="24"/>
        </w:rPr>
        <w:t>(BSNP, 2010)</w:t>
      </w:r>
      <w:r>
        <w:rPr>
          <w:rFonts w:ascii="Times New Roman" w:hAnsi="Times New Roman" w:cs="Times New Roman"/>
          <w:color w:val="050404"/>
          <w:sz w:val="24"/>
          <w:szCs w:val="24"/>
        </w:rPr>
        <w:fldChar w:fldCharType="end"/>
      </w:r>
      <w:r>
        <w:rPr>
          <w:rFonts w:ascii="Times New Roman" w:hAnsi="Times New Roman" w:cs="Times New Roman"/>
          <w:color w:val="050404"/>
          <w:sz w:val="24"/>
          <w:szCs w:val="24"/>
        </w:rPr>
        <w:t xml:space="preserve">. Asesmen yang dilakukan guru mencakup semua hasil belajar siswa yaitu kemampuan kognitif atau berpikir, kemampuan psikomotor atau kemampuan praktek, dan kemampuan afektif, namun penekanan pada masing ranah tidak sama sehingga harus diperhatikan karakteristik mata pelajaran yang akan diukur </w:t>
      </w:r>
      <w:r>
        <w:rPr>
          <w:rFonts w:ascii="Times New Roman" w:hAnsi="Times New Roman" w:cs="Times New Roman"/>
          <w:color w:val="050404"/>
          <w:sz w:val="24"/>
          <w:szCs w:val="24"/>
        </w:rPr>
        <w:fldChar w:fldCharType="begin" w:fldLock="1"/>
      </w:r>
      <w:r>
        <w:rPr>
          <w:rFonts w:ascii="Times New Roman" w:hAnsi="Times New Roman" w:cs="Times New Roman"/>
          <w:color w:val="050404"/>
          <w:sz w:val="24"/>
          <w:szCs w:val="24"/>
        </w:rPr>
        <w:instrText>ADDIN CSL_CITATION {"citationItems":[{"id":"ITEM-1","itemData":{"author":[{"dropping-particle":"","family":"Mardapi","given":"Djemari","non-dropping-particle":"","parse-names":false,"suffix":""}],"container-title":"Yogyakarta: Nuha Medika","id":"ITEM-1","issued":{"date-parts":[["2012"]]},"title":"Pengukuran Penilaian dan Evaluasi Pendidikan","type":"article-journal","volume":"45"},"uris":["http://www.mendeley.com/documents/?uuid=4505b28d-0682-491e-bd5b-2f6d99cc9d73"]}],"mendeley":{"formattedCitation":"(Mardapi, 2012)","plainTextFormattedCitation":"(Mardapi, 2012)","previouslyFormattedCitation":"(Mardapi, 2012)"},"properties":{"noteIndex":0},"schema":"https://github.com/citation-style-language/schema/raw/master/csl-citation.json"}</w:instrText>
      </w:r>
      <w:r>
        <w:rPr>
          <w:rFonts w:ascii="Times New Roman" w:hAnsi="Times New Roman" w:cs="Times New Roman"/>
          <w:color w:val="050404"/>
          <w:sz w:val="24"/>
          <w:szCs w:val="24"/>
        </w:rPr>
        <w:fldChar w:fldCharType="separate"/>
      </w:r>
      <w:r>
        <w:rPr>
          <w:rFonts w:ascii="Times New Roman" w:hAnsi="Times New Roman" w:cs="Times New Roman"/>
          <w:noProof/>
          <w:color w:val="050404"/>
          <w:sz w:val="24"/>
          <w:szCs w:val="24"/>
        </w:rPr>
        <w:t>(Mardapi, 2012)</w:t>
      </w:r>
      <w:r>
        <w:rPr>
          <w:rFonts w:ascii="Times New Roman" w:hAnsi="Times New Roman" w:cs="Times New Roman"/>
          <w:color w:val="050404"/>
          <w:sz w:val="24"/>
          <w:szCs w:val="24"/>
        </w:rPr>
        <w:fldChar w:fldCharType="end"/>
      </w:r>
      <w:r>
        <w:rPr>
          <w:rFonts w:ascii="Times New Roman" w:hAnsi="Times New Roman" w:cs="Times New Roman"/>
          <w:color w:val="050404"/>
          <w:sz w:val="24"/>
          <w:szCs w:val="24"/>
        </w:rPr>
        <w:t>.</w:t>
      </w:r>
    </w:p>
    <w:p w14:paraId="2115D19D" w14:textId="77777777" w:rsidR="007604AD" w:rsidRDefault="007604AD" w:rsidP="007604AD">
      <w:pPr>
        <w:pStyle w:val="ListParagraph"/>
        <w:spacing w:line="360" w:lineRule="auto"/>
        <w:ind w:left="0" w:firstLine="491"/>
        <w:jc w:val="both"/>
        <w:rPr>
          <w:rFonts w:ascii="Times New Roman" w:hAnsi="Times New Roman" w:cs="Times New Roman"/>
          <w:sz w:val="24"/>
          <w:szCs w:val="24"/>
        </w:rPr>
      </w:pPr>
      <w:r>
        <w:rPr>
          <w:rFonts w:ascii="Times New Roman" w:hAnsi="Times New Roman" w:cs="Times New Roman"/>
          <w:sz w:val="24"/>
          <w:szCs w:val="24"/>
        </w:rPr>
        <w:t>Penilaian capaian hasil belajar pada tingkat kognitif yang lebih tinggi (</w:t>
      </w:r>
      <w:r>
        <w:rPr>
          <w:rFonts w:ascii="Times New Roman" w:hAnsi="Times New Roman" w:cs="Times New Roman"/>
          <w:i/>
          <w:sz w:val="24"/>
          <w:szCs w:val="24"/>
        </w:rPr>
        <w:t>higher-order thinking</w:t>
      </w:r>
      <w:r>
        <w:rPr>
          <w:rFonts w:ascii="Times New Roman" w:hAnsi="Times New Roman" w:cs="Times New Roman"/>
          <w:sz w:val="24"/>
          <w:szCs w:val="24"/>
        </w:rPr>
        <w:t xml:space="preserve">), menurut Nitko dan Brookhart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{"citationItems":[{"id":"ITEM-1","itemData":{"DOI":"10.1016/j.humov.2005.02.001","ISBN":"0130137081 9780130137081","ISSN":"0167-9457","abstract":"In this study an attempt was made to construct a reliable and valid unifactorial teachers' rating scale for gross motor ability. Study 1 (132 children from 3 to 7 years) revealed that reliability of the scale was acceptable and that the scale represented an unifactorial dimension. Two studies on concurrent validity of the scale with an experimental gross motor task (stepping-stone crossing), the unifactorial subtest Locomotion of the Test of Gross Motor Development and the subtest Balance of the Movement Assessment Battery for Children as criterion measures, did not produce acceptable validity coefficients. In both validation studies an age effect was found. It was concluded that factor specificity does not seem the answer to the usual low validity coefficients of multifactorial teachers' rating scales. An alternative approach is suggested in which the assessment of functional activities in daily situations is stressed. Finally, the inclusion of atypical groups in random samples, which is common practice in research on concurrent validity of screening instruments for children's motor problems, is discussed.","author":[{"dropping-particle":"","family":"Nitko","given":"A. J.","non-dropping-particle":"","parse-names":false,"suffix":""},{"dropping-particle":"","family":"Brookhart","given":"S. M.","non-dropping-particle":"","parse-names":false,"suffix":""}],"container-title":"Human Movement Science","id":"ITEM-1","issued":{"date-parts":[["2011"]]},"title":"Educational assessment of students","type":"article-journal"},"uris":["http://www.mendeley.com/documents/?uuid=e2df749a-f4bf-4bde-931c-2a7360c59e48"]}],"mendeley":{"formattedCitation":"(Nitko &amp; Brookhart, 2011)","plainTextFormattedCitation":"(Nitko &amp; Brookhart, 2011)","previouslyFormattedCitation":"(Nitko &amp; Brookhart, 2011)"},"properties":{"noteIndex":0},"schema":"https://github.com/citation-style-language/schema/raw/master/csl-citation.json"}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(Nitko &amp; Brookhart, 2011)</w:t>
      </w:r>
      <w:r>
        <w:rPr>
          <w:rFonts w:ascii="Times New Roman" w:hAnsi="Times New Roman" w:cs="Times New Roman"/>
          <w:sz w:val="24"/>
          <w:szCs w:val="24"/>
        </w:rPr>
        <w:fldChar w:fldCharType="end"/>
      </w:r>
      <w:r>
        <w:rPr>
          <w:rFonts w:ascii="Times New Roman" w:hAnsi="Times New Roman" w:cs="Times New Roman"/>
          <w:sz w:val="24"/>
          <w:szCs w:val="24"/>
        </w:rPr>
        <w:t xml:space="preserve"> dibutuhkan tes (</w:t>
      </w:r>
      <w:r>
        <w:rPr>
          <w:rFonts w:ascii="Times New Roman" w:hAnsi="Times New Roman" w:cs="Times New Roman"/>
          <w:i/>
          <w:sz w:val="24"/>
          <w:szCs w:val="24"/>
        </w:rPr>
        <w:t>task</w:t>
      </w:r>
      <w:r>
        <w:rPr>
          <w:rFonts w:ascii="Times New Roman" w:hAnsi="Times New Roman" w:cs="Times New Roman"/>
          <w:sz w:val="24"/>
          <w:szCs w:val="24"/>
        </w:rPr>
        <w:t>) yang menuntut peserta didik untuk menggunakan pengetahuan dan keterampilan dalam situasi yang baru (</w:t>
      </w:r>
      <w:r>
        <w:rPr>
          <w:rFonts w:ascii="Times New Roman" w:hAnsi="Times New Roman" w:cs="Times New Roman"/>
          <w:i/>
          <w:sz w:val="24"/>
          <w:szCs w:val="24"/>
        </w:rPr>
        <w:t>new or novel situations</w:t>
      </w:r>
      <w:r>
        <w:rPr>
          <w:rFonts w:ascii="Times New Roman" w:hAnsi="Times New Roman" w:cs="Times New Roman"/>
          <w:sz w:val="24"/>
          <w:szCs w:val="24"/>
        </w:rPr>
        <w:t>). Dengan demikian peserta didik tidak hanya dituntut untuk memahami, tetapi sampai mampu untuk menganalisis, mengevaluasi dan berkreasi.</w:t>
      </w:r>
    </w:p>
    <w:p w14:paraId="5D1744A8" w14:textId="77777777" w:rsidR="007604AD" w:rsidRDefault="007604AD" w:rsidP="007604AD">
      <w:pPr>
        <w:spacing w:line="360" w:lineRule="auto"/>
        <w:ind w:firstLine="567"/>
        <w:jc w:val="both"/>
        <w:rPr>
          <w:rFonts w:ascii="Times New Roman" w:hAnsi="Times New Roman" w:cs="Times New Roman"/>
          <w:color w:val="000000"/>
          <w:sz w:val="24"/>
        </w:rPr>
      </w:pPr>
      <w:r>
        <w:rPr>
          <w:rFonts w:ascii="Times New Roman" w:hAnsi="Times New Roman" w:cs="Times New Roman"/>
          <w:sz w:val="24"/>
          <w:szCs w:val="24"/>
        </w:rPr>
        <w:t>Beberapa permasalahan ditemukan di lapangan, nampak ada ketidaksesuaian antara pembelajaran matematika di SMP dengan sistem penilaian yang digunakannya. Proses penilaian yang biasa dilakukan guru selama ini hanya mampu menggambarkan aspek penguasaan konsep peserta didik, akibatnya tujuan kurikuler mata pelajaran Matematika belum dapat dicapai dan atau tergambarkan secara autentik dan menyeluruh. Selain itu, dikemukakan masih terdapat miskonsepsi tentang pada responden yang diteliti, kurangnya pemahaman sebagian besar responden tentang tata cara membuat perangkat asesmen uraian berupa rubrik yang sesuai, dan sebagian responden yang cukup memahami asesmen dan guru juga masih kesulitan karena keterbatasan waktu dan banyaknya jumlah siswa dalam satu kelas. Juga menghitung validitas pada intrumen p</w:t>
      </w:r>
      <w:r>
        <w:rPr>
          <w:rFonts w:ascii="Times New Roman" w:hAnsi="Times New Roman" w:cs="Times New Roman"/>
          <w:color w:val="000000"/>
          <w:sz w:val="24"/>
        </w:rPr>
        <w:t>erlu diketahui bahwa sistem penilaian yang baik sangat berpengaruh terhadap peningkatan motivasi siswa dalam pembelajaran. Namun pada umumnya guru-guru belum memberikan perhatian yang serius dalam penyusunan perangkat penilaian, sehingga selama ini guru hanya melakukan penilaian dengan cara subjektif tanpa memikirkan kriteria apa yang seharusnya untuk dinilai.</w:t>
      </w:r>
    </w:p>
    <w:p w14:paraId="60B1CBF4" w14:textId="77777777" w:rsidR="007604AD" w:rsidRDefault="007604AD" w:rsidP="007604A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Berdasarkan pengalaman guru-guru matematika, salah satu pokok bahasan yang sulit dipahami oleh siswa adalah pokok bahasan bangun ruang sisi datar. Bangun ruang sisi datar merupakan salah satu pokok bahasan pada standar kompetensi kelas VIII SMP semester 2 yang juga dianggap sulit oleh siswa, tidak hanya bagi siswa, tetapi sebagian guru juga menganggap geometri khususnya materi bangun ruang sisi datar merupakan materi yang sulit sehingga mereka memerlukan pelatihan tambahan. Hal ini dipertegas pada Konferensi Nasional Penelitian Matematika dan Pembelajarannya (KNPMP) tahun 2019 menyatakan dalam pembelajaran Bangun Ruang Sisi Datar terdapat beberapa kesulitan yang dialami oleh siswa yakni antara lain: menentukan bentuk jaring-jaring kubus, balok, menentukan rumus untuk mencari volume dan luas permukaan bidang bangun ruang sisi datar, menyelesaikan soal cerita yang berbasis permasalahan sehari-hari. Menurut Rohmah (2014) Salah satu penyebab siswa kurang menguasai materi bangun ruang sisi datar adalah sumber belajar yang dipakai siswa dimana hanya menekankan konsep yang mengacu pada hafalan, penggunaan rumus tanpa mengetahui asal rumus tersebut seperti pembelajaran konvensional, sehingga berakibat siswa cenderung mengesampingkan konsep dasar dan lebih mengutamakan pada hasil belajar dengan menggunakan rumus yang telah dihafalkan. Padahal konsep dasar pada materi bangun ruang sisi datar harus dikuasai oleh siswa karena dalam permendikbud No.68 tahun 2013 tentang kurikulum SMP-MTs pada bagian Matematika kelas VIII hal 45 kompetensi dasar poin 3.11 tertulis Menaksir dan menghitung luas permukaan dan volume bangun ruang yang tidak beraturan dengan menerapkan geometri dasarnya.</w:t>
      </w:r>
    </w:p>
    <w:p w14:paraId="1FEA3133" w14:textId="77777777" w:rsidR="007604AD" w:rsidRDefault="007604AD" w:rsidP="007604AD">
      <w:pPr>
        <w:pStyle w:val="ListParagraph"/>
        <w:spacing w:line="360" w:lineRule="auto"/>
        <w:ind w:left="0" w:firstLine="491"/>
        <w:jc w:val="both"/>
        <w:rPr>
          <w:rFonts w:ascii="Times New Roman" w:hAnsi="Times New Roman" w:cs="Times New Roman"/>
          <w:sz w:val="24"/>
          <w:szCs w:val="24"/>
        </w:rPr>
      </w:pPr>
      <w:r>
        <w:rPr>
          <w:rFonts w:ascii="Times New Roman" w:hAnsi="Times New Roman" w:cs="Times New Roman"/>
          <w:sz w:val="24"/>
          <w:szCs w:val="24"/>
        </w:rPr>
        <w:t>Asesmen kemampuan berpikir intuitif matematis menghadirkan sejumlah masalah validitas yang tidak mudah ditangani dengan pendekatan dan kriteria tradisional untuk penelitian validitas. Asesmen ini biasanya memberi siswa kebebasan yang substansial dalam menafsirkan, merespons, dan mungkin merancang tugas; mereka menghasilkan lebih sedikit respons independen, yang masing-masing kompleks, yang mencerminkan integrasi berbagai keterampilan dan pengetahuan; dan mereka membutuhkan penilaian ahli untuk evaluasi. Konsekuensinya, memenuhi kriteria yang terkait dengan masalah validitas seperti reliabilitas, generalisasi, dan komparabilitas penilaian, paling tidak seperti yang didefinisikan dan dioperasionalkan menjadi bermasalah. Permasalahan yang sering dihadapi guru matematika SMP selanjutnya adalah dalam melakukan asesmen kemampuan berpikir intuitif matematis terletak pada validitas dan reliabilitas alat ukur yang digunakan dalam hal ini adalah rubrik.</w:t>
      </w:r>
    </w:p>
    <w:p w14:paraId="766E3808" w14:textId="77777777" w:rsidR="007604AD" w:rsidRDefault="007604AD" w:rsidP="007604AD">
      <w:pPr>
        <w:pStyle w:val="ListParagraph"/>
        <w:spacing w:line="360" w:lineRule="auto"/>
        <w:ind w:left="0" w:firstLine="491"/>
        <w:jc w:val="both"/>
        <w:rPr>
          <w:rFonts w:ascii="Times New Roman" w:hAnsi="Times New Roman" w:cs="Times New Roman"/>
          <w:sz w:val="32"/>
          <w:szCs w:val="24"/>
        </w:rPr>
      </w:pPr>
      <w:r>
        <w:rPr>
          <w:rFonts w:ascii="Times New Roman" w:hAnsi="Times New Roman" w:cs="Times New Roman"/>
          <w:color w:val="000000"/>
          <w:sz w:val="24"/>
          <w:szCs w:val="20"/>
        </w:rPr>
        <w:t xml:space="preserve">Instrumen penilaian yang dapat mendeskripsikan keterampilan siswa perlu dilakukan validasi sebagai salah satu syarat evaluasi. Instrumen penilaian harus konsisten dalam penggunaannya dan dapat mengukur sesuai sasaran ukuran, sehingga perlu dilakukan validasi. </w:t>
      </w:r>
      <w:r>
        <w:rPr>
          <w:rFonts w:ascii="Times New Roman" w:hAnsi="Times New Roman" w:cs="Times New Roman"/>
          <w:color w:val="000000"/>
          <w:sz w:val="24"/>
          <w:szCs w:val="20"/>
        </w:rPr>
        <w:lastRenderedPageBreak/>
        <w:t xml:space="preserve">Validitas merupakan suatu proses yang dilakukan oleh pengembang untuk mengumpulkan data guna mengumpulkan kesimpulan berdasarkan skor instrumen yang diperoleh. Instrumen penilaian memiliki validitas tinggi jika alat tersebut menjalankan fungsi ukurnya atau memberikan hasil ukur yang sesuai sehingga dapat dilakukan pengukuran menggunakan instrumen penilaian tersebut. Secara garis besar, validitas dapat dibedakan menjadi dua macam, yaitu validitas logis dan validitas empiris (Farida: 2017). Validitas logis pada instrumen penilaian menunjukkan kondisi instrumen penilaian yang telah memenuhi persyaratan valid berdasarkan hasil penalaran karena telah dirancang secara baik serta mengikuti teori dan ketentuan. Validitas empiris instrumen penilaian diujikan berdasarkan pengalaman yang dapat dilakukan melalui uji coba kepada siswa </w:t>
      </w:r>
      <w:r>
        <w:rPr>
          <w:rFonts w:ascii="Times New Roman" w:hAnsi="Times New Roman" w:cs="Times New Roman"/>
          <w:color w:val="000000"/>
          <w:sz w:val="24"/>
          <w:szCs w:val="20"/>
        </w:rPr>
        <w:fldChar w:fldCharType="begin" w:fldLock="1"/>
      </w:r>
      <w:r>
        <w:rPr>
          <w:rFonts w:ascii="Times New Roman" w:hAnsi="Times New Roman" w:cs="Times New Roman"/>
          <w:color w:val="000000"/>
          <w:sz w:val="24"/>
          <w:szCs w:val="20"/>
        </w:rPr>
        <w:instrText>ADDIN CSL_CITATION {"citationItems":[{"id":"ITEM-1","itemData":{"DOI":"10.18592/tarbiyah.v7i1.2100","ISSN":"2088-6691","abstract":"The research instrument is a tool used to collect data or measure objects of a research variable. To obtain the correct data for the conclusion that is in accordance with the actual situation, then required a valid instrument and consistent and appropriate in providing data of research result. Instrument reliability tests to include test-retest, equivalent, and internal consistency. Internal consistency tests have several testing techniques depending on the type of instrument. Testing techniques included split half test, KR 20, KR 21, and Alfa Cronbach. The value of the validity and reliability of an instrument is influenced by the measured subject, the instrument user, and the instrument itself. Sehinggga, validity and reliability must always be tested before the instrument is used.","author":[{"dropping-particle":"","family":"Yusup","given":"Febrinawati","non-dropping-particle":"","parse-names":false,"suffix":""}],"container-title":"Jurnal Tarbiyah : Jurnal Ilmiah Kependidikan","id":"ITEM-1","issued":{"date-parts":[["2018"]]},"title":"Uji Validitas dan Reliabilitas Instrumen Penelitian Kuantitatif","type":"article-journal"},"uris":["http://www.mendeley.com/documents/?uuid=d7ed9506-1d8d-47f2-9967-d0dd01a247e2"]}],"mendeley":{"formattedCitation":"(Yusup, 2018)","plainTextFormattedCitation":"(Yusup, 2018)","previouslyFormattedCitation":"(Yusup, 2018)"},"properties":{"noteIndex":0},"schema":"https://github.com/citation-style-language/schema/raw/master/csl-citation.json"}</w:instrText>
      </w:r>
      <w:r>
        <w:rPr>
          <w:rFonts w:ascii="Times New Roman" w:hAnsi="Times New Roman" w:cs="Times New Roman"/>
          <w:color w:val="000000"/>
          <w:sz w:val="24"/>
          <w:szCs w:val="20"/>
        </w:rPr>
        <w:fldChar w:fldCharType="separate"/>
      </w:r>
      <w:r>
        <w:rPr>
          <w:rFonts w:ascii="Times New Roman" w:hAnsi="Times New Roman" w:cs="Times New Roman"/>
          <w:noProof/>
          <w:color w:val="000000"/>
          <w:sz w:val="24"/>
          <w:szCs w:val="20"/>
        </w:rPr>
        <w:t>(Yusup, 2018)</w:t>
      </w:r>
      <w:r>
        <w:rPr>
          <w:rFonts w:ascii="Times New Roman" w:hAnsi="Times New Roman" w:cs="Times New Roman"/>
          <w:color w:val="000000"/>
          <w:sz w:val="24"/>
          <w:szCs w:val="20"/>
        </w:rPr>
        <w:fldChar w:fldCharType="end"/>
      </w:r>
      <w:r>
        <w:rPr>
          <w:rFonts w:ascii="Times New Roman" w:hAnsi="Times New Roman" w:cs="Times New Roman"/>
          <w:color w:val="000000"/>
          <w:sz w:val="24"/>
          <w:szCs w:val="20"/>
        </w:rPr>
        <w:t>.</w:t>
      </w:r>
    </w:p>
    <w:p w14:paraId="7D68882F" w14:textId="77777777" w:rsidR="007604AD" w:rsidRDefault="007604AD" w:rsidP="007604A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Sebagai jawaban atas kenyataan permasalahan diatas, maka dilakukan analisis untuk melihat instrumen asesmen kemampuan berpikir intuitif matematis siswa dalam topik pengukuran geometri bangun ruang sisi datar. Kelayakan dikembangkan instrument memenuhi tiga aspek validitas, reliabilitas, dan kepraktisan. Hal ini juga dijelaskan oleh Nieveen dan Folmer (2013) bahwa empat kriteria kualitas untuk mendapatkan solusi terbaik untuk menyelesaikan masalah yang kompleks dipendidikan: relevansi, dikenal sebagai validitas konten; konsistensi, juga disebut validitas konstruk; kepraktisan, menunjukkan bahwa dapat digunakan berdasarkan pengaturan; dan keefektifan, menyerahkan produk sesuai dengan hasil yang diinginkan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 (2013). In T. Plomp &amp; N. Nieveen (Ed.), (152-169). Netherlands: Netherlands Institute for Curriculum Development (SLO).","author":[{"dropping-particle":"","family":"Nieveen","given":"N","non-dropping-particle":"","parse-names":false,"suffix":""},{"dropping-particle":"","family":"Folmer","given":"E","non-dropping-particle":"","parse-names":false,"suffix":""}],"container-title":"Educational Design Research. Part A: An introduction","id":"ITEM-1","issued":{"date-parts":[["2013"]]},"title":"Formative evaluation in educational design research","type":"article-journal"},"uris":["http://www.mendeley.com/documents/?uuid=e78f4a7a-8521-43b7-af19-02b641cb8252"]}],"mendeley":{"formattedCitation":"(Nieveen &amp; Folmer, 2013)","plainTextFormattedCitation":"(Nieveen &amp; Folmer, 2013)","previouslyFormattedCitation":"(Nieveen &amp; Folmer, 2013)"},"properties":{"noteIndex":0},"schema":"https://github.com/citation-style-language/schema/raw/master/csl-citation.json"}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(Nieveen &amp; Folmer, 2013)</w:t>
      </w:r>
      <w:r>
        <w:rPr>
          <w:rFonts w:ascii="Times New Roman" w:hAnsi="Times New Roman" w:cs="Times New Roman"/>
          <w:sz w:val="24"/>
          <w:szCs w:val="24"/>
        </w:rPr>
        <w:fldChar w:fldCharType="end"/>
      </w:r>
      <w:r>
        <w:rPr>
          <w:rFonts w:ascii="Times New Roman" w:hAnsi="Times New Roman" w:cs="Times New Roman"/>
          <w:sz w:val="24"/>
          <w:szCs w:val="24"/>
        </w:rPr>
        <w:t>. Rasionalisasi pemilihan pengembangan instrumen asesmen kemampuan berpikir intuitif matematis siswa didasarkan pada hasil wawancara, analisis kepustakaan terhadap hasil penelitian terdahulu, serta analisis kebutuhan yang dilakukan peneliti terhadap guru yang telah dipaparkan di atas.</w:t>
      </w:r>
    </w:p>
    <w:p w14:paraId="2E3D67E4" w14:textId="77777777" w:rsidR="007604AD" w:rsidRDefault="007604AD" w:rsidP="007604AD">
      <w:pPr>
        <w:spacing w:line="360" w:lineRule="auto"/>
        <w:jc w:val="both"/>
        <w:rPr>
          <w:rFonts w:ascii="Times New Roman" w:hAnsi="Times New Roman" w:cs="Times New Roman"/>
          <w:sz w:val="24"/>
          <w:szCs w:val="24"/>
        </w:rPr>
      </w:pPr>
    </w:p>
    <w:p w14:paraId="04C75034" w14:textId="77777777" w:rsidR="007604AD" w:rsidRDefault="007604AD" w:rsidP="007604AD">
      <w:pPr>
        <w:spacing w:line="360" w:lineRule="auto"/>
        <w:jc w:val="both"/>
        <w:rPr>
          <w:rFonts w:ascii="Palatino Linotype" w:hAnsi="Palatino Linotype" w:cs="Times New Roman"/>
          <w:b/>
          <w:lang w:val="en-US"/>
        </w:rPr>
      </w:pPr>
      <w:r>
        <w:rPr>
          <w:rFonts w:ascii="Palatino Linotype" w:hAnsi="Palatino Linotype" w:cs="Times New Roman"/>
          <w:b/>
        </w:rPr>
        <w:t>Metod</w:t>
      </w:r>
      <w:r>
        <w:rPr>
          <w:rFonts w:ascii="Palatino Linotype" w:hAnsi="Palatino Linotype" w:cs="Times New Roman"/>
          <w:b/>
          <w:lang w:val="en-US"/>
        </w:rPr>
        <w:t xml:space="preserve">e </w:t>
      </w:r>
    </w:p>
    <w:p w14:paraId="6D5C7B1B" w14:textId="77777777" w:rsidR="007604AD" w:rsidRDefault="007604AD" w:rsidP="007604AD">
      <w:pPr>
        <w:spacing w:line="360" w:lineRule="auto"/>
        <w:ind w:firstLine="567"/>
        <w:jc w:val="both"/>
        <w:rPr>
          <w:rFonts w:ascii="Palatino Linotype" w:hAnsi="Palatino Linotype" w:cs="Times New Roman"/>
          <w:color w:val="000000"/>
        </w:rPr>
      </w:pPr>
      <w:r>
        <w:rPr>
          <w:rFonts w:ascii="Palatino Linotype" w:hAnsi="Palatino Linotype" w:cs="Times New Roman"/>
          <w:color w:val="000000"/>
        </w:rPr>
        <w:t>Penelitian ini merupakan jenis penelitian dan pengembangan (</w:t>
      </w:r>
      <w:r>
        <w:rPr>
          <w:rFonts w:ascii="Palatino Linotype" w:hAnsi="Palatino Linotype" w:cs="Times New Roman"/>
          <w:i/>
          <w:color w:val="000000"/>
        </w:rPr>
        <w:t>Research and Development</w:t>
      </w:r>
      <w:r>
        <w:rPr>
          <w:rFonts w:ascii="Palatino Linotype" w:hAnsi="Palatino Linotype" w:cs="Times New Roman"/>
          <w:color w:val="000000"/>
        </w:rPr>
        <w:t>). Adapun model penelitian dan pengembangan pendidikan (Research and Development) yang dilakukan mengadopsi pada model pengembangan 4-D (</w:t>
      </w:r>
      <w:r>
        <w:rPr>
          <w:rFonts w:ascii="Palatino Linotype" w:hAnsi="Palatino Linotype" w:cs="Times New Roman"/>
          <w:i/>
          <w:color w:val="000000"/>
        </w:rPr>
        <w:t>Four-D</w:t>
      </w:r>
      <w:r>
        <w:rPr>
          <w:rFonts w:ascii="Palatino Linotype" w:hAnsi="Palatino Linotype" w:cs="Times New Roman"/>
          <w:color w:val="000000"/>
        </w:rPr>
        <w:t xml:space="preserve">). Model penelitian dan pengembangan </w:t>
      </w:r>
      <w:r>
        <w:rPr>
          <w:rFonts w:ascii="Palatino Linotype" w:hAnsi="Palatino Linotype" w:cs="Times New Roman"/>
          <w:i/>
          <w:color w:val="000000"/>
        </w:rPr>
        <w:t>Four-D</w:t>
      </w:r>
      <w:r>
        <w:rPr>
          <w:rFonts w:ascii="Palatino Linotype" w:hAnsi="Palatino Linotype" w:cs="Times New Roman"/>
          <w:color w:val="000000"/>
        </w:rPr>
        <w:t xml:space="preserve"> dikembangkan oleh Sivasailam Thiagarajan, Dorothy S. Semmel dan Melvyn I. Semmel (1974) dengan tahapan penelitian yaitu, </w:t>
      </w:r>
      <w:r>
        <w:rPr>
          <w:rFonts w:ascii="Palatino Linotype" w:hAnsi="Palatino Linotype" w:cs="Times New Roman"/>
          <w:i/>
          <w:color w:val="000000"/>
        </w:rPr>
        <w:t xml:space="preserve">define, design, develop, and dissemination </w:t>
      </w:r>
      <w:r>
        <w:rPr>
          <w:rFonts w:ascii="Palatino Linotype" w:hAnsi="Palatino Linotype" w:cs="Times New Roman"/>
          <w:i/>
          <w:color w:val="000000"/>
        </w:rPr>
        <w:fldChar w:fldCharType="begin" w:fldLock="1"/>
      </w:r>
      <w:r>
        <w:rPr>
          <w:rFonts w:ascii="Palatino Linotype" w:hAnsi="Palatino Linotype" w:cs="Times New Roman"/>
          <w:i/>
          <w:color w:val="000000"/>
        </w:rPr>
        <w:instrText>ADDIN CSL_CITATION {"citationItems":[{"id":"ITEM-1","itemData":{"ISSN":"00224405","abstract":"Presented in the sourcebook for the teacher rduCgtor is the Four -D model (define, design, develop, and disseminate) to be used for developing instructional materials for training teachers of exceptional children. Listed at the begOning of chapters are instructional objectives; included when-appropriate are guidelines, checklists, and flow charts. Given for use of the book are instructions such as reading chapter 1 for an overview, choosing a topic, and checking chapter objectives for essenttalnese to task accomplishment. Noted in the introdUction are the transition in special education that requires teachers to demonstrate competency, the efficacy and validity of special training programs, and the role of the Four-D model. The stage categorized as \"define\" is described to be analytical and to involve five steps: front-end analysis (problems facing the teacher trainer), learner analysis, task analysis, concept analysis, and the specifying of instructional objectives. The next stage is seen to involve the design of prototype instructional material and to comprise four steps: construction of criterion referenced tests, media selection, format selection, and initial design for presentation of instruction through media such as tests, textbooks, audiotutorial models, and computer assisted instruction. The developmental stage is said to comprise modification of the prototype material through expert appraisal and developmental testing. Described for the final stage (disseminate) are summative evaluation, final packaging activities such as securing copyright releases, and diffusion. (MC)","author":[{"dropping-particle":"","family":"Thiagarajan","given":"Sivasailam","non-dropping-particle":"","parse-names":false,"suffix":""}],"container-title":"A sourcebook","id":"ITEM-1","issued":{"date-parts":[["1974"]]},"title":"Instructional development for training teachers of exceptional children","type":"book"},"uris":["http://www.mendeley.com/documents/?uuid=ebe004a3-71c4-463e-a1ea-430048fde672"]}],"mendeley":{"formattedCitation":"(Thiagarajan, 1974)","plainTextFormattedCitation":"(Thiagarajan, 1974)","previouslyFormattedCitation":"(Thiagarajan, 1974)"},"properties":{"noteIndex":0},"schema":"https://github.com/citation-style-language/schema/raw/master/csl-citation.json"}</w:instrText>
      </w:r>
      <w:r>
        <w:rPr>
          <w:rFonts w:ascii="Palatino Linotype" w:hAnsi="Palatino Linotype" w:cs="Times New Roman"/>
          <w:i/>
          <w:color w:val="000000"/>
        </w:rPr>
        <w:fldChar w:fldCharType="separate"/>
      </w:r>
      <w:r>
        <w:rPr>
          <w:rFonts w:ascii="Palatino Linotype" w:hAnsi="Palatino Linotype" w:cs="Times New Roman"/>
          <w:noProof/>
          <w:color w:val="000000"/>
        </w:rPr>
        <w:t>(Thiagarajan, 1974)</w:t>
      </w:r>
      <w:r>
        <w:rPr>
          <w:rFonts w:ascii="Palatino Linotype" w:hAnsi="Palatino Linotype" w:cs="Times New Roman"/>
          <w:i/>
          <w:color w:val="000000"/>
        </w:rPr>
        <w:fldChar w:fldCharType="end"/>
      </w:r>
      <w:r>
        <w:rPr>
          <w:rFonts w:ascii="Palatino Linotype" w:hAnsi="Palatino Linotype" w:cs="Times New Roman"/>
          <w:color w:val="000000"/>
        </w:rPr>
        <w:t xml:space="preserve">. </w:t>
      </w:r>
    </w:p>
    <w:p w14:paraId="0FEBBF0F" w14:textId="77777777" w:rsidR="007604AD" w:rsidRDefault="007604AD" w:rsidP="007604AD">
      <w:pPr>
        <w:spacing w:line="360" w:lineRule="auto"/>
        <w:ind w:firstLine="567"/>
        <w:jc w:val="both"/>
        <w:rPr>
          <w:rFonts w:ascii="Palatino Linotype" w:hAnsi="Palatino Linotype" w:cs="Times New Roman"/>
          <w:color w:val="000000"/>
        </w:rPr>
      </w:pPr>
      <w:r>
        <w:rPr>
          <w:rFonts w:ascii="Palatino Linotype" w:hAnsi="Palatino Linotype" w:cs="Times New Roman"/>
          <w:color w:val="000000"/>
        </w:rPr>
        <w:t xml:space="preserve">Penelitian ini merupakan salah satu bagian dari tahapan Model penelitian dan pengembangan </w:t>
      </w:r>
      <w:r>
        <w:rPr>
          <w:rFonts w:ascii="Palatino Linotype" w:hAnsi="Palatino Linotype" w:cs="Times New Roman"/>
          <w:i/>
          <w:color w:val="000000"/>
        </w:rPr>
        <w:t xml:space="preserve">Four-D </w:t>
      </w:r>
      <w:r>
        <w:rPr>
          <w:rFonts w:ascii="Palatino Linotype" w:hAnsi="Palatino Linotype" w:cs="Times New Roman"/>
          <w:color w:val="000000"/>
        </w:rPr>
        <w:t xml:space="preserve">yaitu tahapan </w:t>
      </w:r>
      <w:r>
        <w:rPr>
          <w:rFonts w:ascii="Palatino Linotype" w:hAnsi="Palatino Linotype" w:cs="Times New Roman"/>
          <w:i/>
          <w:color w:val="000000"/>
        </w:rPr>
        <w:t>design</w:t>
      </w:r>
      <w:r>
        <w:rPr>
          <w:rFonts w:ascii="Palatino Linotype" w:hAnsi="Palatino Linotype" w:cs="Times New Roman"/>
          <w:color w:val="000000"/>
        </w:rPr>
        <w:t xml:space="preserve">. Instrumen yang sudah dirancang dikonsultasikan kepada ahli untuk nantinya dibuktikan validitas dan reliabilitas. Uji ahli </w:t>
      </w:r>
      <w:r>
        <w:rPr>
          <w:rFonts w:ascii="Palatino Linotype" w:hAnsi="Palatino Linotype" w:cs="Times New Roman"/>
          <w:color w:val="000000"/>
        </w:rPr>
        <w:lastRenderedPageBreak/>
        <w:t xml:space="preserve">atau Validasi, dilakukan dengan responden para ahli perancangan instrumen atau produk. Kegiatan ini dilakukan untuk </w:t>
      </w:r>
      <w:r>
        <w:rPr>
          <w:rFonts w:ascii="Palatino Linotype" w:hAnsi="Palatino Linotype" w:cs="Times New Roman"/>
          <w:i/>
          <w:color w:val="000000"/>
        </w:rPr>
        <w:t>review</w:t>
      </w:r>
      <w:r>
        <w:rPr>
          <w:rFonts w:ascii="Palatino Linotype" w:hAnsi="Palatino Linotype" w:cs="Times New Roman"/>
          <w:color w:val="000000"/>
        </w:rPr>
        <w:t xml:space="preserve"> produk awal memberikan masukan untuk perbaikan instrumen selanjutnya.Proses validasi ini disebut dengan </w:t>
      </w:r>
      <w:r>
        <w:rPr>
          <w:rFonts w:ascii="Palatino Linotype" w:hAnsi="Palatino Linotype" w:cs="Times New Roman"/>
          <w:i/>
          <w:iCs/>
          <w:color w:val="000000"/>
        </w:rPr>
        <w:t>Expert Judgement</w:t>
      </w:r>
      <w:r>
        <w:rPr>
          <w:rFonts w:ascii="Palatino Linotype" w:hAnsi="Palatino Linotype" w:cs="Times New Roman"/>
          <w:color w:val="000000"/>
        </w:rPr>
        <w:t xml:space="preserve">. Instrumen yang sudah dihasilkan dievaluasi secara kuantitatif, apakah format yang dihasilkan sudah layak atau belum, dan bagaimana kesesuaian isi materi penilaian pembelajaran. Pengategorian persentase validitas logis mengacu pada </w:t>
      </w:r>
      <w:r>
        <w:rPr>
          <w:rFonts w:ascii="Palatino Linotype" w:hAnsi="Palatino Linotype" w:cs="Times New Roman"/>
          <w:color w:val="000000"/>
        </w:rPr>
        <w:fldChar w:fldCharType="begin" w:fldLock="1"/>
      </w:r>
      <w:r>
        <w:rPr>
          <w:rFonts w:ascii="Palatino Linotype" w:hAnsi="Palatino Linotype" w:cs="Times New Roman"/>
          <w:color w:val="000000"/>
        </w:rPr>
        <w:instrText>ADDIN CSL_CITATION {"citationItems":[{"id":"ITEM-1","itemData":{"DOI":"10.18592/tarbiyah.v7i1.2100","ISSN":"2088-6691","abstract":"The research instrument is a tool used to collect data or measure objects of a research variable. To obtain the correct data for the conclusion that is in accordance with the actual situation, then required a valid instrument and consistent and appropriate in providing data of research result. Instrument reliability tests to include test-retest, equivalent, and internal consistency. Internal consistency tests have several testing techniques depending on the type of instrument. Testing techniques included split half test, KR 20, KR 21, and Alfa Cronbach. The value of the validity and reliability of an instrument is influenced by the measured subject, the instrument user, and the instrument itself. Sehinggga, validity and reliability must always be tested before the instrument is used.","author":[{"dropping-particle":"","family":"Yusup","given":"Febrinawati","non-dropping-particle":"","parse-names":false,"suffix":""}],"container-title":"Jurnal Tarbiyah : Jurnal Ilmiah Kependidikan","id":"ITEM-1","issued":{"date-parts":[["2018"]]},"title":"Uji Validitas dan Reliabilitas Instrumen Penelitian Kuantitatif","type":"article-journal"},"uris":["http://www.mendeley.com/documents/?uuid=d7ed9506-1d8d-47f2-9967-d0dd01a247e2"]}],"mendeley":{"formattedCitation":"(Yusup, 2018)","plainTextFormattedCitation":"(Yusup, 2018)","previouslyFormattedCitation":"(Yusup, 2018)"},"properties":{"noteIndex":0},"schema":"https://github.com/citation-style-language/schema/raw/master/csl-citation.json"}</w:instrText>
      </w:r>
      <w:r>
        <w:rPr>
          <w:rFonts w:ascii="Palatino Linotype" w:hAnsi="Palatino Linotype" w:cs="Times New Roman"/>
          <w:color w:val="000000"/>
        </w:rPr>
        <w:fldChar w:fldCharType="separate"/>
      </w:r>
      <w:r>
        <w:rPr>
          <w:rFonts w:ascii="Palatino Linotype" w:hAnsi="Palatino Linotype" w:cs="Times New Roman"/>
          <w:noProof/>
          <w:color w:val="000000"/>
        </w:rPr>
        <w:t>(Yusup, 2018)</w:t>
      </w:r>
      <w:r>
        <w:rPr>
          <w:rFonts w:ascii="Palatino Linotype" w:hAnsi="Palatino Linotype" w:cs="Times New Roman"/>
          <w:color w:val="000000"/>
        </w:rPr>
        <w:fldChar w:fldCharType="end"/>
      </w:r>
      <w:r>
        <w:rPr>
          <w:rFonts w:ascii="Palatino Linotype" w:hAnsi="Palatino Linotype" w:cs="Times New Roman"/>
          <w:color w:val="000000"/>
        </w:rPr>
        <w:t xml:space="preserve"> dengan ketentuan hasil validitas ≤ 20% berkategori sangat rendah; 21%-40% berkategori rendah; 41%-60% berkategori sedang; 61%-80% berkategori tinggi; dan ≥81% berkategori sangat tinggi. Jika instrumen belum layak, maka instrumen direvisi kembali sehingga instrumen menjadi layak untuk diuji cobakan. </w:t>
      </w:r>
    </w:p>
    <w:p w14:paraId="620D6CDA" w14:textId="77777777" w:rsidR="007604AD" w:rsidRDefault="007604AD" w:rsidP="007604AD">
      <w:pPr>
        <w:shd w:val="clear" w:color="auto" w:fill="FFFFFF"/>
        <w:spacing w:line="360" w:lineRule="auto"/>
        <w:ind w:left="90" w:firstLine="420"/>
        <w:jc w:val="both"/>
        <w:rPr>
          <w:rFonts w:ascii="Palatino Linotype" w:hAnsi="Palatino Linotype" w:cs="Times New Roman"/>
          <w:color w:val="000000"/>
        </w:rPr>
      </w:pPr>
      <w:r>
        <w:rPr>
          <w:rFonts w:ascii="Palatino Linotype" w:hAnsi="Palatino Linotype" w:cs="Times New Roman"/>
          <w:color w:val="000000"/>
        </w:rPr>
        <w:t>Ada empat aspek terpisah dalam validasi intrumen kemampuan berpikir intuitif matematis. Aspek pertama adalah kesesuaian aspek dengan indikator, aspek penilisan, aspek bahasa, dan aspek petunjuk pelaksanaan. Diharapkan bahwa validator akan bervariasi dalam kemampuan mereka. Tujuan dari pemeriksaan ini adalah untuk membedakan menurut pakar secara andal apakah intrumen sudah layak atau belum untuk digunakan dilapangan.</w:t>
      </w:r>
    </w:p>
    <w:p w14:paraId="3815CF32" w14:textId="77777777" w:rsidR="007604AD" w:rsidRDefault="007604AD" w:rsidP="007604AD">
      <w:pPr>
        <w:spacing w:line="360" w:lineRule="auto"/>
        <w:ind w:firstLine="567"/>
        <w:jc w:val="both"/>
        <w:rPr>
          <w:rFonts w:ascii="Palatino Linotype" w:hAnsi="Palatino Linotype" w:cs="Times New Roman"/>
        </w:rPr>
      </w:pPr>
      <w:r>
        <w:rPr>
          <w:rFonts w:ascii="Palatino Linotype" w:hAnsi="Palatino Linotype" w:cs="Times New Roman"/>
        </w:rPr>
        <w:t>Selanjutnya analisis validitas konten dilakukan dengan menganalisis hasil validasi konten oleh para ahli dengan menggunakan pendekatan rasio validitas isi (</w:t>
      </w:r>
      <w:r>
        <w:rPr>
          <w:rFonts w:ascii="Palatino Linotype" w:hAnsi="Palatino Linotype" w:cs="Times New Roman"/>
          <w:i/>
          <w:iCs/>
        </w:rPr>
        <w:t>Content Validity Ratio</w:t>
      </w:r>
      <w:r>
        <w:rPr>
          <w:rFonts w:ascii="Palatino Linotype" w:hAnsi="Palatino Linotype" w:cs="Times New Roman"/>
        </w:rPr>
        <w:t xml:space="preserve">/CVR). Berdasarkan persamaan Lawshe, dapat diperoleh nilai CVR untuk setiap butir soal. Makna rumusan dari Lawshe (1975) ini adalah: 1) jika validator yang menyatakan setuju kurang dari setengah dari jumlah total validator maka nilai CVR bernilai negatif; 2) jika validator yang menyatakan setuju tepat setengah dari jumlah total validator maka nilai CVR bernilai nol; dan 3) jika validator yang menyatakan setuju lebih dari setengah jumlah total validator maka nilai CVR berada antara 0 sampai dengan 1. Nilai CVR yang diperoleh dari perhitungan dibandingkan dengan nilai kritis CVR berdasarkan jumlah validator seperti yang tercantum pada Tabel 3.4. Butir soal diterima jika butir soal memiliki nilai sama dengan atau lebih besar dari nilai kritis CVR dan butir soal ditolak apabila memiliki nilai lebih rendah dari nilai kritis CVR </w:t>
      </w:r>
      <w:r>
        <w:rPr>
          <w:rFonts w:ascii="Palatino Linotype" w:hAnsi="Palatino Linotype" w:cs="Times New Roman"/>
        </w:rPr>
        <w:fldChar w:fldCharType="begin" w:fldLock="1"/>
      </w:r>
      <w:r>
        <w:rPr>
          <w:rFonts w:ascii="Palatino Linotype" w:hAnsi="Palatino Linotype" w:cs="Times New Roman"/>
        </w:rPr>
        <w:instrText>ADDIN CSL_CITATION {"citationItems":[{"id":"ITEM-1","itemData":{"DOI":"10.4324/9781410611697","ISBN":"1410611698","abstract":"Constructing Measures introduces a way to understand the advantages and disadvantages of measurement instruments, how to use such instruments, and how to apply these methods to develop new instruments or adapt old ones. The book is organized around the steps taken while constructing an instrument. It opens with a summary of the constructive steps involved. Each step is then expanded on in the next four chapters. These chapters develop the \"building blocks\" that make up an instrument--the construct map, the design plan for the items, the outcome space, and the statistical measurement model. The next three chapters focus on quality control. They rely heavily on the calibrated construct map and review how to check if scores are operating consistently and how to evaluate the reliability and validity evidence. The book introduces a variety of item formats, including multiple-choice, open-ended, and performance items; projects; portfolios; Likert and Guttman items; behavioral observations; and interview protocols. Each chapter includes an overview of the key concepts, related resources for further investigation and exercises and activities. Some chapters feature appendices that describe parts of the instrument development process in more detail, numerical manipulations used in the text, and/or data results. A variety of examples from the behavioral and social sciences and education including achievement and performance testing; attitude measures; health measures, and general sociological scales, demonstrate the application of the material. An accompanying CD features control files, output, and a data set to allow readers to compute the text's exercises and create new analyses and case archives based on the book's examples so the reader can work through the entire development of an instrument. Constructing Measures is an ideal text or supplement in courses on item, test, or instrument development, measurement, item response theory, or rasch analysis taught in a variety of departments including education and psychology. The book also appeals to those who develop instruments, including industrial/organizational, educational, and school psychologists, health outcomes researchers, program evaluators, and sociological measurers. Knowledge of basic descriptive statistics and elementary regression is recommended.","author":[{"dropping-particle":"","family":"Wilson","given":"Mark","non-dropping-particle":"","parse-names":false,"suffix":""}],"container-title":"Constructing Measures: An Item Response Modeling Approach","id":"ITEM-1","issued":{"date-parts":[["2004"]]},"title":"Constructing measures: An item response modeling approach","type":"book"},"uris":["http://www.mendeley.com/documents/?uuid=4778ad94-928c-458b-905d-79b251cf5fcc"]},{"id":"ITEM-2","itemData":{"DOI":"10.1111/j.1744-6570.1975.tb01393.x","ISSN":"17446570","author":[{"dropping-particle":"","family":"LAWSHE","given":"C. H.","non-dropping-particle":"","parse-names":false,"suffix":""}],"container-title":"Personnel Psychology","id":"ITEM-2","issued":{"date-parts":[["1975"]]},"title":"A QUANTITATIVE APPROACH TO CONTENT VALIDITY","type":"article-journal"},"uris":["http://www.mendeley.com/documents/?uuid=cdc1d505-edd0-449a-a9c8-134ce229639f"]}],"mendeley":{"formattedCitation":"(LAWSHE, 1975; Wilson, 2004)","manualFormatting":"(Lawshe, 1975; Wilson, 2004)","plainTextFormattedCitation":"(LAWSHE, 1975; Wilson, 2004)","previouslyFormattedCitation":"(LAWSHE, 1975; Wilson, 2004)"},"properties":{"noteIndex":0},"schema":"https://github.com/citation-style-language/schema/raw/master/csl-citation.json"}</w:instrText>
      </w:r>
      <w:r>
        <w:rPr>
          <w:rFonts w:ascii="Palatino Linotype" w:hAnsi="Palatino Linotype" w:cs="Times New Roman"/>
        </w:rPr>
        <w:fldChar w:fldCharType="separate"/>
      </w:r>
      <w:r>
        <w:rPr>
          <w:rFonts w:ascii="Palatino Linotype" w:hAnsi="Palatino Linotype" w:cs="Times New Roman"/>
          <w:noProof/>
        </w:rPr>
        <w:t>(Lawshe, 1975; Wilson, 2004)</w:t>
      </w:r>
      <w:r>
        <w:rPr>
          <w:rFonts w:ascii="Palatino Linotype" w:hAnsi="Palatino Linotype" w:cs="Times New Roman"/>
        </w:rPr>
        <w:fldChar w:fldCharType="end"/>
      </w:r>
      <w:r>
        <w:rPr>
          <w:rFonts w:ascii="Palatino Linotype" w:hAnsi="Palatino Linotype" w:cs="Times New Roman"/>
        </w:rPr>
        <w:t>. Setelah mengidentifikasi pertanyaan pada lembar validasi dengan menggunakan CVR, kemudian dihitunglah CVI (</w:t>
      </w:r>
      <w:r>
        <w:rPr>
          <w:rFonts w:ascii="Palatino Linotype" w:hAnsi="Palatino Linotype" w:cs="Times New Roman"/>
          <w:i/>
        </w:rPr>
        <w:t>Content Validity Index</w:t>
      </w:r>
      <w:r>
        <w:rPr>
          <w:rFonts w:ascii="Palatino Linotype" w:hAnsi="Palatino Linotype" w:cs="Times New Roman"/>
        </w:rPr>
        <w:t>). Secara sederhana CVI merupakan rata-rata dari nilai CVR untuk item tes yang dijawab.</w:t>
      </w:r>
    </w:p>
    <w:p w14:paraId="37BA8F80" w14:textId="77777777" w:rsidR="007604AD" w:rsidRDefault="007604AD" w:rsidP="007604AD">
      <w:pPr>
        <w:shd w:val="clear" w:color="auto" w:fill="FFFFFF"/>
        <w:spacing w:line="360" w:lineRule="auto"/>
        <w:ind w:firstLine="420"/>
        <w:jc w:val="both"/>
        <w:rPr>
          <w:rFonts w:ascii="Palatino Linotype" w:hAnsi="Palatino Linotype" w:cs="Times New Roman"/>
          <w:color w:val="000000"/>
        </w:rPr>
      </w:pPr>
      <w:r>
        <w:rPr>
          <w:rFonts w:ascii="Palatino Linotype" w:hAnsi="Palatino Linotype" w:cs="Times New Roman"/>
          <w:color w:val="000000"/>
        </w:rPr>
        <w:lastRenderedPageBreak/>
        <w:t>Studi reliabilitas yang melibatkan rater biasanya dinamakan dengan kesepakatan antar rater (</w:t>
      </w:r>
      <w:r>
        <w:rPr>
          <w:rFonts w:ascii="Palatino Linotype" w:hAnsi="Palatino Linotype" w:cs="Times New Roman"/>
          <w:i/>
          <w:color w:val="000000"/>
        </w:rPr>
        <w:t>inter rater agreement</w:t>
      </w:r>
      <w:r>
        <w:rPr>
          <w:rFonts w:ascii="Palatino Linotype" w:hAnsi="Palatino Linotype" w:cs="Times New Roman"/>
          <w:color w:val="000000"/>
        </w:rPr>
        <w:t>) atau reliabilitas antar rater (</w:t>
      </w:r>
      <w:r>
        <w:rPr>
          <w:rFonts w:ascii="Palatino Linotype" w:hAnsi="Palatino Linotype" w:cs="Times New Roman"/>
          <w:i/>
          <w:color w:val="000000"/>
        </w:rPr>
        <w:t>inter-rater reliability</w:t>
      </w:r>
      <w:r>
        <w:rPr>
          <w:rFonts w:ascii="Palatino Linotype" w:hAnsi="Palatino Linotype" w:cs="Times New Roman"/>
          <w:color w:val="000000"/>
        </w:rPr>
        <w:t xml:space="preserve">). Jika pada kasus </w:t>
      </w:r>
      <w:r>
        <w:rPr>
          <w:rFonts w:ascii="Palatino Linotype" w:hAnsi="Palatino Linotype" w:cs="Times New Roman"/>
          <w:i/>
          <w:color w:val="000000"/>
        </w:rPr>
        <w:t>self-report</w:t>
      </w:r>
      <w:r>
        <w:rPr>
          <w:rFonts w:ascii="Palatino Linotype" w:hAnsi="Palatino Linotype" w:cs="Times New Roman"/>
          <w:color w:val="000000"/>
        </w:rPr>
        <w:t xml:space="preserve"> reliabilitas ditunjukkan dengan konsistensi internal yang terlihat dari antara satu butir dan butir lainnya memiliki korelasi yang tinggi, maka dalam kasus reliabilitas antar rater yang diuji konsistensinya adalah raternya. Jadi posisi butir digantikan dengan posisi orang (rater). Rater-rater yang memiliki kesepakatan tinggi terlihat dari posisi subjek yang diobservasi. Jika urutan skor subjek dari Rater A dan B hampir sama maka kedua rater memiliki kesepakatan yang tinggi </w:t>
      </w:r>
      <w:r>
        <w:rPr>
          <w:rFonts w:ascii="Palatino Linotype" w:hAnsi="Palatino Linotype" w:cs="Times New Roman"/>
          <w:color w:val="000000"/>
        </w:rPr>
        <w:fldChar w:fldCharType="begin" w:fldLock="1"/>
      </w:r>
      <w:r>
        <w:rPr>
          <w:rFonts w:ascii="Palatino Linotype" w:hAnsi="Palatino Linotype" w:cs="Times New Roman"/>
          <w:color w:val="000000"/>
        </w:rPr>
        <w:instrText>ADDIN CSL_CITATION {"citationItems":[{"id":"ITEM-1","itemData":{"DOI":"10.1007/978-3-030-78071-5_4","ISSN":"22114939","abstract":"General standards in the form of quality criteria can be used in order to assess the quality of an instrument and/or to construct a high-quality test. Three main indicators, the so-called “core quality criteria,” have emerged: objectivity, reliability and validity (e.g. Bühner, 2011; Ebel &amp; Frisbie, 1991; Linn, 2011; Miller, Linn &amp; Grolund, 2009; Rost, 2004). These primary and selected secondary quality criteria (fairness and usability) are examined in more detail in the following using a data set of 349 pre-service teachers for secondary education at several German universities.","author":[{"dropping-particle":"","family":"Wess","given":"Raphael","non-dropping-particle":"","parse-names":false,"suffix":""},{"dropping-particle":"","family":"Klock","given":"Heiner","non-dropping-particle":"","parse-names":false,"suffix":""},{"dropping-particle":"","family":"Siller","given":"Hans Stefan","non-dropping-particle":"","parse-names":false,"suffix":""},{"dropping-particle":"","family":"Greefrath","given":"Gilbert","non-dropping-particle":"","parse-names":false,"suffix":""}],"container-title":"International Perspectives on the Teaching and Learning of Mathematical Modelling","id":"ITEM-1","issued":{"date-parts":[["2021"]]},"title":"Test Quality","type":"chapter"},"uris":["http://www.mendeley.com/documents/?uuid=73e06e1e-2968-46b4-b799-1b98283eed30"]}],"mendeley":{"formattedCitation":"(Wess et al., 2021)","plainTextFormattedCitation":"(Wess et al., 2021)","previouslyFormattedCitation":"(Wess et al., 2021)"},"properties":{"noteIndex":0},"schema":"https://github.com/citation-style-language/schema/raw/master/csl-citation.json"}</w:instrText>
      </w:r>
      <w:r>
        <w:rPr>
          <w:rFonts w:ascii="Palatino Linotype" w:hAnsi="Palatino Linotype" w:cs="Times New Roman"/>
          <w:color w:val="000000"/>
        </w:rPr>
        <w:fldChar w:fldCharType="separate"/>
      </w:r>
      <w:r>
        <w:rPr>
          <w:rFonts w:ascii="Palatino Linotype" w:hAnsi="Palatino Linotype" w:cs="Times New Roman"/>
          <w:noProof/>
          <w:color w:val="000000"/>
        </w:rPr>
        <w:t>(Wess et al., 2021)</w:t>
      </w:r>
      <w:r>
        <w:rPr>
          <w:rFonts w:ascii="Palatino Linotype" w:hAnsi="Palatino Linotype" w:cs="Times New Roman"/>
          <w:color w:val="000000"/>
        </w:rPr>
        <w:fldChar w:fldCharType="end"/>
      </w:r>
      <w:r>
        <w:rPr>
          <w:rFonts w:ascii="Palatino Linotype" w:hAnsi="Palatino Linotype" w:cs="Times New Roman"/>
          <w:color w:val="000000"/>
        </w:rPr>
        <w:t>. Hal ini dikarenakan kesepatakan dioperasionalkan dalam bentuk korelasi.</w:t>
      </w:r>
    </w:p>
    <w:p w14:paraId="0B1FEF47" w14:textId="77777777" w:rsidR="007604AD" w:rsidRDefault="007604AD" w:rsidP="007604AD">
      <w:pPr>
        <w:spacing w:line="360" w:lineRule="auto"/>
        <w:ind w:firstLine="567"/>
        <w:jc w:val="both"/>
        <w:rPr>
          <w:rFonts w:ascii="Palatino Linotype" w:eastAsia="Times New Roman" w:hAnsi="Palatino Linotype" w:cstheme="minorHAnsi"/>
          <w:color w:val="111111"/>
        </w:rPr>
      </w:pPr>
      <w:r>
        <w:rPr>
          <w:rFonts w:ascii="Palatino Linotype" w:hAnsi="Palatino Linotype" w:cs="Times New Roman"/>
          <w:color w:val="000000"/>
        </w:rPr>
        <w:t xml:space="preserve">Reliabilitas antar rater terdiri dari dua jenis, uji koefisien korelasi Kesepakatan Antar Rater dari Kappa dan uji koefisien korelasi antar kelas </w:t>
      </w:r>
      <w:r>
        <w:rPr>
          <w:rFonts w:ascii="Palatino Linotype" w:hAnsi="Palatino Linotype" w:cs="Times New Roman"/>
          <w:i/>
          <w:iCs/>
          <w:color w:val="000000"/>
        </w:rPr>
        <w:t xml:space="preserve">(Intraclass Correlation Coefficients). </w:t>
      </w:r>
      <w:r>
        <w:rPr>
          <w:rFonts w:ascii="Palatino Linotype" w:hAnsi="Palatino Linotype" w:cs="Times New Roman"/>
          <w:color w:val="000000"/>
        </w:rPr>
        <w:t xml:space="preserve">Uji reliabilitas antar rater Kappa digunakan apabila rater berjumlah 2 orang sedangkan uji reliabilitas antar rater ICC digunakan apabila rater lebih dari 2 orang. Penelitian ini menggunakan 4 </w:t>
      </w:r>
      <w:r>
        <w:rPr>
          <w:rFonts w:ascii="Palatino Linotype" w:hAnsi="Palatino Linotype" w:cs="Times New Roman"/>
          <w:i/>
          <w:color w:val="000000"/>
        </w:rPr>
        <w:t>expert/rater</w:t>
      </w:r>
      <w:r>
        <w:rPr>
          <w:rFonts w:ascii="Palatino Linotype" w:hAnsi="Palatino Linotype" w:cs="Times New Roman"/>
          <w:color w:val="000000"/>
        </w:rPr>
        <w:t xml:space="preserve"> sehingga menggunakan koefisien korelasi antar kelas. ICC menunjukkan perbandingan antara variasi yang diakibatkan atribut yang diukur dengan variasi pengukuran secara keseluruhan. Alat ukur memiliki stabilitas memadai jika ICC antar pengukuran &gt; 0.50, stabilitas tinggi jika ICC antar pengukuran ≥ 0.80.  &lt; .20 very low, .20-.39 low, .40-.59 moderate, .60-.79 high,.80-1.00 very high </w:t>
      </w:r>
      <w:r>
        <w:rPr>
          <w:rFonts w:ascii="Palatino Linotype" w:hAnsi="Palatino Linotype" w:cs="Times New Roman"/>
          <w:color w:val="000000"/>
        </w:rPr>
        <w:fldChar w:fldCharType="begin" w:fldLock="1"/>
      </w:r>
      <w:r>
        <w:rPr>
          <w:rFonts w:ascii="Palatino Linotype" w:hAnsi="Palatino Linotype" w:cs="Times New Roman"/>
          <w:color w:val="000000"/>
        </w:rPr>
        <w:instrText>ADDIN CSL_CITATION {"citationItems":[{"id":"ITEM-1","itemData":{"DOI":"10.1093/acprof:oso/9780199231881.001.0001","ISBN":"9780191724015","abstract":"This book covers in detail how to develop a measurement scale: a questionnaire or instrument, with specific applications in health sciences. Its organization follows the steps developers will go through during the process beginning with how the individual items are developed, and the various biases that can affect responses (e.g., social desirability, yea-saying, framing). It then discusses different response options, such as Likert scales, adjectival scales, visual analogue scales, Harter scales, and face scales, and the advantages and disadvantages of each. The book then explains how to select the best items in the set, using various psychometric criteria; and how to combine the individual items into a scale. There is much discussion of reliability and validity, from both a theoretical and statistical perspective, with a separate chapter on generalizability theory. Although the perspective is that of classical test theory, there is also an in-depth presentation of item response theory. It concludes with a discussion of ethical issues that may be encountered in developing and using scales; and presents guidelines for reporting the results of the scale development process. In the appendices there is a comprehensive guide to finding existing scales, and a brief introduction to exploratory and confirmatory factor analysis.","author":[{"dropping-particle":"","family":"Streiner","given":"David L.","non-dropping-particle":"","parse-names":false,"suffix":""},{"dropping-particle":"","family":"Norman","given":"Geoffrey R.","non-dropping-particle":"","parse-names":false,"suffix":""}],"container-title":"Health Measurement Scales: A Practical Guide to their Development and Use","id":"ITEM-1","issued":{"date-parts":[["2008"]]},"title":"Health Measurement Scales: A practical guide to their development and use","type":"book"},"uris":["http://www.mendeley.com/documents/?uuid=0562680e-d22e-486b-b619-0a3d26b51b4e"]}],"mendeley":{"formattedCitation":"(Streiner &amp; Norman, 2008)","plainTextFormattedCitation":"(Streiner &amp; Norman, 2008)","previouslyFormattedCitation":"(Streiner &amp; Norman, 2008)"},"properties":{"noteIndex":0},"schema":"https://github.com/citation-style-language/schema/raw/master/csl-citation.json"}</w:instrText>
      </w:r>
      <w:r>
        <w:rPr>
          <w:rFonts w:ascii="Palatino Linotype" w:hAnsi="Palatino Linotype" w:cs="Times New Roman"/>
          <w:color w:val="000000"/>
        </w:rPr>
        <w:fldChar w:fldCharType="separate"/>
      </w:r>
      <w:r>
        <w:rPr>
          <w:rFonts w:ascii="Palatino Linotype" w:hAnsi="Palatino Linotype" w:cs="Times New Roman"/>
          <w:noProof/>
          <w:color w:val="000000"/>
        </w:rPr>
        <w:t>(Streiner &amp; Norman, 2008)</w:t>
      </w:r>
      <w:r>
        <w:rPr>
          <w:rFonts w:ascii="Palatino Linotype" w:hAnsi="Palatino Linotype" w:cs="Times New Roman"/>
          <w:color w:val="000000"/>
        </w:rPr>
        <w:fldChar w:fldCharType="end"/>
      </w:r>
      <w:r>
        <w:rPr>
          <w:rFonts w:ascii="Palatino Linotype" w:hAnsi="Palatino Linotype" w:cs="Times New Roman"/>
          <w:color w:val="000000"/>
        </w:rPr>
        <w:t>.</w:t>
      </w:r>
      <w:r>
        <w:rPr>
          <w:rFonts w:ascii="Palatino Linotype" w:hAnsi="Palatino Linotype" w:cstheme="minorHAnsi"/>
        </w:rPr>
        <w:t>.</w:t>
      </w:r>
    </w:p>
    <w:p w14:paraId="632B3F19" w14:textId="77777777" w:rsidR="007604AD" w:rsidRDefault="007604AD" w:rsidP="007604AD">
      <w:pPr>
        <w:spacing w:line="360" w:lineRule="auto"/>
        <w:ind w:firstLine="567"/>
        <w:jc w:val="both"/>
        <w:rPr>
          <w:rFonts w:ascii="Palatino Linotype" w:hAnsi="Palatino Linotype" w:cs="Times New Roman"/>
          <w:sz w:val="24"/>
          <w:szCs w:val="24"/>
          <w:lang w:val="en-US"/>
        </w:rPr>
      </w:pPr>
    </w:p>
    <w:p w14:paraId="0D2086CA" w14:textId="77777777" w:rsidR="007604AD" w:rsidRDefault="007604AD" w:rsidP="007604AD">
      <w:pPr>
        <w:spacing w:line="360" w:lineRule="auto"/>
        <w:jc w:val="both"/>
        <w:rPr>
          <w:rFonts w:ascii="Palatino Linotype" w:hAnsi="Palatino Linotype" w:cs="Times New Roman"/>
          <w:b/>
        </w:rPr>
      </w:pPr>
      <w:r>
        <w:rPr>
          <w:rFonts w:ascii="Palatino Linotype" w:hAnsi="Palatino Linotype" w:cs="Times New Roman"/>
          <w:b/>
        </w:rPr>
        <w:t>Hasil Penelitian</w:t>
      </w:r>
      <w:r>
        <w:rPr>
          <w:rFonts w:ascii="Palatino Linotype" w:hAnsi="Palatino Linotype" w:cs="Times New Roman"/>
          <w:b/>
          <w:lang w:val="en-US"/>
        </w:rPr>
        <w:t xml:space="preserve"> </w:t>
      </w:r>
      <w:r>
        <w:rPr>
          <w:rFonts w:ascii="Palatino Linotype" w:hAnsi="Palatino Linotype" w:cs="Times New Roman"/>
          <w:b/>
        </w:rPr>
        <w:t>dan Pembahasan</w:t>
      </w:r>
    </w:p>
    <w:p w14:paraId="33DFABA8" w14:textId="77777777" w:rsidR="007604AD" w:rsidRDefault="007604AD" w:rsidP="007604AD">
      <w:pPr>
        <w:autoSpaceDE w:val="0"/>
        <w:autoSpaceDN w:val="0"/>
        <w:adjustRightInd w:val="0"/>
        <w:spacing w:line="360" w:lineRule="auto"/>
        <w:ind w:firstLine="567"/>
        <w:jc w:val="both"/>
        <w:rPr>
          <w:rFonts w:ascii="Palatino Linotype" w:eastAsia="Times New Roman" w:hAnsi="Palatino Linotype" w:cs="Times New Roman"/>
        </w:rPr>
      </w:pPr>
      <w:r>
        <w:rPr>
          <w:rFonts w:ascii="Palatino Linotype" w:hAnsi="Palatino Linotype" w:cs="Times New Roman"/>
          <w:color w:val="000000"/>
        </w:rPr>
        <w:t xml:space="preserve">Instrumen asesmen </w:t>
      </w:r>
      <w:r>
        <w:rPr>
          <w:rFonts w:ascii="Palatino Linotype" w:hAnsi="Palatino Linotype" w:cs="Times New Roman"/>
        </w:rPr>
        <w:t>kemampuan berpikir intuitif matematis</w:t>
      </w:r>
      <w:r>
        <w:rPr>
          <w:rFonts w:ascii="Palatino Linotype" w:hAnsi="Palatino Linotype" w:cs="Times New Roman"/>
          <w:color w:val="000000"/>
        </w:rPr>
        <w:t xml:space="preserve"> yang berupa rubrik holistik terdiri dari 1 rubrik total sepuluh soal, yang dijabarkan dari masing-masing aspek. Untuk setiap butir instrumen tes ditentukan skala pengukurannya secara kualitatif, melalui sistem ini kualitas kinerja dapat diskor secara gradual mulai skor 1 jika hanya mampu mencapai satu kriteria, dan skor 4 jika mampu mencapai semua kriteria skoring. Langkah-langkah yang ditempuh pada pengembangan instrumen asesmen </w:t>
      </w:r>
      <w:r>
        <w:rPr>
          <w:rFonts w:ascii="Palatino Linotype" w:hAnsi="Palatino Linotype" w:cs="Times New Roman"/>
        </w:rPr>
        <w:t>kemampuan berpikir intuitif matematis</w:t>
      </w:r>
      <w:r>
        <w:rPr>
          <w:rFonts w:ascii="Palatino Linotype" w:hAnsi="Palatino Linotype" w:cs="Times New Roman"/>
          <w:color w:val="000000"/>
        </w:rPr>
        <w:t xml:space="preserve"> diformat dalam bentuk tabel, yang unsur utamanya terdiri dari: kolom pertama berisi aspek-aspek/indikator yang dinilai, kolom kedua berisi kriteria skoring/deskriptor, dan kolom ketiga berisi skor perolehan untuk setiap indikator. Berdasarkan hasil análisis data  uji validitas isi diperoleh informasi  bahwa semua butir </w:t>
      </w:r>
      <w:r>
        <w:rPr>
          <w:rFonts w:ascii="Palatino Linotype" w:hAnsi="Palatino Linotype" w:cs="Times New Roman"/>
          <w:color w:val="000000"/>
        </w:rPr>
        <w:lastRenderedPageBreak/>
        <w:t xml:space="preserve">adalah relevan. </w:t>
      </w:r>
      <w:r>
        <w:rPr>
          <w:rFonts w:ascii="Palatino Linotype" w:eastAsia="Times New Roman" w:hAnsi="Palatino Linotype" w:cs="Times New Roman"/>
        </w:rPr>
        <w:t xml:space="preserve">Setelah para pakar diberikan </w:t>
      </w:r>
      <w:r>
        <w:rPr>
          <w:rFonts w:ascii="Palatino Linotype" w:eastAsia="Times New Roman" w:hAnsi="Palatino Linotype" w:cs="Times New Roman"/>
          <w:i/>
        </w:rPr>
        <w:t>questionnaire</w:t>
      </w:r>
      <w:r>
        <w:rPr>
          <w:rFonts w:ascii="Palatino Linotype" w:eastAsia="Times New Roman" w:hAnsi="Palatino Linotype" w:cs="Times New Roman"/>
        </w:rPr>
        <w:t xml:space="preserve"> I atas variabel penelitian ini, maka dapat ditabulasikan hasilnya pada tabel 1. </w:t>
      </w:r>
    </w:p>
    <w:p w14:paraId="26C90F52" w14:textId="77777777" w:rsidR="007604AD" w:rsidRDefault="007604AD" w:rsidP="007604AD">
      <w:pPr>
        <w:autoSpaceDE w:val="0"/>
        <w:autoSpaceDN w:val="0"/>
        <w:adjustRightInd w:val="0"/>
        <w:spacing w:line="360" w:lineRule="auto"/>
        <w:ind w:firstLine="567"/>
        <w:jc w:val="both"/>
        <w:rPr>
          <w:rFonts w:ascii="Palatino Linotype" w:hAnsi="Palatino Linotype" w:cs="Times New Roman"/>
        </w:rPr>
      </w:pPr>
      <w:r>
        <w:rPr>
          <w:rFonts w:ascii="Palatino Linotype" w:hAnsi="Palatino Linotype" w:cs="Times New Roman"/>
          <w:color w:val="000000"/>
        </w:rPr>
        <w:t xml:space="preserve">Hasil-hasil penilaian ke-empat penilai terhadap instrumen asesmen </w:t>
      </w:r>
      <w:r>
        <w:rPr>
          <w:rFonts w:ascii="Palatino Linotype" w:hAnsi="Palatino Linotype" w:cs="Times New Roman"/>
        </w:rPr>
        <w:t>kemampuan berpikir intuitif matematis</w:t>
      </w:r>
      <w:r>
        <w:rPr>
          <w:rFonts w:ascii="Palatino Linotype" w:hAnsi="Palatino Linotype" w:cs="Times New Roman"/>
          <w:color w:val="000000"/>
        </w:rPr>
        <w:t xml:space="preserve"> terangkum dalam Tabel 1. Aspek-aspek penilaian meliputi: </w:t>
      </w:r>
      <w:r>
        <w:rPr>
          <w:rFonts w:ascii="Palatino Linotype" w:hAnsi="Palatino Linotype" w:cs="Times New Roman"/>
        </w:rPr>
        <w:t>kesesuaian aspek penilaian kemampuan berpikir intuitif matematis</w:t>
      </w:r>
      <w:r>
        <w:rPr>
          <w:rFonts w:ascii="Palatino Linotype" w:hAnsi="Palatino Linotype" w:cs="Times New Roman"/>
          <w:color w:val="000000"/>
        </w:rPr>
        <w:t xml:space="preserve"> </w:t>
      </w:r>
      <w:r>
        <w:rPr>
          <w:rFonts w:ascii="Palatino Linotype" w:hAnsi="Palatino Linotype" w:cs="Times New Roman"/>
        </w:rPr>
        <w:t>dengan indikator yang ada, aspek kesesuaian aspek dengan indikator, penulisan, aspek bahasa, dan aspek petunjuk penggunaan.</w:t>
      </w:r>
    </w:p>
    <w:p w14:paraId="0A5D749D" w14:textId="77777777" w:rsidR="007604AD" w:rsidRDefault="007604AD" w:rsidP="007604AD">
      <w:pPr>
        <w:spacing w:line="360" w:lineRule="auto"/>
        <w:ind w:firstLine="567"/>
        <w:jc w:val="both"/>
        <w:rPr>
          <w:rStyle w:val="fontstyle01"/>
          <w:rFonts w:ascii="Palatino Linotype" w:hAnsi="Palatino Linotype"/>
        </w:rPr>
      </w:pPr>
      <w:r>
        <w:rPr>
          <w:rFonts w:ascii="Palatino Linotype" w:hAnsi="Palatino Linotype" w:cs="Times New Roman"/>
          <w:color w:val="000000"/>
        </w:rPr>
        <w:t xml:space="preserve"> Pada Tabel 1, tampak bahwa hasil validasi umum dari ke-empat penilai terhadap instrumen asesmen </w:t>
      </w:r>
      <w:r>
        <w:rPr>
          <w:rFonts w:ascii="Palatino Linotype" w:hAnsi="Palatino Linotype" w:cs="Times New Roman"/>
        </w:rPr>
        <w:t>kemampuan berpikir intuitif matematis</w:t>
      </w:r>
      <w:r>
        <w:rPr>
          <w:rFonts w:ascii="Palatino Linotype" w:hAnsi="Palatino Linotype" w:cs="Times New Roman"/>
          <w:color w:val="000000"/>
        </w:rPr>
        <w:t xml:space="preserve"> yaitu dapat digunakan dilihat dari nilai </w:t>
      </w:r>
      <w:r>
        <w:rPr>
          <w:rFonts w:ascii="Palatino Linotype" w:hAnsi="Palatino Linotype" w:cs="Times New Roman"/>
          <w:i/>
          <w:color w:val="000000"/>
        </w:rPr>
        <w:t>expert judgment</w:t>
      </w:r>
      <w:r>
        <w:rPr>
          <w:rFonts w:ascii="Palatino Linotype" w:hAnsi="Palatino Linotype" w:cs="Times New Roman"/>
          <w:color w:val="000000"/>
        </w:rPr>
        <w:t>, tidak</w:t>
      </w:r>
      <w:r>
        <w:rPr>
          <w:rFonts w:ascii="Palatino Linotype" w:hAnsi="Palatino Linotype" w:cs="Times New Roman"/>
          <w:color w:val="000000"/>
          <w:lang w:val="en-US"/>
        </w:rPr>
        <w:t xml:space="preserve"> </w:t>
      </w:r>
      <w:r>
        <w:rPr>
          <w:rFonts w:ascii="Palatino Linotype" w:hAnsi="Palatino Linotype" w:cs="Times New Roman"/>
          <w:color w:val="000000"/>
        </w:rPr>
        <w:t>ada yang mendapatkan skor maksimal 20, skor terbesar ada pada aspek kesesuaian bahasa dengan persentase 90%</w:t>
      </w:r>
    </w:p>
    <w:p w14:paraId="3E4F6AE0" w14:textId="77777777" w:rsidR="007604AD" w:rsidRDefault="007604AD" w:rsidP="007604AD">
      <w:pPr>
        <w:autoSpaceDE w:val="0"/>
        <w:autoSpaceDN w:val="0"/>
        <w:adjustRightInd w:val="0"/>
        <w:spacing w:line="360" w:lineRule="auto"/>
        <w:ind w:left="284" w:firstLine="709"/>
        <w:jc w:val="both"/>
        <w:rPr>
          <w:rFonts w:eastAsia="Times New Roman"/>
        </w:rPr>
      </w:pPr>
    </w:p>
    <w:p w14:paraId="07C3E3ED" w14:textId="77777777" w:rsidR="007604AD" w:rsidRDefault="007604AD" w:rsidP="007604AD">
      <w:pPr>
        <w:autoSpaceDE w:val="0"/>
        <w:autoSpaceDN w:val="0"/>
        <w:adjustRightInd w:val="0"/>
        <w:jc w:val="center"/>
        <w:rPr>
          <w:rFonts w:ascii="Palatino Linotype" w:hAnsi="Palatino Linotype" w:cs="Times New Roman"/>
          <w:b/>
          <w:color w:val="000000"/>
        </w:rPr>
      </w:pPr>
      <w:r>
        <w:rPr>
          <w:rFonts w:ascii="Palatino Linotype" w:hAnsi="Palatino Linotype" w:cs="Times New Roman"/>
          <w:b/>
          <w:color w:val="000000"/>
        </w:rPr>
        <w:t xml:space="preserve">Tabel 1. </w:t>
      </w:r>
      <w:r>
        <w:rPr>
          <w:rFonts w:ascii="Palatino Linotype" w:hAnsi="Palatino Linotype" w:cs="Times New Roman"/>
          <w:color w:val="000000"/>
        </w:rPr>
        <w:t>Rangkuman Hasil Validasi Instrumen</w:t>
      </w:r>
      <w:r>
        <w:rPr>
          <w:rFonts w:ascii="Palatino Linotype" w:hAnsi="Palatino Linotype" w:cs="Times New Roman"/>
          <w:color w:val="000000"/>
          <w:lang w:val="en-US"/>
        </w:rPr>
        <w:t xml:space="preserve"> </w:t>
      </w:r>
      <w:r>
        <w:rPr>
          <w:rFonts w:ascii="Palatino Linotype" w:hAnsi="Palatino Linotype" w:cs="Times New Roman"/>
          <w:color w:val="000000"/>
        </w:rPr>
        <w:t>Asesmen Kemampuan Berpikir Intuitif Matematis</w:t>
      </w:r>
    </w:p>
    <w:tbl>
      <w:tblPr>
        <w:tblW w:w="8905" w:type="dxa"/>
        <w:jc w:val="center"/>
        <w:tblBorders>
          <w:top w:val="single" w:sz="4" w:space="0" w:color="auto"/>
          <w:bottom w:val="single" w:sz="4" w:space="0" w:color="auto"/>
        </w:tblBorders>
        <w:tblLook w:val="04A0" w:firstRow="1" w:lastRow="0" w:firstColumn="1" w:lastColumn="0" w:noHBand="0" w:noVBand="1"/>
      </w:tblPr>
      <w:tblGrid>
        <w:gridCol w:w="588"/>
        <w:gridCol w:w="1430"/>
        <w:gridCol w:w="1181"/>
        <w:gridCol w:w="460"/>
        <w:gridCol w:w="460"/>
        <w:gridCol w:w="460"/>
        <w:gridCol w:w="461"/>
        <w:gridCol w:w="714"/>
        <w:gridCol w:w="774"/>
        <w:gridCol w:w="1078"/>
        <w:gridCol w:w="1299"/>
      </w:tblGrid>
      <w:tr w:rsidR="007604AD" w14:paraId="27244AD8" w14:textId="77777777" w:rsidTr="007604AD">
        <w:trPr>
          <w:trHeight w:val="418"/>
          <w:jc w:val="center"/>
        </w:trPr>
        <w:tc>
          <w:tcPr>
            <w:tcW w:w="588" w:type="dxa"/>
            <w:vMerge w:val="restart"/>
            <w:tcBorders>
              <w:top w:val="single" w:sz="4" w:space="0" w:color="auto"/>
              <w:left w:val="nil"/>
              <w:bottom w:val="single" w:sz="4" w:space="0" w:color="auto"/>
              <w:right w:val="nil"/>
            </w:tcBorders>
            <w:vAlign w:val="center"/>
            <w:hideMark/>
          </w:tcPr>
          <w:p w14:paraId="010BB8B1" w14:textId="77777777" w:rsidR="007604AD" w:rsidRDefault="007604AD">
            <w:pPr>
              <w:jc w:val="center"/>
              <w:rPr>
                <w:rFonts w:ascii="Palatino Linotype" w:eastAsia="Times New Roman" w:hAnsi="Palatino Linotype" w:cs="Times New Roman"/>
                <w:b/>
                <w:bCs/>
                <w:color w:val="000000"/>
              </w:rPr>
            </w:pPr>
            <w:r>
              <w:rPr>
                <w:rFonts w:ascii="Palatino Linotype" w:eastAsia="Times New Roman" w:hAnsi="Palatino Linotype" w:cs="Times New Roman"/>
                <w:b/>
                <w:bCs/>
                <w:color w:val="000000"/>
              </w:rPr>
              <w:t>No.</w:t>
            </w:r>
          </w:p>
        </w:tc>
        <w:tc>
          <w:tcPr>
            <w:tcW w:w="1430" w:type="dxa"/>
            <w:vMerge w:val="restart"/>
            <w:tcBorders>
              <w:top w:val="single" w:sz="4" w:space="0" w:color="auto"/>
              <w:left w:val="nil"/>
              <w:bottom w:val="single" w:sz="4" w:space="0" w:color="auto"/>
              <w:right w:val="nil"/>
            </w:tcBorders>
            <w:vAlign w:val="center"/>
            <w:hideMark/>
          </w:tcPr>
          <w:p w14:paraId="39B91D9E" w14:textId="77777777" w:rsidR="007604AD" w:rsidRDefault="007604AD">
            <w:pPr>
              <w:jc w:val="center"/>
              <w:rPr>
                <w:rFonts w:ascii="Palatino Linotype" w:eastAsia="Times New Roman" w:hAnsi="Palatino Linotype" w:cs="Times New Roman"/>
                <w:b/>
                <w:bCs/>
                <w:color w:val="000000"/>
              </w:rPr>
            </w:pPr>
            <w:r>
              <w:rPr>
                <w:rFonts w:ascii="Palatino Linotype" w:eastAsia="Times New Roman" w:hAnsi="Palatino Linotype" w:cs="Times New Roman"/>
                <w:b/>
                <w:bCs/>
                <w:color w:val="000000"/>
              </w:rPr>
              <w:t>Aspek Yang dinilai</w:t>
            </w:r>
          </w:p>
        </w:tc>
        <w:tc>
          <w:tcPr>
            <w:tcW w:w="1181" w:type="dxa"/>
            <w:vMerge w:val="restart"/>
            <w:tcBorders>
              <w:top w:val="single" w:sz="4" w:space="0" w:color="auto"/>
              <w:left w:val="nil"/>
              <w:bottom w:val="single" w:sz="4" w:space="0" w:color="auto"/>
              <w:right w:val="nil"/>
            </w:tcBorders>
            <w:vAlign w:val="center"/>
            <w:hideMark/>
          </w:tcPr>
          <w:p w14:paraId="0DB1FC89" w14:textId="77777777" w:rsidR="007604AD" w:rsidRDefault="007604AD">
            <w:pPr>
              <w:jc w:val="center"/>
              <w:rPr>
                <w:rFonts w:ascii="Palatino Linotype" w:eastAsia="Times New Roman" w:hAnsi="Palatino Linotype" w:cs="Times New Roman"/>
                <w:b/>
                <w:bCs/>
                <w:color w:val="000000"/>
              </w:rPr>
            </w:pPr>
            <w:r>
              <w:rPr>
                <w:rFonts w:ascii="Palatino Linotype" w:eastAsia="Times New Roman" w:hAnsi="Palatino Linotype" w:cs="Times New Roman"/>
                <w:b/>
                <w:bCs/>
                <w:color w:val="000000"/>
              </w:rPr>
              <w:t>Kriteria Penilaian</w:t>
            </w:r>
          </w:p>
        </w:tc>
        <w:tc>
          <w:tcPr>
            <w:tcW w:w="1841" w:type="dxa"/>
            <w:gridSpan w:val="4"/>
            <w:tcBorders>
              <w:top w:val="single" w:sz="4" w:space="0" w:color="auto"/>
              <w:left w:val="nil"/>
              <w:bottom w:val="single" w:sz="4" w:space="0" w:color="auto"/>
              <w:right w:val="nil"/>
            </w:tcBorders>
            <w:vAlign w:val="center"/>
            <w:hideMark/>
          </w:tcPr>
          <w:p w14:paraId="0031D350" w14:textId="77777777" w:rsidR="007604AD" w:rsidRDefault="007604AD">
            <w:pPr>
              <w:jc w:val="center"/>
              <w:rPr>
                <w:rFonts w:ascii="Palatino Linotype" w:eastAsia="Times New Roman" w:hAnsi="Palatino Linotype" w:cs="Times New Roman"/>
                <w:b/>
                <w:bCs/>
                <w:color w:val="000000"/>
              </w:rPr>
            </w:pPr>
            <w:r>
              <w:rPr>
                <w:rFonts w:ascii="Palatino Linotype" w:eastAsia="Times New Roman" w:hAnsi="Palatino Linotype" w:cs="Times New Roman"/>
                <w:b/>
                <w:bCs/>
                <w:color w:val="000000"/>
              </w:rPr>
              <w:t>Validator Ahli</w:t>
            </w:r>
          </w:p>
        </w:tc>
        <w:tc>
          <w:tcPr>
            <w:tcW w:w="714" w:type="dxa"/>
            <w:vMerge w:val="restart"/>
            <w:tcBorders>
              <w:top w:val="single" w:sz="4" w:space="0" w:color="auto"/>
              <w:left w:val="nil"/>
              <w:bottom w:val="single" w:sz="4" w:space="0" w:color="auto"/>
              <w:right w:val="nil"/>
            </w:tcBorders>
            <w:vAlign w:val="center"/>
            <w:hideMark/>
          </w:tcPr>
          <w:p w14:paraId="128458BD" w14:textId="77777777" w:rsidR="007604AD" w:rsidRDefault="007604AD">
            <w:pPr>
              <w:jc w:val="center"/>
              <w:rPr>
                <w:rFonts w:ascii="Palatino Linotype" w:eastAsia="Times New Roman" w:hAnsi="Palatino Linotype" w:cs="Times New Roman"/>
                <w:b/>
                <w:bCs/>
                <w:color w:val="000000"/>
              </w:rPr>
            </w:pPr>
            <w:r>
              <w:rPr>
                <w:rFonts w:ascii="Palatino Linotype" w:eastAsia="Times New Roman" w:hAnsi="Palatino Linotype" w:cs="Times New Roman"/>
                <w:b/>
                <w:bCs/>
                <w:color w:val="000000"/>
              </w:rPr>
              <w:t>Skor</w:t>
            </w:r>
          </w:p>
        </w:tc>
        <w:tc>
          <w:tcPr>
            <w:tcW w:w="774" w:type="dxa"/>
            <w:vMerge w:val="restart"/>
            <w:tcBorders>
              <w:top w:val="single" w:sz="4" w:space="0" w:color="auto"/>
              <w:left w:val="nil"/>
              <w:bottom w:val="single" w:sz="4" w:space="0" w:color="auto"/>
              <w:right w:val="nil"/>
            </w:tcBorders>
            <w:vAlign w:val="center"/>
            <w:hideMark/>
          </w:tcPr>
          <w:p w14:paraId="7A4D18BC" w14:textId="77777777" w:rsidR="007604AD" w:rsidRDefault="007604AD">
            <w:pPr>
              <w:jc w:val="center"/>
              <w:rPr>
                <w:rFonts w:ascii="Palatino Linotype" w:eastAsia="Times New Roman" w:hAnsi="Palatino Linotype" w:cs="Times New Roman"/>
                <w:b/>
                <w:bCs/>
                <w:color w:val="000000"/>
              </w:rPr>
            </w:pPr>
            <w:r>
              <w:rPr>
                <w:rFonts w:ascii="Palatino Linotype" w:eastAsia="Times New Roman" w:hAnsi="Palatino Linotype" w:cs="Times New Roman"/>
                <w:b/>
                <w:bCs/>
                <w:color w:val="000000"/>
              </w:rPr>
              <w:t>Rata-rata</w:t>
            </w:r>
          </w:p>
        </w:tc>
        <w:tc>
          <w:tcPr>
            <w:tcW w:w="1078" w:type="dxa"/>
            <w:vMerge w:val="restart"/>
            <w:tcBorders>
              <w:top w:val="single" w:sz="4" w:space="0" w:color="auto"/>
              <w:left w:val="nil"/>
              <w:bottom w:val="single" w:sz="4" w:space="0" w:color="auto"/>
              <w:right w:val="nil"/>
            </w:tcBorders>
            <w:vAlign w:val="center"/>
            <w:hideMark/>
          </w:tcPr>
          <w:p w14:paraId="7ABAD6D7" w14:textId="77777777" w:rsidR="007604AD" w:rsidRDefault="007604AD">
            <w:pPr>
              <w:jc w:val="center"/>
              <w:rPr>
                <w:rFonts w:ascii="Palatino Linotype" w:eastAsia="Times New Roman" w:hAnsi="Palatino Linotype" w:cs="Times New Roman"/>
                <w:b/>
                <w:bCs/>
                <w:color w:val="000000"/>
              </w:rPr>
            </w:pPr>
            <w:r>
              <w:rPr>
                <w:rFonts w:ascii="Palatino Linotype" w:eastAsia="Times New Roman" w:hAnsi="Palatino Linotype" w:cs="Times New Roman"/>
                <w:b/>
                <w:bCs/>
                <w:color w:val="000000"/>
              </w:rPr>
              <w:t>Kualitas</w:t>
            </w:r>
          </w:p>
        </w:tc>
        <w:tc>
          <w:tcPr>
            <w:tcW w:w="1299" w:type="dxa"/>
            <w:vMerge w:val="restart"/>
            <w:tcBorders>
              <w:top w:val="single" w:sz="4" w:space="0" w:color="auto"/>
              <w:left w:val="nil"/>
              <w:bottom w:val="single" w:sz="4" w:space="0" w:color="auto"/>
              <w:right w:val="nil"/>
            </w:tcBorders>
            <w:vAlign w:val="center"/>
            <w:hideMark/>
          </w:tcPr>
          <w:p w14:paraId="6CD0F3C2" w14:textId="77777777" w:rsidR="007604AD" w:rsidRDefault="007604AD">
            <w:pPr>
              <w:jc w:val="center"/>
              <w:rPr>
                <w:rFonts w:ascii="Palatino Linotype" w:eastAsia="Times New Roman" w:hAnsi="Palatino Linotype" w:cs="Times New Roman"/>
                <w:b/>
                <w:bCs/>
                <w:color w:val="000000"/>
              </w:rPr>
            </w:pPr>
            <w:r>
              <w:rPr>
                <w:rFonts w:ascii="Palatino Linotype" w:eastAsia="Times New Roman" w:hAnsi="Palatino Linotype" w:cs="Times New Roman"/>
                <w:b/>
                <w:bCs/>
                <w:color w:val="000000"/>
              </w:rPr>
              <w:t>Presentase</w:t>
            </w:r>
          </w:p>
        </w:tc>
      </w:tr>
      <w:tr w:rsidR="007604AD" w14:paraId="28760D00" w14:textId="77777777" w:rsidTr="007604AD">
        <w:trPr>
          <w:trHeight w:val="292"/>
          <w:jc w:val="center"/>
        </w:trPr>
        <w:tc>
          <w:tcPr>
            <w:tcW w:w="0" w:type="auto"/>
            <w:vMerge/>
            <w:tcBorders>
              <w:top w:val="single" w:sz="4" w:space="0" w:color="auto"/>
              <w:left w:val="nil"/>
              <w:bottom w:val="single" w:sz="4" w:space="0" w:color="auto"/>
              <w:right w:val="nil"/>
            </w:tcBorders>
            <w:vAlign w:val="center"/>
            <w:hideMark/>
          </w:tcPr>
          <w:p w14:paraId="36581391" w14:textId="77777777" w:rsidR="007604AD" w:rsidRDefault="007604AD">
            <w:pPr>
              <w:rPr>
                <w:rFonts w:ascii="Palatino Linotype" w:eastAsia="Times New Roman" w:hAnsi="Palatino Linotype" w:cs="Times New Roman"/>
                <w:b/>
                <w:bCs/>
                <w:color w:val="000000"/>
              </w:rPr>
            </w:pPr>
          </w:p>
        </w:tc>
        <w:tc>
          <w:tcPr>
            <w:tcW w:w="0" w:type="auto"/>
            <w:vMerge/>
            <w:tcBorders>
              <w:top w:val="single" w:sz="4" w:space="0" w:color="auto"/>
              <w:left w:val="nil"/>
              <w:bottom w:val="single" w:sz="4" w:space="0" w:color="auto"/>
              <w:right w:val="nil"/>
            </w:tcBorders>
            <w:vAlign w:val="center"/>
            <w:hideMark/>
          </w:tcPr>
          <w:p w14:paraId="6BF36602" w14:textId="77777777" w:rsidR="007604AD" w:rsidRDefault="007604AD">
            <w:pPr>
              <w:rPr>
                <w:rFonts w:ascii="Palatino Linotype" w:eastAsia="Times New Roman" w:hAnsi="Palatino Linotype" w:cs="Times New Roman"/>
                <w:b/>
                <w:bCs/>
                <w:color w:val="000000"/>
              </w:rPr>
            </w:pPr>
          </w:p>
        </w:tc>
        <w:tc>
          <w:tcPr>
            <w:tcW w:w="0" w:type="auto"/>
            <w:vMerge/>
            <w:tcBorders>
              <w:top w:val="single" w:sz="4" w:space="0" w:color="auto"/>
              <w:left w:val="nil"/>
              <w:bottom w:val="single" w:sz="4" w:space="0" w:color="auto"/>
              <w:right w:val="nil"/>
            </w:tcBorders>
            <w:vAlign w:val="center"/>
            <w:hideMark/>
          </w:tcPr>
          <w:p w14:paraId="739D4DBD" w14:textId="77777777" w:rsidR="007604AD" w:rsidRDefault="007604AD">
            <w:pPr>
              <w:rPr>
                <w:rFonts w:ascii="Palatino Linotype" w:eastAsia="Times New Roman" w:hAnsi="Palatino Linotype" w:cs="Times New Roman"/>
                <w:b/>
                <w:bCs/>
                <w:color w:val="000000"/>
              </w:rPr>
            </w:pPr>
          </w:p>
        </w:tc>
        <w:tc>
          <w:tcPr>
            <w:tcW w:w="460" w:type="dxa"/>
            <w:tcBorders>
              <w:top w:val="single" w:sz="4" w:space="0" w:color="auto"/>
              <w:left w:val="nil"/>
              <w:bottom w:val="single" w:sz="4" w:space="0" w:color="auto"/>
              <w:right w:val="nil"/>
            </w:tcBorders>
            <w:vAlign w:val="center"/>
            <w:hideMark/>
          </w:tcPr>
          <w:p w14:paraId="74BC44F7" w14:textId="77777777" w:rsidR="007604AD" w:rsidRDefault="007604AD">
            <w:pPr>
              <w:jc w:val="center"/>
              <w:rPr>
                <w:rFonts w:ascii="Palatino Linotype" w:eastAsia="Times New Roman" w:hAnsi="Palatino Linotype" w:cs="Times New Roman"/>
                <w:b/>
                <w:bCs/>
                <w:color w:val="000000"/>
              </w:rPr>
            </w:pPr>
            <w:r>
              <w:rPr>
                <w:rFonts w:ascii="Palatino Linotype" w:eastAsia="Times New Roman" w:hAnsi="Palatino Linotype" w:cs="Times New Roman"/>
                <w:b/>
                <w:bCs/>
                <w:color w:val="000000"/>
              </w:rPr>
              <w:t>1</w:t>
            </w:r>
          </w:p>
        </w:tc>
        <w:tc>
          <w:tcPr>
            <w:tcW w:w="460" w:type="dxa"/>
            <w:tcBorders>
              <w:top w:val="single" w:sz="4" w:space="0" w:color="auto"/>
              <w:left w:val="nil"/>
              <w:bottom w:val="single" w:sz="4" w:space="0" w:color="auto"/>
              <w:right w:val="nil"/>
            </w:tcBorders>
            <w:vAlign w:val="center"/>
            <w:hideMark/>
          </w:tcPr>
          <w:p w14:paraId="75AEBAED" w14:textId="77777777" w:rsidR="007604AD" w:rsidRDefault="007604AD">
            <w:pPr>
              <w:jc w:val="center"/>
              <w:rPr>
                <w:rFonts w:ascii="Palatino Linotype" w:eastAsia="Times New Roman" w:hAnsi="Palatino Linotype" w:cs="Times New Roman"/>
                <w:b/>
                <w:bCs/>
                <w:color w:val="000000"/>
              </w:rPr>
            </w:pPr>
            <w:r>
              <w:rPr>
                <w:rFonts w:ascii="Palatino Linotype" w:eastAsia="Times New Roman" w:hAnsi="Palatino Linotype" w:cs="Times New Roman"/>
                <w:b/>
                <w:bCs/>
                <w:color w:val="000000"/>
              </w:rPr>
              <w:t>2</w:t>
            </w:r>
          </w:p>
        </w:tc>
        <w:tc>
          <w:tcPr>
            <w:tcW w:w="460" w:type="dxa"/>
            <w:tcBorders>
              <w:top w:val="single" w:sz="4" w:space="0" w:color="auto"/>
              <w:left w:val="nil"/>
              <w:bottom w:val="single" w:sz="4" w:space="0" w:color="auto"/>
              <w:right w:val="nil"/>
            </w:tcBorders>
            <w:vAlign w:val="center"/>
            <w:hideMark/>
          </w:tcPr>
          <w:p w14:paraId="4B461866" w14:textId="77777777" w:rsidR="007604AD" w:rsidRDefault="007604AD">
            <w:pPr>
              <w:jc w:val="center"/>
              <w:rPr>
                <w:rFonts w:ascii="Palatino Linotype" w:eastAsia="Times New Roman" w:hAnsi="Palatino Linotype" w:cs="Times New Roman"/>
                <w:b/>
                <w:bCs/>
                <w:color w:val="000000"/>
              </w:rPr>
            </w:pPr>
            <w:r>
              <w:rPr>
                <w:rFonts w:ascii="Palatino Linotype" w:eastAsia="Times New Roman" w:hAnsi="Palatino Linotype" w:cs="Times New Roman"/>
                <w:b/>
                <w:bCs/>
                <w:color w:val="000000"/>
              </w:rPr>
              <w:t>3</w:t>
            </w:r>
          </w:p>
        </w:tc>
        <w:tc>
          <w:tcPr>
            <w:tcW w:w="461" w:type="dxa"/>
            <w:tcBorders>
              <w:top w:val="single" w:sz="4" w:space="0" w:color="auto"/>
              <w:left w:val="nil"/>
              <w:bottom w:val="single" w:sz="4" w:space="0" w:color="auto"/>
              <w:right w:val="nil"/>
            </w:tcBorders>
            <w:vAlign w:val="center"/>
            <w:hideMark/>
          </w:tcPr>
          <w:p w14:paraId="5B22D619" w14:textId="77777777" w:rsidR="007604AD" w:rsidRDefault="007604AD">
            <w:pPr>
              <w:jc w:val="center"/>
              <w:rPr>
                <w:rFonts w:ascii="Palatino Linotype" w:eastAsia="Times New Roman" w:hAnsi="Palatino Linotype" w:cs="Times New Roman"/>
                <w:b/>
                <w:bCs/>
                <w:color w:val="000000"/>
              </w:rPr>
            </w:pPr>
            <w:r>
              <w:rPr>
                <w:rFonts w:ascii="Palatino Linotype" w:eastAsia="Times New Roman" w:hAnsi="Palatino Linotype" w:cs="Times New Roman"/>
                <w:b/>
                <w:bCs/>
                <w:color w:val="000000"/>
              </w:rPr>
              <w:t>4</w:t>
            </w:r>
          </w:p>
        </w:tc>
        <w:tc>
          <w:tcPr>
            <w:tcW w:w="0" w:type="auto"/>
            <w:vMerge/>
            <w:tcBorders>
              <w:top w:val="single" w:sz="4" w:space="0" w:color="auto"/>
              <w:left w:val="nil"/>
              <w:bottom w:val="single" w:sz="4" w:space="0" w:color="auto"/>
              <w:right w:val="nil"/>
            </w:tcBorders>
            <w:vAlign w:val="center"/>
            <w:hideMark/>
          </w:tcPr>
          <w:p w14:paraId="627C5D23" w14:textId="77777777" w:rsidR="007604AD" w:rsidRDefault="007604AD">
            <w:pPr>
              <w:rPr>
                <w:rFonts w:ascii="Palatino Linotype" w:eastAsia="Times New Roman" w:hAnsi="Palatino Linotype" w:cs="Times New Roman"/>
                <w:b/>
                <w:bCs/>
                <w:color w:val="000000"/>
              </w:rPr>
            </w:pPr>
          </w:p>
        </w:tc>
        <w:tc>
          <w:tcPr>
            <w:tcW w:w="0" w:type="auto"/>
            <w:vMerge/>
            <w:tcBorders>
              <w:top w:val="single" w:sz="4" w:space="0" w:color="auto"/>
              <w:left w:val="nil"/>
              <w:bottom w:val="single" w:sz="4" w:space="0" w:color="auto"/>
              <w:right w:val="nil"/>
            </w:tcBorders>
            <w:vAlign w:val="center"/>
            <w:hideMark/>
          </w:tcPr>
          <w:p w14:paraId="580E02AC" w14:textId="77777777" w:rsidR="007604AD" w:rsidRDefault="007604AD">
            <w:pPr>
              <w:rPr>
                <w:rFonts w:ascii="Palatino Linotype" w:eastAsia="Times New Roman" w:hAnsi="Palatino Linotype" w:cs="Times New Roman"/>
                <w:b/>
                <w:bCs/>
                <w:color w:val="000000"/>
              </w:rPr>
            </w:pPr>
          </w:p>
        </w:tc>
        <w:tc>
          <w:tcPr>
            <w:tcW w:w="0" w:type="auto"/>
            <w:vMerge/>
            <w:tcBorders>
              <w:top w:val="single" w:sz="4" w:space="0" w:color="auto"/>
              <w:left w:val="nil"/>
              <w:bottom w:val="single" w:sz="4" w:space="0" w:color="auto"/>
              <w:right w:val="nil"/>
            </w:tcBorders>
            <w:vAlign w:val="center"/>
            <w:hideMark/>
          </w:tcPr>
          <w:p w14:paraId="2C895D19" w14:textId="77777777" w:rsidR="007604AD" w:rsidRDefault="007604AD">
            <w:pPr>
              <w:rPr>
                <w:rFonts w:ascii="Palatino Linotype" w:eastAsia="Times New Roman" w:hAnsi="Palatino Linotype" w:cs="Times New Roman"/>
                <w:b/>
                <w:bCs/>
                <w:color w:val="000000"/>
              </w:rPr>
            </w:pPr>
          </w:p>
        </w:tc>
        <w:tc>
          <w:tcPr>
            <w:tcW w:w="0" w:type="auto"/>
            <w:vMerge/>
            <w:tcBorders>
              <w:top w:val="single" w:sz="4" w:space="0" w:color="auto"/>
              <w:left w:val="nil"/>
              <w:bottom w:val="single" w:sz="4" w:space="0" w:color="auto"/>
              <w:right w:val="nil"/>
            </w:tcBorders>
            <w:vAlign w:val="center"/>
            <w:hideMark/>
          </w:tcPr>
          <w:p w14:paraId="2CC54F0A" w14:textId="77777777" w:rsidR="007604AD" w:rsidRDefault="007604AD">
            <w:pPr>
              <w:rPr>
                <w:rFonts w:ascii="Palatino Linotype" w:eastAsia="Times New Roman" w:hAnsi="Palatino Linotype" w:cs="Times New Roman"/>
                <w:b/>
                <w:bCs/>
                <w:color w:val="000000"/>
              </w:rPr>
            </w:pPr>
          </w:p>
        </w:tc>
      </w:tr>
      <w:tr w:rsidR="007604AD" w14:paraId="30125C9C" w14:textId="77777777" w:rsidTr="007604AD">
        <w:trPr>
          <w:trHeight w:val="640"/>
          <w:jc w:val="center"/>
        </w:trPr>
        <w:tc>
          <w:tcPr>
            <w:tcW w:w="588" w:type="dxa"/>
            <w:vMerge w:val="restart"/>
            <w:tcBorders>
              <w:top w:val="single" w:sz="4" w:space="0" w:color="auto"/>
              <w:left w:val="nil"/>
              <w:bottom w:val="nil"/>
              <w:right w:val="nil"/>
            </w:tcBorders>
            <w:vAlign w:val="center"/>
            <w:hideMark/>
          </w:tcPr>
          <w:p w14:paraId="53DD6EB9"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1</w:t>
            </w:r>
          </w:p>
        </w:tc>
        <w:tc>
          <w:tcPr>
            <w:tcW w:w="1430" w:type="dxa"/>
            <w:vMerge w:val="restart"/>
            <w:tcBorders>
              <w:top w:val="single" w:sz="4" w:space="0" w:color="auto"/>
              <w:left w:val="nil"/>
              <w:bottom w:val="nil"/>
              <w:right w:val="nil"/>
            </w:tcBorders>
            <w:vAlign w:val="center"/>
            <w:hideMark/>
          </w:tcPr>
          <w:p w14:paraId="70ED921C" w14:textId="77777777" w:rsidR="007604AD" w:rsidRDefault="007604AD">
            <w:pPr>
              <w:jc w:val="both"/>
              <w:rPr>
                <w:rFonts w:ascii="Palatino Linotype" w:eastAsia="Times New Roman" w:hAnsi="Palatino Linotype" w:cs="Times New Roman"/>
                <w:color w:val="000000"/>
              </w:rPr>
            </w:pPr>
            <w:r>
              <w:rPr>
                <w:rFonts w:ascii="Palatino Linotype" w:eastAsia="Times New Roman" w:hAnsi="Palatino Linotype" w:cs="Times New Roman"/>
                <w:color w:val="000000"/>
              </w:rPr>
              <w:t xml:space="preserve">Kesesuaian Aspek dengan indikator </w:t>
            </w:r>
          </w:p>
        </w:tc>
        <w:tc>
          <w:tcPr>
            <w:tcW w:w="1181" w:type="dxa"/>
            <w:tcBorders>
              <w:top w:val="single" w:sz="4" w:space="0" w:color="auto"/>
              <w:left w:val="nil"/>
              <w:bottom w:val="nil"/>
              <w:right w:val="nil"/>
            </w:tcBorders>
            <w:vAlign w:val="center"/>
            <w:hideMark/>
          </w:tcPr>
          <w:p w14:paraId="650B3361"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1</w:t>
            </w:r>
          </w:p>
        </w:tc>
        <w:tc>
          <w:tcPr>
            <w:tcW w:w="460" w:type="dxa"/>
            <w:tcBorders>
              <w:top w:val="single" w:sz="4" w:space="0" w:color="auto"/>
              <w:left w:val="nil"/>
              <w:bottom w:val="nil"/>
              <w:right w:val="nil"/>
            </w:tcBorders>
            <w:vAlign w:val="center"/>
            <w:hideMark/>
          </w:tcPr>
          <w:p w14:paraId="79BF1023"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4</w:t>
            </w:r>
          </w:p>
        </w:tc>
        <w:tc>
          <w:tcPr>
            <w:tcW w:w="460" w:type="dxa"/>
            <w:tcBorders>
              <w:top w:val="single" w:sz="4" w:space="0" w:color="auto"/>
              <w:left w:val="nil"/>
              <w:bottom w:val="nil"/>
              <w:right w:val="nil"/>
            </w:tcBorders>
            <w:vAlign w:val="center"/>
            <w:hideMark/>
          </w:tcPr>
          <w:p w14:paraId="31DB113E"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4</w:t>
            </w:r>
          </w:p>
        </w:tc>
        <w:tc>
          <w:tcPr>
            <w:tcW w:w="460" w:type="dxa"/>
            <w:tcBorders>
              <w:top w:val="single" w:sz="4" w:space="0" w:color="auto"/>
              <w:left w:val="nil"/>
              <w:bottom w:val="nil"/>
              <w:right w:val="nil"/>
            </w:tcBorders>
            <w:vAlign w:val="center"/>
            <w:hideMark/>
          </w:tcPr>
          <w:p w14:paraId="3C313B2F"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4</w:t>
            </w:r>
          </w:p>
        </w:tc>
        <w:tc>
          <w:tcPr>
            <w:tcW w:w="461" w:type="dxa"/>
            <w:tcBorders>
              <w:top w:val="single" w:sz="4" w:space="0" w:color="auto"/>
              <w:left w:val="nil"/>
              <w:bottom w:val="nil"/>
              <w:right w:val="nil"/>
            </w:tcBorders>
            <w:vAlign w:val="center"/>
            <w:hideMark/>
          </w:tcPr>
          <w:p w14:paraId="47B854BD"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4</w:t>
            </w:r>
          </w:p>
        </w:tc>
        <w:tc>
          <w:tcPr>
            <w:tcW w:w="714" w:type="dxa"/>
            <w:tcBorders>
              <w:top w:val="single" w:sz="4" w:space="0" w:color="auto"/>
              <w:left w:val="nil"/>
              <w:bottom w:val="nil"/>
              <w:right w:val="nil"/>
            </w:tcBorders>
            <w:vAlign w:val="center"/>
            <w:hideMark/>
          </w:tcPr>
          <w:p w14:paraId="0597A843"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16</w:t>
            </w:r>
          </w:p>
        </w:tc>
        <w:tc>
          <w:tcPr>
            <w:tcW w:w="774" w:type="dxa"/>
            <w:vMerge w:val="restart"/>
            <w:tcBorders>
              <w:top w:val="single" w:sz="4" w:space="0" w:color="auto"/>
              <w:left w:val="nil"/>
              <w:bottom w:val="nil"/>
              <w:right w:val="nil"/>
            </w:tcBorders>
            <w:vAlign w:val="center"/>
            <w:hideMark/>
          </w:tcPr>
          <w:p w14:paraId="261EBE66"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0.775</w:t>
            </w:r>
          </w:p>
        </w:tc>
        <w:tc>
          <w:tcPr>
            <w:tcW w:w="1078" w:type="dxa"/>
            <w:vMerge w:val="restart"/>
            <w:tcBorders>
              <w:top w:val="single" w:sz="4" w:space="0" w:color="auto"/>
              <w:left w:val="nil"/>
              <w:bottom w:val="nil"/>
              <w:right w:val="nil"/>
            </w:tcBorders>
            <w:vAlign w:val="center"/>
            <w:hideMark/>
          </w:tcPr>
          <w:p w14:paraId="047B2168"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SB</w:t>
            </w:r>
          </w:p>
        </w:tc>
        <w:tc>
          <w:tcPr>
            <w:tcW w:w="1299" w:type="dxa"/>
            <w:vMerge w:val="restart"/>
            <w:tcBorders>
              <w:top w:val="single" w:sz="4" w:space="0" w:color="auto"/>
              <w:left w:val="nil"/>
              <w:bottom w:val="nil"/>
              <w:right w:val="nil"/>
            </w:tcBorders>
            <w:vAlign w:val="center"/>
            <w:hideMark/>
          </w:tcPr>
          <w:p w14:paraId="02BD37CD"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78%</w:t>
            </w:r>
          </w:p>
        </w:tc>
      </w:tr>
      <w:tr w:rsidR="007604AD" w14:paraId="7B6B83AF" w14:textId="77777777" w:rsidTr="007604AD">
        <w:trPr>
          <w:trHeight w:val="306"/>
          <w:jc w:val="center"/>
        </w:trPr>
        <w:tc>
          <w:tcPr>
            <w:tcW w:w="0" w:type="auto"/>
            <w:vMerge/>
            <w:tcBorders>
              <w:top w:val="single" w:sz="4" w:space="0" w:color="auto"/>
              <w:left w:val="nil"/>
              <w:bottom w:val="nil"/>
              <w:right w:val="nil"/>
            </w:tcBorders>
            <w:vAlign w:val="center"/>
            <w:hideMark/>
          </w:tcPr>
          <w:p w14:paraId="4B779BCC" w14:textId="77777777" w:rsidR="007604AD" w:rsidRDefault="007604AD">
            <w:pPr>
              <w:rPr>
                <w:rFonts w:ascii="Palatino Linotype" w:eastAsia="Times New Roman" w:hAnsi="Palatino Linotype" w:cs="Times New Roman"/>
                <w:color w:val="000000"/>
              </w:rPr>
            </w:pPr>
          </w:p>
        </w:tc>
        <w:tc>
          <w:tcPr>
            <w:tcW w:w="0" w:type="auto"/>
            <w:vMerge/>
            <w:tcBorders>
              <w:top w:val="single" w:sz="4" w:space="0" w:color="auto"/>
              <w:left w:val="nil"/>
              <w:bottom w:val="nil"/>
              <w:right w:val="nil"/>
            </w:tcBorders>
            <w:vAlign w:val="center"/>
            <w:hideMark/>
          </w:tcPr>
          <w:p w14:paraId="46A0CAC2" w14:textId="77777777" w:rsidR="007604AD" w:rsidRDefault="007604AD">
            <w:pPr>
              <w:rPr>
                <w:rFonts w:ascii="Palatino Linotype" w:eastAsia="Times New Roman" w:hAnsi="Palatino Linotype" w:cs="Times New Roman"/>
                <w:color w:val="000000"/>
              </w:rPr>
            </w:pPr>
          </w:p>
        </w:tc>
        <w:tc>
          <w:tcPr>
            <w:tcW w:w="1181" w:type="dxa"/>
            <w:tcBorders>
              <w:top w:val="nil"/>
              <w:left w:val="nil"/>
              <w:bottom w:val="nil"/>
              <w:right w:val="nil"/>
            </w:tcBorders>
            <w:vAlign w:val="center"/>
            <w:hideMark/>
          </w:tcPr>
          <w:p w14:paraId="218F52AA"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2</w:t>
            </w:r>
          </w:p>
        </w:tc>
        <w:tc>
          <w:tcPr>
            <w:tcW w:w="460" w:type="dxa"/>
            <w:tcBorders>
              <w:top w:val="nil"/>
              <w:left w:val="nil"/>
              <w:bottom w:val="nil"/>
              <w:right w:val="nil"/>
            </w:tcBorders>
            <w:vAlign w:val="center"/>
            <w:hideMark/>
          </w:tcPr>
          <w:p w14:paraId="1263039A"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3</w:t>
            </w:r>
          </w:p>
        </w:tc>
        <w:tc>
          <w:tcPr>
            <w:tcW w:w="460" w:type="dxa"/>
            <w:tcBorders>
              <w:top w:val="nil"/>
              <w:left w:val="nil"/>
              <w:bottom w:val="nil"/>
              <w:right w:val="nil"/>
            </w:tcBorders>
            <w:vAlign w:val="center"/>
            <w:hideMark/>
          </w:tcPr>
          <w:p w14:paraId="7B8DD520"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4</w:t>
            </w:r>
          </w:p>
        </w:tc>
        <w:tc>
          <w:tcPr>
            <w:tcW w:w="460" w:type="dxa"/>
            <w:tcBorders>
              <w:top w:val="nil"/>
              <w:left w:val="nil"/>
              <w:bottom w:val="nil"/>
              <w:right w:val="nil"/>
            </w:tcBorders>
            <w:vAlign w:val="center"/>
            <w:hideMark/>
          </w:tcPr>
          <w:p w14:paraId="0B3636F2"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4</w:t>
            </w:r>
          </w:p>
        </w:tc>
        <w:tc>
          <w:tcPr>
            <w:tcW w:w="461" w:type="dxa"/>
            <w:tcBorders>
              <w:top w:val="nil"/>
              <w:left w:val="nil"/>
              <w:bottom w:val="nil"/>
              <w:right w:val="nil"/>
            </w:tcBorders>
            <w:vAlign w:val="center"/>
            <w:hideMark/>
          </w:tcPr>
          <w:p w14:paraId="39E6A161"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4</w:t>
            </w:r>
          </w:p>
        </w:tc>
        <w:tc>
          <w:tcPr>
            <w:tcW w:w="714" w:type="dxa"/>
            <w:tcBorders>
              <w:top w:val="nil"/>
              <w:left w:val="nil"/>
              <w:bottom w:val="nil"/>
              <w:right w:val="nil"/>
            </w:tcBorders>
            <w:vAlign w:val="center"/>
            <w:hideMark/>
          </w:tcPr>
          <w:p w14:paraId="5FC9DA4E"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15</w:t>
            </w:r>
          </w:p>
        </w:tc>
        <w:tc>
          <w:tcPr>
            <w:tcW w:w="0" w:type="auto"/>
            <w:vMerge/>
            <w:tcBorders>
              <w:top w:val="single" w:sz="4" w:space="0" w:color="auto"/>
              <w:left w:val="nil"/>
              <w:bottom w:val="nil"/>
              <w:right w:val="nil"/>
            </w:tcBorders>
            <w:vAlign w:val="center"/>
            <w:hideMark/>
          </w:tcPr>
          <w:p w14:paraId="5DC8DAE5" w14:textId="77777777" w:rsidR="007604AD" w:rsidRDefault="007604AD">
            <w:pPr>
              <w:rPr>
                <w:rFonts w:ascii="Palatino Linotype" w:eastAsia="Times New Roman" w:hAnsi="Palatino Linotype" w:cs="Times New Roman"/>
                <w:color w:val="000000"/>
              </w:rPr>
            </w:pPr>
          </w:p>
        </w:tc>
        <w:tc>
          <w:tcPr>
            <w:tcW w:w="0" w:type="auto"/>
            <w:vMerge/>
            <w:tcBorders>
              <w:top w:val="single" w:sz="4" w:space="0" w:color="auto"/>
              <w:left w:val="nil"/>
              <w:bottom w:val="nil"/>
              <w:right w:val="nil"/>
            </w:tcBorders>
            <w:vAlign w:val="center"/>
            <w:hideMark/>
          </w:tcPr>
          <w:p w14:paraId="7D8266FE" w14:textId="77777777" w:rsidR="007604AD" w:rsidRDefault="007604AD">
            <w:pPr>
              <w:rPr>
                <w:rFonts w:ascii="Palatino Linotype" w:eastAsia="Times New Roman" w:hAnsi="Palatino Linotype" w:cs="Times New Roman"/>
                <w:color w:val="000000"/>
              </w:rPr>
            </w:pPr>
          </w:p>
        </w:tc>
        <w:tc>
          <w:tcPr>
            <w:tcW w:w="0" w:type="auto"/>
            <w:vMerge/>
            <w:tcBorders>
              <w:top w:val="single" w:sz="4" w:space="0" w:color="auto"/>
              <w:left w:val="nil"/>
              <w:bottom w:val="nil"/>
              <w:right w:val="nil"/>
            </w:tcBorders>
            <w:vAlign w:val="center"/>
            <w:hideMark/>
          </w:tcPr>
          <w:p w14:paraId="0EB61C62" w14:textId="77777777" w:rsidR="007604AD" w:rsidRDefault="007604AD">
            <w:pPr>
              <w:rPr>
                <w:rFonts w:ascii="Palatino Linotype" w:eastAsia="Times New Roman" w:hAnsi="Palatino Linotype" w:cs="Times New Roman"/>
                <w:color w:val="000000"/>
              </w:rPr>
            </w:pPr>
          </w:p>
        </w:tc>
      </w:tr>
      <w:tr w:rsidR="007604AD" w14:paraId="49653BAA" w14:textId="77777777" w:rsidTr="007604AD">
        <w:trPr>
          <w:trHeight w:val="306"/>
          <w:jc w:val="center"/>
        </w:trPr>
        <w:tc>
          <w:tcPr>
            <w:tcW w:w="588" w:type="dxa"/>
            <w:vMerge w:val="restart"/>
            <w:tcBorders>
              <w:top w:val="nil"/>
              <w:left w:val="nil"/>
              <w:bottom w:val="nil"/>
              <w:right w:val="nil"/>
            </w:tcBorders>
            <w:vAlign w:val="center"/>
            <w:hideMark/>
          </w:tcPr>
          <w:p w14:paraId="66A7D798"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2</w:t>
            </w:r>
          </w:p>
        </w:tc>
        <w:tc>
          <w:tcPr>
            <w:tcW w:w="1430" w:type="dxa"/>
            <w:vMerge w:val="restart"/>
            <w:tcBorders>
              <w:top w:val="nil"/>
              <w:left w:val="nil"/>
              <w:bottom w:val="nil"/>
              <w:right w:val="nil"/>
            </w:tcBorders>
            <w:vAlign w:val="center"/>
            <w:hideMark/>
          </w:tcPr>
          <w:p w14:paraId="5006C858" w14:textId="77777777" w:rsidR="007604AD" w:rsidRDefault="007604AD">
            <w:pPr>
              <w:jc w:val="both"/>
              <w:rPr>
                <w:rFonts w:ascii="Palatino Linotype" w:eastAsia="Times New Roman" w:hAnsi="Palatino Linotype" w:cs="Times New Roman"/>
                <w:color w:val="000000"/>
              </w:rPr>
            </w:pPr>
            <w:r>
              <w:rPr>
                <w:rFonts w:ascii="Palatino Linotype" w:eastAsia="Times New Roman" w:hAnsi="Palatino Linotype" w:cs="Times New Roman"/>
                <w:color w:val="000000"/>
              </w:rPr>
              <w:t xml:space="preserve">Penulisan </w:t>
            </w:r>
          </w:p>
        </w:tc>
        <w:tc>
          <w:tcPr>
            <w:tcW w:w="1181" w:type="dxa"/>
            <w:tcBorders>
              <w:top w:val="nil"/>
              <w:left w:val="nil"/>
              <w:bottom w:val="nil"/>
              <w:right w:val="nil"/>
            </w:tcBorders>
            <w:vAlign w:val="center"/>
            <w:hideMark/>
          </w:tcPr>
          <w:p w14:paraId="2F40C7EA"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3</w:t>
            </w:r>
          </w:p>
        </w:tc>
        <w:tc>
          <w:tcPr>
            <w:tcW w:w="460" w:type="dxa"/>
            <w:tcBorders>
              <w:top w:val="nil"/>
              <w:left w:val="nil"/>
              <w:bottom w:val="nil"/>
              <w:right w:val="nil"/>
            </w:tcBorders>
            <w:vAlign w:val="center"/>
            <w:hideMark/>
          </w:tcPr>
          <w:p w14:paraId="63421DB8"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4</w:t>
            </w:r>
          </w:p>
        </w:tc>
        <w:tc>
          <w:tcPr>
            <w:tcW w:w="460" w:type="dxa"/>
            <w:tcBorders>
              <w:top w:val="nil"/>
              <w:left w:val="nil"/>
              <w:bottom w:val="nil"/>
              <w:right w:val="nil"/>
            </w:tcBorders>
            <w:vAlign w:val="center"/>
            <w:hideMark/>
          </w:tcPr>
          <w:p w14:paraId="7A7B0125"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4</w:t>
            </w:r>
          </w:p>
        </w:tc>
        <w:tc>
          <w:tcPr>
            <w:tcW w:w="460" w:type="dxa"/>
            <w:tcBorders>
              <w:top w:val="nil"/>
              <w:left w:val="nil"/>
              <w:bottom w:val="nil"/>
              <w:right w:val="nil"/>
            </w:tcBorders>
            <w:vAlign w:val="center"/>
            <w:hideMark/>
          </w:tcPr>
          <w:p w14:paraId="5BE7D875"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4</w:t>
            </w:r>
          </w:p>
        </w:tc>
        <w:tc>
          <w:tcPr>
            <w:tcW w:w="461" w:type="dxa"/>
            <w:tcBorders>
              <w:top w:val="nil"/>
              <w:left w:val="nil"/>
              <w:bottom w:val="nil"/>
              <w:right w:val="nil"/>
            </w:tcBorders>
            <w:vAlign w:val="center"/>
            <w:hideMark/>
          </w:tcPr>
          <w:p w14:paraId="6867EF9F"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4</w:t>
            </w:r>
          </w:p>
        </w:tc>
        <w:tc>
          <w:tcPr>
            <w:tcW w:w="714" w:type="dxa"/>
            <w:tcBorders>
              <w:top w:val="nil"/>
              <w:left w:val="nil"/>
              <w:bottom w:val="nil"/>
              <w:right w:val="nil"/>
            </w:tcBorders>
            <w:vAlign w:val="center"/>
            <w:hideMark/>
          </w:tcPr>
          <w:p w14:paraId="76608EE9"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16</w:t>
            </w:r>
          </w:p>
        </w:tc>
        <w:tc>
          <w:tcPr>
            <w:tcW w:w="774" w:type="dxa"/>
            <w:vMerge w:val="restart"/>
            <w:tcBorders>
              <w:top w:val="nil"/>
              <w:left w:val="nil"/>
              <w:bottom w:val="nil"/>
              <w:right w:val="nil"/>
            </w:tcBorders>
            <w:vAlign w:val="center"/>
            <w:hideMark/>
          </w:tcPr>
          <w:p w14:paraId="71576CEA"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0.866</w:t>
            </w:r>
          </w:p>
        </w:tc>
        <w:tc>
          <w:tcPr>
            <w:tcW w:w="1078" w:type="dxa"/>
            <w:vMerge w:val="restart"/>
            <w:tcBorders>
              <w:top w:val="nil"/>
              <w:left w:val="nil"/>
              <w:bottom w:val="nil"/>
              <w:right w:val="nil"/>
            </w:tcBorders>
            <w:vAlign w:val="center"/>
            <w:hideMark/>
          </w:tcPr>
          <w:p w14:paraId="41FA38FB"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SB</w:t>
            </w:r>
          </w:p>
        </w:tc>
        <w:tc>
          <w:tcPr>
            <w:tcW w:w="1299" w:type="dxa"/>
            <w:vMerge w:val="restart"/>
            <w:tcBorders>
              <w:top w:val="nil"/>
              <w:left w:val="nil"/>
              <w:bottom w:val="nil"/>
              <w:right w:val="nil"/>
            </w:tcBorders>
            <w:vAlign w:val="center"/>
            <w:hideMark/>
          </w:tcPr>
          <w:p w14:paraId="3768C548"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87%</w:t>
            </w:r>
          </w:p>
        </w:tc>
      </w:tr>
      <w:tr w:rsidR="007604AD" w14:paraId="0BA11EDA" w14:textId="77777777" w:rsidTr="007604AD">
        <w:trPr>
          <w:trHeight w:val="306"/>
          <w:jc w:val="center"/>
        </w:trPr>
        <w:tc>
          <w:tcPr>
            <w:tcW w:w="0" w:type="auto"/>
            <w:vMerge/>
            <w:tcBorders>
              <w:top w:val="nil"/>
              <w:left w:val="nil"/>
              <w:bottom w:val="nil"/>
              <w:right w:val="nil"/>
            </w:tcBorders>
            <w:vAlign w:val="center"/>
            <w:hideMark/>
          </w:tcPr>
          <w:p w14:paraId="4BAEC0CC" w14:textId="77777777" w:rsidR="007604AD" w:rsidRDefault="007604AD">
            <w:pPr>
              <w:rPr>
                <w:rFonts w:ascii="Palatino Linotype" w:eastAsia="Times New Roman" w:hAnsi="Palatino Linotype" w:cs="Times New Roman"/>
                <w:color w:val="000000"/>
              </w:rPr>
            </w:pPr>
          </w:p>
        </w:tc>
        <w:tc>
          <w:tcPr>
            <w:tcW w:w="0" w:type="auto"/>
            <w:vMerge/>
            <w:tcBorders>
              <w:top w:val="nil"/>
              <w:left w:val="nil"/>
              <w:bottom w:val="nil"/>
              <w:right w:val="nil"/>
            </w:tcBorders>
            <w:vAlign w:val="center"/>
            <w:hideMark/>
          </w:tcPr>
          <w:p w14:paraId="0A273C5C" w14:textId="77777777" w:rsidR="007604AD" w:rsidRDefault="007604AD">
            <w:pPr>
              <w:rPr>
                <w:rFonts w:ascii="Palatino Linotype" w:eastAsia="Times New Roman" w:hAnsi="Palatino Linotype" w:cs="Times New Roman"/>
                <w:color w:val="000000"/>
              </w:rPr>
            </w:pPr>
          </w:p>
        </w:tc>
        <w:tc>
          <w:tcPr>
            <w:tcW w:w="1181" w:type="dxa"/>
            <w:tcBorders>
              <w:top w:val="nil"/>
              <w:left w:val="nil"/>
              <w:bottom w:val="nil"/>
              <w:right w:val="nil"/>
            </w:tcBorders>
            <w:vAlign w:val="center"/>
            <w:hideMark/>
          </w:tcPr>
          <w:p w14:paraId="1E435EA1"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4</w:t>
            </w:r>
          </w:p>
        </w:tc>
        <w:tc>
          <w:tcPr>
            <w:tcW w:w="460" w:type="dxa"/>
            <w:tcBorders>
              <w:top w:val="nil"/>
              <w:left w:val="nil"/>
              <w:bottom w:val="nil"/>
              <w:right w:val="nil"/>
            </w:tcBorders>
            <w:vAlign w:val="center"/>
            <w:hideMark/>
          </w:tcPr>
          <w:p w14:paraId="19920BBA"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5</w:t>
            </w:r>
          </w:p>
        </w:tc>
        <w:tc>
          <w:tcPr>
            <w:tcW w:w="460" w:type="dxa"/>
            <w:tcBorders>
              <w:top w:val="nil"/>
              <w:left w:val="nil"/>
              <w:bottom w:val="nil"/>
              <w:right w:val="nil"/>
            </w:tcBorders>
            <w:vAlign w:val="center"/>
            <w:hideMark/>
          </w:tcPr>
          <w:p w14:paraId="12D88BC1"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4</w:t>
            </w:r>
          </w:p>
        </w:tc>
        <w:tc>
          <w:tcPr>
            <w:tcW w:w="460" w:type="dxa"/>
            <w:tcBorders>
              <w:top w:val="nil"/>
              <w:left w:val="nil"/>
              <w:bottom w:val="nil"/>
              <w:right w:val="nil"/>
            </w:tcBorders>
            <w:vAlign w:val="center"/>
            <w:hideMark/>
          </w:tcPr>
          <w:p w14:paraId="187632E6"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4</w:t>
            </w:r>
          </w:p>
        </w:tc>
        <w:tc>
          <w:tcPr>
            <w:tcW w:w="461" w:type="dxa"/>
            <w:tcBorders>
              <w:top w:val="nil"/>
              <w:left w:val="nil"/>
              <w:bottom w:val="nil"/>
              <w:right w:val="nil"/>
            </w:tcBorders>
            <w:vAlign w:val="center"/>
            <w:hideMark/>
          </w:tcPr>
          <w:p w14:paraId="098B557C"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5</w:t>
            </w:r>
          </w:p>
        </w:tc>
        <w:tc>
          <w:tcPr>
            <w:tcW w:w="714" w:type="dxa"/>
            <w:tcBorders>
              <w:top w:val="nil"/>
              <w:left w:val="nil"/>
              <w:bottom w:val="nil"/>
              <w:right w:val="nil"/>
            </w:tcBorders>
            <w:vAlign w:val="center"/>
            <w:hideMark/>
          </w:tcPr>
          <w:p w14:paraId="415B24CD"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18</w:t>
            </w:r>
          </w:p>
        </w:tc>
        <w:tc>
          <w:tcPr>
            <w:tcW w:w="0" w:type="auto"/>
            <w:vMerge/>
            <w:tcBorders>
              <w:top w:val="nil"/>
              <w:left w:val="nil"/>
              <w:bottom w:val="nil"/>
              <w:right w:val="nil"/>
            </w:tcBorders>
            <w:vAlign w:val="center"/>
            <w:hideMark/>
          </w:tcPr>
          <w:p w14:paraId="609FB37F" w14:textId="77777777" w:rsidR="007604AD" w:rsidRDefault="007604AD">
            <w:pPr>
              <w:rPr>
                <w:rFonts w:ascii="Palatino Linotype" w:eastAsia="Times New Roman" w:hAnsi="Palatino Linotype" w:cs="Times New Roman"/>
                <w:color w:val="000000"/>
              </w:rPr>
            </w:pPr>
          </w:p>
        </w:tc>
        <w:tc>
          <w:tcPr>
            <w:tcW w:w="0" w:type="auto"/>
            <w:vMerge/>
            <w:tcBorders>
              <w:top w:val="nil"/>
              <w:left w:val="nil"/>
              <w:bottom w:val="nil"/>
              <w:right w:val="nil"/>
            </w:tcBorders>
            <w:vAlign w:val="center"/>
            <w:hideMark/>
          </w:tcPr>
          <w:p w14:paraId="69B605F9" w14:textId="77777777" w:rsidR="007604AD" w:rsidRDefault="007604AD">
            <w:pPr>
              <w:rPr>
                <w:rFonts w:ascii="Palatino Linotype" w:eastAsia="Times New Roman" w:hAnsi="Palatino Linotype" w:cs="Times New Roman"/>
                <w:color w:val="000000"/>
              </w:rPr>
            </w:pPr>
          </w:p>
        </w:tc>
        <w:tc>
          <w:tcPr>
            <w:tcW w:w="0" w:type="auto"/>
            <w:vMerge/>
            <w:tcBorders>
              <w:top w:val="nil"/>
              <w:left w:val="nil"/>
              <w:bottom w:val="nil"/>
              <w:right w:val="nil"/>
            </w:tcBorders>
            <w:vAlign w:val="center"/>
            <w:hideMark/>
          </w:tcPr>
          <w:p w14:paraId="070FFE72" w14:textId="77777777" w:rsidR="007604AD" w:rsidRDefault="007604AD">
            <w:pPr>
              <w:rPr>
                <w:rFonts w:ascii="Palatino Linotype" w:eastAsia="Times New Roman" w:hAnsi="Palatino Linotype" w:cs="Times New Roman"/>
                <w:color w:val="000000"/>
              </w:rPr>
            </w:pPr>
          </w:p>
        </w:tc>
      </w:tr>
      <w:tr w:rsidR="007604AD" w14:paraId="70F36D31" w14:textId="77777777" w:rsidTr="007604AD">
        <w:trPr>
          <w:trHeight w:val="306"/>
          <w:jc w:val="center"/>
        </w:trPr>
        <w:tc>
          <w:tcPr>
            <w:tcW w:w="0" w:type="auto"/>
            <w:vMerge/>
            <w:tcBorders>
              <w:top w:val="nil"/>
              <w:left w:val="nil"/>
              <w:bottom w:val="nil"/>
              <w:right w:val="nil"/>
            </w:tcBorders>
            <w:vAlign w:val="center"/>
            <w:hideMark/>
          </w:tcPr>
          <w:p w14:paraId="3F2956F4" w14:textId="77777777" w:rsidR="007604AD" w:rsidRDefault="007604AD">
            <w:pPr>
              <w:rPr>
                <w:rFonts w:ascii="Palatino Linotype" w:eastAsia="Times New Roman" w:hAnsi="Palatino Linotype" w:cs="Times New Roman"/>
                <w:color w:val="000000"/>
              </w:rPr>
            </w:pPr>
          </w:p>
        </w:tc>
        <w:tc>
          <w:tcPr>
            <w:tcW w:w="0" w:type="auto"/>
            <w:vMerge/>
            <w:tcBorders>
              <w:top w:val="nil"/>
              <w:left w:val="nil"/>
              <w:bottom w:val="nil"/>
              <w:right w:val="nil"/>
            </w:tcBorders>
            <w:vAlign w:val="center"/>
            <w:hideMark/>
          </w:tcPr>
          <w:p w14:paraId="2FF9AC9A" w14:textId="77777777" w:rsidR="007604AD" w:rsidRDefault="007604AD">
            <w:pPr>
              <w:rPr>
                <w:rFonts w:ascii="Palatino Linotype" w:eastAsia="Times New Roman" w:hAnsi="Palatino Linotype" w:cs="Times New Roman"/>
                <w:color w:val="000000"/>
              </w:rPr>
            </w:pPr>
          </w:p>
        </w:tc>
        <w:tc>
          <w:tcPr>
            <w:tcW w:w="1181" w:type="dxa"/>
            <w:tcBorders>
              <w:top w:val="nil"/>
              <w:left w:val="nil"/>
              <w:bottom w:val="nil"/>
              <w:right w:val="nil"/>
            </w:tcBorders>
            <w:vAlign w:val="center"/>
            <w:hideMark/>
          </w:tcPr>
          <w:p w14:paraId="185F613F"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5</w:t>
            </w:r>
          </w:p>
        </w:tc>
        <w:tc>
          <w:tcPr>
            <w:tcW w:w="460" w:type="dxa"/>
            <w:tcBorders>
              <w:top w:val="nil"/>
              <w:left w:val="nil"/>
              <w:bottom w:val="nil"/>
              <w:right w:val="nil"/>
            </w:tcBorders>
            <w:vAlign w:val="center"/>
            <w:hideMark/>
          </w:tcPr>
          <w:p w14:paraId="1E226470"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4</w:t>
            </w:r>
          </w:p>
        </w:tc>
        <w:tc>
          <w:tcPr>
            <w:tcW w:w="460" w:type="dxa"/>
            <w:tcBorders>
              <w:top w:val="nil"/>
              <w:left w:val="nil"/>
              <w:bottom w:val="nil"/>
              <w:right w:val="nil"/>
            </w:tcBorders>
            <w:vAlign w:val="center"/>
            <w:hideMark/>
          </w:tcPr>
          <w:p w14:paraId="2873D928"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5</w:t>
            </w:r>
          </w:p>
        </w:tc>
        <w:tc>
          <w:tcPr>
            <w:tcW w:w="460" w:type="dxa"/>
            <w:tcBorders>
              <w:top w:val="nil"/>
              <w:left w:val="nil"/>
              <w:bottom w:val="nil"/>
              <w:right w:val="nil"/>
            </w:tcBorders>
            <w:vAlign w:val="center"/>
            <w:hideMark/>
          </w:tcPr>
          <w:p w14:paraId="7F5E9D68"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4</w:t>
            </w:r>
          </w:p>
        </w:tc>
        <w:tc>
          <w:tcPr>
            <w:tcW w:w="461" w:type="dxa"/>
            <w:tcBorders>
              <w:top w:val="nil"/>
              <w:left w:val="nil"/>
              <w:bottom w:val="nil"/>
              <w:right w:val="nil"/>
            </w:tcBorders>
            <w:vAlign w:val="center"/>
            <w:hideMark/>
          </w:tcPr>
          <w:p w14:paraId="6BC9A2BA"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5</w:t>
            </w:r>
          </w:p>
        </w:tc>
        <w:tc>
          <w:tcPr>
            <w:tcW w:w="714" w:type="dxa"/>
            <w:tcBorders>
              <w:top w:val="nil"/>
              <w:left w:val="nil"/>
              <w:bottom w:val="nil"/>
              <w:right w:val="nil"/>
            </w:tcBorders>
            <w:vAlign w:val="center"/>
            <w:hideMark/>
          </w:tcPr>
          <w:p w14:paraId="3174B4D4"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18</w:t>
            </w:r>
          </w:p>
        </w:tc>
        <w:tc>
          <w:tcPr>
            <w:tcW w:w="0" w:type="auto"/>
            <w:vMerge/>
            <w:tcBorders>
              <w:top w:val="nil"/>
              <w:left w:val="nil"/>
              <w:bottom w:val="nil"/>
              <w:right w:val="nil"/>
            </w:tcBorders>
            <w:vAlign w:val="center"/>
            <w:hideMark/>
          </w:tcPr>
          <w:p w14:paraId="6549FB36" w14:textId="77777777" w:rsidR="007604AD" w:rsidRDefault="007604AD">
            <w:pPr>
              <w:rPr>
                <w:rFonts w:ascii="Palatino Linotype" w:eastAsia="Times New Roman" w:hAnsi="Palatino Linotype" w:cs="Times New Roman"/>
                <w:color w:val="000000"/>
              </w:rPr>
            </w:pPr>
          </w:p>
        </w:tc>
        <w:tc>
          <w:tcPr>
            <w:tcW w:w="0" w:type="auto"/>
            <w:vMerge/>
            <w:tcBorders>
              <w:top w:val="nil"/>
              <w:left w:val="nil"/>
              <w:bottom w:val="nil"/>
              <w:right w:val="nil"/>
            </w:tcBorders>
            <w:vAlign w:val="center"/>
            <w:hideMark/>
          </w:tcPr>
          <w:p w14:paraId="62372A6B" w14:textId="77777777" w:rsidR="007604AD" w:rsidRDefault="007604AD">
            <w:pPr>
              <w:rPr>
                <w:rFonts w:ascii="Palatino Linotype" w:eastAsia="Times New Roman" w:hAnsi="Palatino Linotype" w:cs="Times New Roman"/>
                <w:color w:val="000000"/>
              </w:rPr>
            </w:pPr>
          </w:p>
        </w:tc>
        <w:tc>
          <w:tcPr>
            <w:tcW w:w="0" w:type="auto"/>
            <w:vMerge/>
            <w:tcBorders>
              <w:top w:val="nil"/>
              <w:left w:val="nil"/>
              <w:bottom w:val="nil"/>
              <w:right w:val="nil"/>
            </w:tcBorders>
            <w:vAlign w:val="center"/>
            <w:hideMark/>
          </w:tcPr>
          <w:p w14:paraId="796348F9" w14:textId="77777777" w:rsidR="007604AD" w:rsidRDefault="007604AD">
            <w:pPr>
              <w:rPr>
                <w:rFonts w:ascii="Palatino Linotype" w:eastAsia="Times New Roman" w:hAnsi="Palatino Linotype" w:cs="Times New Roman"/>
                <w:color w:val="000000"/>
              </w:rPr>
            </w:pPr>
          </w:p>
        </w:tc>
      </w:tr>
      <w:tr w:rsidR="007604AD" w14:paraId="0D2C4769" w14:textId="77777777" w:rsidTr="007604AD">
        <w:trPr>
          <w:trHeight w:val="306"/>
          <w:jc w:val="center"/>
        </w:trPr>
        <w:tc>
          <w:tcPr>
            <w:tcW w:w="588" w:type="dxa"/>
            <w:vMerge w:val="restart"/>
            <w:tcBorders>
              <w:top w:val="nil"/>
              <w:left w:val="nil"/>
              <w:bottom w:val="nil"/>
              <w:right w:val="nil"/>
            </w:tcBorders>
            <w:vAlign w:val="center"/>
            <w:hideMark/>
          </w:tcPr>
          <w:p w14:paraId="45B0F101"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3</w:t>
            </w:r>
          </w:p>
        </w:tc>
        <w:tc>
          <w:tcPr>
            <w:tcW w:w="1430" w:type="dxa"/>
            <w:vMerge w:val="restart"/>
            <w:tcBorders>
              <w:top w:val="nil"/>
              <w:left w:val="nil"/>
              <w:bottom w:val="nil"/>
              <w:right w:val="nil"/>
            </w:tcBorders>
            <w:vAlign w:val="center"/>
            <w:hideMark/>
          </w:tcPr>
          <w:p w14:paraId="301A851D" w14:textId="77777777" w:rsidR="007604AD" w:rsidRDefault="007604AD">
            <w:pPr>
              <w:jc w:val="both"/>
              <w:rPr>
                <w:rFonts w:ascii="Palatino Linotype" w:eastAsia="Times New Roman" w:hAnsi="Palatino Linotype" w:cs="Times New Roman"/>
                <w:color w:val="000000"/>
              </w:rPr>
            </w:pPr>
            <w:r>
              <w:rPr>
                <w:rFonts w:ascii="Palatino Linotype" w:eastAsia="Times New Roman" w:hAnsi="Palatino Linotype" w:cs="Times New Roman"/>
                <w:color w:val="000000"/>
              </w:rPr>
              <w:t xml:space="preserve">Bahasa </w:t>
            </w:r>
          </w:p>
        </w:tc>
        <w:tc>
          <w:tcPr>
            <w:tcW w:w="1181" w:type="dxa"/>
            <w:tcBorders>
              <w:top w:val="nil"/>
              <w:left w:val="nil"/>
              <w:bottom w:val="nil"/>
              <w:right w:val="nil"/>
            </w:tcBorders>
            <w:vAlign w:val="center"/>
            <w:hideMark/>
          </w:tcPr>
          <w:p w14:paraId="04716389"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6</w:t>
            </w:r>
          </w:p>
        </w:tc>
        <w:tc>
          <w:tcPr>
            <w:tcW w:w="460" w:type="dxa"/>
            <w:tcBorders>
              <w:top w:val="nil"/>
              <w:left w:val="nil"/>
              <w:bottom w:val="nil"/>
              <w:right w:val="nil"/>
            </w:tcBorders>
            <w:vAlign w:val="center"/>
            <w:hideMark/>
          </w:tcPr>
          <w:p w14:paraId="0D042284"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5</w:t>
            </w:r>
          </w:p>
        </w:tc>
        <w:tc>
          <w:tcPr>
            <w:tcW w:w="460" w:type="dxa"/>
            <w:tcBorders>
              <w:top w:val="nil"/>
              <w:left w:val="nil"/>
              <w:bottom w:val="nil"/>
              <w:right w:val="nil"/>
            </w:tcBorders>
            <w:vAlign w:val="center"/>
            <w:hideMark/>
          </w:tcPr>
          <w:p w14:paraId="72ACC7B7"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5</w:t>
            </w:r>
          </w:p>
        </w:tc>
        <w:tc>
          <w:tcPr>
            <w:tcW w:w="460" w:type="dxa"/>
            <w:tcBorders>
              <w:top w:val="nil"/>
              <w:left w:val="nil"/>
              <w:bottom w:val="nil"/>
              <w:right w:val="nil"/>
            </w:tcBorders>
            <w:vAlign w:val="center"/>
            <w:hideMark/>
          </w:tcPr>
          <w:p w14:paraId="6976A64C"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5</w:t>
            </w:r>
          </w:p>
        </w:tc>
        <w:tc>
          <w:tcPr>
            <w:tcW w:w="461" w:type="dxa"/>
            <w:tcBorders>
              <w:top w:val="nil"/>
              <w:left w:val="nil"/>
              <w:bottom w:val="nil"/>
              <w:right w:val="nil"/>
            </w:tcBorders>
            <w:vAlign w:val="center"/>
            <w:hideMark/>
          </w:tcPr>
          <w:p w14:paraId="07D6A454"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4</w:t>
            </w:r>
          </w:p>
        </w:tc>
        <w:tc>
          <w:tcPr>
            <w:tcW w:w="714" w:type="dxa"/>
            <w:tcBorders>
              <w:top w:val="nil"/>
              <w:left w:val="nil"/>
              <w:bottom w:val="nil"/>
              <w:right w:val="nil"/>
            </w:tcBorders>
            <w:vAlign w:val="center"/>
            <w:hideMark/>
          </w:tcPr>
          <w:p w14:paraId="506AE183"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19</w:t>
            </w:r>
          </w:p>
        </w:tc>
        <w:tc>
          <w:tcPr>
            <w:tcW w:w="774" w:type="dxa"/>
            <w:vMerge w:val="restart"/>
            <w:tcBorders>
              <w:top w:val="nil"/>
              <w:left w:val="nil"/>
              <w:bottom w:val="nil"/>
              <w:right w:val="nil"/>
            </w:tcBorders>
            <w:vAlign w:val="center"/>
            <w:hideMark/>
          </w:tcPr>
          <w:p w14:paraId="2F5A44DE"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0.9</w:t>
            </w:r>
          </w:p>
        </w:tc>
        <w:tc>
          <w:tcPr>
            <w:tcW w:w="1078" w:type="dxa"/>
            <w:vMerge w:val="restart"/>
            <w:tcBorders>
              <w:top w:val="nil"/>
              <w:left w:val="nil"/>
              <w:bottom w:val="nil"/>
              <w:right w:val="nil"/>
            </w:tcBorders>
            <w:vAlign w:val="center"/>
            <w:hideMark/>
          </w:tcPr>
          <w:p w14:paraId="3510D02A"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SB</w:t>
            </w:r>
          </w:p>
        </w:tc>
        <w:tc>
          <w:tcPr>
            <w:tcW w:w="1299" w:type="dxa"/>
            <w:vMerge w:val="restart"/>
            <w:tcBorders>
              <w:top w:val="nil"/>
              <w:left w:val="nil"/>
              <w:bottom w:val="nil"/>
              <w:right w:val="nil"/>
            </w:tcBorders>
            <w:vAlign w:val="center"/>
            <w:hideMark/>
          </w:tcPr>
          <w:p w14:paraId="610EBB17"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90%</w:t>
            </w:r>
          </w:p>
        </w:tc>
      </w:tr>
      <w:tr w:rsidR="007604AD" w14:paraId="475A73D3" w14:textId="77777777" w:rsidTr="007604AD">
        <w:trPr>
          <w:trHeight w:val="306"/>
          <w:jc w:val="center"/>
        </w:trPr>
        <w:tc>
          <w:tcPr>
            <w:tcW w:w="0" w:type="auto"/>
            <w:vMerge/>
            <w:tcBorders>
              <w:top w:val="nil"/>
              <w:left w:val="nil"/>
              <w:bottom w:val="nil"/>
              <w:right w:val="nil"/>
            </w:tcBorders>
            <w:vAlign w:val="center"/>
            <w:hideMark/>
          </w:tcPr>
          <w:p w14:paraId="76BC49C1" w14:textId="77777777" w:rsidR="007604AD" w:rsidRDefault="007604AD">
            <w:pPr>
              <w:rPr>
                <w:rFonts w:ascii="Palatino Linotype" w:eastAsia="Times New Roman" w:hAnsi="Palatino Linotype" w:cs="Times New Roman"/>
                <w:color w:val="000000"/>
              </w:rPr>
            </w:pPr>
          </w:p>
        </w:tc>
        <w:tc>
          <w:tcPr>
            <w:tcW w:w="0" w:type="auto"/>
            <w:vMerge/>
            <w:tcBorders>
              <w:top w:val="nil"/>
              <w:left w:val="nil"/>
              <w:bottom w:val="nil"/>
              <w:right w:val="nil"/>
            </w:tcBorders>
            <w:vAlign w:val="center"/>
            <w:hideMark/>
          </w:tcPr>
          <w:p w14:paraId="30665D50" w14:textId="77777777" w:rsidR="007604AD" w:rsidRDefault="007604AD">
            <w:pPr>
              <w:rPr>
                <w:rFonts w:ascii="Palatino Linotype" w:eastAsia="Times New Roman" w:hAnsi="Palatino Linotype" w:cs="Times New Roman"/>
                <w:color w:val="000000"/>
              </w:rPr>
            </w:pPr>
          </w:p>
        </w:tc>
        <w:tc>
          <w:tcPr>
            <w:tcW w:w="1181" w:type="dxa"/>
            <w:tcBorders>
              <w:top w:val="nil"/>
              <w:left w:val="nil"/>
              <w:bottom w:val="nil"/>
              <w:right w:val="nil"/>
            </w:tcBorders>
            <w:vAlign w:val="center"/>
            <w:hideMark/>
          </w:tcPr>
          <w:p w14:paraId="621684A0"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7</w:t>
            </w:r>
          </w:p>
        </w:tc>
        <w:tc>
          <w:tcPr>
            <w:tcW w:w="460" w:type="dxa"/>
            <w:tcBorders>
              <w:top w:val="nil"/>
              <w:left w:val="nil"/>
              <w:bottom w:val="nil"/>
              <w:right w:val="nil"/>
            </w:tcBorders>
            <w:vAlign w:val="center"/>
            <w:hideMark/>
          </w:tcPr>
          <w:p w14:paraId="14EAE1AB"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5</w:t>
            </w:r>
          </w:p>
        </w:tc>
        <w:tc>
          <w:tcPr>
            <w:tcW w:w="460" w:type="dxa"/>
            <w:tcBorders>
              <w:top w:val="nil"/>
              <w:left w:val="nil"/>
              <w:bottom w:val="nil"/>
              <w:right w:val="nil"/>
            </w:tcBorders>
            <w:vAlign w:val="center"/>
            <w:hideMark/>
          </w:tcPr>
          <w:p w14:paraId="11E0140C"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5</w:t>
            </w:r>
          </w:p>
        </w:tc>
        <w:tc>
          <w:tcPr>
            <w:tcW w:w="460" w:type="dxa"/>
            <w:tcBorders>
              <w:top w:val="nil"/>
              <w:left w:val="nil"/>
              <w:bottom w:val="nil"/>
              <w:right w:val="nil"/>
            </w:tcBorders>
            <w:vAlign w:val="center"/>
            <w:hideMark/>
          </w:tcPr>
          <w:p w14:paraId="5C6DC94E"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4</w:t>
            </w:r>
          </w:p>
        </w:tc>
        <w:tc>
          <w:tcPr>
            <w:tcW w:w="461" w:type="dxa"/>
            <w:tcBorders>
              <w:top w:val="nil"/>
              <w:left w:val="nil"/>
              <w:bottom w:val="nil"/>
              <w:right w:val="nil"/>
            </w:tcBorders>
            <w:vAlign w:val="center"/>
            <w:hideMark/>
          </w:tcPr>
          <w:p w14:paraId="7AD090F8"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5</w:t>
            </w:r>
          </w:p>
        </w:tc>
        <w:tc>
          <w:tcPr>
            <w:tcW w:w="714" w:type="dxa"/>
            <w:tcBorders>
              <w:top w:val="nil"/>
              <w:left w:val="nil"/>
              <w:bottom w:val="nil"/>
              <w:right w:val="nil"/>
            </w:tcBorders>
            <w:vAlign w:val="center"/>
            <w:hideMark/>
          </w:tcPr>
          <w:p w14:paraId="2E567FEB"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19</w:t>
            </w:r>
          </w:p>
        </w:tc>
        <w:tc>
          <w:tcPr>
            <w:tcW w:w="0" w:type="auto"/>
            <w:vMerge/>
            <w:tcBorders>
              <w:top w:val="nil"/>
              <w:left w:val="nil"/>
              <w:bottom w:val="nil"/>
              <w:right w:val="nil"/>
            </w:tcBorders>
            <w:vAlign w:val="center"/>
            <w:hideMark/>
          </w:tcPr>
          <w:p w14:paraId="47761DBB" w14:textId="77777777" w:rsidR="007604AD" w:rsidRDefault="007604AD">
            <w:pPr>
              <w:rPr>
                <w:rFonts w:ascii="Palatino Linotype" w:eastAsia="Times New Roman" w:hAnsi="Palatino Linotype" w:cs="Times New Roman"/>
                <w:color w:val="000000"/>
              </w:rPr>
            </w:pPr>
          </w:p>
        </w:tc>
        <w:tc>
          <w:tcPr>
            <w:tcW w:w="0" w:type="auto"/>
            <w:vMerge/>
            <w:tcBorders>
              <w:top w:val="nil"/>
              <w:left w:val="nil"/>
              <w:bottom w:val="nil"/>
              <w:right w:val="nil"/>
            </w:tcBorders>
            <w:vAlign w:val="center"/>
            <w:hideMark/>
          </w:tcPr>
          <w:p w14:paraId="195F7417" w14:textId="77777777" w:rsidR="007604AD" w:rsidRDefault="007604AD">
            <w:pPr>
              <w:rPr>
                <w:rFonts w:ascii="Palatino Linotype" w:eastAsia="Times New Roman" w:hAnsi="Palatino Linotype" w:cs="Times New Roman"/>
                <w:color w:val="000000"/>
              </w:rPr>
            </w:pPr>
          </w:p>
        </w:tc>
        <w:tc>
          <w:tcPr>
            <w:tcW w:w="0" w:type="auto"/>
            <w:vMerge/>
            <w:tcBorders>
              <w:top w:val="nil"/>
              <w:left w:val="nil"/>
              <w:bottom w:val="nil"/>
              <w:right w:val="nil"/>
            </w:tcBorders>
            <w:vAlign w:val="center"/>
            <w:hideMark/>
          </w:tcPr>
          <w:p w14:paraId="7DF55212" w14:textId="77777777" w:rsidR="007604AD" w:rsidRDefault="007604AD">
            <w:pPr>
              <w:rPr>
                <w:rFonts w:ascii="Palatino Linotype" w:eastAsia="Times New Roman" w:hAnsi="Palatino Linotype" w:cs="Times New Roman"/>
                <w:color w:val="000000"/>
              </w:rPr>
            </w:pPr>
          </w:p>
        </w:tc>
      </w:tr>
      <w:tr w:rsidR="007604AD" w14:paraId="1E96C797" w14:textId="77777777" w:rsidTr="007604AD">
        <w:trPr>
          <w:trHeight w:val="306"/>
          <w:jc w:val="center"/>
        </w:trPr>
        <w:tc>
          <w:tcPr>
            <w:tcW w:w="0" w:type="auto"/>
            <w:vMerge/>
            <w:tcBorders>
              <w:top w:val="nil"/>
              <w:left w:val="nil"/>
              <w:bottom w:val="nil"/>
              <w:right w:val="nil"/>
            </w:tcBorders>
            <w:vAlign w:val="center"/>
            <w:hideMark/>
          </w:tcPr>
          <w:p w14:paraId="741A4615" w14:textId="77777777" w:rsidR="007604AD" w:rsidRDefault="007604AD">
            <w:pPr>
              <w:rPr>
                <w:rFonts w:ascii="Palatino Linotype" w:eastAsia="Times New Roman" w:hAnsi="Palatino Linotype" w:cs="Times New Roman"/>
                <w:color w:val="000000"/>
              </w:rPr>
            </w:pPr>
          </w:p>
        </w:tc>
        <w:tc>
          <w:tcPr>
            <w:tcW w:w="0" w:type="auto"/>
            <w:vMerge/>
            <w:tcBorders>
              <w:top w:val="nil"/>
              <w:left w:val="nil"/>
              <w:bottom w:val="nil"/>
              <w:right w:val="nil"/>
            </w:tcBorders>
            <w:vAlign w:val="center"/>
            <w:hideMark/>
          </w:tcPr>
          <w:p w14:paraId="2EFF8B11" w14:textId="77777777" w:rsidR="007604AD" w:rsidRDefault="007604AD">
            <w:pPr>
              <w:rPr>
                <w:rFonts w:ascii="Palatino Linotype" w:eastAsia="Times New Roman" w:hAnsi="Palatino Linotype" w:cs="Times New Roman"/>
                <w:color w:val="000000"/>
              </w:rPr>
            </w:pPr>
          </w:p>
        </w:tc>
        <w:tc>
          <w:tcPr>
            <w:tcW w:w="1181" w:type="dxa"/>
            <w:tcBorders>
              <w:top w:val="nil"/>
              <w:left w:val="nil"/>
              <w:bottom w:val="nil"/>
              <w:right w:val="nil"/>
            </w:tcBorders>
            <w:vAlign w:val="center"/>
            <w:hideMark/>
          </w:tcPr>
          <w:p w14:paraId="1C86D356"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8</w:t>
            </w:r>
          </w:p>
        </w:tc>
        <w:tc>
          <w:tcPr>
            <w:tcW w:w="460" w:type="dxa"/>
            <w:tcBorders>
              <w:top w:val="nil"/>
              <w:left w:val="nil"/>
              <w:bottom w:val="nil"/>
              <w:right w:val="nil"/>
            </w:tcBorders>
            <w:vAlign w:val="center"/>
            <w:hideMark/>
          </w:tcPr>
          <w:p w14:paraId="7B663AA4"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5</w:t>
            </w:r>
          </w:p>
        </w:tc>
        <w:tc>
          <w:tcPr>
            <w:tcW w:w="460" w:type="dxa"/>
            <w:tcBorders>
              <w:top w:val="nil"/>
              <w:left w:val="nil"/>
              <w:bottom w:val="nil"/>
              <w:right w:val="nil"/>
            </w:tcBorders>
            <w:vAlign w:val="center"/>
            <w:hideMark/>
          </w:tcPr>
          <w:p w14:paraId="1BE4B2D2"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4</w:t>
            </w:r>
          </w:p>
        </w:tc>
        <w:tc>
          <w:tcPr>
            <w:tcW w:w="460" w:type="dxa"/>
            <w:tcBorders>
              <w:top w:val="nil"/>
              <w:left w:val="nil"/>
              <w:bottom w:val="nil"/>
              <w:right w:val="nil"/>
            </w:tcBorders>
            <w:vAlign w:val="center"/>
            <w:hideMark/>
          </w:tcPr>
          <w:p w14:paraId="2FACE4E7"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3</w:t>
            </w:r>
          </w:p>
        </w:tc>
        <w:tc>
          <w:tcPr>
            <w:tcW w:w="461" w:type="dxa"/>
            <w:tcBorders>
              <w:top w:val="nil"/>
              <w:left w:val="nil"/>
              <w:bottom w:val="nil"/>
              <w:right w:val="nil"/>
            </w:tcBorders>
            <w:vAlign w:val="center"/>
            <w:hideMark/>
          </w:tcPr>
          <w:p w14:paraId="16D637C1"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4</w:t>
            </w:r>
          </w:p>
        </w:tc>
        <w:tc>
          <w:tcPr>
            <w:tcW w:w="714" w:type="dxa"/>
            <w:tcBorders>
              <w:top w:val="nil"/>
              <w:left w:val="nil"/>
              <w:bottom w:val="nil"/>
              <w:right w:val="nil"/>
            </w:tcBorders>
            <w:vAlign w:val="center"/>
            <w:hideMark/>
          </w:tcPr>
          <w:p w14:paraId="3325A5AE"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16</w:t>
            </w:r>
          </w:p>
        </w:tc>
        <w:tc>
          <w:tcPr>
            <w:tcW w:w="0" w:type="auto"/>
            <w:vMerge/>
            <w:tcBorders>
              <w:top w:val="nil"/>
              <w:left w:val="nil"/>
              <w:bottom w:val="nil"/>
              <w:right w:val="nil"/>
            </w:tcBorders>
            <w:vAlign w:val="center"/>
            <w:hideMark/>
          </w:tcPr>
          <w:p w14:paraId="4651D163" w14:textId="77777777" w:rsidR="007604AD" w:rsidRDefault="007604AD">
            <w:pPr>
              <w:rPr>
                <w:rFonts w:ascii="Palatino Linotype" w:eastAsia="Times New Roman" w:hAnsi="Palatino Linotype" w:cs="Times New Roman"/>
                <w:color w:val="000000"/>
              </w:rPr>
            </w:pPr>
          </w:p>
        </w:tc>
        <w:tc>
          <w:tcPr>
            <w:tcW w:w="0" w:type="auto"/>
            <w:vMerge/>
            <w:tcBorders>
              <w:top w:val="nil"/>
              <w:left w:val="nil"/>
              <w:bottom w:val="nil"/>
              <w:right w:val="nil"/>
            </w:tcBorders>
            <w:vAlign w:val="center"/>
            <w:hideMark/>
          </w:tcPr>
          <w:p w14:paraId="4BDAA040" w14:textId="77777777" w:rsidR="007604AD" w:rsidRDefault="007604AD">
            <w:pPr>
              <w:rPr>
                <w:rFonts w:ascii="Palatino Linotype" w:eastAsia="Times New Roman" w:hAnsi="Palatino Linotype" w:cs="Times New Roman"/>
                <w:color w:val="000000"/>
              </w:rPr>
            </w:pPr>
          </w:p>
        </w:tc>
        <w:tc>
          <w:tcPr>
            <w:tcW w:w="0" w:type="auto"/>
            <w:vMerge/>
            <w:tcBorders>
              <w:top w:val="nil"/>
              <w:left w:val="nil"/>
              <w:bottom w:val="nil"/>
              <w:right w:val="nil"/>
            </w:tcBorders>
            <w:vAlign w:val="center"/>
            <w:hideMark/>
          </w:tcPr>
          <w:p w14:paraId="1D429690" w14:textId="77777777" w:rsidR="007604AD" w:rsidRDefault="007604AD">
            <w:pPr>
              <w:rPr>
                <w:rFonts w:ascii="Palatino Linotype" w:eastAsia="Times New Roman" w:hAnsi="Palatino Linotype" w:cs="Times New Roman"/>
                <w:color w:val="000000"/>
              </w:rPr>
            </w:pPr>
          </w:p>
        </w:tc>
      </w:tr>
      <w:tr w:rsidR="007604AD" w14:paraId="29430704" w14:textId="77777777" w:rsidTr="007604AD">
        <w:trPr>
          <w:trHeight w:val="306"/>
          <w:jc w:val="center"/>
        </w:trPr>
        <w:tc>
          <w:tcPr>
            <w:tcW w:w="588" w:type="dxa"/>
            <w:vMerge w:val="restart"/>
            <w:tcBorders>
              <w:top w:val="nil"/>
              <w:left w:val="nil"/>
              <w:bottom w:val="nil"/>
              <w:right w:val="nil"/>
            </w:tcBorders>
            <w:vAlign w:val="center"/>
            <w:hideMark/>
          </w:tcPr>
          <w:p w14:paraId="1973A4F4"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4</w:t>
            </w:r>
          </w:p>
        </w:tc>
        <w:tc>
          <w:tcPr>
            <w:tcW w:w="1430" w:type="dxa"/>
            <w:vMerge w:val="restart"/>
            <w:tcBorders>
              <w:top w:val="nil"/>
              <w:left w:val="nil"/>
              <w:bottom w:val="nil"/>
              <w:right w:val="nil"/>
            </w:tcBorders>
            <w:vAlign w:val="center"/>
            <w:hideMark/>
          </w:tcPr>
          <w:p w14:paraId="048BE7DB" w14:textId="77777777" w:rsidR="007604AD" w:rsidRDefault="007604AD">
            <w:pPr>
              <w:jc w:val="both"/>
              <w:rPr>
                <w:rFonts w:ascii="Palatino Linotype" w:eastAsia="Times New Roman" w:hAnsi="Palatino Linotype" w:cs="Times New Roman"/>
                <w:color w:val="000000"/>
              </w:rPr>
            </w:pPr>
            <w:r>
              <w:rPr>
                <w:rFonts w:ascii="Palatino Linotype" w:eastAsia="Times New Roman" w:hAnsi="Palatino Linotype" w:cs="Times New Roman"/>
                <w:color w:val="000000"/>
              </w:rPr>
              <w:t>Petunjuk pelaksanaan</w:t>
            </w:r>
          </w:p>
        </w:tc>
        <w:tc>
          <w:tcPr>
            <w:tcW w:w="1181" w:type="dxa"/>
            <w:tcBorders>
              <w:top w:val="nil"/>
              <w:left w:val="nil"/>
              <w:bottom w:val="nil"/>
              <w:right w:val="nil"/>
            </w:tcBorders>
            <w:vAlign w:val="center"/>
            <w:hideMark/>
          </w:tcPr>
          <w:p w14:paraId="064A6D6A"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9</w:t>
            </w:r>
          </w:p>
        </w:tc>
        <w:tc>
          <w:tcPr>
            <w:tcW w:w="460" w:type="dxa"/>
            <w:tcBorders>
              <w:top w:val="nil"/>
              <w:left w:val="nil"/>
              <w:bottom w:val="nil"/>
              <w:right w:val="nil"/>
            </w:tcBorders>
            <w:vAlign w:val="center"/>
            <w:hideMark/>
          </w:tcPr>
          <w:p w14:paraId="70543F77"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4</w:t>
            </w:r>
          </w:p>
        </w:tc>
        <w:tc>
          <w:tcPr>
            <w:tcW w:w="460" w:type="dxa"/>
            <w:tcBorders>
              <w:top w:val="nil"/>
              <w:left w:val="nil"/>
              <w:bottom w:val="nil"/>
              <w:right w:val="nil"/>
            </w:tcBorders>
            <w:vAlign w:val="center"/>
            <w:hideMark/>
          </w:tcPr>
          <w:p w14:paraId="6B13AEC4"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5</w:t>
            </w:r>
          </w:p>
        </w:tc>
        <w:tc>
          <w:tcPr>
            <w:tcW w:w="460" w:type="dxa"/>
            <w:tcBorders>
              <w:top w:val="nil"/>
              <w:left w:val="nil"/>
              <w:bottom w:val="nil"/>
              <w:right w:val="nil"/>
            </w:tcBorders>
            <w:vAlign w:val="center"/>
            <w:hideMark/>
          </w:tcPr>
          <w:p w14:paraId="6D247CD4"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4</w:t>
            </w:r>
          </w:p>
        </w:tc>
        <w:tc>
          <w:tcPr>
            <w:tcW w:w="461" w:type="dxa"/>
            <w:tcBorders>
              <w:top w:val="nil"/>
              <w:left w:val="nil"/>
              <w:bottom w:val="nil"/>
              <w:right w:val="nil"/>
            </w:tcBorders>
            <w:vAlign w:val="center"/>
            <w:hideMark/>
          </w:tcPr>
          <w:p w14:paraId="2BD5B2F3"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5</w:t>
            </w:r>
          </w:p>
        </w:tc>
        <w:tc>
          <w:tcPr>
            <w:tcW w:w="714" w:type="dxa"/>
            <w:tcBorders>
              <w:top w:val="nil"/>
              <w:left w:val="nil"/>
              <w:bottom w:val="nil"/>
              <w:right w:val="nil"/>
            </w:tcBorders>
            <w:vAlign w:val="center"/>
            <w:hideMark/>
          </w:tcPr>
          <w:p w14:paraId="403ED757"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18</w:t>
            </w:r>
          </w:p>
        </w:tc>
        <w:tc>
          <w:tcPr>
            <w:tcW w:w="774" w:type="dxa"/>
            <w:vMerge w:val="restart"/>
            <w:tcBorders>
              <w:top w:val="nil"/>
              <w:left w:val="nil"/>
              <w:bottom w:val="nil"/>
              <w:right w:val="nil"/>
            </w:tcBorders>
            <w:vAlign w:val="center"/>
            <w:hideMark/>
          </w:tcPr>
          <w:p w14:paraId="45D7EDE3"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0.875</w:t>
            </w:r>
          </w:p>
        </w:tc>
        <w:tc>
          <w:tcPr>
            <w:tcW w:w="1078" w:type="dxa"/>
            <w:vMerge w:val="restart"/>
            <w:tcBorders>
              <w:top w:val="nil"/>
              <w:left w:val="nil"/>
              <w:bottom w:val="nil"/>
              <w:right w:val="nil"/>
            </w:tcBorders>
            <w:vAlign w:val="center"/>
            <w:hideMark/>
          </w:tcPr>
          <w:p w14:paraId="07CDE9AC"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SB</w:t>
            </w:r>
          </w:p>
        </w:tc>
        <w:tc>
          <w:tcPr>
            <w:tcW w:w="1299" w:type="dxa"/>
            <w:vMerge w:val="restart"/>
            <w:tcBorders>
              <w:top w:val="nil"/>
              <w:left w:val="nil"/>
              <w:bottom w:val="nil"/>
              <w:right w:val="nil"/>
            </w:tcBorders>
            <w:vAlign w:val="center"/>
            <w:hideMark/>
          </w:tcPr>
          <w:p w14:paraId="018A148D"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87.50%</w:t>
            </w:r>
          </w:p>
        </w:tc>
      </w:tr>
      <w:tr w:rsidR="007604AD" w14:paraId="3345E417" w14:textId="77777777" w:rsidTr="007604AD">
        <w:trPr>
          <w:trHeight w:val="306"/>
          <w:jc w:val="center"/>
        </w:trPr>
        <w:tc>
          <w:tcPr>
            <w:tcW w:w="0" w:type="auto"/>
            <w:vMerge/>
            <w:tcBorders>
              <w:top w:val="nil"/>
              <w:left w:val="nil"/>
              <w:bottom w:val="nil"/>
              <w:right w:val="nil"/>
            </w:tcBorders>
            <w:vAlign w:val="center"/>
            <w:hideMark/>
          </w:tcPr>
          <w:p w14:paraId="0B70FB3A" w14:textId="77777777" w:rsidR="007604AD" w:rsidRDefault="007604AD">
            <w:pPr>
              <w:rPr>
                <w:rFonts w:ascii="Palatino Linotype" w:eastAsia="Times New Roman" w:hAnsi="Palatino Linotype" w:cs="Times New Roman"/>
                <w:color w:val="000000"/>
              </w:rPr>
            </w:pPr>
          </w:p>
        </w:tc>
        <w:tc>
          <w:tcPr>
            <w:tcW w:w="0" w:type="auto"/>
            <w:vMerge/>
            <w:tcBorders>
              <w:top w:val="nil"/>
              <w:left w:val="nil"/>
              <w:bottom w:val="nil"/>
              <w:right w:val="nil"/>
            </w:tcBorders>
            <w:vAlign w:val="center"/>
            <w:hideMark/>
          </w:tcPr>
          <w:p w14:paraId="086285BA" w14:textId="77777777" w:rsidR="007604AD" w:rsidRDefault="007604AD">
            <w:pPr>
              <w:rPr>
                <w:rFonts w:ascii="Palatino Linotype" w:eastAsia="Times New Roman" w:hAnsi="Palatino Linotype" w:cs="Times New Roman"/>
                <w:color w:val="000000"/>
              </w:rPr>
            </w:pPr>
          </w:p>
        </w:tc>
        <w:tc>
          <w:tcPr>
            <w:tcW w:w="1181" w:type="dxa"/>
            <w:tcBorders>
              <w:top w:val="nil"/>
              <w:left w:val="nil"/>
              <w:bottom w:val="nil"/>
              <w:right w:val="nil"/>
            </w:tcBorders>
            <w:vAlign w:val="center"/>
            <w:hideMark/>
          </w:tcPr>
          <w:p w14:paraId="46B0DB64"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10</w:t>
            </w:r>
          </w:p>
        </w:tc>
        <w:tc>
          <w:tcPr>
            <w:tcW w:w="460" w:type="dxa"/>
            <w:tcBorders>
              <w:top w:val="nil"/>
              <w:left w:val="nil"/>
              <w:bottom w:val="nil"/>
              <w:right w:val="nil"/>
            </w:tcBorders>
            <w:vAlign w:val="center"/>
            <w:hideMark/>
          </w:tcPr>
          <w:p w14:paraId="09DD70F9"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4</w:t>
            </w:r>
          </w:p>
        </w:tc>
        <w:tc>
          <w:tcPr>
            <w:tcW w:w="460" w:type="dxa"/>
            <w:tcBorders>
              <w:top w:val="nil"/>
              <w:left w:val="nil"/>
              <w:bottom w:val="nil"/>
              <w:right w:val="nil"/>
            </w:tcBorders>
            <w:vAlign w:val="center"/>
            <w:hideMark/>
          </w:tcPr>
          <w:p w14:paraId="0F43AFF7"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4</w:t>
            </w:r>
          </w:p>
        </w:tc>
        <w:tc>
          <w:tcPr>
            <w:tcW w:w="460" w:type="dxa"/>
            <w:tcBorders>
              <w:top w:val="nil"/>
              <w:left w:val="nil"/>
              <w:bottom w:val="nil"/>
              <w:right w:val="nil"/>
            </w:tcBorders>
            <w:vAlign w:val="center"/>
            <w:hideMark/>
          </w:tcPr>
          <w:p w14:paraId="32C2505A"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4</w:t>
            </w:r>
          </w:p>
        </w:tc>
        <w:tc>
          <w:tcPr>
            <w:tcW w:w="461" w:type="dxa"/>
            <w:tcBorders>
              <w:top w:val="nil"/>
              <w:left w:val="nil"/>
              <w:bottom w:val="nil"/>
              <w:right w:val="nil"/>
            </w:tcBorders>
            <w:vAlign w:val="center"/>
            <w:hideMark/>
          </w:tcPr>
          <w:p w14:paraId="63915A52"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5</w:t>
            </w:r>
          </w:p>
        </w:tc>
        <w:tc>
          <w:tcPr>
            <w:tcW w:w="714" w:type="dxa"/>
            <w:tcBorders>
              <w:top w:val="nil"/>
              <w:left w:val="nil"/>
              <w:bottom w:val="nil"/>
              <w:right w:val="nil"/>
            </w:tcBorders>
            <w:vAlign w:val="center"/>
            <w:hideMark/>
          </w:tcPr>
          <w:p w14:paraId="5A42DC85"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17</w:t>
            </w:r>
          </w:p>
        </w:tc>
        <w:tc>
          <w:tcPr>
            <w:tcW w:w="0" w:type="auto"/>
            <w:vMerge/>
            <w:tcBorders>
              <w:top w:val="nil"/>
              <w:left w:val="nil"/>
              <w:bottom w:val="nil"/>
              <w:right w:val="nil"/>
            </w:tcBorders>
            <w:vAlign w:val="center"/>
            <w:hideMark/>
          </w:tcPr>
          <w:p w14:paraId="5212C743" w14:textId="77777777" w:rsidR="007604AD" w:rsidRDefault="007604AD">
            <w:pPr>
              <w:rPr>
                <w:rFonts w:ascii="Palatino Linotype" w:eastAsia="Times New Roman" w:hAnsi="Palatino Linotype" w:cs="Times New Roman"/>
                <w:color w:val="000000"/>
              </w:rPr>
            </w:pPr>
          </w:p>
        </w:tc>
        <w:tc>
          <w:tcPr>
            <w:tcW w:w="0" w:type="auto"/>
            <w:vMerge/>
            <w:tcBorders>
              <w:top w:val="nil"/>
              <w:left w:val="nil"/>
              <w:bottom w:val="nil"/>
              <w:right w:val="nil"/>
            </w:tcBorders>
            <w:vAlign w:val="center"/>
            <w:hideMark/>
          </w:tcPr>
          <w:p w14:paraId="3573333A" w14:textId="77777777" w:rsidR="007604AD" w:rsidRDefault="007604AD">
            <w:pPr>
              <w:rPr>
                <w:rFonts w:ascii="Palatino Linotype" w:eastAsia="Times New Roman" w:hAnsi="Palatino Linotype" w:cs="Times New Roman"/>
                <w:color w:val="000000"/>
              </w:rPr>
            </w:pPr>
          </w:p>
        </w:tc>
        <w:tc>
          <w:tcPr>
            <w:tcW w:w="0" w:type="auto"/>
            <w:vMerge/>
            <w:tcBorders>
              <w:top w:val="nil"/>
              <w:left w:val="nil"/>
              <w:bottom w:val="nil"/>
              <w:right w:val="nil"/>
            </w:tcBorders>
            <w:vAlign w:val="center"/>
            <w:hideMark/>
          </w:tcPr>
          <w:p w14:paraId="1F810267" w14:textId="77777777" w:rsidR="007604AD" w:rsidRDefault="007604AD">
            <w:pPr>
              <w:rPr>
                <w:rFonts w:ascii="Palatino Linotype" w:eastAsia="Times New Roman" w:hAnsi="Palatino Linotype" w:cs="Times New Roman"/>
                <w:color w:val="000000"/>
              </w:rPr>
            </w:pPr>
          </w:p>
        </w:tc>
      </w:tr>
      <w:tr w:rsidR="007604AD" w14:paraId="0B97E743" w14:textId="77777777" w:rsidTr="007604AD">
        <w:trPr>
          <w:trHeight w:val="445"/>
          <w:jc w:val="center"/>
        </w:trPr>
        <w:tc>
          <w:tcPr>
            <w:tcW w:w="3199" w:type="dxa"/>
            <w:gridSpan w:val="3"/>
            <w:vMerge w:val="restart"/>
            <w:tcBorders>
              <w:top w:val="nil"/>
              <w:left w:val="nil"/>
              <w:bottom w:val="single" w:sz="4" w:space="0" w:color="auto"/>
              <w:right w:val="nil"/>
            </w:tcBorders>
            <w:vAlign w:val="center"/>
            <w:hideMark/>
          </w:tcPr>
          <w:p w14:paraId="1B4C0273" w14:textId="77777777" w:rsidR="007604AD" w:rsidRDefault="007604AD">
            <w:pPr>
              <w:rPr>
                <w:rFonts w:ascii="Palatino Linotype" w:eastAsia="Times New Roman" w:hAnsi="Palatino Linotype" w:cs="Times New Roman"/>
                <w:color w:val="000000"/>
              </w:rPr>
            </w:pPr>
            <w:r>
              <w:rPr>
                <w:rFonts w:ascii="Palatino Linotype" w:eastAsia="Times New Roman" w:hAnsi="Palatino Linotype" w:cs="Times New Roman"/>
                <w:color w:val="000000"/>
              </w:rPr>
              <w:t>Jumlah Skor</w:t>
            </w:r>
          </w:p>
        </w:tc>
        <w:tc>
          <w:tcPr>
            <w:tcW w:w="460" w:type="dxa"/>
            <w:vMerge w:val="restart"/>
            <w:tcBorders>
              <w:top w:val="nil"/>
              <w:left w:val="nil"/>
              <w:bottom w:val="single" w:sz="4" w:space="0" w:color="auto"/>
              <w:right w:val="nil"/>
            </w:tcBorders>
            <w:vAlign w:val="center"/>
            <w:hideMark/>
          </w:tcPr>
          <w:p w14:paraId="4E06C32E"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43</w:t>
            </w:r>
          </w:p>
        </w:tc>
        <w:tc>
          <w:tcPr>
            <w:tcW w:w="460" w:type="dxa"/>
            <w:vMerge w:val="restart"/>
            <w:tcBorders>
              <w:top w:val="nil"/>
              <w:left w:val="nil"/>
              <w:bottom w:val="single" w:sz="4" w:space="0" w:color="auto"/>
              <w:right w:val="nil"/>
            </w:tcBorders>
            <w:vAlign w:val="center"/>
            <w:hideMark/>
          </w:tcPr>
          <w:p w14:paraId="747A8789"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44</w:t>
            </w:r>
          </w:p>
        </w:tc>
        <w:tc>
          <w:tcPr>
            <w:tcW w:w="460" w:type="dxa"/>
            <w:vMerge w:val="restart"/>
            <w:tcBorders>
              <w:top w:val="nil"/>
              <w:left w:val="nil"/>
              <w:bottom w:val="single" w:sz="4" w:space="0" w:color="auto"/>
              <w:right w:val="nil"/>
            </w:tcBorders>
            <w:vAlign w:val="center"/>
            <w:hideMark/>
          </w:tcPr>
          <w:p w14:paraId="1BAE8C15"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40</w:t>
            </w:r>
          </w:p>
        </w:tc>
        <w:tc>
          <w:tcPr>
            <w:tcW w:w="461" w:type="dxa"/>
            <w:vMerge w:val="restart"/>
            <w:tcBorders>
              <w:top w:val="nil"/>
              <w:left w:val="nil"/>
              <w:bottom w:val="single" w:sz="4" w:space="0" w:color="auto"/>
              <w:right w:val="nil"/>
            </w:tcBorders>
            <w:vAlign w:val="center"/>
            <w:hideMark/>
          </w:tcPr>
          <w:p w14:paraId="1240B81B"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45</w:t>
            </w:r>
          </w:p>
        </w:tc>
        <w:tc>
          <w:tcPr>
            <w:tcW w:w="714" w:type="dxa"/>
            <w:vMerge w:val="restart"/>
            <w:tcBorders>
              <w:top w:val="nil"/>
              <w:left w:val="nil"/>
              <w:bottom w:val="single" w:sz="4" w:space="0" w:color="auto"/>
              <w:right w:val="nil"/>
            </w:tcBorders>
            <w:vAlign w:val="center"/>
            <w:hideMark/>
          </w:tcPr>
          <w:p w14:paraId="57E3994E"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172</w:t>
            </w:r>
          </w:p>
        </w:tc>
        <w:tc>
          <w:tcPr>
            <w:tcW w:w="774" w:type="dxa"/>
            <w:vMerge w:val="restart"/>
            <w:tcBorders>
              <w:top w:val="nil"/>
              <w:left w:val="nil"/>
              <w:bottom w:val="single" w:sz="4" w:space="0" w:color="auto"/>
              <w:right w:val="nil"/>
            </w:tcBorders>
            <w:vAlign w:val="center"/>
            <w:hideMark/>
          </w:tcPr>
          <w:p w14:paraId="517D39B3"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0.86</w:t>
            </w:r>
          </w:p>
        </w:tc>
        <w:tc>
          <w:tcPr>
            <w:tcW w:w="1078" w:type="dxa"/>
            <w:vMerge w:val="restart"/>
            <w:tcBorders>
              <w:top w:val="nil"/>
              <w:left w:val="nil"/>
              <w:bottom w:val="single" w:sz="4" w:space="0" w:color="auto"/>
              <w:right w:val="nil"/>
            </w:tcBorders>
            <w:vAlign w:val="center"/>
            <w:hideMark/>
          </w:tcPr>
          <w:p w14:paraId="4C1B653D"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SB</w:t>
            </w:r>
          </w:p>
        </w:tc>
        <w:tc>
          <w:tcPr>
            <w:tcW w:w="1299" w:type="dxa"/>
            <w:vMerge w:val="restart"/>
            <w:tcBorders>
              <w:top w:val="nil"/>
              <w:left w:val="nil"/>
              <w:bottom w:val="single" w:sz="4" w:space="0" w:color="auto"/>
              <w:right w:val="nil"/>
            </w:tcBorders>
            <w:vAlign w:val="center"/>
            <w:hideMark/>
          </w:tcPr>
          <w:p w14:paraId="5207AD80" w14:textId="77777777" w:rsidR="007604AD" w:rsidRDefault="007604AD">
            <w:pPr>
              <w:jc w:val="center"/>
              <w:rPr>
                <w:rFonts w:ascii="Palatino Linotype" w:eastAsia="Times New Roman" w:hAnsi="Palatino Linotype" w:cs="Times New Roman"/>
                <w:color w:val="000000"/>
              </w:rPr>
            </w:pPr>
            <w:r>
              <w:rPr>
                <w:rFonts w:ascii="Palatino Linotype" w:eastAsia="Times New Roman" w:hAnsi="Palatino Linotype" w:cs="Times New Roman"/>
                <w:color w:val="000000"/>
              </w:rPr>
              <w:t>86%</w:t>
            </w:r>
          </w:p>
        </w:tc>
      </w:tr>
      <w:tr w:rsidR="007604AD" w14:paraId="2E4658F4" w14:textId="77777777" w:rsidTr="007604AD">
        <w:trPr>
          <w:trHeight w:val="445"/>
          <w:jc w:val="center"/>
        </w:trPr>
        <w:tc>
          <w:tcPr>
            <w:tcW w:w="0" w:type="auto"/>
            <w:gridSpan w:val="3"/>
            <w:vMerge/>
            <w:tcBorders>
              <w:top w:val="nil"/>
              <w:left w:val="nil"/>
              <w:bottom w:val="single" w:sz="4" w:space="0" w:color="auto"/>
              <w:right w:val="nil"/>
            </w:tcBorders>
            <w:vAlign w:val="center"/>
            <w:hideMark/>
          </w:tcPr>
          <w:p w14:paraId="5D8FAE0F" w14:textId="77777777" w:rsidR="007604AD" w:rsidRDefault="007604AD">
            <w:pPr>
              <w:rPr>
                <w:rFonts w:ascii="Palatino Linotype" w:eastAsia="Times New Roman" w:hAnsi="Palatino Linotype" w:cs="Times New Roman"/>
                <w:color w:val="000000"/>
              </w:rPr>
            </w:pPr>
          </w:p>
        </w:tc>
        <w:tc>
          <w:tcPr>
            <w:tcW w:w="0" w:type="auto"/>
            <w:vMerge/>
            <w:tcBorders>
              <w:top w:val="nil"/>
              <w:left w:val="nil"/>
              <w:bottom w:val="single" w:sz="4" w:space="0" w:color="auto"/>
              <w:right w:val="nil"/>
            </w:tcBorders>
            <w:vAlign w:val="center"/>
            <w:hideMark/>
          </w:tcPr>
          <w:p w14:paraId="6C15628B" w14:textId="77777777" w:rsidR="007604AD" w:rsidRDefault="007604AD">
            <w:pPr>
              <w:rPr>
                <w:rFonts w:ascii="Palatino Linotype" w:eastAsia="Times New Roman" w:hAnsi="Palatino Linotype" w:cs="Times New Roman"/>
                <w:color w:val="000000"/>
              </w:rPr>
            </w:pPr>
          </w:p>
        </w:tc>
        <w:tc>
          <w:tcPr>
            <w:tcW w:w="0" w:type="auto"/>
            <w:vMerge/>
            <w:tcBorders>
              <w:top w:val="nil"/>
              <w:left w:val="nil"/>
              <w:bottom w:val="single" w:sz="4" w:space="0" w:color="auto"/>
              <w:right w:val="nil"/>
            </w:tcBorders>
            <w:vAlign w:val="center"/>
            <w:hideMark/>
          </w:tcPr>
          <w:p w14:paraId="0B725A52" w14:textId="77777777" w:rsidR="007604AD" w:rsidRDefault="007604AD">
            <w:pPr>
              <w:rPr>
                <w:rFonts w:ascii="Palatino Linotype" w:eastAsia="Times New Roman" w:hAnsi="Palatino Linotype" w:cs="Times New Roman"/>
                <w:color w:val="000000"/>
              </w:rPr>
            </w:pPr>
          </w:p>
        </w:tc>
        <w:tc>
          <w:tcPr>
            <w:tcW w:w="0" w:type="auto"/>
            <w:vMerge/>
            <w:tcBorders>
              <w:top w:val="nil"/>
              <w:left w:val="nil"/>
              <w:bottom w:val="single" w:sz="4" w:space="0" w:color="auto"/>
              <w:right w:val="nil"/>
            </w:tcBorders>
            <w:vAlign w:val="center"/>
            <w:hideMark/>
          </w:tcPr>
          <w:p w14:paraId="3CFFBDF4" w14:textId="77777777" w:rsidR="007604AD" w:rsidRDefault="007604AD">
            <w:pPr>
              <w:rPr>
                <w:rFonts w:ascii="Palatino Linotype" w:eastAsia="Times New Roman" w:hAnsi="Palatino Linotype" w:cs="Times New Roman"/>
                <w:color w:val="000000"/>
              </w:rPr>
            </w:pPr>
          </w:p>
        </w:tc>
        <w:tc>
          <w:tcPr>
            <w:tcW w:w="0" w:type="auto"/>
            <w:vMerge/>
            <w:tcBorders>
              <w:top w:val="nil"/>
              <w:left w:val="nil"/>
              <w:bottom w:val="single" w:sz="4" w:space="0" w:color="auto"/>
              <w:right w:val="nil"/>
            </w:tcBorders>
            <w:vAlign w:val="center"/>
            <w:hideMark/>
          </w:tcPr>
          <w:p w14:paraId="3A26FC07" w14:textId="77777777" w:rsidR="007604AD" w:rsidRDefault="007604AD">
            <w:pPr>
              <w:rPr>
                <w:rFonts w:ascii="Palatino Linotype" w:eastAsia="Times New Roman" w:hAnsi="Palatino Linotype" w:cs="Times New Roman"/>
                <w:color w:val="000000"/>
              </w:rPr>
            </w:pPr>
          </w:p>
        </w:tc>
        <w:tc>
          <w:tcPr>
            <w:tcW w:w="0" w:type="auto"/>
            <w:vMerge/>
            <w:tcBorders>
              <w:top w:val="nil"/>
              <w:left w:val="nil"/>
              <w:bottom w:val="single" w:sz="4" w:space="0" w:color="auto"/>
              <w:right w:val="nil"/>
            </w:tcBorders>
            <w:vAlign w:val="center"/>
            <w:hideMark/>
          </w:tcPr>
          <w:p w14:paraId="049F6FD7" w14:textId="77777777" w:rsidR="007604AD" w:rsidRDefault="007604AD">
            <w:pPr>
              <w:rPr>
                <w:rFonts w:ascii="Palatino Linotype" w:eastAsia="Times New Roman" w:hAnsi="Palatino Linotype" w:cs="Times New Roman"/>
                <w:color w:val="000000"/>
              </w:rPr>
            </w:pPr>
          </w:p>
        </w:tc>
        <w:tc>
          <w:tcPr>
            <w:tcW w:w="0" w:type="auto"/>
            <w:vMerge/>
            <w:tcBorders>
              <w:top w:val="nil"/>
              <w:left w:val="nil"/>
              <w:bottom w:val="single" w:sz="4" w:space="0" w:color="auto"/>
              <w:right w:val="nil"/>
            </w:tcBorders>
            <w:vAlign w:val="center"/>
            <w:hideMark/>
          </w:tcPr>
          <w:p w14:paraId="73922FAB" w14:textId="77777777" w:rsidR="007604AD" w:rsidRDefault="007604AD">
            <w:pPr>
              <w:rPr>
                <w:rFonts w:ascii="Palatino Linotype" w:eastAsia="Times New Roman" w:hAnsi="Palatino Linotype" w:cs="Times New Roman"/>
                <w:color w:val="000000"/>
              </w:rPr>
            </w:pPr>
          </w:p>
        </w:tc>
        <w:tc>
          <w:tcPr>
            <w:tcW w:w="0" w:type="auto"/>
            <w:vMerge/>
            <w:tcBorders>
              <w:top w:val="nil"/>
              <w:left w:val="nil"/>
              <w:bottom w:val="single" w:sz="4" w:space="0" w:color="auto"/>
              <w:right w:val="nil"/>
            </w:tcBorders>
            <w:vAlign w:val="center"/>
            <w:hideMark/>
          </w:tcPr>
          <w:p w14:paraId="4A3BA589" w14:textId="77777777" w:rsidR="007604AD" w:rsidRDefault="007604AD">
            <w:pPr>
              <w:rPr>
                <w:rFonts w:ascii="Palatino Linotype" w:eastAsia="Times New Roman" w:hAnsi="Palatino Linotype" w:cs="Times New Roman"/>
                <w:color w:val="000000"/>
              </w:rPr>
            </w:pPr>
          </w:p>
        </w:tc>
        <w:tc>
          <w:tcPr>
            <w:tcW w:w="0" w:type="auto"/>
            <w:vMerge/>
            <w:tcBorders>
              <w:top w:val="nil"/>
              <w:left w:val="nil"/>
              <w:bottom w:val="single" w:sz="4" w:space="0" w:color="auto"/>
              <w:right w:val="nil"/>
            </w:tcBorders>
            <w:vAlign w:val="center"/>
            <w:hideMark/>
          </w:tcPr>
          <w:p w14:paraId="6D4A60B1" w14:textId="77777777" w:rsidR="007604AD" w:rsidRDefault="007604AD">
            <w:pPr>
              <w:rPr>
                <w:rFonts w:ascii="Palatino Linotype" w:eastAsia="Times New Roman" w:hAnsi="Palatino Linotype" w:cs="Times New Roman"/>
                <w:color w:val="000000"/>
              </w:rPr>
            </w:pPr>
          </w:p>
        </w:tc>
      </w:tr>
    </w:tbl>
    <w:p w14:paraId="5BCF5E82" w14:textId="77777777" w:rsidR="007604AD" w:rsidRDefault="007604AD" w:rsidP="007604AD">
      <w:pPr>
        <w:autoSpaceDE w:val="0"/>
        <w:autoSpaceDN w:val="0"/>
        <w:adjustRightInd w:val="0"/>
        <w:spacing w:line="360" w:lineRule="auto"/>
        <w:ind w:left="284" w:firstLine="709"/>
        <w:jc w:val="both"/>
        <w:rPr>
          <w:rFonts w:ascii="Palatino Linotype" w:hAnsi="Palatino Linotype" w:cs="Times New Roman"/>
          <w:color w:val="000000"/>
        </w:rPr>
      </w:pPr>
    </w:p>
    <w:p w14:paraId="3D698136" w14:textId="77777777" w:rsidR="007604AD" w:rsidRDefault="007604AD" w:rsidP="007604AD">
      <w:pPr>
        <w:pStyle w:val="ListParagraph"/>
        <w:spacing w:line="360" w:lineRule="auto"/>
        <w:ind w:left="284" w:firstLine="709"/>
        <w:jc w:val="both"/>
        <w:rPr>
          <w:rFonts w:ascii="Palatino Linotype" w:hAnsi="Palatino Linotype" w:cs="Times New Roman"/>
        </w:rPr>
      </w:pPr>
      <w:r>
        <w:rPr>
          <w:rFonts w:ascii="Palatino Linotype" w:hAnsi="Palatino Linotype" w:cs="Times New Roman"/>
        </w:rPr>
        <w:t xml:space="preserve">Berikutnya menghitung validitas isi suatu butir dapat dibuktikan dengan menggunakan CVR dan CVI. CVR dan CVI diusulkan oleh Lawshe pada tahun 1975 dengan menggunakan 3 skala rating </w:t>
      </w:r>
      <w:r>
        <w:rPr>
          <w:rFonts w:ascii="Palatino Linotype" w:hAnsi="Palatino Linotype" w:cs="Times New Roman"/>
        </w:rPr>
        <w:fldChar w:fldCharType="begin" w:fldLock="1"/>
      </w:r>
      <w:r>
        <w:rPr>
          <w:rFonts w:ascii="Palatino Linotype" w:hAnsi="Palatino Linotype" w:cs="Times New Roman"/>
        </w:rPr>
        <w:instrText>ADDIN CSL_CITATION {"citationItems":[{"id":"ITEM-1","itemData":{"DOI":"10.1111/j.1744-6570.1975.tb01393.x","ISSN":"17446570","author":[{"dropping-particle":"","family":"LAWSHE","given":"C. H.","non-dropping-particle":"","parse-names":false,"suffix":""}],"container-title":"Personnel Psychology","id":"ITEM-1","issued":{"date-parts":[["1975"]]},"title":"A QUANTITATIVE APPROACH TO CONTENT VALIDITY","type":"article-journal"},"uris":["http://www.mendeley.com/documents/?uuid=cdc1d505-edd0-449a-a9c8-134ce229639f"]}],"mendeley":{"formattedCitation":"(LAWSHE, 1975)","plainTextFormattedCitation":"(LAWSHE, 1975)","previouslyFormattedCitation":"(LAWSHE, 1975)"},"properties":{"noteIndex":0},"schema":"https://github.com/citation-style-language/schema/raw/master/csl-citation.json"}</w:instrText>
      </w:r>
      <w:r>
        <w:rPr>
          <w:rFonts w:ascii="Palatino Linotype" w:hAnsi="Palatino Linotype" w:cs="Times New Roman"/>
        </w:rPr>
        <w:fldChar w:fldCharType="separate"/>
      </w:r>
      <w:r>
        <w:rPr>
          <w:rFonts w:ascii="Palatino Linotype" w:hAnsi="Palatino Linotype" w:cs="Times New Roman"/>
          <w:noProof/>
        </w:rPr>
        <w:t>(LAWSHE, 1975)</w:t>
      </w:r>
      <w:r>
        <w:rPr>
          <w:rFonts w:ascii="Palatino Linotype" w:hAnsi="Palatino Linotype" w:cs="Times New Roman"/>
        </w:rPr>
        <w:fldChar w:fldCharType="end"/>
      </w:r>
      <w:r>
        <w:rPr>
          <w:rFonts w:ascii="Palatino Linotype" w:hAnsi="Palatino Linotype" w:cs="Times New Roman"/>
        </w:rPr>
        <w:t xml:space="preserve">. Pada tahun 1985, Aiken mengusulkan konsep validitas isi dengan lebih rinci. Kerincian tersebut terlihat dari </w:t>
      </w:r>
      <w:r>
        <w:rPr>
          <w:rFonts w:ascii="Palatino Linotype" w:hAnsi="Palatino Linotype" w:cs="Times New Roman"/>
        </w:rPr>
        <w:lastRenderedPageBreak/>
        <w:t xml:space="preserve">standar kevalidan yang dipengaruhi oleh jumlah rater dan skala rating yang digunakan </w:t>
      </w:r>
      <w:r>
        <w:rPr>
          <w:rFonts w:ascii="Palatino Linotype" w:hAnsi="Palatino Linotype" w:cs="Times New Roman"/>
        </w:rPr>
        <w:fldChar w:fldCharType="begin" w:fldLock="1"/>
      </w:r>
      <w:r>
        <w:rPr>
          <w:rFonts w:ascii="Palatino Linotype" w:hAnsi="Palatino Linotype" w:cs="Times New Roman"/>
        </w:rPr>
        <w:instrText>ADDIN CSL_CITATION {"citationItems":[{"id":"ITEM-1","itemData":{"DOI":"10.1177/07399863870092005","ISBN":"1552-6364(Electronic);0739-9863(Print)","ISSN":"15526364","PMID":"532","author":[{"dropping-particle":"","family":"R","given":"Aiken Lewis","non-dropping-particle":"","parse-names":false,"suffix":""}],"container-title":"Educational and Psychological Measurement","id":"ITEM-1","issued":{"date-parts":[["1985"]]},"page":"131-142","title":"Three Coefficients for Analysing Reliability and Validity of Rating.","type":"article-journal","volume":"45"},"uris":["http://www.mendeley.com/documents/?uuid=926ce2dc-e40e-40d4-97bb-268fc7abf3cd"]}],"mendeley":{"formattedCitation":"(R, 1985)","manualFormatting":"(R lewis, 1985)","plainTextFormattedCitation":"(R, 1985)","previouslyFormattedCitation":"(R, 1985)"},"properties":{"noteIndex":0},"schema":"https://github.com/citation-style-language/schema/raw/master/csl-citation.json"}</w:instrText>
      </w:r>
      <w:r>
        <w:rPr>
          <w:rFonts w:ascii="Palatino Linotype" w:hAnsi="Palatino Linotype" w:cs="Times New Roman"/>
        </w:rPr>
        <w:fldChar w:fldCharType="separate"/>
      </w:r>
      <w:r>
        <w:rPr>
          <w:rFonts w:ascii="Palatino Linotype" w:hAnsi="Palatino Linotype" w:cs="Times New Roman"/>
          <w:noProof/>
        </w:rPr>
        <w:t>(R lewis, 1985)</w:t>
      </w:r>
      <w:r>
        <w:rPr>
          <w:rFonts w:ascii="Palatino Linotype" w:hAnsi="Palatino Linotype" w:cs="Times New Roman"/>
        </w:rPr>
        <w:fldChar w:fldCharType="end"/>
      </w:r>
      <w:r>
        <w:rPr>
          <w:rFonts w:ascii="Palatino Linotype" w:hAnsi="Palatino Linotype" w:cs="Times New Roman"/>
        </w:rPr>
        <w:t xml:space="preserve">. </w:t>
      </w:r>
    </w:p>
    <w:p w14:paraId="138EC23F" w14:textId="77777777" w:rsidR="007604AD" w:rsidRDefault="007604AD" w:rsidP="007604AD">
      <w:pPr>
        <w:pStyle w:val="ListParagraph"/>
        <w:spacing w:line="360" w:lineRule="auto"/>
        <w:ind w:left="284" w:firstLine="709"/>
        <w:jc w:val="both"/>
        <w:rPr>
          <w:rFonts w:ascii="Palatino Linotype" w:hAnsi="Palatino Linotype" w:cs="Times New Roman"/>
        </w:rPr>
      </w:pPr>
      <w:r>
        <w:rPr>
          <w:rFonts w:ascii="Palatino Linotype" w:hAnsi="Palatino Linotype" w:cs="Times New Roman"/>
        </w:rPr>
        <w:t xml:space="preserve">Nilai CVR memiliki rentang antara -1 sampai dengan 1. Jika setengah dari SME menyatakan esensial maka nilai CVR akan bernilai 0. CVR akan bernilai 1 jika seluruh SME menyatakan esensial untuk suatu butir. Koefisien validitas Aiken didapatkan perhitungan dengan skor mentah dari ahli yang berjumlah n. Nilai koefisien V Aiken memiliki rentang antara -1 sampai dengan 1 </w:t>
      </w:r>
      <w:r>
        <w:rPr>
          <w:rFonts w:ascii="Palatino Linotype" w:hAnsi="Palatino Linotype" w:cs="Times New Roman"/>
        </w:rPr>
        <w:fldChar w:fldCharType="begin" w:fldLock="1"/>
      </w:r>
      <w:r>
        <w:rPr>
          <w:rFonts w:ascii="Palatino Linotype" w:hAnsi="Palatino Linotype" w:cs="Times New Roman"/>
        </w:rPr>
        <w:instrText>ADDIN CSL_CITATION {"citationItems":[{"id":"ITEM-1","itemData":{"DOI":"10.33122/ijtmer.v2i3.81","abstract":"This study aims to develop an assessment instrument of mathematical problem-solving skills in senior high school. The developed assessment instrument includes instrument outlines, items of mathematical problem-solving skill in senior high school instrument, and scoring guidelines. The development procedures include 1) Planning the test, 2) Trying out the test, and 3) Establishing the Validity Test, 4) Establishing Test Reliability, and 5) Interpreting the Test Score. The trial was conducted on 508 respondents involving 4 experts and 1 practitioner as raters. The interpretation of the results of the trial is intended to find out the instrument construction and the validity and reliability of the assessment instrument. A problem-solving skill assessment instrument has been validated by the raters. Indicators to be measured include understanding problems, formulating strategies, implementing the strategies, and interpreting the results. The reliability coefficient of the results of the trial is categorized as good in which the Cronbach Alpha value is 0.82. Therefore, the developed instrument can be used to measure the mathematical problem-solving skills in senior high school.","author":[{"dropping-particle":"","family":"Fitriana","given":"Dyah Ayu","non-dropping-particle":"","parse-names":false,"suffix":""},{"dropping-particle":"","family":"Supahar","given":"Supahar","non-dropping-particle":"","parse-names":false,"suffix":""}],"container-title":"International Journal of Trends in Mathematics Education Research","id":"ITEM-1","issued":{"date-parts":[["2019"]]},"title":"Developing an Assessment Instrument of Mathematical Problem-Solving Skills in Senior High School","type":"article-journal"},"uris":["http://www.mendeley.com/documents/?uuid=cc8f9d41-7eeb-46e4-8e8f-31d8e8d0c56c"]}],"mendeley":{"formattedCitation":"(Fitriana &amp; Supahar, 2019)","plainTextFormattedCitation":"(Fitriana &amp; Supahar, 2019)","previouslyFormattedCitation":"(Fitriana &amp; Supahar, 2019)"},"properties":{"noteIndex":0},"schema":"https://github.com/citation-style-language/schema/raw/master/csl-citation.json"}</w:instrText>
      </w:r>
      <w:r>
        <w:rPr>
          <w:rFonts w:ascii="Palatino Linotype" w:hAnsi="Palatino Linotype" w:cs="Times New Roman"/>
        </w:rPr>
        <w:fldChar w:fldCharType="separate"/>
      </w:r>
      <w:r>
        <w:rPr>
          <w:rFonts w:ascii="Palatino Linotype" w:hAnsi="Palatino Linotype" w:cs="Times New Roman"/>
          <w:noProof/>
        </w:rPr>
        <w:t>(Fitriana &amp; Supahar, 2019)</w:t>
      </w:r>
      <w:r>
        <w:rPr>
          <w:rFonts w:ascii="Palatino Linotype" w:hAnsi="Palatino Linotype" w:cs="Times New Roman"/>
        </w:rPr>
        <w:fldChar w:fldCharType="end"/>
      </w:r>
      <w:r>
        <w:rPr>
          <w:rFonts w:ascii="Palatino Linotype" w:hAnsi="Palatino Linotype" w:cs="Times New Roman"/>
        </w:rPr>
        <w:t>.</w:t>
      </w:r>
    </w:p>
    <w:p w14:paraId="66BEA541" w14:textId="77777777" w:rsidR="007604AD" w:rsidRDefault="007604AD" w:rsidP="007604AD">
      <w:pPr>
        <w:pStyle w:val="ListParagraph"/>
        <w:spacing w:line="360" w:lineRule="auto"/>
        <w:ind w:left="284" w:firstLine="709"/>
        <w:jc w:val="both"/>
        <w:rPr>
          <w:rFonts w:ascii="Palatino Linotype" w:hAnsi="Palatino Linotype" w:cs="Times New Roman"/>
        </w:rPr>
      </w:pPr>
    </w:p>
    <w:p w14:paraId="3AD69B8F" w14:textId="77777777" w:rsidR="007604AD" w:rsidRDefault="007604AD" w:rsidP="007604AD">
      <w:pPr>
        <w:pStyle w:val="ListParagraph"/>
        <w:ind w:left="284"/>
        <w:jc w:val="center"/>
        <w:rPr>
          <w:rFonts w:ascii="Palatino Linotype" w:hAnsi="Palatino Linotype" w:cs="Times New Roman"/>
          <w:bCs/>
        </w:rPr>
      </w:pPr>
      <w:proofErr w:type="spellStart"/>
      <w:r>
        <w:rPr>
          <w:rFonts w:ascii="Palatino Linotype" w:hAnsi="Palatino Linotype" w:cs="Times New Roman"/>
          <w:b/>
          <w:bCs/>
          <w:lang w:val="en-US"/>
        </w:rPr>
        <w:t>Tabel</w:t>
      </w:r>
      <w:proofErr w:type="spellEnd"/>
      <w:r>
        <w:rPr>
          <w:rFonts w:ascii="Palatino Linotype" w:hAnsi="Palatino Linotype" w:cs="Times New Roman"/>
          <w:b/>
          <w:bCs/>
          <w:lang w:val="en-US"/>
        </w:rPr>
        <w:t xml:space="preserve"> 2.</w:t>
      </w:r>
      <w:r>
        <w:rPr>
          <w:rFonts w:ascii="Palatino Linotype" w:hAnsi="Palatino Linotype" w:cs="Times New Roman"/>
          <w:bCs/>
        </w:rPr>
        <w:t xml:space="preserve"> Skor Rata-rata V Aiken untuk Instrumen Asesmen Kemampuan Berpikir Intuitif Matematis</w:t>
      </w:r>
    </w:p>
    <w:tbl>
      <w:tblPr>
        <w:tblW w:w="8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1866"/>
        <w:gridCol w:w="1637"/>
        <w:gridCol w:w="487"/>
        <w:gridCol w:w="487"/>
        <w:gridCol w:w="487"/>
        <w:gridCol w:w="504"/>
        <w:gridCol w:w="1838"/>
      </w:tblGrid>
      <w:tr w:rsidR="007604AD" w14:paraId="279402F6" w14:textId="77777777" w:rsidTr="007604AD">
        <w:trPr>
          <w:trHeight w:val="283"/>
          <w:jc w:val="center"/>
        </w:trPr>
        <w:tc>
          <w:tcPr>
            <w:tcW w:w="797" w:type="dxa"/>
            <w:vMerge w:val="restart"/>
            <w:tcBorders>
              <w:top w:val="single" w:sz="4" w:space="0" w:color="auto"/>
              <w:left w:val="nil"/>
              <w:bottom w:val="single" w:sz="4" w:space="0" w:color="auto"/>
              <w:right w:val="nil"/>
            </w:tcBorders>
            <w:vAlign w:val="center"/>
            <w:hideMark/>
          </w:tcPr>
          <w:p w14:paraId="561A9AD5" w14:textId="77777777" w:rsidR="007604AD" w:rsidRDefault="007604AD">
            <w:pPr>
              <w:jc w:val="center"/>
              <w:rPr>
                <w:rFonts w:ascii="Palatino Linotype" w:hAnsi="Palatino Linotype" w:cs="Times New Roman"/>
                <w:b/>
              </w:rPr>
            </w:pPr>
            <w:r>
              <w:rPr>
                <w:rFonts w:ascii="Palatino Linotype" w:hAnsi="Palatino Linotype" w:cs="Times New Roman"/>
                <w:b/>
              </w:rPr>
              <w:t>No.</w:t>
            </w:r>
          </w:p>
        </w:tc>
        <w:tc>
          <w:tcPr>
            <w:tcW w:w="1866" w:type="dxa"/>
            <w:vMerge w:val="restart"/>
            <w:tcBorders>
              <w:top w:val="single" w:sz="4" w:space="0" w:color="auto"/>
              <w:left w:val="nil"/>
              <w:bottom w:val="single" w:sz="4" w:space="0" w:color="auto"/>
              <w:right w:val="nil"/>
            </w:tcBorders>
            <w:vAlign w:val="center"/>
            <w:hideMark/>
          </w:tcPr>
          <w:p w14:paraId="55B2CE12" w14:textId="77777777" w:rsidR="007604AD" w:rsidRDefault="007604AD">
            <w:pPr>
              <w:jc w:val="center"/>
              <w:rPr>
                <w:rFonts w:ascii="Palatino Linotype" w:hAnsi="Palatino Linotype" w:cs="Times New Roman"/>
                <w:b/>
              </w:rPr>
            </w:pPr>
            <w:r>
              <w:rPr>
                <w:rFonts w:ascii="Palatino Linotype" w:hAnsi="Palatino Linotype" w:cs="Times New Roman"/>
                <w:b/>
              </w:rPr>
              <w:t>Aspek Yang dinilai</w:t>
            </w:r>
          </w:p>
        </w:tc>
        <w:tc>
          <w:tcPr>
            <w:tcW w:w="1637" w:type="dxa"/>
            <w:vMerge w:val="restart"/>
            <w:tcBorders>
              <w:top w:val="single" w:sz="4" w:space="0" w:color="auto"/>
              <w:left w:val="nil"/>
              <w:bottom w:val="single" w:sz="4" w:space="0" w:color="auto"/>
              <w:right w:val="nil"/>
            </w:tcBorders>
            <w:vAlign w:val="center"/>
            <w:hideMark/>
          </w:tcPr>
          <w:p w14:paraId="47986992" w14:textId="77777777" w:rsidR="007604AD" w:rsidRDefault="007604AD">
            <w:pPr>
              <w:jc w:val="center"/>
              <w:rPr>
                <w:rFonts w:ascii="Palatino Linotype" w:hAnsi="Palatino Linotype" w:cs="Times New Roman"/>
                <w:b/>
              </w:rPr>
            </w:pPr>
            <w:r>
              <w:rPr>
                <w:rFonts w:ascii="Palatino Linotype" w:hAnsi="Palatino Linotype" w:cs="Times New Roman"/>
                <w:b/>
              </w:rPr>
              <w:t>Kriteria Penilaian</w:t>
            </w:r>
          </w:p>
        </w:tc>
        <w:tc>
          <w:tcPr>
            <w:tcW w:w="1965" w:type="dxa"/>
            <w:gridSpan w:val="4"/>
            <w:tcBorders>
              <w:top w:val="single" w:sz="4" w:space="0" w:color="auto"/>
              <w:left w:val="nil"/>
              <w:bottom w:val="nil"/>
              <w:right w:val="nil"/>
            </w:tcBorders>
            <w:vAlign w:val="center"/>
            <w:hideMark/>
          </w:tcPr>
          <w:p w14:paraId="3D16E87F" w14:textId="77777777" w:rsidR="007604AD" w:rsidRDefault="007604AD">
            <w:pPr>
              <w:jc w:val="center"/>
              <w:rPr>
                <w:rFonts w:ascii="Palatino Linotype" w:hAnsi="Palatino Linotype" w:cs="Times New Roman"/>
                <w:b/>
              </w:rPr>
            </w:pPr>
            <w:r>
              <w:rPr>
                <w:rFonts w:ascii="Palatino Linotype" w:hAnsi="Palatino Linotype" w:cs="Times New Roman"/>
                <w:b/>
              </w:rPr>
              <w:t>Validator Ahli</w:t>
            </w:r>
          </w:p>
        </w:tc>
        <w:tc>
          <w:tcPr>
            <w:tcW w:w="1838" w:type="dxa"/>
            <w:vMerge w:val="restart"/>
            <w:tcBorders>
              <w:top w:val="single" w:sz="4" w:space="0" w:color="auto"/>
              <w:left w:val="nil"/>
              <w:bottom w:val="single" w:sz="4" w:space="0" w:color="auto"/>
              <w:right w:val="nil"/>
            </w:tcBorders>
            <w:vAlign w:val="center"/>
            <w:hideMark/>
          </w:tcPr>
          <w:p w14:paraId="32E21D8A" w14:textId="77777777" w:rsidR="007604AD" w:rsidRDefault="007604AD">
            <w:pPr>
              <w:jc w:val="center"/>
              <w:rPr>
                <w:rFonts w:ascii="Palatino Linotype" w:hAnsi="Palatino Linotype" w:cs="Times New Roman"/>
                <w:b/>
              </w:rPr>
            </w:pPr>
            <w:r>
              <w:rPr>
                <w:rFonts w:ascii="Palatino Linotype" w:hAnsi="Palatino Linotype" w:cs="Times New Roman"/>
                <w:b/>
              </w:rPr>
              <w:t>Rata-Rata  CVR</w:t>
            </w:r>
          </w:p>
        </w:tc>
      </w:tr>
      <w:tr w:rsidR="007604AD" w14:paraId="168C99AB" w14:textId="77777777" w:rsidTr="007604AD">
        <w:trPr>
          <w:trHeight w:val="179"/>
          <w:jc w:val="center"/>
        </w:trPr>
        <w:tc>
          <w:tcPr>
            <w:tcW w:w="0" w:type="auto"/>
            <w:vMerge/>
            <w:tcBorders>
              <w:top w:val="single" w:sz="4" w:space="0" w:color="auto"/>
              <w:left w:val="nil"/>
              <w:bottom w:val="single" w:sz="4" w:space="0" w:color="auto"/>
              <w:right w:val="nil"/>
            </w:tcBorders>
            <w:vAlign w:val="center"/>
            <w:hideMark/>
          </w:tcPr>
          <w:p w14:paraId="74426A4F" w14:textId="77777777" w:rsidR="007604AD" w:rsidRDefault="007604AD">
            <w:pPr>
              <w:rPr>
                <w:rFonts w:ascii="Palatino Linotype" w:hAnsi="Palatino Linotype" w:cs="Times New Roman"/>
                <w:b/>
              </w:rPr>
            </w:pPr>
          </w:p>
        </w:tc>
        <w:tc>
          <w:tcPr>
            <w:tcW w:w="0" w:type="auto"/>
            <w:vMerge/>
            <w:tcBorders>
              <w:top w:val="single" w:sz="4" w:space="0" w:color="auto"/>
              <w:left w:val="nil"/>
              <w:bottom w:val="single" w:sz="4" w:space="0" w:color="auto"/>
              <w:right w:val="nil"/>
            </w:tcBorders>
            <w:vAlign w:val="center"/>
            <w:hideMark/>
          </w:tcPr>
          <w:p w14:paraId="32F55BD3" w14:textId="77777777" w:rsidR="007604AD" w:rsidRDefault="007604AD">
            <w:pPr>
              <w:rPr>
                <w:rFonts w:ascii="Palatino Linotype" w:hAnsi="Palatino Linotype" w:cs="Times New Roman"/>
                <w:b/>
              </w:rPr>
            </w:pPr>
          </w:p>
        </w:tc>
        <w:tc>
          <w:tcPr>
            <w:tcW w:w="0" w:type="auto"/>
            <w:vMerge/>
            <w:tcBorders>
              <w:top w:val="single" w:sz="4" w:space="0" w:color="auto"/>
              <w:left w:val="nil"/>
              <w:bottom w:val="single" w:sz="4" w:space="0" w:color="auto"/>
              <w:right w:val="nil"/>
            </w:tcBorders>
            <w:vAlign w:val="center"/>
            <w:hideMark/>
          </w:tcPr>
          <w:p w14:paraId="09D082B3" w14:textId="77777777" w:rsidR="007604AD" w:rsidRDefault="007604AD">
            <w:pPr>
              <w:rPr>
                <w:rFonts w:ascii="Palatino Linotype" w:hAnsi="Palatino Linotype" w:cs="Times New Roman"/>
                <w:b/>
              </w:rPr>
            </w:pPr>
          </w:p>
        </w:tc>
        <w:tc>
          <w:tcPr>
            <w:tcW w:w="487" w:type="dxa"/>
            <w:tcBorders>
              <w:top w:val="nil"/>
              <w:left w:val="nil"/>
              <w:bottom w:val="single" w:sz="4" w:space="0" w:color="auto"/>
              <w:right w:val="nil"/>
            </w:tcBorders>
            <w:vAlign w:val="center"/>
            <w:hideMark/>
          </w:tcPr>
          <w:p w14:paraId="1F32C6B9" w14:textId="77777777" w:rsidR="007604AD" w:rsidRDefault="007604AD">
            <w:pPr>
              <w:jc w:val="center"/>
              <w:rPr>
                <w:rFonts w:ascii="Palatino Linotype" w:hAnsi="Palatino Linotype" w:cs="Times New Roman"/>
                <w:b/>
              </w:rPr>
            </w:pPr>
            <w:r>
              <w:rPr>
                <w:rFonts w:ascii="Palatino Linotype" w:hAnsi="Palatino Linotype" w:cs="Times New Roman"/>
                <w:b/>
              </w:rPr>
              <w:t>1</w:t>
            </w:r>
          </w:p>
        </w:tc>
        <w:tc>
          <w:tcPr>
            <w:tcW w:w="487" w:type="dxa"/>
            <w:tcBorders>
              <w:top w:val="nil"/>
              <w:left w:val="nil"/>
              <w:bottom w:val="single" w:sz="4" w:space="0" w:color="auto"/>
              <w:right w:val="nil"/>
            </w:tcBorders>
            <w:vAlign w:val="center"/>
            <w:hideMark/>
          </w:tcPr>
          <w:p w14:paraId="79FE7BCC" w14:textId="77777777" w:rsidR="007604AD" w:rsidRDefault="007604AD">
            <w:pPr>
              <w:jc w:val="center"/>
              <w:rPr>
                <w:rFonts w:ascii="Palatino Linotype" w:hAnsi="Palatino Linotype" w:cs="Times New Roman"/>
                <w:b/>
              </w:rPr>
            </w:pPr>
            <w:r>
              <w:rPr>
                <w:rFonts w:ascii="Palatino Linotype" w:hAnsi="Palatino Linotype" w:cs="Times New Roman"/>
                <w:b/>
              </w:rPr>
              <w:t>2</w:t>
            </w:r>
          </w:p>
        </w:tc>
        <w:tc>
          <w:tcPr>
            <w:tcW w:w="487" w:type="dxa"/>
            <w:tcBorders>
              <w:top w:val="nil"/>
              <w:left w:val="nil"/>
              <w:bottom w:val="single" w:sz="4" w:space="0" w:color="auto"/>
              <w:right w:val="nil"/>
            </w:tcBorders>
            <w:vAlign w:val="center"/>
            <w:hideMark/>
          </w:tcPr>
          <w:p w14:paraId="32E04416" w14:textId="77777777" w:rsidR="007604AD" w:rsidRDefault="007604AD">
            <w:pPr>
              <w:jc w:val="center"/>
              <w:rPr>
                <w:rFonts w:ascii="Palatino Linotype" w:hAnsi="Palatino Linotype" w:cs="Times New Roman"/>
                <w:b/>
              </w:rPr>
            </w:pPr>
            <w:r>
              <w:rPr>
                <w:rFonts w:ascii="Palatino Linotype" w:hAnsi="Palatino Linotype" w:cs="Times New Roman"/>
                <w:b/>
              </w:rPr>
              <w:t>3</w:t>
            </w:r>
          </w:p>
        </w:tc>
        <w:tc>
          <w:tcPr>
            <w:tcW w:w="504" w:type="dxa"/>
            <w:tcBorders>
              <w:top w:val="nil"/>
              <w:left w:val="nil"/>
              <w:bottom w:val="single" w:sz="4" w:space="0" w:color="auto"/>
              <w:right w:val="nil"/>
            </w:tcBorders>
            <w:vAlign w:val="center"/>
            <w:hideMark/>
          </w:tcPr>
          <w:p w14:paraId="60A0C6F3" w14:textId="77777777" w:rsidR="007604AD" w:rsidRDefault="007604AD">
            <w:pPr>
              <w:jc w:val="center"/>
              <w:rPr>
                <w:rFonts w:ascii="Palatino Linotype" w:hAnsi="Palatino Linotype" w:cs="Times New Roman"/>
                <w:b/>
              </w:rPr>
            </w:pPr>
            <w:r>
              <w:rPr>
                <w:rFonts w:ascii="Palatino Linotype" w:hAnsi="Palatino Linotype" w:cs="Times New Roman"/>
                <w:b/>
              </w:rPr>
              <w:t>4</w:t>
            </w:r>
          </w:p>
        </w:tc>
        <w:tc>
          <w:tcPr>
            <w:tcW w:w="0" w:type="auto"/>
            <w:vMerge/>
            <w:tcBorders>
              <w:top w:val="single" w:sz="4" w:space="0" w:color="auto"/>
              <w:left w:val="nil"/>
              <w:bottom w:val="single" w:sz="4" w:space="0" w:color="auto"/>
              <w:right w:val="nil"/>
            </w:tcBorders>
            <w:vAlign w:val="center"/>
            <w:hideMark/>
          </w:tcPr>
          <w:p w14:paraId="12FD32A5" w14:textId="77777777" w:rsidR="007604AD" w:rsidRDefault="007604AD">
            <w:pPr>
              <w:rPr>
                <w:rFonts w:ascii="Palatino Linotype" w:hAnsi="Palatino Linotype" w:cs="Times New Roman"/>
                <w:b/>
              </w:rPr>
            </w:pPr>
          </w:p>
        </w:tc>
      </w:tr>
      <w:tr w:rsidR="007604AD" w14:paraId="434C81ED" w14:textId="77777777" w:rsidTr="007604AD">
        <w:trPr>
          <w:trHeight w:val="206"/>
          <w:jc w:val="center"/>
        </w:trPr>
        <w:tc>
          <w:tcPr>
            <w:tcW w:w="797" w:type="dxa"/>
            <w:vMerge w:val="restart"/>
            <w:tcBorders>
              <w:top w:val="single" w:sz="4" w:space="0" w:color="auto"/>
              <w:left w:val="nil"/>
              <w:bottom w:val="single" w:sz="4" w:space="0" w:color="auto"/>
              <w:right w:val="nil"/>
            </w:tcBorders>
            <w:hideMark/>
          </w:tcPr>
          <w:p w14:paraId="2AEFF1AA" w14:textId="77777777" w:rsidR="007604AD" w:rsidRDefault="007604AD">
            <w:pPr>
              <w:jc w:val="center"/>
              <w:rPr>
                <w:rFonts w:ascii="Palatino Linotype" w:hAnsi="Palatino Linotype" w:cs="Times New Roman"/>
              </w:rPr>
            </w:pPr>
            <w:r>
              <w:rPr>
                <w:rFonts w:ascii="Palatino Linotype" w:hAnsi="Palatino Linotype" w:cs="Times New Roman"/>
              </w:rPr>
              <w:t>1</w:t>
            </w:r>
          </w:p>
        </w:tc>
        <w:tc>
          <w:tcPr>
            <w:tcW w:w="1866" w:type="dxa"/>
            <w:vMerge w:val="restart"/>
            <w:tcBorders>
              <w:top w:val="single" w:sz="4" w:space="0" w:color="auto"/>
              <w:left w:val="nil"/>
              <w:bottom w:val="single" w:sz="4" w:space="0" w:color="auto"/>
              <w:right w:val="nil"/>
            </w:tcBorders>
            <w:hideMark/>
          </w:tcPr>
          <w:p w14:paraId="5216D79B" w14:textId="77777777" w:rsidR="007604AD" w:rsidRDefault="007604AD">
            <w:pPr>
              <w:jc w:val="both"/>
              <w:rPr>
                <w:rFonts w:ascii="Palatino Linotype" w:hAnsi="Palatino Linotype" w:cs="Times New Roman"/>
              </w:rPr>
            </w:pPr>
            <w:r>
              <w:rPr>
                <w:rFonts w:ascii="Palatino Linotype" w:hAnsi="Palatino Linotype" w:cs="Times New Roman"/>
              </w:rPr>
              <w:t xml:space="preserve">Kesesuaian Aspek dengan indikator </w:t>
            </w:r>
          </w:p>
        </w:tc>
        <w:tc>
          <w:tcPr>
            <w:tcW w:w="1637" w:type="dxa"/>
            <w:tcBorders>
              <w:top w:val="single" w:sz="4" w:space="0" w:color="auto"/>
              <w:left w:val="nil"/>
              <w:bottom w:val="nil"/>
              <w:right w:val="nil"/>
            </w:tcBorders>
            <w:vAlign w:val="center"/>
            <w:hideMark/>
          </w:tcPr>
          <w:p w14:paraId="515A2EC6" w14:textId="77777777" w:rsidR="007604AD" w:rsidRDefault="007604AD">
            <w:pPr>
              <w:jc w:val="center"/>
              <w:rPr>
                <w:rFonts w:ascii="Palatino Linotype" w:hAnsi="Palatino Linotype" w:cs="Times New Roman"/>
              </w:rPr>
            </w:pPr>
            <w:r>
              <w:rPr>
                <w:rFonts w:ascii="Palatino Linotype" w:hAnsi="Palatino Linotype" w:cs="Times New Roman"/>
              </w:rPr>
              <w:t>1</w:t>
            </w:r>
          </w:p>
        </w:tc>
        <w:tc>
          <w:tcPr>
            <w:tcW w:w="487" w:type="dxa"/>
            <w:tcBorders>
              <w:top w:val="single" w:sz="4" w:space="0" w:color="auto"/>
              <w:left w:val="nil"/>
              <w:bottom w:val="nil"/>
              <w:right w:val="nil"/>
            </w:tcBorders>
            <w:vAlign w:val="center"/>
            <w:hideMark/>
          </w:tcPr>
          <w:p w14:paraId="0BC13720" w14:textId="77777777" w:rsidR="007604AD" w:rsidRDefault="007604AD">
            <w:pPr>
              <w:jc w:val="center"/>
              <w:rPr>
                <w:rFonts w:ascii="Palatino Linotype" w:hAnsi="Palatino Linotype" w:cs="Times New Roman"/>
              </w:rPr>
            </w:pPr>
            <w:r>
              <w:rPr>
                <w:rFonts w:ascii="Palatino Linotype" w:eastAsia="Times New Roman" w:hAnsi="Palatino Linotype" w:cs="Times New Roman"/>
                <w:color w:val="000000"/>
              </w:rPr>
              <w:t>4</w:t>
            </w:r>
          </w:p>
        </w:tc>
        <w:tc>
          <w:tcPr>
            <w:tcW w:w="487" w:type="dxa"/>
            <w:tcBorders>
              <w:top w:val="single" w:sz="4" w:space="0" w:color="auto"/>
              <w:left w:val="nil"/>
              <w:bottom w:val="nil"/>
              <w:right w:val="nil"/>
            </w:tcBorders>
            <w:vAlign w:val="center"/>
            <w:hideMark/>
          </w:tcPr>
          <w:p w14:paraId="0E6C8E43" w14:textId="77777777" w:rsidR="007604AD" w:rsidRDefault="007604AD">
            <w:pPr>
              <w:jc w:val="center"/>
              <w:rPr>
                <w:rFonts w:ascii="Palatino Linotype" w:hAnsi="Palatino Linotype" w:cs="Times New Roman"/>
              </w:rPr>
            </w:pPr>
            <w:r>
              <w:rPr>
                <w:rFonts w:ascii="Palatino Linotype" w:eastAsia="Times New Roman" w:hAnsi="Palatino Linotype" w:cs="Times New Roman"/>
                <w:color w:val="000000"/>
              </w:rPr>
              <w:t>4</w:t>
            </w:r>
          </w:p>
        </w:tc>
        <w:tc>
          <w:tcPr>
            <w:tcW w:w="487" w:type="dxa"/>
            <w:tcBorders>
              <w:top w:val="single" w:sz="4" w:space="0" w:color="auto"/>
              <w:left w:val="nil"/>
              <w:bottom w:val="nil"/>
              <w:right w:val="nil"/>
            </w:tcBorders>
            <w:vAlign w:val="center"/>
            <w:hideMark/>
          </w:tcPr>
          <w:p w14:paraId="759A4653" w14:textId="77777777" w:rsidR="007604AD" w:rsidRDefault="007604AD">
            <w:pPr>
              <w:jc w:val="center"/>
              <w:rPr>
                <w:rFonts w:ascii="Palatino Linotype" w:hAnsi="Palatino Linotype" w:cs="Times New Roman"/>
              </w:rPr>
            </w:pPr>
            <w:r>
              <w:rPr>
                <w:rFonts w:ascii="Palatino Linotype" w:eastAsia="Times New Roman" w:hAnsi="Palatino Linotype" w:cs="Times New Roman"/>
                <w:color w:val="000000"/>
              </w:rPr>
              <w:t>4</w:t>
            </w:r>
          </w:p>
        </w:tc>
        <w:tc>
          <w:tcPr>
            <w:tcW w:w="504" w:type="dxa"/>
            <w:tcBorders>
              <w:top w:val="single" w:sz="4" w:space="0" w:color="auto"/>
              <w:left w:val="nil"/>
              <w:bottom w:val="nil"/>
              <w:right w:val="nil"/>
            </w:tcBorders>
            <w:vAlign w:val="center"/>
            <w:hideMark/>
          </w:tcPr>
          <w:p w14:paraId="3A88E1E0" w14:textId="77777777" w:rsidR="007604AD" w:rsidRDefault="007604AD">
            <w:pPr>
              <w:jc w:val="center"/>
              <w:rPr>
                <w:rFonts w:ascii="Palatino Linotype" w:hAnsi="Palatino Linotype" w:cs="Times New Roman"/>
              </w:rPr>
            </w:pPr>
            <w:r>
              <w:rPr>
                <w:rFonts w:ascii="Palatino Linotype" w:eastAsia="Times New Roman" w:hAnsi="Palatino Linotype" w:cs="Times New Roman"/>
                <w:color w:val="000000"/>
              </w:rPr>
              <w:t>4</w:t>
            </w:r>
          </w:p>
        </w:tc>
        <w:tc>
          <w:tcPr>
            <w:tcW w:w="1838" w:type="dxa"/>
            <w:tcBorders>
              <w:top w:val="single" w:sz="4" w:space="0" w:color="auto"/>
              <w:left w:val="nil"/>
              <w:bottom w:val="nil"/>
              <w:right w:val="nil"/>
            </w:tcBorders>
            <w:vAlign w:val="center"/>
            <w:hideMark/>
          </w:tcPr>
          <w:p w14:paraId="304E34CE" w14:textId="77777777" w:rsidR="007604AD" w:rsidRDefault="007604AD">
            <w:pPr>
              <w:jc w:val="center"/>
              <w:rPr>
                <w:rFonts w:ascii="Palatino Linotype" w:hAnsi="Palatino Linotype" w:cs="Times New Roman"/>
              </w:rPr>
            </w:pPr>
            <w:r>
              <w:rPr>
                <w:rFonts w:ascii="Palatino Linotype" w:hAnsi="Palatino Linotype" w:cs="Times New Roman"/>
              </w:rPr>
              <w:t>1</w:t>
            </w:r>
          </w:p>
        </w:tc>
      </w:tr>
      <w:tr w:rsidR="007604AD" w14:paraId="4838676D" w14:textId="77777777" w:rsidTr="007604AD">
        <w:trPr>
          <w:trHeight w:val="415"/>
          <w:jc w:val="center"/>
        </w:trPr>
        <w:tc>
          <w:tcPr>
            <w:tcW w:w="0" w:type="auto"/>
            <w:vMerge/>
            <w:tcBorders>
              <w:top w:val="single" w:sz="4" w:space="0" w:color="auto"/>
              <w:left w:val="nil"/>
              <w:bottom w:val="single" w:sz="4" w:space="0" w:color="auto"/>
              <w:right w:val="nil"/>
            </w:tcBorders>
            <w:vAlign w:val="center"/>
            <w:hideMark/>
          </w:tcPr>
          <w:p w14:paraId="692138B0" w14:textId="77777777" w:rsidR="007604AD" w:rsidRDefault="007604AD">
            <w:pPr>
              <w:rPr>
                <w:rFonts w:ascii="Palatino Linotype" w:hAnsi="Palatino Linotype" w:cs="Times New Roman"/>
              </w:rPr>
            </w:pPr>
          </w:p>
        </w:tc>
        <w:tc>
          <w:tcPr>
            <w:tcW w:w="0" w:type="auto"/>
            <w:vMerge/>
            <w:tcBorders>
              <w:top w:val="single" w:sz="4" w:space="0" w:color="auto"/>
              <w:left w:val="nil"/>
              <w:bottom w:val="single" w:sz="4" w:space="0" w:color="auto"/>
              <w:right w:val="nil"/>
            </w:tcBorders>
            <w:vAlign w:val="center"/>
            <w:hideMark/>
          </w:tcPr>
          <w:p w14:paraId="3A889EBD" w14:textId="77777777" w:rsidR="007604AD" w:rsidRDefault="007604AD">
            <w:pPr>
              <w:rPr>
                <w:rFonts w:ascii="Palatino Linotype" w:hAnsi="Palatino Linotype" w:cs="Times New Roman"/>
              </w:rPr>
            </w:pPr>
          </w:p>
        </w:tc>
        <w:tc>
          <w:tcPr>
            <w:tcW w:w="1637" w:type="dxa"/>
            <w:tcBorders>
              <w:top w:val="nil"/>
              <w:left w:val="nil"/>
              <w:bottom w:val="single" w:sz="4" w:space="0" w:color="auto"/>
              <w:right w:val="nil"/>
            </w:tcBorders>
            <w:vAlign w:val="center"/>
            <w:hideMark/>
          </w:tcPr>
          <w:p w14:paraId="263E9A98" w14:textId="77777777" w:rsidR="007604AD" w:rsidRDefault="007604AD">
            <w:pPr>
              <w:jc w:val="center"/>
              <w:rPr>
                <w:rFonts w:ascii="Palatino Linotype" w:hAnsi="Palatino Linotype" w:cs="Times New Roman"/>
              </w:rPr>
            </w:pPr>
            <w:r>
              <w:rPr>
                <w:rFonts w:ascii="Palatino Linotype" w:hAnsi="Palatino Linotype" w:cs="Times New Roman"/>
              </w:rPr>
              <w:t>2</w:t>
            </w:r>
          </w:p>
        </w:tc>
        <w:tc>
          <w:tcPr>
            <w:tcW w:w="487" w:type="dxa"/>
            <w:tcBorders>
              <w:top w:val="nil"/>
              <w:left w:val="nil"/>
              <w:bottom w:val="single" w:sz="4" w:space="0" w:color="auto"/>
              <w:right w:val="nil"/>
            </w:tcBorders>
            <w:vAlign w:val="center"/>
            <w:hideMark/>
          </w:tcPr>
          <w:p w14:paraId="4ABD7C34" w14:textId="77777777" w:rsidR="007604AD" w:rsidRDefault="007604AD">
            <w:pPr>
              <w:jc w:val="center"/>
              <w:rPr>
                <w:rFonts w:ascii="Palatino Linotype" w:hAnsi="Palatino Linotype" w:cs="Times New Roman"/>
              </w:rPr>
            </w:pPr>
            <w:r>
              <w:rPr>
                <w:rFonts w:ascii="Palatino Linotype" w:eastAsia="Times New Roman" w:hAnsi="Palatino Linotype" w:cs="Times New Roman"/>
                <w:color w:val="000000"/>
              </w:rPr>
              <w:t>3</w:t>
            </w:r>
          </w:p>
        </w:tc>
        <w:tc>
          <w:tcPr>
            <w:tcW w:w="487" w:type="dxa"/>
            <w:tcBorders>
              <w:top w:val="nil"/>
              <w:left w:val="nil"/>
              <w:bottom w:val="single" w:sz="4" w:space="0" w:color="auto"/>
              <w:right w:val="nil"/>
            </w:tcBorders>
            <w:vAlign w:val="center"/>
            <w:hideMark/>
          </w:tcPr>
          <w:p w14:paraId="6252BF90" w14:textId="77777777" w:rsidR="007604AD" w:rsidRDefault="007604AD">
            <w:pPr>
              <w:jc w:val="center"/>
              <w:rPr>
                <w:rFonts w:ascii="Palatino Linotype" w:hAnsi="Palatino Linotype" w:cs="Times New Roman"/>
              </w:rPr>
            </w:pPr>
            <w:r>
              <w:rPr>
                <w:rFonts w:ascii="Palatino Linotype" w:eastAsia="Times New Roman" w:hAnsi="Palatino Linotype" w:cs="Times New Roman"/>
                <w:color w:val="000000"/>
              </w:rPr>
              <w:t>4</w:t>
            </w:r>
          </w:p>
        </w:tc>
        <w:tc>
          <w:tcPr>
            <w:tcW w:w="487" w:type="dxa"/>
            <w:tcBorders>
              <w:top w:val="nil"/>
              <w:left w:val="nil"/>
              <w:bottom w:val="single" w:sz="4" w:space="0" w:color="auto"/>
              <w:right w:val="nil"/>
            </w:tcBorders>
            <w:vAlign w:val="center"/>
            <w:hideMark/>
          </w:tcPr>
          <w:p w14:paraId="1B8BEE00" w14:textId="77777777" w:rsidR="007604AD" w:rsidRDefault="007604AD">
            <w:pPr>
              <w:jc w:val="center"/>
              <w:rPr>
                <w:rFonts w:ascii="Palatino Linotype" w:hAnsi="Palatino Linotype" w:cs="Times New Roman"/>
              </w:rPr>
            </w:pPr>
            <w:r>
              <w:rPr>
                <w:rFonts w:ascii="Palatino Linotype" w:eastAsia="Times New Roman" w:hAnsi="Palatino Linotype" w:cs="Times New Roman"/>
                <w:color w:val="000000"/>
              </w:rPr>
              <w:t>4</w:t>
            </w:r>
          </w:p>
        </w:tc>
        <w:tc>
          <w:tcPr>
            <w:tcW w:w="504" w:type="dxa"/>
            <w:tcBorders>
              <w:top w:val="nil"/>
              <w:left w:val="nil"/>
              <w:bottom w:val="single" w:sz="4" w:space="0" w:color="auto"/>
              <w:right w:val="nil"/>
            </w:tcBorders>
            <w:vAlign w:val="center"/>
            <w:hideMark/>
          </w:tcPr>
          <w:p w14:paraId="6236450C" w14:textId="77777777" w:rsidR="007604AD" w:rsidRDefault="007604AD">
            <w:pPr>
              <w:jc w:val="center"/>
              <w:rPr>
                <w:rFonts w:ascii="Palatino Linotype" w:hAnsi="Palatino Linotype" w:cs="Times New Roman"/>
              </w:rPr>
            </w:pPr>
            <w:r>
              <w:rPr>
                <w:rFonts w:ascii="Palatino Linotype" w:eastAsia="Times New Roman" w:hAnsi="Palatino Linotype" w:cs="Times New Roman"/>
                <w:color w:val="000000"/>
              </w:rPr>
              <w:t>4</w:t>
            </w:r>
          </w:p>
        </w:tc>
        <w:tc>
          <w:tcPr>
            <w:tcW w:w="1838" w:type="dxa"/>
            <w:tcBorders>
              <w:top w:val="nil"/>
              <w:left w:val="nil"/>
              <w:bottom w:val="single" w:sz="4" w:space="0" w:color="auto"/>
              <w:right w:val="nil"/>
            </w:tcBorders>
            <w:vAlign w:val="center"/>
            <w:hideMark/>
          </w:tcPr>
          <w:p w14:paraId="5703CF66" w14:textId="77777777" w:rsidR="007604AD" w:rsidRDefault="007604AD">
            <w:pPr>
              <w:jc w:val="center"/>
              <w:rPr>
                <w:rFonts w:ascii="Palatino Linotype" w:hAnsi="Palatino Linotype" w:cs="Times New Roman"/>
              </w:rPr>
            </w:pPr>
            <w:r>
              <w:rPr>
                <w:rFonts w:ascii="Palatino Linotype" w:hAnsi="Palatino Linotype" w:cs="Times New Roman"/>
              </w:rPr>
              <w:t>1</w:t>
            </w:r>
          </w:p>
        </w:tc>
      </w:tr>
      <w:tr w:rsidR="007604AD" w14:paraId="5C8B0AC6" w14:textId="77777777" w:rsidTr="007604AD">
        <w:trPr>
          <w:trHeight w:val="212"/>
          <w:jc w:val="center"/>
        </w:trPr>
        <w:tc>
          <w:tcPr>
            <w:tcW w:w="797" w:type="dxa"/>
            <w:vMerge w:val="restart"/>
            <w:tcBorders>
              <w:top w:val="single" w:sz="4" w:space="0" w:color="auto"/>
              <w:left w:val="nil"/>
              <w:bottom w:val="single" w:sz="4" w:space="0" w:color="auto"/>
              <w:right w:val="nil"/>
            </w:tcBorders>
            <w:hideMark/>
          </w:tcPr>
          <w:p w14:paraId="36E4A59A" w14:textId="77777777" w:rsidR="007604AD" w:rsidRDefault="007604AD">
            <w:pPr>
              <w:jc w:val="center"/>
              <w:rPr>
                <w:rFonts w:ascii="Palatino Linotype" w:hAnsi="Palatino Linotype" w:cs="Times New Roman"/>
              </w:rPr>
            </w:pPr>
            <w:r>
              <w:rPr>
                <w:rFonts w:ascii="Palatino Linotype" w:hAnsi="Palatino Linotype" w:cs="Times New Roman"/>
              </w:rPr>
              <w:t>2</w:t>
            </w:r>
          </w:p>
        </w:tc>
        <w:tc>
          <w:tcPr>
            <w:tcW w:w="1866" w:type="dxa"/>
            <w:vMerge w:val="restart"/>
            <w:tcBorders>
              <w:top w:val="single" w:sz="4" w:space="0" w:color="auto"/>
              <w:left w:val="nil"/>
              <w:bottom w:val="single" w:sz="4" w:space="0" w:color="auto"/>
              <w:right w:val="nil"/>
            </w:tcBorders>
            <w:hideMark/>
          </w:tcPr>
          <w:p w14:paraId="7CB1D916" w14:textId="77777777" w:rsidR="007604AD" w:rsidRDefault="007604AD">
            <w:pPr>
              <w:jc w:val="both"/>
              <w:rPr>
                <w:rFonts w:ascii="Palatino Linotype" w:hAnsi="Palatino Linotype" w:cs="Times New Roman"/>
              </w:rPr>
            </w:pPr>
            <w:r>
              <w:rPr>
                <w:rFonts w:ascii="Palatino Linotype" w:hAnsi="Palatino Linotype" w:cs="Times New Roman"/>
              </w:rPr>
              <w:t xml:space="preserve">Penulisan </w:t>
            </w:r>
          </w:p>
        </w:tc>
        <w:tc>
          <w:tcPr>
            <w:tcW w:w="1637" w:type="dxa"/>
            <w:tcBorders>
              <w:top w:val="single" w:sz="4" w:space="0" w:color="auto"/>
              <w:left w:val="nil"/>
              <w:bottom w:val="nil"/>
              <w:right w:val="nil"/>
            </w:tcBorders>
            <w:vAlign w:val="center"/>
            <w:hideMark/>
          </w:tcPr>
          <w:p w14:paraId="4DE22085" w14:textId="77777777" w:rsidR="007604AD" w:rsidRDefault="007604AD">
            <w:pPr>
              <w:jc w:val="center"/>
              <w:rPr>
                <w:rFonts w:ascii="Palatino Linotype" w:hAnsi="Palatino Linotype" w:cs="Times New Roman"/>
              </w:rPr>
            </w:pPr>
            <w:r>
              <w:rPr>
                <w:rFonts w:ascii="Palatino Linotype" w:hAnsi="Palatino Linotype" w:cs="Times New Roman"/>
              </w:rPr>
              <w:t>3</w:t>
            </w:r>
          </w:p>
        </w:tc>
        <w:tc>
          <w:tcPr>
            <w:tcW w:w="487" w:type="dxa"/>
            <w:tcBorders>
              <w:top w:val="single" w:sz="4" w:space="0" w:color="auto"/>
              <w:left w:val="nil"/>
              <w:bottom w:val="nil"/>
              <w:right w:val="nil"/>
            </w:tcBorders>
            <w:vAlign w:val="center"/>
            <w:hideMark/>
          </w:tcPr>
          <w:p w14:paraId="77066E26" w14:textId="77777777" w:rsidR="007604AD" w:rsidRDefault="007604AD">
            <w:pPr>
              <w:jc w:val="center"/>
              <w:rPr>
                <w:rFonts w:ascii="Palatino Linotype" w:hAnsi="Palatino Linotype" w:cs="Times New Roman"/>
              </w:rPr>
            </w:pPr>
            <w:r>
              <w:rPr>
                <w:rFonts w:ascii="Palatino Linotype" w:eastAsia="Times New Roman" w:hAnsi="Palatino Linotype" w:cs="Times New Roman"/>
                <w:color w:val="000000"/>
              </w:rPr>
              <w:t>4</w:t>
            </w:r>
          </w:p>
        </w:tc>
        <w:tc>
          <w:tcPr>
            <w:tcW w:w="487" w:type="dxa"/>
            <w:tcBorders>
              <w:top w:val="single" w:sz="4" w:space="0" w:color="auto"/>
              <w:left w:val="nil"/>
              <w:bottom w:val="nil"/>
              <w:right w:val="nil"/>
            </w:tcBorders>
            <w:vAlign w:val="center"/>
            <w:hideMark/>
          </w:tcPr>
          <w:p w14:paraId="4CBC8DDB" w14:textId="77777777" w:rsidR="007604AD" w:rsidRDefault="007604AD">
            <w:pPr>
              <w:jc w:val="center"/>
              <w:rPr>
                <w:rFonts w:ascii="Palatino Linotype" w:hAnsi="Palatino Linotype" w:cs="Times New Roman"/>
              </w:rPr>
            </w:pPr>
            <w:r>
              <w:rPr>
                <w:rFonts w:ascii="Palatino Linotype" w:eastAsia="Times New Roman" w:hAnsi="Palatino Linotype" w:cs="Times New Roman"/>
                <w:color w:val="000000"/>
              </w:rPr>
              <w:t>4</w:t>
            </w:r>
          </w:p>
        </w:tc>
        <w:tc>
          <w:tcPr>
            <w:tcW w:w="487" w:type="dxa"/>
            <w:tcBorders>
              <w:top w:val="single" w:sz="4" w:space="0" w:color="auto"/>
              <w:left w:val="nil"/>
              <w:bottom w:val="nil"/>
              <w:right w:val="nil"/>
            </w:tcBorders>
            <w:vAlign w:val="center"/>
            <w:hideMark/>
          </w:tcPr>
          <w:p w14:paraId="789AF3AE" w14:textId="77777777" w:rsidR="007604AD" w:rsidRDefault="007604AD">
            <w:pPr>
              <w:jc w:val="center"/>
              <w:rPr>
                <w:rFonts w:ascii="Palatino Linotype" w:hAnsi="Palatino Linotype" w:cs="Times New Roman"/>
              </w:rPr>
            </w:pPr>
            <w:r>
              <w:rPr>
                <w:rFonts w:ascii="Palatino Linotype" w:eastAsia="Times New Roman" w:hAnsi="Palatino Linotype" w:cs="Times New Roman"/>
                <w:color w:val="000000"/>
              </w:rPr>
              <w:t>4</w:t>
            </w:r>
          </w:p>
        </w:tc>
        <w:tc>
          <w:tcPr>
            <w:tcW w:w="504" w:type="dxa"/>
            <w:tcBorders>
              <w:top w:val="single" w:sz="4" w:space="0" w:color="auto"/>
              <w:left w:val="nil"/>
              <w:bottom w:val="nil"/>
              <w:right w:val="nil"/>
            </w:tcBorders>
            <w:vAlign w:val="center"/>
            <w:hideMark/>
          </w:tcPr>
          <w:p w14:paraId="6B835457" w14:textId="77777777" w:rsidR="007604AD" w:rsidRDefault="007604AD">
            <w:pPr>
              <w:jc w:val="center"/>
              <w:rPr>
                <w:rFonts w:ascii="Palatino Linotype" w:hAnsi="Palatino Linotype" w:cs="Times New Roman"/>
              </w:rPr>
            </w:pPr>
            <w:r>
              <w:rPr>
                <w:rFonts w:ascii="Palatino Linotype" w:eastAsia="Times New Roman" w:hAnsi="Palatino Linotype" w:cs="Times New Roman"/>
                <w:color w:val="000000"/>
              </w:rPr>
              <w:t>4</w:t>
            </w:r>
          </w:p>
        </w:tc>
        <w:tc>
          <w:tcPr>
            <w:tcW w:w="1838" w:type="dxa"/>
            <w:tcBorders>
              <w:top w:val="single" w:sz="4" w:space="0" w:color="auto"/>
              <w:left w:val="nil"/>
              <w:bottom w:val="nil"/>
              <w:right w:val="nil"/>
            </w:tcBorders>
            <w:vAlign w:val="center"/>
            <w:hideMark/>
          </w:tcPr>
          <w:p w14:paraId="284790CF" w14:textId="77777777" w:rsidR="007604AD" w:rsidRDefault="007604AD">
            <w:pPr>
              <w:jc w:val="center"/>
              <w:rPr>
                <w:rFonts w:ascii="Palatino Linotype" w:hAnsi="Palatino Linotype" w:cs="Times New Roman"/>
              </w:rPr>
            </w:pPr>
            <w:r>
              <w:rPr>
                <w:rFonts w:ascii="Palatino Linotype" w:hAnsi="Palatino Linotype" w:cs="Times New Roman"/>
              </w:rPr>
              <w:t>1</w:t>
            </w:r>
          </w:p>
        </w:tc>
      </w:tr>
      <w:tr w:rsidR="007604AD" w14:paraId="43FA525E" w14:textId="77777777" w:rsidTr="007604AD">
        <w:trPr>
          <w:trHeight w:val="212"/>
          <w:jc w:val="center"/>
        </w:trPr>
        <w:tc>
          <w:tcPr>
            <w:tcW w:w="0" w:type="auto"/>
            <w:vMerge/>
            <w:tcBorders>
              <w:top w:val="single" w:sz="4" w:space="0" w:color="auto"/>
              <w:left w:val="nil"/>
              <w:bottom w:val="single" w:sz="4" w:space="0" w:color="auto"/>
              <w:right w:val="nil"/>
            </w:tcBorders>
            <w:vAlign w:val="center"/>
            <w:hideMark/>
          </w:tcPr>
          <w:p w14:paraId="5D2922E6" w14:textId="77777777" w:rsidR="007604AD" w:rsidRDefault="007604AD">
            <w:pPr>
              <w:rPr>
                <w:rFonts w:ascii="Palatino Linotype" w:hAnsi="Palatino Linotype" w:cs="Times New Roman"/>
              </w:rPr>
            </w:pPr>
          </w:p>
        </w:tc>
        <w:tc>
          <w:tcPr>
            <w:tcW w:w="0" w:type="auto"/>
            <w:vMerge/>
            <w:tcBorders>
              <w:top w:val="single" w:sz="4" w:space="0" w:color="auto"/>
              <w:left w:val="nil"/>
              <w:bottom w:val="single" w:sz="4" w:space="0" w:color="auto"/>
              <w:right w:val="nil"/>
            </w:tcBorders>
            <w:vAlign w:val="center"/>
            <w:hideMark/>
          </w:tcPr>
          <w:p w14:paraId="0E2CAAA6" w14:textId="77777777" w:rsidR="007604AD" w:rsidRDefault="007604AD">
            <w:pPr>
              <w:rPr>
                <w:rFonts w:ascii="Palatino Linotype" w:hAnsi="Palatino Linotype" w:cs="Times New Roman"/>
              </w:rPr>
            </w:pPr>
          </w:p>
        </w:tc>
        <w:tc>
          <w:tcPr>
            <w:tcW w:w="1637" w:type="dxa"/>
            <w:tcBorders>
              <w:top w:val="nil"/>
              <w:left w:val="nil"/>
              <w:bottom w:val="nil"/>
              <w:right w:val="nil"/>
            </w:tcBorders>
            <w:vAlign w:val="center"/>
            <w:hideMark/>
          </w:tcPr>
          <w:p w14:paraId="629B54A8" w14:textId="77777777" w:rsidR="007604AD" w:rsidRDefault="007604AD">
            <w:pPr>
              <w:jc w:val="center"/>
              <w:rPr>
                <w:rFonts w:ascii="Palatino Linotype" w:hAnsi="Palatino Linotype" w:cs="Times New Roman"/>
              </w:rPr>
            </w:pPr>
            <w:r>
              <w:rPr>
                <w:rFonts w:ascii="Palatino Linotype" w:hAnsi="Palatino Linotype" w:cs="Times New Roman"/>
              </w:rPr>
              <w:t>4</w:t>
            </w:r>
          </w:p>
        </w:tc>
        <w:tc>
          <w:tcPr>
            <w:tcW w:w="487" w:type="dxa"/>
            <w:tcBorders>
              <w:top w:val="nil"/>
              <w:left w:val="nil"/>
              <w:bottom w:val="nil"/>
              <w:right w:val="nil"/>
            </w:tcBorders>
            <w:vAlign w:val="center"/>
            <w:hideMark/>
          </w:tcPr>
          <w:p w14:paraId="7C0B8D44" w14:textId="77777777" w:rsidR="007604AD" w:rsidRDefault="007604AD">
            <w:pPr>
              <w:jc w:val="center"/>
              <w:rPr>
                <w:rFonts w:ascii="Palatino Linotype" w:hAnsi="Palatino Linotype" w:cs="Times New Roman"/>
              </w:rPr>
            </w:pPr>
            <w:r>
              <w:rPr>
                <w:rFonts w:ascii="Palatino Linotype" w:eastAsia="Times New Roman" w:hAnsi="Palatino Linotype" w:cs="Times New Roman"/>
                <w:color w:val="000000"/>
              </w:rPr>
              <w:t>5</w:t>
            </w:r>
          </w:p>
        </w:tc>
        <w:tc>
          <w:tcPr>
            <w:tcW w:w="487" w:type="dxa"/>
            <w:tcBorders>
              <w:top w:val="nil"/>
              <w:left w:val="nil"/>
              <w:bottom w:val="nil"/>
              <w:right w:val="nil"/>
            </w:tcBorders>
            <w:vAlign w:val="center"/>
            <w:hideMark/>
          </w:tcPr>
          <w:p w14:paraId="62375A8B" w14:textId="77777777" w:rsidR="007604AD" w:rsidRDefault="007604AD">
            <w:pPr>
              <w:jc w:val="center"/>
              <w:rPr>
                <w:rFonts w:ascii="Palatino Linotype" w:hAnsi="Palatino Linotype" w:cs="Times New Roman"/>
              </w:rPr>
            </w:pPr>
            <w:r>
              <w:rPr>
                <w:rFonts w:ascii="Palatino Linotype" w:eastAsia="Times New Roman" w:hAnsi="Palatino Linotype" w:cs="Times New Roman"/>
                <w:color w:val="000000"/>
              </w:rPr>
              <w:t>4</w:t>
            </w:r>
          </w:p>
        </w:tc>
        <w:tc>
          <w:tcPr>
            <w:tcW w:w="487" w:type="dxa"/>
            <w:tcBorders>
              <w:top w:val="nil"/>
              <w:left w:val="nil"/>
              <w:bottom w:val="nil"/>
              <w:right w:val="nil"/>
            </w:tcBorders>
            <w:vAlign w:val="center"/>
            <w:hideMark/>
          </w:tcPr>
          <w:p w14:paraId="0099759E" w14:textId="77777777" w:rsidR="007604AD" w:rsidRDefault="007604AD">
            <w:pPr>
              <w:jc w:val="center"/>
              <w:rPr>
                <w:rFonts w:ascii="Palatino Linotype" w:hAnsi="Palatino Linotype" w:cs="Times New Roman"/>
              </w:rPr>
            </w:pPr>
            <w:r>
              <w:rPr>
                <w:rFonts w:ascii="Palatino Linotype" w:eastAsia="Times New Roman" w:hAnsi="Palatino Linotype" w:cs="Times New Roman"/>
                <w:color w:val="000000"/>
              </w:rPr>
              <w:t>4</w:t>
            </w:r>
          </w:p>
        </w:tc>
        <w:tc>
          <w:tcPr>
            <w:tcW w:w="504" w:type="dxa"/>
            <w:tcBorders>
              <w:top w:val="nil"/>
              <w:left w:val="nil"/>
              <w:bottom w:val="nil"/>
              <w:right w:val="nil"/>
            </w:tcBorders>
            <w:vAlign w:val="center"/>
            <w:hideMark/>
          </w:tcPr>
          <w:p w14:paraId="1A41F030" w14:textId="77777777" w:rsidR="007604AD" w:rsidRDefault="007604AD">
            <w:pPr>
              <w:jc w:val="center"/>
              <w:rPr>
                <w:rFonts w:ascii="Palatino Linotype" w:hAnsi="Palatino Linotype" w:cs="Times New Roman"/>
              </w:rPr>
            </w:pPr>
            <w:r>
              <w:rPr>
                <w:rFonts w:ascii="Palatino Linotype" w:eastAsia="Times New Roman" w:hAnsi="Palatino Linotype" w:cs="Times New Roman"/>
                <w:color w:val="000000"/>
              </w:rPr>
              <w:t>5</w:t>
            </w:r>
          </w:p>
        </w:tc>
        <w:tc>
          <w:tcPr>
            <w:tcW w:w="1838" w:type="dxa"/>
            <w:tcBorders>
              <w:top w:val="nil"/>
              <w:left w:val="nil"/>
              <w:bottom w:val="nil"/>
              <w:right w:val="nil"/>
            </w:tcBorders>
            <w:vAlign w:val="center"/>
            <w:hideMark/>
          </w:tcPr>
          <w:p w14:paraId="6EA82758" w14:textId="77777777" w:rsidR="007604AD" w:rsidRDefault="007604AD">
            <w:pPr>
              <w:jc w:val="center"/>
              <w:rPr>
                <w:rFonts w:ascii="Palatino Linotype" w:hAnsi="Palatino Linotype" w:cs="Times New Roman"/>
              </w:rPr>
            </w:pPr>
            <w:r>
              <w:rPr>
                <w:rFonts w:ascii="Palatino Linotype" w:hAnsi="Palatino Linotype" w:cs="Times New Roman"/>
              </w:rPr>
              <w:t>1</w:t>
            </w:r>
          </w:p>
        </w:tc>
      </w:tr>
      <w:tr w:rsidR="007604AD" w14:paraId="6A589281" w14:textId="77777777" w:rsidTr="007604AD">
        <w:trPr>
          <w:trHeight w:val="212"/>
          <w:jc w:val="center"/>
        </w:trPr>
        <w:tc>
          <w:tcPr>
            <w:tcW w:w="0" w:type="auto"/>
            <w:vMerge/>
            <w:tcBorders>
              <w:top w:val="single" w:sz="4" w:space="0" w:color="auto"/>
              <w:left w:val="nil"/>
              <w:bottom w:val="single" w:sz="4" w:space="0" w:color="auto"/>
              <w:right w:val="nil"/>
            </w:tcBorders>
            <w:vAlign w:val="center"/>
            <w:hideMark/>
          </w:tcPr>
          <w:p w14:paraId="7536B7E3" w14:textId="77777777" w:rsidR="007604AD" w:rsidRDefault="007604AD">
            <w:pPr>
              <w:rPr>
                <w:rFonts w:ascii="Palatino Linotype" w:hAnsi="Palatino Linotype" w:cs="Times New Roman"/>
              </w:rPr>
            </w:pPr>
          </w:p>
        </w:tc>
        <w:tc>
          <w:tcPr>
            <w:tcW w:w="0" w:type="auto"/>
            <w:vMerge/>
            <w:tcBorders>
              <w:top w:val="single" w:sz="4" w:space="0" w:color="auto"/>
              <w:left w:val="nil"/>
              <w:bottom w:val="single" w:sz="4" w:space="0" w:color="auto"/>
              <w:right w:val="nil"/>
            </w:tcBorders>
            <w:vAlign w:val="center"/>
            <w:hideMark/>
          </w:tcPr>
          <w:p w14:paraId="4F397434" w14:textId="77777777" w:rsidR="007604AD" w:rsidRDefault="007604AD">
            <w:pPr>
              <w:rPr>
                <w:rFonts w:ascii="Palatino Linotype" w:hAnsi="Palatino Linotype" w:cs="Times New Roman"/>
              </w:rPr>
            </w:pPr>
          </w:p>
        </w:tc>
        <w:tc>
          <w:tcPr>
            <w:tcW w:w="1637" w:type="dxa"/>
            <w:tcBorders>
              <w:top w:val="nil"/>
              <w:left w:val="nil"/>
              <w:bottom w:val="single" w:sz="4" w:space="0" w:color="auto"/>
              <w:right w:val="nil"/>
            </w:tcBorders>
            <w:vAlign w:val="center"/>
            <w:hideMark/>
          </w:tcPr>
          <w:p w14:paraId="6A2BC8BA" w14:textId="77777777" w:rsidR="007604AD" w:rsidRDefault="007604AD">
            <w:pPr>
              <w:jc w:val="center"/>
              <w:rPr>
                <w:rFonts w:ascii="Palatino Linotype" w:hAnsi="Palatino Linotype" w:cs="Times New Roman"/>
              </w:rPr>
            </w:pPr>
            <w:r>
              <w:rPr>
                <w:rFonts w:ascii="Palatino Linotype" w:hAnsi="Palatino Linotype" w:cs="Times New Roman"/>
              </w:rPr>
              <w:t>5</w:t>
            </w:r>
          </w:p>
        </w:tc>
        <w:tc>
          <w:tcPr>
            <w:tcW w:w="487" w:type="dxa"/>
            <w:tcBorders>
              <w:top w:val="nil"/>
              <w:left w:val="nil"/>
              <w:bottom w:val="single" w:sz="4" w:space="0" w:color="auto"/>
              <w:right w:val="nil"/>
            </w:tcBorders>
            <w:vAlign w:val="center"/>
            <w:hideMark/>
          </w:tcPr>
          <w:p w14:paraId="2CC07F9B" w14:textId="77777777" w:rsidR="007604AD" w:rsidRDefault="007604AD">
            <w:pPr>
              <w:jc w:val="center"/>
              <w:rPr>
                <w:rFonts w:ascii="Palatino Linotype" w:hAnsi="Palatino Linotype" w:cs="Times New Roman"/>
              </w:rPr>
            </w:pPr>
            <w:r>
              <w:rPr>
                <w:rFonts w:ascii="Palatino Linotype" w:eastAsia="Times New Roman" w:hAnsi="Palatino Linotype" w:cs="Times New Roman"/>
                <w:color w:val="000000"/>
              </w:rPr>
              <w:t>4</w:t>
            </w:r>
          </w:p>
        </w:tc>
        <w:tc>
          <w:tcPr>
            <w:tcW w:w="487" w:type="dxa"/>
            <w:tcBorders>
              <w:top w:val="nil"/>
              <w:left w:val="nil"/>
              <w:bottom w:val="single" w:sz="4" w:space="0" w:color="auto"/>
              <w:right w:val="nil"/>
            </w:tcBorders>
            <w:vAlign w:val="center"/>
            <w:hideMark/>
          </w:tcPr>
          <w:p w14:paraId="6FEC36B2" w14:textId="77777777" w:rsidR="007604AD" w:rsidRDefault="007604AD">
            <w:pPr>
              <w:jc w:val="center"/>
              <w:rPr>
                <w:rFonts w:ascii="Palatino Linotype" w:hAnsi="Palatino Linotype" w:cs="Times New Roman"/>
              </w:rPr>
            </w:pPr>
            <w:r>
              <w:rPr>
                <w:rFonts w:ascii="Palatino Linotype" w:eastAsia="Times New Roman" w:hAnsi="Palatino Linotype" w:cs="Times New Roman"/>
                <w:color w:val="000000"/>
              </w:rPr>
              <w:t>5</w:t>
            </w:r>
          </w:p>
        </w:tc>
        <w:tc>
          <w:tcPr>
            <w:tcW w:w="487" w:type="dxa"/>
            <w:tcBorders>
              <w:top w:val="nil"/>
              <w:left w:val="nil"/>
              <w:bottom w:val="single" w:sz="4" w:space="0" w:color="auto"/>
              <w:right w:val="nil"/>
            </w:tcBorders>
            <w:vAlign w:val="center"/>
            <w:hideMark/>
          </w:tcPr>
          <w:p w14:paraId="53FB3F40" w14:textId="77777777" w:rsidR="007604AD" w:rsidRDefault="007604AD">
            <w:pPr>
              <w:jc w:val="center"/>
              <w:rPr>
                <w:rFonts w:ascii="Palatino Linotype" w:hAnsi="Palatino Linotype" w:cs="Times New Roman"/>
              </w:rPr>
            </w:pPr>
            <w:r>
              <w:rPr>
                <w:rFonts w:ascii="Palatino Linotype" w:eastAsia="Times New Roman" w:hAnsi="Palatino Linotype" w:cs="Times New Roman"/>
                <w:color w:val="000000"/>
              </w:rPr>
              <w:t>4</w:t>
            </w:r>
          </w:p>
        </w:tc>
        <w:tc>
          <w:tcPr>
            <w:tcW w:w="504" w:type="dxa"/>
            <w:tcBorders>
              <w:top w:val="nil"/>
              <w:left w:val="nil"/>
              <w:bottom w:val="single" w:sz="4" w:space="0" w:color="auto"/>
              <w:right w:val="nil"/>
            </w:tcBorders>
            <w:vAlign w:val="center"/>
            <w:hideMark/>
          </w:tcPr>
          <w:p w14:paraId="68B66C5D" w14:textId="77777777" w:rsidR="007604AD" w:rsidRDefault="007604AD">
            <w:pPr>
              <w:jc w:val="center"/>
              <w:rPr>
                <w:rFonts w:ascii="Palatino Linotype" w:hAnsi="Palatino Linotype" w:cs="Times New Roman"/>
              </w:rPr>
            </w:pPr>
            <w:r>
              <w:rPr>
                <w:rFonts w:ascii="Palatino Linotype" w:eastAsia="Times New Roman" w:hAnsi="Palatino Linotype" w:cs="Times New Roman"/>
                <w:color w:val="000000"/>
              </w:rPr>
              <w:t>5</w:t>
            </w:r>
          </w:p>
        </w:tc>
        <w:tc>
          <w:tcPr>
            <w:tcW w:w="1838" w:type="dxa"/>
            <w:tcBorders>
              <w:top w:val="nil"/>
              <w:left w:val="nil"/>
              <w:bottom w:val="single" w:sz="4" w:space="0" w:color="auto"/>
              <w:right w:val="nil"/>
            </w:tcBorders>
            <w:vAlign w:val="center"/>
            <w:hideMark/>
          </w:tcPr>
          <w:p w14:paraId="39681E20" w14:textId="77777777" w:rsidR="007604AD" w:rsidRDefault="007604AD">
            <w:pPr>
              <w:jc w:val="center"/>
              <w:rPr>
                <w:rFonts w:ascii="Palatino Linotype" w:hAnsi="Palatino Linotype" w:cs="Times New Roman"/>
              </w:rPr>
            </w:pPr>
            <w:r>
              <w:rPr>
                <w:rFonts w:ascii="Palatino Linotype" w:hAnsi="Palatino Linotype" w:cs="Times New Roman"/>
              </w:rPr>
              <w:t>1</w:t>
            </w:r>
          </w:p>
        </w:tc>
      </w:tr>
      <w:tr w:rsidR="007604AD" w14:paraId="5D84743B" w14:textId="77777777" w:rsidTr="007604AD">
        <w:trPr>
          <w:trHeight w:val="212"/>
          <w:jc w:val="center"/>
        </w:trPr>
        <w:tc>
          <w:tcPr>
            <w:tcW w:w="797" w:type="dxa"/>
            <w:vMerge w:val="restart"/>
            <w:tcBorders>
              <w:top w:val="single" w:sz="4" w:space="0" w:color="auto"/>
              <w:left w:val="nil"/>
              <w:bottom w:val="single" w:sz="4" w:space="0" w:color="auto"/>
              <w:right w:val="nil"/>
            </w:tcBorders>
            <w:hideMark/>
          </w:tcPr>
          <w:p w14:paraId="62F959BE" w14:textId="77777777" w:rsidR="007604AD" w:rsidRDefault="007604AD">
            <w:pPr>
              <w:jc w:val="center"/>
              <w:rPr>
                <w:rFonts w:ascii="Palatino Linotype" w:hAnsi="Palatino Linotype" w:cs="Times New Roman"/>
              </w:rPr>
            </w:pPr>
            <w:r>
              <w:rPr>
                <w:rFonts w:ascii="Palatino Linotype" w:hAnsi="Palatino Linotype" w:cs="Times New Roman"/>
              </w:rPr>
              <w:t>3</w:t>
            </w:r>
          </w:p>
        </w:tc>
        <w:tc>
          <w:tcPr>
            <w:tcW w:w="1866" w:type="dxa"/>
            <w:vMerge w:val="restart"/>
            <w:tcBorders>
              <w:top w:val="single" w:sz="4" w:space="0" w:color="auto"/>
              <w:left w:val="nil"/>
              <w:bottom w:val="single" w:sz="4" w:space="0" w:color="auto"/>
              <w:right w:val="nil"/>
            </w:tcBorders>
            <w:hideMark/>
          </w:tcPr>
          <w:p w14:paraId="12F4CA08" w14:textId="77777777" w:rsidR="007604AD" w:rsidRDefault="007604AD">
            <w:pPr>
              <w:jc w:val="both"/>
              <w:rPr>
                <w:rFonts w:ascii="Palatino Linotype" w:hAnsi="Palatino Linotype" w:cs="Times New Roman"/>
              </w:rPr>
            </w:pPr>
            <w:r>
              <w:rPr>
                <w:rFonts w:ascii="Palatino Linotype" w:hAnsi="Palatino Linotype" w:cs="Times New Roman"/>
              </w:rPr>
              <w:t xml:space="preserve">Bahasa </w:t>
            </w:r>
          </w:p>
        </w:tc>
        <w:tc>
          <w:tcPr>
            <w:tcW w:w="1637" w:type="dxa"/>
            <w:tcBorders>
              <w:top w:val="single" w:sz="4" w:space="0" w:color="auto"/>
              <w:left w:val="nil"/>
              <w:bottom w:val="nil"/>
              <w:right w:val="nil"/>
            </w:tcBorders>
            <w:vAlign w:val="center"/>
            <w:hideMark/>
          </w:tcPr>
          <w:p w14:paraId="53F75FFC" w14:textId="77777777" w:rsidR="007604AD" w:rsidRDefault="007604AD">
            <w:pPr>
              <w:jc w:val="center"/>
              <w:rPr>
                <w:rFonts w:ascii="Palatino Linotype" w:hAnsi="Palatino Linotype" w:cs="Times New Roman"/>
              </w:rPr>
            </w:pPr>
            <w:r>
              <w:rPr>
                <w:rFonts w:ascii="Palatino Linotype" w:hAnsi="Palatino Linotype" w:cs="Times New Roman"/>
              </w:rPr>
              <w:t>6</w:t>
            </w:r>
          </w:p>
        </w:tc>
        <w:tc>
          <w:tcPr>
            <w:tcW w:w="487" w:type="dxa"/>
            <w:tcBorders>
              <w:top w:val="single" w:sz="4" w:space="0" w:color="auto"/>
              <w:left w:val="nil"/>
              <w:bottom w:val="nil"/>
              <w:right w:val="nil"/>
            </w:tcBorders>
            <w:vAlign w:val="center"/>
            <w:hideMark/>
          </w:tcPr>
          <w:p w14:paraId="542A2089" w14:textId="77777777" w:rsidR="007604AD" w:rsidRDefault="007604AD">
            <w:pPr>
              <w:jc w:val="center"/>
              <w:rPr>
                <w:rFonts w:ascii="Palatino Linotype" w:hAnsi="Palatino Linotype" w:cs="Times New Roman"/>
              </w:rPr>
            </w:pPr>
            <w:r>
              <w:rPr>
                <w:rFonts w:ascii="Palatino Linotype" w:eastAsia="Times New Roman" w:hAnsi="Palatino Linotype" w:cs="Times New Roman"/>
                <w:color w:val="000000"/>
              </w:rPr>
              <w:t>5</w:t>
            </w:r>
          </w:p>
        </w:tc>
        <w:tc>
          <w:tcPr>
            <w:tcW w:w="487" w:type="dxa"/>
            <w:tcBorders>
              <w:top w:val="single" w:sz="4" w:space="0" w:color="auto"/>
              <w:left w:val="nil"/>
              <w:bottom w:val="nil"/>
              <w:right w:val="nil"/>
            </w:tcBorders>
            <w:vAlign w:val="center"/>
            <w:hideMark/>
          </w:tcPr>
          <w:p w14:paraId="6F2F0760" w14:textId="77777777" w:rsidR="007604AD" w:rsidRDefault="007604AD">
            <w:pPr>
              <w:jc w:val="center"/>
              <w:rPr>
                <w:rFonts w:ascii="Palatino Linotype" w:hAnsi="Palatino Linotype" w:cs="Times New Roman"/>
              </w:rPr>
            </w:pPr>
            <w:r>
              <w:rPr>
                <w:rFonts w:ascii="Palatino Linotype" w:eastAsia="Times New Roman" w:hAnsi="Palatino Linotype" w:cs="Times New Roman"/>
                <w:color w:val="000000"/>
              </w:rPr>
              <w:t>5</w:t>
            </w:r>
          </w:p>
        </w:tc>
        <w:tc>
          <w:tcPr>
            <w:tcW w:w="487" w:type="dxa"/>
            <w:tcBorders>
              <w:top w:val="single" w:sz="4" w:space="0" w:color="auto"/>
              <w:left w:val="nil"/>
              <w:bottom w:val="nil"/>
              <w:right w:val="nil"/>
            </w:tcBorders>
            <w:vAlign w:val="center"/>
            <w:hideMark/>
          </w:tcPr>
          <w:p w14:paraId="7A3AE562" w14:textId="77777777" w:rsidR="007604AD" w:rsidRDefault="007604AD">
            <w:pPr>
              <w:jc w:val="center"/>
              <w:rPr>
                <w:rFonts w:ascii="Palatino Linotype" w:hAnsi="Palatino Linotype" w:cs="Times New Roman"/>
              </w:rPr>
            </w:pPr>
            <w:r>
              <w:rPr>
                <w:rFonts w:ascii="Palatino Linotype" w:eastAsia="Times New Roman" w:hAnsi="Palatino Linotype" w:cs="Times New Roman"/>
                <w:color w:val="000000"/>
              </w:rPr>
              <w:t>5</w:t>
            </w:r>
          </w:p>
        </w:tc>
        <w:tc>
          <w:tcPr>
            <w:tcW w:w="504" w:type="dxa"/>
            <w:tcBorders>
              <w:top w:val="single" w:sz="4" w:space="0" w:color="auto"/>
              <w:left w:val="nil"/>
              <w:bottom w:val="nil"/>
              <w:right w:val="nil"/>
            </w:tcBorders>
            <w:vAlign w:val="center"/>
            <w:hideMark/>
          </w:tcPr>
          <w:p w14:paraId="407ED604" w14:textId="77777777" w:rsidR="007604AD" w:rsidRDefault="007604AD">
            <w:pPr>
              <w:jc w:val="center"/>
              <w:rPr>
                <w:rFonts w:ascii="Palatino Linotype" w:hAnsi="Palatino Linotype" w:cs="Times New Roman"/>
              </w:rPr>
            </w:pPr>
            <w:r>
              <w:rPr>
                <w:rFonts w:ascii="Palatino Linotype" w:eastAsia="Times New Roman" w:hAnsi="Palatino Linotype" w:cs="Times New Roman"/>
                <w:color w:val="000000"/>
              </w:rPr>
              <w:t>4</w:t>
            </w:r>
          </w:p>
        </w:tc>
        <w:tc>
          <w:tcPr>
            <w:tcW w:w="1838" w:type="dxa"/>
            <w:tcBorders>
              <w:top w:val="single" w:sz="4" w:space="0" w:color="auto"/>
              <w:left w:val="nil"/>
              <w:bottom w:val="nil"/>
              <w:right w:val="nil"/>
            </w:tcBorders>
            <w:vAlign w:val="center"/>
            <w:hideMark/>
          </w:tcPr>
          <w:p w14:paraId="5CE52334" w14:textId="77777777" w:rsidR="007604AD" w:rsidRDefault="007604AD">
            <w:pPr>
              <w:jc w:val="center"/>
              <w:rPr>
                <w:rFonts w:ascii="Palatino Linotype" w:hAnsi="Palatino Linotype" w:cs="Times New Roman"/>
              </w:rPr>
            </w:pPr>
            <w:r>
              <w:rPr>
                <w:rFonts w:ascii="Palatino Linotype" w:hAnsi="Palatino Linotype" w:cs="Times New Roman"/>
              </w:rPr>
              <w:t>1</w:t>
            </w:r>
          </w:p>
        </w:tc>
      </w:tr>
      <w:tr w:rsidR="007604AD" w14:paraId="52EE033D" w14:textId="77777777" w:rsidTr="007604AD">
        <w:trPr>
          <w:trHeight w:val="212"/>
          <w:jc w:val="center"/>
        </w:trPr>
        <w:tc>
          <w:tcPr>
            <w:tcW w:w="0" w:type="auto"/>
            <w:vMerge/>
            <w:tcBorders>
              <w:top w:val="single" w:sz="4" w:space="0" w:color="auto"/>
              <w:left w:val="nil"/>
              <w:bottom w:val="single" w:sz="4" w:space="0" w:color="auto"/>
              <w:right w:val="nil"/>
            </w:tcBorders>
            <w:vAlign w:val="center"/>
            <w:hideMark/>
          </w:tcPr>
          <w:p w14:paraId="3D6BDC51" w14:textId="77777777" w:rsidR="007604AD" w:rsidRDefault="007604AD">
            <w:pPr>
              <w:rPr>
                <w:rFonts w:ascii="Palatino Linotype" w:hAnsi="Palatino Linotype" w:cs="Times New Roman"/>
              </w:rPr>
            </w:pPr>
          </w:p>
        </w:tc>
        <w:tc>
          <w:tcPr>
            <w:tcW w:w="0" w:type="auto"/>
            <w:vMerge/>
            <w:tcBorders>
              <w:top w:val="single" w:sz="4" w:space="0" w:color="auto"/>
              <w:left w:val="nil"/>
              <w:bottom w:val="single" w:sz="4" w:space="0" w:color="auto"/>
              <w:right w:val="nil"/>
            </w:tcBorders>
            <w:vAlign w:val="center"/>
            <w:hideMark/>
          </w:tcPr>
          <w:p w14:paraId="6DEFE3F1" w14:textId="77777777" w:rsidR="007604AD" w:rsidRDefault="007604AD">
            <w:pPr>
              <w:rPr>
                <w:rFonts w:ascii="Palatino Linotype" w:hAnsi="Palatino Linotype" w:cs="Times New Roman"/>
              </w:rPr>
            </w:pPr>
          </w:p>
        </w:tc>
        <w:tc>
          <w:tcPr>
            <w:tcW w:w="1637" w:type="dxa"/>
            <w:tcBorders>
              <w:top w:val="nil"/>
              <w:left w:val="nil"/>
              <w:bottom w:val="nil"/>
              <w:right w:val="nil"/>
            </w:tcBorders>
            <w:vAlign w:val="center"/>
            <w:hideMark/>
          </w:tcPr>
          <w:p w14:paraId="2708908F" w14:textId="77777777" w:rsidR="007604AD" w:rsidRDefault="007604AD">
            <w:pPr>
              <w:jc w:val="center"/>
              <w:rPr>
                <w:rFonts w:ascii="Palatino Linotype" w:hAnsi="Palatino Linotype" w:cs="Times New Roman"/>
              </w:rPr>
            </w:pPr>
            <w:r>
              <w:rPr>
                <w:rFonts w:ascii="Palatino Linotype" w:hAnsi="Palatino Linotype" w:cs="Times New Roman"/>
              </w:rPr>
              <w:t>7</w:t>
            </w:r>
          </w:p>
        </w:tc>
        <w:tc>
          <w:tcPr>
            <w:tcW w:w="487" w:type="dxa"/>
            <w:tcBorders>
              <w:top w:val="nil"/>
              <w:left w:val="nil"/>
              <w:bottom w:val="nil"/>
              <w:right w:val="nil"/>
            </w:tcBorders>
            <w:vAlign w:val="center"/>
            <w:hideMark/>
          </w:tcPr>
          <w:p w14:paraId="0E9E891B" w14:textId="77777777" w:rsidR="007604AD" w:rsidRDefault="007604AD">
            <w:pPr>
              <w:jc w:val="center"/>
              <w:rPr>
                <w:rFonts w:ascii="Palatino Linotype" w:hAnsi="Palatino Linotype" w:cs="Times New Roman"/>
              </w:rPr>
            </w:pPr>
            <w:r>
              <w:rPr>
                <w:rFonts w:ascii="Palatino Linotype" w:eastAsia="Times New Roman" w:hAnsi="Palatino Linotype" w:cs="Times New Roman"/>
                <w:color w:val="000000"/>
              </w:rPr>
              <w:t>5</w:t>
            </w:r>
          </w:p>
        </w:tc>
        <w:tc>
          <w:tcPr>
            <w:tcW w:w="487" w:type="dxa"/>
            <w:tcBorders>
              <w:top w:val="nil"/>
              <w:left w:val="nil"/>
              <w:bottom w:val="nil"/>
              <w:right w:val="nil"/>
            </w:tcBorders>
            <w:vAlign w:val="center"/>
            <w:hideMark/>
          </w:tcPr>
          <w:p w14:paraId="72FE8B66" w14:textId="77777777" w:rsidR="007604AD" w:rsidRDefault="007604AD">
            <w:pPr>
              <w:jc w:val="center"/>
              <w:rPr>
                <w:rFonts w:ascii="Palatino Linotype" w:hAnsi="Palatino Linotype" w:cs="Times New Roman"/>
              </w:rPr>
            </w:pPr>
            <w:r>
              <w:rPr>
                <w:rFonts w:ascii="Palatino Linotype" w:eastAsia="Times New Roman" w:hAnsi="Palatino Linotype" w:cs="Times New Roman"/>
                <w:color w:val="000000"/>
              </w:rPr>
              <w:t>5</w:t>
            </w:r>
          </w:p>
        </w:tc>
        <w:tc>
          <w:tcPr>
            <w:tcW w:w="487" w:type="dxa"/>
            <w:tcBorders>
              <w:top w:val="nil"/>
              <w:left w:val="nil"/>
              <w:bottom w:val="nil"/>
              <w:right w:val="nil"/>
            </w:tcBorders>
            <w:vAlign w:val="center"/>
            <w:hideMark/>
          </w:tcPr>
          <w:p w14:paraId="2A36C9E8" w14:textId="77777777" w:rsidR="007604AD" w:rsidRDefault="007604AD">
            <w:pPr>
              <w:jc w:val="center"/>
              <w:rPr>
                <w:rFonts w:ascii="Palatino Linotype" w:hAnsi="Palatino Linotype" w:cs="Times New Roman"/>
              </w:rPr>
            </w:pPr>
            <w:r>
              <w:rPr>
                <w:rFonts w:ascii="Palatino Linotype" w:eastAsia="Times New Roman" w:hAnsi="Palatino Linotype" w:cs="Times New Roman"/>
                <w:color w:val="000000"/>
              </w:rPr>
              <w:t>4</w:t>
            </w:r>
          </w:p>
        </w:tc>
        <w:tc>
          <w:tcPr>
            <w:tcW w:w="504" w:type="dxa"/>
            <w:tcBorders>
              <w:top w:val="nil"/>
              <w:left w:val="nil"/>
              <w:bottom w:val="nil"/>
              <w:right w:val="nil"/>
            </w:tcBorders>
            <w:vAlign w:val="center"/>
            <w:hideMark/>
          </w:tcPr>
          <w:p w14:paraId="12EC9AE2" w14:textId="77777777" w:rsidR="007604AD" w:rsidRDefault="007604AD">
            <w:pPr>
              <w:jc w:val="center"/>
              <w:rPr>
                <w:rFonts w:ascii="Palatino Linotype" w:hAnsi="Palatino Linotype" w:cs="Times New Roman"/>
              </w:rPr>
            </w:pPr>
            <w:r>
              <w:rPr>
                <w:rFonts w:ascii="Palatino Linotype" w:eastAsia="Times New Roman" w:hAnsi="Palatino Linotype" w:cs="Times New Roman"/>
                <w:color w:val="000000"/>
              </w:rPr>
              <w:t>5</w:t>
            </w:r>
          </w:p>
        </w:tc>
        <w:tc>
          <w:tcPr>
            <w:tcW w:w="1838" w:type="dxa"/>
            <w:tcBorders>
              <w:top w:val="nil"/>
              <w:left w:val="nil"/>
              <w:bottom w:val="nil"/>
              <w:right w:val="nil"/>
            </w:tcBorders>
            <w:vAlign w:val="center"/>
            <w:hideMark/>
          </w:tcPr>
          <w:p w14:paraId="19FE7C29" w14:textId="77777777" w:rsidR="007604AD" w:rsidRDefault="007604AD">
            <w:pPr>
              <w:jc w:val="center"/>
              <w:rPr>
                <w:rFonts w:ascii="Palatino Linotype" w:hAnsi="Palatino Linotype" w:cs="Times New Roman"/>
              </w:rPr>
            </w:pPr>
            <w:r>
              <w:rPr>
                <w:rFonts w:ascii="Palatino Linotype" w:hAnsi="Palatino Linotype" w:cs="Times New Roman"/>
              </w:rPr>
              <w:t>1</w:t>
            </w:r>
          </w:p>
        </w:tc>
      </w:tr>
      <w:tr w:rsidR="007604AD" w14:paraId="5FF152EE" w14:textId="77777777" w:rsidTr="007604AD">
        <w:trPr>
          <w:trHeight w:val="212"/>
          <w:jc w:val="center"/>
        </w:trPr>
        <w:tc>
          <w:tcPr>
            <w:tcW w:w="0" w:type="auto"/>
            <w:vMerge/>
            <w:tcBorders>
              <w:top w:val="single" w:sz="4" w:space="0" w:color="auto"/>
              <w:left w:val="nil"/>
              <w:bottom w:val="single" w:sz="4" w:space="0" w:color="auto"/>
              <w:right w:val="nil"/>
            </w:tcBorders>
            <w:vAlign w:val="center"/>
            <w:hideMark/>
          </w:tcPr>
          <w:p w14:paraId="0FFF2CE8" w14:textId="77777777" w:rsidR="007604AD" w:rsidRDefault="007604AD">
            <w:pPr>
              <w:rPr>
                <w:rFonts w:ascii="Palatino Linotype" w:hAnsi="Palatino Linotype" w:cs="Times New Roman"/>
              </w:rPr>
            </w:pPr>
          </w:p>
        </w:tc>
        <w:tc>
          <w:tcPr>
            <w:tcW w:w="0" w:type="auto"/>
            <w:vMerge/>
            <w:tcBorders>
              <w:top w:val="single" w:sz="4" w:space="0" w:color="auto"/>
              <w:left w:val="nil"/>
              <w:bottom w:val="single" w:sz="4" w:space="0" w:color="auto"/>
              <w:right w:val="nil"/>
            </w:tcBorders>
            <w:vAlign w:val="center"/>
            <w:hideMark/>
          </w:tcPr>
          <w:p w14:paraId="4B6A696B" w14:textId="77777777" w:rsidR="007604AD" w:rsidRDefault="007604AD">
            <w:pPr>
              <w:rPr>
                <w:rFonts w:ascii="Palatino Linotype" w:hAnsi="Palatino Linotype" w:cs="Times New Roman"/>
              </w:rPr>
            </w:pPr>
          </w:p>
        </w:tc>
        <w:tc>
          <w:tcPr>
            <w:tcW w:w="1637" w:type="dxa"/>
            <w:tcBorders>
              <w:top w:val="nil"/>
              <w:left w:val="nil"/>
              <w:bottom w:val="single" w:sz="4" w:space="0" w:color="auto"/>
              <w:right w:val="nil"/>
            </w:tcBorders>
            <w:vAlign w:val="center"/>
            <w:hideMark/>
          </w:tcPr>
          <w:p w14:paraId="4C5AFCFF" w14:textId="77777777" w:rsidR="007604AD" w:rsidRDefault="007604AD">
            <w:pPr>
              <w:jc w:val="center"/>
              <w:rPr>
                <w:rFonts w:ascii="Palatino Linotype" w:hAnsi="Palatino Linotype" w:cs="Times New Roman"/>
              </w:rPr>
            </w:pPr>
            <w:r>
              <w:rPr>
                <w:rFonts w:ascii="Palatino Linotype" w:hAnsi="Palatino Linotype" w:cs="Times New Roman"/>
              </w:rPr>
              <w:t>8</w:t>
            </w:r>
          </w:p>
        </w:tc>
        <w:tc>
          <w:tcPr>
            <w:tcW w:w="487" w:type="dxa"/>
            <w:tcBorders>
              <w:top w:val="nil"/>
              <w:left w:val="nil"/>
              <w:bottom w:val="single" w:sz="4" w:space="0" w:color="auto"/>
              <w:right w:val="nil"/>
            </w:tcBorders>
            <w:vAlign w:val="center"/>
            <w:hideMark/>
          </w:tcPr>
          <w:p w14:paraId="59A89548" w14:textId="77777777" w:rsidR="007604AD" w:rsidRDefault="007604AD">
            <w:pPr>
              <w:jc w:val="center"/>
              <w:rPr>
                <w:rFonts w:ascii="Palatino Linotype" w:hAnsi="Palatino Linotype" w:cs="Times New Roman"/>
              </w:rPr>
            </w:pPr>
            <w:r>
              <w:rPr>
                <w:rFonts w:ascii="Palatino Linotype" w:eastAsia="Times New Roman" w:hAnsi="Palatino Linotype" w:cs="Times New Roman"/>
                <w:color w:val="000000"/>
              </w:rPr>
              <w:t>5</w:t>
            </w:r>
          </w:p>
        </w:tc>
        <w:tc>
          <w:tcPr>
            <w:tcW w:w="487" w:type="dxa"/>
            <w:tcBorders>
              <w:top w:val="nil"/>
              <w:left w:val="nil"/>
              <w:bottom w:val="single" w:sz="4" w:space="0" w:color="auto"/>
              <w:right w:val="nil"/>
            </w:tcBorders>
            <w:vAlign w:val="center"/>
            <w:hideMark/>
          </w:tcPr>
          <w:p w14:paraId="3373D269" w14:textId="77777777" w:rsidR="007604AD" w:rsidRDefault="007604AD">
            <w:pPr>
              <w:jc w:val="center"/>
              <w:rPr>
                <w:rFonts w:ascii="Palatino Linotype" w:hAnsi="Palatino Linotype" w:cs="Times New Roman"/>
              </w:rPr>
            </w:pPr>
            <w:r>
              <w:rPr>
                <w:rFonts w:ascii="Palatino Linotype" w:eastAsia="Times New Roman" w:hAnsi="Palatino Linotype" w:cs="Times New Roman"/>
                <w:color w:val="000000"/>
              </w:rPr>
              <w:t>4</w:t>
            </w:r>
          </w:p>
        </w:tc>
        <w:tc>
          <w:tcPr>
            <w:tcW w:w="487" w:type="dxa"/>
            <w:tcBorders>
              <w:top w:val="nil"/>
              <w:left w:val="nil"/>
              <w:bottom w:val="single" w:sz="4" w:space="0" w:color="auto"/>
              <w:right w:val="nil"/>
            </w:tcBorders>
            <w:vAlign w:val="center"/>
            <w:hideMark/>
          </w:tcPr>
          <w:p w14:paraId="7D5BC528" w14:textId="77777777" w:rsidR="007604AD" w:rsidRDefault="007604AD">
            <w:pPr>
              <w:jc w:val="center"/>
              <w:rPr>
                <w:rFonts w:ascii="Palatino Linotype" w:hAnsi="Palatino Linotype" w:cs="Times New Roman"/>
              </w:rPr>
            </w:pPr>
            <w:r>
              <w:rPr>
                <w:rFonts w:ascii="Palatino Linotype" w:eastAsia="Times New Roman" w:hAnsi="Palatino Linotype" w:cs="Times New Roman"/>
                <w:color w:val="000000"/>
              </w:rPr>
              <w:t>3</w:t>
            </w:r>
          </w:p>
        </w:tc>
        <w:tc>
          <w:tcPr>
            <w:tcW w:w="504" w:type="dxa"/>
            <w:tcBorders>
              <w:top w:val="nil"/>
              <w:left w:val="nil"/>
              <w:bottom w:val="single" w:sz="4" w:space="0" w:color="auto"/>
              <w:right w:val="nil"/>
            </w:tcBorders>
            <w:vAlign w:val="center"/>
            <w:hideMark/>
          </w:tcPr>
          <w:p w14:paraId="44A78684" w14:textId="77777777" w:rsidR="007604AD" w:rsidRDefault="007604AD">
            <w:pPr>
              <w:jc w:val="center"/>
              <w:rPr>
                <w:rFonts w:ascii="Palatino Linotype" w:hAnsi="Palatino Linotype" w:cs="Times New Roman"/>
              </w:rPr>
            </w:pPr>
            <w:r>
              <w:rPr>
                <w:rFonts w:ascii="Palatino Linotype" w:eastAsia="Times New Roman" w:hAnsi="Palatino Linotype" w:cs="Times New Roman"/>
                <w:color w:val="000000"/>
              </w:rPr>
              <w:t>4</w:t>
            </w:r>
          </w:p>
        </w:tc>
        <w:tc>
          <w:tcPr>
            <w:tcW w:w="1838" w:type="dxa"/>
            <w:tcBorders>
              <w:top w:val="nil"/>
              <w:left w:val="nil"/>
              <w:bottom w:val="single" w:sz="4" w:space="0" w:color="auto"/>
              <w:right w:val="nil"/>
            </w:tcBorders>
            <w:vAlign w:val="center"/>
            <w:hideMark/>
          </w:tcPr>
          <w:p w14:paraId="69E060E0" w14:textId="77777777" w:rsidR="007604AD" w:rsidRDefault="007604AD">
            <w:pPr>
              <w:jc w:val="center"/>
              <w:rPr>
                <w:rFonts w:ascii="Palatino Linotype" w:hAnsi="Palatino Linotype" w:cs="Times New Roman"/>
              </w:rPr>
            </w:pPr>
            <w:r>
              <w:rPr>
                <w:rFonts w:ascii="Palatino Linotype" w:hAnsi="Palatino Linotype" w:cs="Times New Roman"/>
              </w:rPr>
              <w:t>1</w:t>
            </w:r>
          </w:p>
        </w:tc>
      </w:tr>
      <w:tr w:rsidR="007604AD" w14:paraId="1CA4FB80" w14:textId="77777777" w:rsidTr="007604AD">
        <w:trPr>
          <w:trHeight w:val="206"/>
          <w:jc w:val="center"/>
        </w:trPr>
        <w:tc>
          <w:tcPr>
            <w:tcW w:w="797" w:type="dxa"/>
            <w:vMerge w:val="restart"/>
            <w:tcBorders>
              <w:top w:val="single" w:sz="4" w:space="0" w:color="auto"/>
              <w:left w:val="nil"/>
              <w:bottom w:val="single" w:sz="4" w:space="0" w:color="auto"/>
              <w:right w:val="nil"/>
            </w:tcBorders>
            <w:hideMark/>
          </w:tcPr>
          <w:p w14:paraId="48076155" w14:textId="77777777" w:rsidR="007604AD" w:rsidRDefault="007604AD">
            <w:pPr>
              <w:jc w:val="center"/>
              <w:rPr>
                <w:rFonts w:ascii="Palatino Linotype" w:hAnsi="Palatino Linotype" w:cs="Times New Roman"/>
              </w:rPr>
            </w:pPr>
            <w:r>
              <w:rPr>
                <w:rFonts w:ascii="Palatino Linotype" w:hAnsi="Palatino Linotype" w:cs="Times New Roman"/>
              </w:rPr>
              <w:t>4</w:t>
            </w:r>
          </w:p>
        </w:tc>
        <w:tc>
          <w:tcPr>
            <w:tcW w:w="1866" w:type="dxa"/>
            <w:vMerge w:val="restart"/>
            <w:tcBorders>
              <w:top w:val="single" w:sz="4" w:space="0" w:color="auto"/>
              <w:left w:val="nil"/>
              <w:bottom w:val="single" w:sz="4" w:space="0" w:color="auto"/>
              <w:right w:val="nil"/>
            </w:tcBorders>
            <w:hideMark/>
          </w:tcPr>
          <w:p w14:paraId="5E2DD0CB" w14:textId="77777777" w:rsidR="007604AD" w:rsidRDefault="007604AD">
            <w:pPr>
              <w:jc w:val="both"/>
              <w:rPr>
                <w:rFonts w:ascii="Palatino Linotype" w:hAnsi="Palatino Linotype" w:cs="Times New Roman"/>
              </w:rPr>
            </w:pPr>
            <w:r>
              <w:rPr>
                <w:rFonts w:ascii="Palatino Linotype" w:eastAsia="Times New Roman" w:hAnsi="Palatino Linotype" w:cs="Times New Roman"/>
                <w:color w:val="000000"/>
              </w:rPr>
              <w:t>Petunjuk pelaksanaan</w:t>
            </w:r>
          </w:p>
        </w:tc>
        <w:tc>
          <w:tcPr>
            <w:tcW w:w="1637" w:type="dxa"/>
            <w:tcBorders>
              <w:top w:val="single" w:sz="4" w:space="0" w:color="auto"/>
              <w:left w:val="nil"/>
              <w:bottom w:val="nil"/>
              <w:right w:val="nil"/>
            </w:tcBorders>
            <w:vAlign w:val="center"/>
            <w:hideMark/>
          </w:tcPr>
          <w:p w14:paraId="1EAFF090" w14:textId="77777777" w:rsidR="007604AD" w:rsidRDefault="007604AD">
            <w:pPr>
              <w:jc w:val="center"/>
              <w:rPr>
                <w:rFonts w:ascii="Palatino Linotype" w:hAnsi="Palatino Linotype" w:cs="Times New Roman"/>
              </w:rPr>
            </w:pPr>
            <w:r>
              <w:rPr>
                <w:rFonts w:ascii="Palatino Linotype" w:hAnsi="Palatino Linotype" w:cs="Times New Roman"/>
              </w:rPr>
              <w:t>9</w:t>
            </w:r>
          </w:p>
        </w:tc>
        <w:tc>
          <w:tcPr>
            <w:tcW w:w="487" w:type="dxa"/>
            <w:tcBorders>
              <w:top w:val="single" w:sz="4" w:space="0" w:color="auto"/>
              <w:left w:val="nil"/>
              <w:bottom w:val="nil"/>
              <w:right w:val="nil"/>
            </w:tcBorders>
            <w:vAlign w:val="center"/>
            <w:hideMark/>
          </w:tcPr>
          <w:p w14:paraId="5EAC7E9B" w14:textId="77777777" w:rsidR="007604AD" w:rsidRDefault="007604AD">
            <w:pPr>
              <w:jc w:val="center"/>
              <w:rPr>
                <w:rFonts w:ascii="Palatino Linotype" w:hAnsi="Palatino Linotype" w:cs="Times New Roman"/>
              </w:rPr>
            </w:pPr>
            <w:r>
              <w:rPr>
                <w:rFonts w:ascii="Palatino Linotype" w:eastAsia="Times New Roman" w:hAnsi="Palatino Linotype" w:cs="Times New Roman"/>
                <w:color w:val="000000"/>
              </w:rPr>
              <w:t>4</w:t>
            </w:r>
          </w:p>
        </w:tc>
        <w:tc>
          <w:tcPr>
            <w:tcW w:w="487" w:type="dxa"/>
            <w:tcBorders>
              <w:top w:val="single" w:sz="4" w:space="0" w:color="auto"/>
              <w:left w:val="nil"/>
              <w:bottom w:val="nil"/>
              <w:right w:val="nil"/>
            </w:tcBorders>
            <w:vAlign w:val="center"/>
            <w:hideMark/>
          </w:tcPr>
          <w:p w14:paraId="1A81E64A" w14:textId="77777777" w:rsidR="007604AD" w:rsidRDefault="007604AD">
            <w:pPr>
              <w:jc w:val="center"/>
              <w:rPr>
                <w:rFonts w:ascii="Palatino Linotype" w:hAnsi="Palatino Linotype" w:cs="Times New Roman"/>
              </w:rPr>
            </w:pPr>
            <w:r>
              <w:rPr>
                <w:rFonts w:ascii="Palatino Linotype" w:eastAsia="Times New Roman" w:hAnsi="Palatino Linotype" w:cs="Times New Roman"/>
                <w:color w:val="000000"/>
              </w:rPr>
              <w:t>5</w:t>
            </w:r>
          </w:p>
        </w:tc>
        <w:tc>
          <w:tcPr>
            <w:tcW w:w="487" w:type="dxa"/>
            <w:tcBorders>
              <w:top w:val="single" w:sz="4" w:space="0" w:color="auto"/>
              <w:left w:val="nil"/>
              <w:bottom w:val="nil"/>
              <w:right w:val="nil"/>
            </w:tcBorders>
            <w:vAlign w:val="center"/>
            <w:hideMark/>
          </w:tcPr>
          <w:p w14:paraId="046C6088" w14:textId="77777777" w:rsidR="007604AD" w:rsidRDefault="007604AD">
            <w:pPr>
              <w:jc w:val="center"/>
              <w:rPr>
                <w:rFonts w:ascii="Palatino Linotype" w:hAnsi="Palatino Linotype" w:cs="Times New Roman"/>
              </w:rPr>
            </w:pPr>
            <w:r>
              <w:rPr>
                <w:rFonts w:ascii="Palatino Linotype" w:eastAsia="Times New Roman" w:hAnsi="Palatino Linotype" w:cs="Times New Roman"/>
                <w:color w:val="000000"/>
              </w:rPr>
              <w:t>4</w:t>
            </w:r>
          </w:p>
        </w:tc>
        <w:tc>
          <w:tcPr>
            <w:tcW w:w="504" w:type="dxa"/>
            <w:tcBorders>
              <w:top w:val="single" w:sz="4" w:space="0" w:color="auto"/>
              <w:left w:val="nil"/>
              <w:bottom w:val="nil"/>
              <w:right w:val="nil"/>
            </w:tcBorders>
            <w:vAlign w:val="center"/>
            <w:hideMark/>
          </w:tcPr>
          <w:p w14:paraId="4CBFE4FF" w14:textId="77777777" w:rsidR="007604AD" w:rsidRDefault="007604AD">
            <w:pPr>
              <w:jc w:val="center"/>
              <w:rPr>
                <w:rFonts w:ascii="Palatino Linotype" w:hAnsi="Palatino Linotype" w:cs="Times New Roman"/>
              </w:rPr>
            </w:pPr>
            <w:r>
              <w:rPr>
                <w:rFonts w:ascii="Palatino Linotype" w:eastAsia="Times New Roman" w:hAnsi="Palatino Linotype" w:cs="Times New Roman"/>
                <w:color w:val="000000"/>
              </w:rPr>
              <w:t>5</w:t>
            </w:r>
          </w:p>
        </w:tc>
        <w:tc>
          <w:tcPr>
            <w:tcW w:w="1838" w:type="dxa"/>
            <w:tcBorders>
              <w:top w:val="single" w:sz="4" w:space="0" w:color="auto"/>
              <w:left w:val="nil"/>
              <w:bottom w:val="nil"/>
              <w:right w:val="nil"/>
            </w:tcBorders>
            <w:vAlign w:val="center"/>
            <w:hideMark/>
          </w:tcPr>
          <w:p w14:paraId="78C0EF30" w14:textId="77777777" w:rsidR="007604AD" w:rsidRDefault="007604AD">
            <w:pPr>
              <w:jc w:val="center"/>
              <w:rPr>
                <w:rFonts w:ascii="Palatino Linotype" w:hAnsi="Palatino Linotype" w:cs="Times New Roman"/>
              </w:rPr>
            </w:pPr>
            <w:r>
              <w:rPr>
                <w:rFonts w:ascii="Palatino Linotype" w:hAnsi="Palatino Linotype" w:cs="Times New Roman"/>
              </w:rPr>
              <w:t>1</w:t>
            </w:r>
          </w:p>
        </w:tc>
      </w:tr>
      <w:tr w:rsidR="007604AD" w14:paraId="25D17A76" w14:textId="77777777" w:rsidTr="007604AD">
        <w:trPr>
          <w:trHeight w:val="217"/>
          <w:jc w:val="center"/>
        </w:trPr>
        <w:tc>
          <w:tcPr>
            <w:tcW w:w="0" w:type="auto"/>
            <w:vMerge/>
            <w:tcBorders>
              <w:top w:val="single" w:sz="4" w:space="0" w:color="auto"/>
              <w:left w:val="nil"/>
              <w:bottom w:val="single" w:sz="4" w:space="0" w:color="auto"/>
              <w:right w:val="nil"/>
            </w:tcBorders>
            <w:vAlign w:val="center"/>
            <w:hideMark/>
          </w:tcPr>
          <w:p w14:paraId="0051291B" w14:textId="77777777" w:rsidR="007604AD" w:rsidRDefault="007604AD">
            <w:pPr>
              <w:rPr>
                <w:rFonts w:ascii="Palatino Linotype" w:hAnsi="Palatino Linotype" w:cs="Times New Roman"/>
              </w:rPr>
            </w:pPr>
          </w:p>
        </w:tc>
        <w:tc>
          <w:tcPr>
            <w:tcW w:w="0" w:type="auto"/>
            <w:vMerge/>
            <w:tcBorders>
              <w:top w:val="single" w:sz="4" w:space="0" w:color="auto"/>
              <w:left w:val="nil"/>
              <w:bottom w:val="single" w:sz="4" w:space="0" w:color="auto"/>
              <w:right w:val="nil"/>
            </w:tcBorders>
            <w:vAlign w:val="center"/>
            <w:hideMark/>
          </w:tcPr>
          <w:p w14:paraId="44A2AED9" w14:textId="77777777" w:rsidR="007604AD" w:rsidRDefault="007604AD">
            <w:pPr>
              <w:rPr>
                <w:rFonts w:ascii="Palatino Linotype" w:hAnsi="Palatino Linotype" w:cs="Times New Roman"/>
              </w:rPr>
            </w:pPr>
          </w:p>
        </w:tc>
        <w:tc>
          <w:tcPr>
            <w:tcW w:w="1637" w:type="dxa"/>
            <w:tcBorders>
              <w:top w:val="nil"/>
              <w:left w:val="nil"/>
              <w:bottom w:val="single" w:sz="4" w:space="0" w:color="auto"/>
              <w:right w:val="nil"/>
            </w:tcBorders>
            <w:hideMark/>
          </w:tcPr>
          <w:p w14:paraId="301AA3F6" w14:textId="77777777" w:rsidR="007604AD" w:rsidRDefault="007604AD">
            <w:pPr>
              <w:jc w:val="center"/>
              <w:rPr>
                <w:rFonts w:ascii="Palatino Linotype" w:hAnsi="Palatino Linotype" w:cs="Times New Roman"/>
              </w:rPr>
            </w:pPr>
            <w:r>
              <w:rPr>
                <w:rFonts w:ascii="Palatino Linotype" w:hAnsi="Palatino Linotype" w:cs="Times New Roman"/>
              </w:rPr>
              <w:t>10</w:t>
            </w:r>
          </w:p>
        </w:tc>
        <w:tc>
          <w:tcPr>
            <w:tcW w:w="487" w:type="dxa"/>
            <w:tcBorders>
              <w:top w:val="nil"/>
              <w:left w:val="nil"/>
              <w:bottom w:val="single" w:sz="4" w:space="0" w:color="auto"/>
              <w:right w:val="nil"/>
            </w:tcBorders>
            <w:vAlign w:val="center"/>
            <w:hideMark/>
          </w:tcPr>
          <w:p w14:paraId="0910D02A" w14:textId="77777777" w:rsidR="007604AD" w:rsidRDefault="007604AD">
            <w:pPr>
              <w:jc w:val="center"/>
              <w:rPr>
                <w:rFonts w:ascii="Palatino Linotype" w:hAnsi="Palatino Linotype" w:cs="Times New Roman"/>
              </w:rPr>
            </w:pPr>
            <w:r>
              <w:rPr>
                <w:rFonts w:ascii="Palatino Linotype" w:eastAsia="Times New Roman" w:hAnsi="Palatino Linotype" w:cs="Times New Roman"/>
                <w:color w:val="000000"/>
              </w:rPr>
              <w:t>4</w:t>
            </w:r>
          </w:p>
        </w:tc>
        <w:tc>
          <w:tcPr>
            <w:tcW w:w="487" w:type="dxa"/>
            <w:tcBorders>
              <w:top w:val="nil"/>
              <w:left w:val="nil"/>
              <w:bottom w:val="single" w:sz="4" w:space="0" w:color="auto"/>
              <w:right w:val="nil"/>
            </w:tcBorders>
            <w:vAlign w:val="center"/>
            <w:hideMark/>
          </w:tcPr>
          <w:p w14:paraId="650E8CC9" w14:textId="77777777" w:rsidR="007604AD" w:rsidRDefault="007604AD">
            <w:pPr>
              <w:jc w:val="center"/>
              <w:rPr>
                <w:rFonts w:ascii="Palatino Linotype" w:hAnsi="Palatino Linotype" w:cs="Times New Roman"/>
              </w:rPr>
            </w:pPr>
            <w:r>
              <w:rPr>
                <w:rFonts w:ascii="Palatino Linotype" w:eastAsia="Times New Roman" w:hAnsi="Palatino Linotype" w:cs="Times New Roman"/>
                <w:color w:val="000000"/>
              </w:rPr>
              <w:t>4</w:t>
            </w:r>
          </w:p>
        </w:tc>
        <w:tc>
          <w:tcPr>
            <w:tcW w:w="487" w:type="dxa"/>
            <w:tcBorders>
              <w:top w:val="nil"/>
              <w:left w:val="nil"/>
              <w:bottom w:val="single" w:sz="4" w:space="0" w:color="auto"/>
              <w:right w:val="nil"/>
            </w:tcBorders>
            <w:vAlign w:val="center"/>
            <w:hideMark/>
          </w:tcPr>
          <w:p w14:paraId="7A3BD754" w14:textId="77777777" w:rsidR="007604AD" w:rsidRDefault="007604AD">
            <w:pPr>
              <w:jc w:val="center"/>
              <w:rPr>
                <w:rFonts w:ascii="Palatino Linotype" w:hAnsi="Palatino Linotype" w:cs="Times New Roman"/>
              </w:rPr>
            </w:pPr>
            <w:r>
              <w:rPr>
                <w:rFonts w:ascii="Palatino Linotype" w:eastAsia="Times New Roman" w:hAnsi="Palatino Linotype" w:cs="Times New Roman"/>
                <w:color w:val="000000"/>
              </w:rPr>
              <w:t>4</w:t>
            </w:r>
          </w:p>
        </w:tc>
        <w:tc>
          <w:tcPr>
            <w:tcW w:w="504" w:type="dxa"/>
            <w:tcBorders>
              <w:top w:val="nil"/>
              <w:left w:val="nil"/>
              <w:bottom w:val="single" w:sz="4" w:space="0" w:color="auto"/>
              <w:right w:val="nil"/>
            </w:tcBorders>
            <w:vAlign w:val="center"/>
            <w:hideMark/>
          </w:tcPr>
          <w:p w14:paraId="64C0A953" w14:textId="77777777" w:rsidR="007604AD" w:rsidRDefault="007604AD">
            <w:pPr>
              <w:jc w:val="center"/>
              <w:rPr>
                <w:rFonts w:ascii="Palatino Linotype" w:hAnsi="Palatino Linotype" w:cs="Times New Roman"/>
              </w:rPr>
            </w:pPr>
            <w:r>
              <w:rPr>
                <w:rFonts w:ascii="Palatino Linotype" w:eastAsia="Times New Roman" w:hAnsi="Palatino Linotype" w:cs="Times New Roman"/>
                <w:color w:val="000000"/>
              </w:rPr>
              <w:t>5</w:t>
            </w:r>
          </w:p>
        </w:tc>
        <w:tc>
          <w:tcPr>
            <w:tcW w:w="1838" w:type="dxa"/>
            <w:tcBorders>
              <w:top w:val="nil"/>
              <w:left w:val="nil"/>
              <w:bottom w:val="single" w:sz="4" w:space="0" w:color="auto"/>
              <w:right w:val="nil"/>
            </w:tcBorders>
            <w:vAlign w:val="center"/>
            <w:hideMark/>
          </w:tcPr>
          <w:p w14:paraId="4E2CC013" w14:textId="77777777" w:rsidR="007604AD" w:rsidRDefault="007604AD">
            <w:pPr>
              <w:jc w:val="center"/>
              <w:rPr>
                <w:rFonts w:ascii="Palatino Linotype" w:hAnsi="Palatino Linotype" w:cs="Times New Roman"/>
              </w:rPr>
            </w:pPr>
            <w:r>
              <w:rPr>
                <w:rFonts w:ascii="Palatino Linotype" w:hAnsi="Palatino Linotype" w:cs="Times New Roman"/>
              </w:rPr>
              <w:t>1</w:t>
            </w:r>
          </w:p>
        </w:tc>
      </w:tr>
      <w:tr w:rsidR="007604AD" w14:paraId="1A48445F" w14:textId="77777777" w:rsidTr="007604AD">
        <w:trPr>
          <w:trHeight w:val="415"/>
          <w:jc w:val="center"/>
        </w:trPr>
        <w:tc>
          <w:tcPr>
            <w:tcW w:w="4300" w:type="dxa"/>
            <w:gridSpan w:val="3"/>
            <w:tcBorders>
              <w:top w:val="single" w:sz="4" w:space="0" w:color="auto"/>
              <w:left w:val="nil"/>
              <w:bottom w:val="single" w:sz="4" w:space="0" w:color="auto"/>
              <w:right w:val="nil"/>
            </w:tcBorders>
            <w:vAlign w:val="center"/>
            <w:hideMark/>
          </w:tcPr>
          <w:p w14:paraId="7053C75F" w14:textId="77777777" w:rsidR="007604AD" w:rsidRDefault="007604AD">
            <w:pPr>
              <w:jc w:val="center"/>
              <w:rPr>
                <w:rFonts w:ascii="Palatino Linotype" w:hAnsi="Palatino Linotype" w:cs="Times New Roman"/>
              </w:rPr>
            </w:pPr>
            <w:r>
              <w:rPr>
                <w:rFonts w:ascii="Palatino Linotype" w:hAnsi="Palatino Linotype" w:cs="Times New Roman"/>
              </w:rPr>
              <w:t>CVI</w:t>
            </w:r>
          </w:p>
        </w:tc>
        <w:tc>
          <w:tcPr>
            <w:tcW w:w="487" w:type="dxa"/>
            <w:tcBorders>
              <w:top w:val="single" w:sz="4" w:space="0" w:color="auto"/>
              <w:left w:val="nil"/>
              <w:bottom w:val="single" w:sz="4" w:space="0" w:color="auto"/>
              <w:right w:val="nil"/>
            </w:tcBorders>
            <w:vAlign w:val="center"/>
          </w:tcPr>
          <w:p w14:paraId="591484CA" w14:textId="77777777" w:rsidR="007604AD" w:rsidRDefault="007604AD">
            <w:pPr>
              <w:jc w:val="center"/>
              <w:rPr>
                <w:rFonts w:ascii="Palatino Linotype" w:hAnsi="Palatino Linotype" w:cs="Times New Roman"/>
              </w:rPr>
            </w:pPr>
          </w:p>
        </w:tc>
        <w:tc>
          <w:tcPr>
            <w:tcW w:w="487" w:type="dxa"/>
            <w:tcBorders>
              <w:top w:val="single" w:sz="4" w:space="0" w:color="auto"/>
              <w:left w:val="nil"/>
              <w:bottom w:val="single" w:sz="4" w:space="0" w:color="auto"/>
              <w:right w:val="nil"/>
            </w:tcBorders>
            <w:vAlign w:val="center"/>
          </w:tcPr>
          <w:p w14:paraId="03372E33" w14:textId="77777777" w:rsidR="007604AD" w:rsidRDefault="007604AD">
            <w:pPr>
              <w:jc w:val="center"/>
              <w:rPr>
                <w:rFonts w:ascii="Palatino Linotype" w:hAnsi="Palatino Linotype" w:cs="Times New Roman"/>
              </w:rPr>
            </w:pPr>
          </w:p>
        </w:tc>
        <w:tc>
          <w:tcPr>
            <w:tcW w:w="487" w:type="dxa"/>
            <w:tcBorders>
              <w:top w:val="single" w:sz="4" w:space="0" w:color="auto"/>
              <w:left w:val="nil"/>
              <w:bottom w:val="single" w:sz="4" w:space="0" w:color="auto"/>
              <w:right w:val="nil"/>
            </w:tcBorders>
            <w:vAlign w:val="center"/>
          </w:tcPr>
          <w:p w14:paraId="76F414D2" w14:textId="77777777" w:rsidR="007604AD" w:rsidRDefault="007604AD">
            <w:pPr>
              <w:jc w:val="center"/>
              <w:rPr>
                <w:rFonts w:ascii="Palatino Linotype" w:hAnsi="Palatino Linotype" w:cs="Times New Roman"/>
              </w:rPr>
            </w:pPr>
          </w:p>
        </w:tc>
        <w:tc>
          <w:tcPr>
            <w:tcW w:w="504" w:type="dxa"/>
            <w:tcBorders>
              <w:top w:val="single" w:sz="4" w:space="0" w:color="auto"/>
              <w:left w:val="nil"/>
              <w:bottom w:val="single" w:sz="4" w:space="0" w:color="auto"/>
              <w:right w:val="nil"/>
            </w:tcBorders>
            <w:vAlign w:val="center"/>
          </w:tcPr>
          <w:p w14:paraId="0CCFA246" w14:textId="77777777" w:rsidR="007604AD" w:rsidRDefault="007604AD">
            <w:pPr>
              <w:jc w:val="center"/>
              <w:rPr>
                <w:rFonts w:ascii="Palatino Linotype" w:hAnsi="Palatino Linotype" w:cs="Times New Roman"/>
              </w:rPr>
            </w:pPr>
          </w:p>
        </w:tc>
        <w:tc>
          <w:tcPr>
            <w:tcW w:w="1838" w:type="dxa"/>
            <w:tcBorders>
              <w:top w:val="single" w:sz="4" w:space="0" w:color="auto"/>
              <w:left w:val="nil"/>
              <w:bottom w:val="single" w:sz="4" w:space="0" w:color="auto"/>
              <w:right w:val="nil"/>
            </w:tcBorders>
            <w:vAlign w:val="center"/>
            <w:hideMark/>
          </w:tcPr>
          <w:p w14:paraId="149103B7" w14:textId="77777777" w:rsidR="007604AD" w:rsidRDefault="007604AD">
            <w:pPr>
              <w:jc w:val="center"/>
              <w:rPr>
                <w:rFonts w:ascii="Palatino Linotype" w:hAnsi="Palatino Linotype" w:cs="Times New Roman"/>
              </w:rPr>
            </w:pPr>
            <w:r>
              <w:rPr>
                <w:rFonts w:ascii="Palatino Linotype" w:hAnsi="Palatino Linotype" w:cs="Times New Roman"/>
              </w:rPr>
              <w:t>1</w:t>
            </w:r>
          </w:p>
        </w:tc>
      </w:tr>
    </w:tbl>
    <w:p w14:paraId="6173AF86" w14:textId="77777777" w:rsidR="007604AD" w:rsidRDefault="007604AD" w:rsidP="007604AD">
      <w:pPr>
        <w:pStyle w:val="ListParagraph"/>
        <w:spacing w:line="360" w:lineRule="auto"/>
        <w:ind w:left="284" w:firstLine="709"/>
        <w:jc w:val="both"/>
        <w:rPr>
          <w:rFonts w:ascii="Palatino Linotype" w:eastAsia="Times New Roman" w:hAnsi="Palatino Linotype" w:cs="Times New Roman"/>
        </w:rPr>
      </w:pPr>
    </w:p>
    <w:p w14:paraId="2E219EAB" w14:textId="77777777" w:rsidR="007604AD" w:rsidRDefault="007604AD" w:rsidP="007604AD">
      <w:pPr>
        <w:autoSpaceDE w:val="0"/>
        <w:autoSpaceDN w:val="0"/>
        <w:adjustRightInd w:val="0"/>
        <w:spacing w:line="360" w:lineRule="auto"/>
        <w:ind w:firstLine="567"/>
        <w:jc w:val="both"/>
        <w:rPr>
          <w:rFonts w:ascii="Palatino Linotype" w:hAnsi="Palatino Linotype" w:cs="Times New Roman"/>
        </w:rPr>
      </w:pPr>
      <w:r>
        <w:rPr>
          <w:rFonts w:ascii="Palatino Linotype" w:hAnsi="Palatino Linotype" w:cs="Times New Roman"/>
        </w:rPr>
        <w:t xml:space="preserve">Hasil dalam validasi isi untuk perangkat asesmen unjuk kerja dianalisis dengan menggunakan Validitas isi Lawshe dimana standar kevalidan CVR tergantung pada jumlah SME. Nilai CVR harus memenuhi 0,99 agar butir dapat dinyatakan valid. Hal tersebut berlaku untuk validasi isi dengan menggunakan 3 SME (Lawshe, 1975, p. 568). Nilai CVR yang diperoleh dari tiap butir adalah 1 dan secara lengkap disajikan dalam lampiran. Nilai CVI yang diperoleh dari rata-rata CVR sebesar 1. Berdasarkan nilai CVR yang melebihi 0,99 maka seluruh butir dinyatakan valid </w:t>
      </w:r>
      <w:r>
        <w:rPr>
          <w:rFonts w:ascii="Palatino Linotype" w:hAnsi="Palatino Linotype" w:cs="Times New Roman"/>
        </w:rPr>
        <w:fldChar w:fldCharType="begin" w:fldLock="1"/>
      </w:r>
      <w:r>
        <w:rPr>
          <w:rFonts w:ascii="Palatino Linotype" w:hAnsi="Palatino Linotype" w:cs="Times New Roman"/>
        </w:rPr>
        <w:instrText>ADDIN CSL_CITATION {"citationItems":[{"id":"ITEM-1","itemData":{"DOI":"10.1177/07399863870092005","ISBN":"1552-6364(Electronic);0739-9863(Print)","ISSN":"15526364","PMID":"532","author":[{"dropping-particle":"","family":"R","given":"Aiken Lewis","non-dropping-particle":"","parse-names":false,"suffix":""}],"container-title":"Educational and Psychological Measurement","id":"ITEM-1","issued":{"date-parts":[["1985"]]},"page":"131-142","title":"Three Coefficients for Analysing Reliability and Validity of Rating.","type":"article-journal","volume":"45"},"uris":["http://www.mendeley.com/documents/?uuid=926ce2dc-e40e-40d4-97bb-268fc7abf3cd"]}],"mendeley":{"formattedCitation":"(R, 1985)","manualFormatting":"(R lewis, 1985)","plainTextFormattedCitation":"(R, 1985)","previouslyFormattedCitation":"(R, 1985)"},"properties":{"noteIndex":0},"schema":"https://github.com/citation-style-language/schema/raw/master/csl-citation.json"}</w:instrText>
      </w:r>
      <w:r>
        <w:rPr>
          <w:rFonts w:ascii="Palatino Linotype" w:hAnsi="Palatino Linotype" w:cs="Times New Roman"/>
        </w:rPr>
        <w:fldChar w:fldCharType="separate"/>
      </w:r>
      <w:r>
        <w:rPr>
          <w:rFonts w:ascii="Palatino Linotype" w:hAnsi="Palatino Linotype" w:cs="Times New Roman"/>
          <w:noProof/>
        </w:rPr>
        <w:t>(R lewis, 1985)</w:t>
      </w:r>
      <w:r>
        <w:rPr>
          <w:rFonts w:ascii="Palatino Linotype" w:hAnsi="Palatino Linotype" w:cs="Times New Roman"/>
        </w:rPr>
        <w:fldChar w:fldCharType="end"/>
      </w:r>
      <w:r>
        <w:rPr>
          <w:rFonts w:ascii="Palatino Linotype" w:hAnsi="Palatino Linotype" w:cs="Times New Roman"/>
        </w:rPr>
        <w:t xml:space="preserve"> dan layak digunakan untuk penelitian lebih lanjut.</w:t>
      </w:r>
    </w:p>
    <w:p w14:paraId="5AD0CAAE" w14:textId="77777777" w:rsidR="007604AD" w:rsidRDefault="007604AD" w:rsidP="007604AD">
      <w:pPr>
        <w:autoSpaceDE w:val="0"/>
        <w:autoSpaceDN w:val="0"/>
        <w:adjustRightInd w:val="0"/>
        <w:spacing w:line="360" w:lineRule="auto"/>
        <w:ind w:firstLine="567"/>
        <w:jc w:val="both"/>
        <w:rPr>
          <w:rFonts w:ascii="Palatino Linotype" w:hAnsi="Palatino Linotype" w:cs="Times New Roman"/>
          <w:color w:val="000000"/>
        </w:rPr>
      </w:pPr>
      <w:r>
        <w:rPr>
          <w:rFonts w:ascii="Palatino Linotype" w:hAnsi="Palatino Linotype" w:cs="Times New Roman"/>
          <w:color w:val="000000"/>
        </w:rPr>
        <w:t xml:space="preserve">Tingkat kesepakatan (reliabilitas) antar ke-empat penilai tersebut dapat dijelaskan dengan menghitung koefisien reliabilitas Antar penilai menggunakan koefisien </w:t>
      </w:r>
      <w:r>
        <w:rPr>
          <w:rFonts w:ascii="Palatino Linotype" w:hAnsi="Palatino Linotype" w:cs="Times New Roman"/>
          <w:bCs/>
          <w:i/>
          <w:color w:val="000000"/>
        </w:rPr>
        <w:t xml:space="preserve">Intraclass </w:t>
      </w:r>
      <w:r>
        <w:rPr>
          <w:rFonts w:ascii="Palatino Linotype" w:hAnsi="Palatino Linotype" w:cs="Times New Roman"/>
          <w:bCs/>
          <w:i/>
          <w:color w:val="000000"/>
        </w:rPr>
        <w:lastRenderedPageBreak/>
        <w:t>Correlation Coefficient</w:t>
      </w:r>
      <w:r>
        <w:rPr>
          <w:rFonts w:ascii="Palatino Linotype" w:hAnsi="Palatino Linotype" w:cs="Times New Roman"/>
          <w:color w:val="000000"/>
        </w:rPr>
        <w:t>. Hasil penghitungannya (dengan menggunakan bantunan Programm SPSS versi 16) disajikan pada Tabel 2</w:t>
      </w:r>
    </w:p>
    <w:p w14:paraId="16FC56C5" w14:textId="77777777" w:rsidR="007604AD" w:rsidRDefault="007604AD" w:rsidP="007604AD">
      <w:pPr>
        <w:autoSpaceDE w:val="0"/>
        <w:autoSpaceDN w:val="0"/>
        <w:adjustRightInd w:val="0"/>
        <w:spacing w:line="360" w:lineRule="auto"/>
        <w:ind w:firstLine="567"/>
        <w:jc w:val="both"/>
        <w:rPr>
          <w:rFonts w:ascii="Palatino Linotype" w:hAnsi="Palatino Linotype" w:cs="Times New Roman"/>
          <w:color w:val="000000"/>
        </w:rPr>
      </w:pPr>
      <w:r>
        <w:rPr>
          <w:rFonts w:ascii="Palatino Linotype" w:hAnsi="Palatino Linotype" w:cs="Times New Roman"/>
        </w:rPr>
        <w:t xml:space="preserve">Dari tabel </w:t>
      </w:r>
      <w:r>
        <w:rPr>
          <w:rFonts w:ascii="Palatino Linotype" w:hAnsi="Palatino Linotype" w:cs="Times New Roman"/>
          <w:lang w:val="en-US"/>
        </w:rPr>
        <w:t xml:space="preserve">3 </w:t>
      </w:r>
      <w:r>
        <w:rPr>
          <w:rFonts w:ascii="Palatino Linotype" w:hAnsi="Palatino Linotype" w:cs="Times New Roman"/>
        </w:rPr>
        <w:t xml:space="preserve">dapat dilihat bahwa hasil dari perhitungan ICC menggunakan SPSS v.20 di dapat. </w:t>
      </w:r>
      <w:r>
        <w:rPr>
          <w:rFonts w:ascii="Palatino Linotype" w:hAnsi="Palatino Linotype" w:cs="Times New Roman"/>
          <w:color w:val="000000"/>
        </w:rPr>
        <w:t>Hasil analisis menunjukkan rata-rata kesepakatan antar </w:t>
      </w:r>
      <w:r>
        <w:rPr>
          <w:rFonts w:ascii="Palatino Linotype" w:hAnsi="Palatino Linotype" w:cs="Times New Roman"/>
          <w:i/>
          <w:color w:val="000000"/>
        </w:rPr>
        <w:t>rater</w:t>
      </w:r>
      <w:r>
        <w:rPr>
          <w:rFonts w:ascii="Palatino Linotype" w:hAnsi="Palatino Linotype" w:cs="Times New Roman"/>
          <w:color w:val="000000"/>
        </w:rPr>
        <w:t xml:space="preserve"> sebesar 0,200 sedangkan untuk orang </w:t>
      </w:r>
      <w:r>
        <w:rPr>
          <w:rFonts w:ascii="Palatino Linotype" w:hAnsi="Palatino Linotype" w:cs="Times New Roman"/>
          <w:i/>
          <w:color w:val="000000"/>
        </w:rPr>
        <w:t xml:space="preserve">rater </w:t>
      </w:r>
      <w:r>
        <w:rPr>
          <w:rFonts w:ascii="Palatino Linotype" w:hAnsi="Palatino Linotype" w:cs="Times New Roman"/>
          <w:color w:val="000000"/>
        </w:rPr>
        <w:t xml:space="preserve">konsistensinya adalah 0.500 yang itu artinya mempunyai stabilitas yang </w:t>
      </w:r>
      <w:r>
        <w:rPr>
          <w:rFonts w:ascii="Palatino Linotype" w:hAnsi="Palatino Linotype" w:cs="Times New Roman"/>
          <w:i/>
          <w:color w:val="000000"/>
        </w:rPr>
        <w:t>moderate</w:t>
      </w:r>
      <w:r>
        <w:rPr>
          <w:rFonts w:ascii="Palatino Linotype" w:hAnsi="Palatino Linotype" w:cs="Times New Roman"/>
          <w:color w:val="000000"/>
        </w:rPr>
        <w:t xml:space="preserve">. </w:t>
      </w:r>
      <w:r>
        <w:rPr>
          <w:rFonts w:ascii="Palatino Linotype" w:hAnsi="Palatino Linotype" w:cs="Times New Roman"/>
          <w:color w:val="000000"/>
        </w:rPr>
        <w:fldChar w:fldCharType="begin" w:fldLock="1"/>
      </w:r>
      <w:r>
        <w:rPr>
          <w:rFonts w:ascii="Palatino Linotype" w:hAnsi="Palatino Linotype" w:cs="Times New Roman"/>
          <w:color w:val="000000"/>
        </w:rPr>
        <w:instrText>ADDIN CSL_CITATION {"citationItems":[{"id":"ITEM-1","itemData":{"DOI":"10.1093/acprof:oso/9780199231881.001.0001","ISBN":"9780191724015","abstract":"This book covers in detail how to develop a measurement scale: a questionnaire or instrument, with specific applications in health sciences. Its organization follows the steps developers will go through during the process beginning with how the individual items are developed, and the various biases that can affect responses (e.g., social desirability, yea-saying, framing). It then discusses different response options, such as Likert scales, adjectival scales, visual analogue scales, Harter scales, and face scales, and the advantages and disadvantages of each. The book then explains how to select the best items in the set, using various psychometric criteria; and how to combine the individual items into a scale. There is much discussion of reliability and validity, from both a theoretical and statistical perspective, with a separate chapter on generalizability theory. Although the perspective is that of classical test theory, there is also an in-depth presentation of item response theory. It concludes with a discussion of ethical issues that may be encountered in developing and using scales; and presents guidelines for reporting the results of the scale development process. In the appendices there is a comprehensive guide to finding existing scales, and a brief introduction to exploratory and confirmatory factor analysis.","author":[{"dropping-particle":"","family":"Streiner","given":"David L.","non-dropping-particle":"","parse-names":false,"suffix":""},{"dropping-particle":"","family":"Norman","given":"Geoffrey R.","non-dropping-particle":"","parse-names":false,"suffix":""}],"container-title":"Health Measurement Scales: A Practical Guide to their Development and Use","id":"ITEM-1","issued":{"date-parts":[["2008"]]},"title":"Health Measurement Scales: A practical guide to their development and use","type":"book"},"uris":["http://www.mendeley.com/documents/?uuid=0562680e-d22e-486b-b619-0a3d26b51b4e"]},{"id":"ITEM-2","itemData":{"DOI":"10.1038/sj.bdj.2008.313","ISSN":"0007-0610","abstract":"Sixth edition. Previous edition: Edinburgh: Churchill Livingstone Elsevier, 2008. This popular textbook provides a concise, but comprehensive, overview of health research as an integrated, problem-solving process. It bridges the gap between health research methods and evidence-based clinical practice, making it an essential tool for students embarking on research. Practitioners also benefit from guidance on interpreting the ever-expanding published research in clinical and scientific journals, to ensure their practice is up to date and evidence-based and to help patients understand information obtained online. Section 1. Methodological foundations of health research : Foundations of health research ; Quantitative and qualitative methods ; The research process -- Section 2. Research planning : The formulation of research questions ; Sampling methods and external validity ; Ethics -- Section 3. Research designs : Experimental designs and randomized controlled trials ; Surveys and quasi-experimental designs ; Single case (n = 1) designs ; Qualitative research -- Section 4. Data collection : Questionnaires ; Interviewing techniques ; Observation ; Measurement -- Section 5. Descriptive statistics : Organization and presentation of data ; Measures of central tendency and variability ; Standard scores and normal distributions ; Correlation -- Section 6. Data analysis and inference : Probability and confidence intervals ; Hypothesis testing: selection and use of statistical tests ; Effect size and the interpretation of evidence ; Qualitative data analysis -- Section 7. Evaluation and dissemination of research results : Critical evaluation of published research ; Synthesis: systematic reviews and meta-analysis.","author":[{"dropping-particle":"","family":"Williams","given":"G.","non-dropping-particle":"","parse-names":false,"suffix":""}],"container-title":"British Dental Journal","id":"ITEM-2","issued":{"date-parts":[["2008"]]},"title":"Introduction to research in the health sciences (5th edition)","type":"article-journal"},"uris":["http://www.mendeley.com/documents/?uuid=d2c09c6b-d642-41af-a47e-768142b18dd7"]},{"id":"ITEM-3","itemData":{"DOI":"10.2307/2529549","ISSN":"0006341X","PMID":"1174623","abstract":"At least a dozen indexes have been proposed for measuring agreement between two judges on a categorical scale. Using the binary (positive-negative) case as a model, this paper presents and critically evaluates some of these proposed measures. The importance of correcting for chance-expected agreement is emphasized, and identities with intraclass correlation coefficients are pointed out.","author":[{"dropping-particle":"","family":"Fleiss","given":"Joseph L.","non-dropping-particle":"","parse-names":false,"suffix":""}],"container-title":"Biometrics","id":"ITEM-3","issued":{"date-parts":[["1975"]]},"title":"Measuring Agreement between Two Judges on the Presence or Absence of a Trait","type":"article-journal"},"uris":["http://www.mendeley.com/documents/?uuid=b5e9c463-015d-4603-88bc-f7fc2d4fa732"]}],"mendeley":{"formattedCitation":"(Fleiss, 1975; Streiner &amp; Norman, 2008; Williams, 2008)","plainTextFormattedCitation":"(Fleiss, 1975; Streiner &amp; Norman, 2008; Williams, 2008)","previouslyFormattedCitation":"(Fleiss, 1975; Streiner &amp; Norman, 2008; Williams, 2008)"},"properties":{"noteIndex":0},"schema":"https://github.com/citation-style-language/schema/raw/master/csl-citation.json"}</w:instrText>
      </w:r>
      <w:r>
        <w:rPr>
          <w:rFonts w:ascii="Palatino Linotype" w:hAnsi="Palatino Linotype" w:cs="Times New Roman"/>
          <w:color w:val="000000"/>
        </w:rPr>
        <w:fldChar w:fldCharType="separate"/>
      </w:r>
      <w:r>
        <w:rPr>
          <w:rFonts w:ascii="Palatino Linotype" w:hAnsi="Palatino Linotype" w:cs="Times New Roman"/>
          <w:noProof/>
          <w:color w:val="000000"/>
        </w:rPr>
        <w:t>(Fleiss, 1975; Streiner &amp; Norman, 2008; Williams, 2008)</w:t>
      </w:r>
      <w:r>
        <w:rPr>
          <w:rFonts w:ascii="Palatino Linotype" w:hAnsi="Palatino Linotype" w:cs="Times New Roman"/>
          <w:color w:val="000000"/>
        </w:rPr>
        <w:fldChar w:fldCharType="end"/>
      </w:r>
    </w:p>
    <w:p w14:paraId="69998A12" w14:textId="77777777" w:rsidR="007604AD" w:rsidRDefault="007604AD" w:rsidP="007604AD">
      <w:pPr>
        <w:autoSpaceDE w:val="0"/>
        <w:autoSpaceDN w:val="0"/>
        <w:adjustRightInd w:val="0"/>
        <w:spacing w:line="360" w:lineRule="auto"/>
        <w:ind w:left="426" w:firstLine="567"/>
        <w:jc w:val="both"/>
        <w:rPr>
          <w:rFonts w:ascii="Palatino Linotype" w:hAnsi="Palatino Linotype" w:cs="Times New Roman"/>
          <w:color w:val="000000"/>
        </w:rPr>
      </w:pPr>
    </w:p>
    <w:p w14:paraId="4252D1D2" w14:textId="77777777" w:rsidR="007604AD" w:rsidRDefault="007604AD" w:rsidP="007604AD">
      <w:pPr>
        <w:autoSpaceDE w:val="0"/>
        <w:autoSpaceDN w:val="0"/>
        <w:adjustRightInd w:val="0"/>
        <w:jc w:val="center"/>
        <w:rPr>
          <w:rFonts w:ascii="Palatino Linotype" w:hAnsi="Palatino Linotype" w:cs="Times New Roman"/>
          <w:b/>
        </w:rPr>
      </w:pPr>
      <w:r>
        <w:rPr>
          <w:rFonts w:ascii="Palatino Linotype" w:hAnsi="Palatino Linotype" w:cs="Times New Roman"/>
          <w:b/>
        </w:rPr>
        <w:t xml:space="preserve">Tabel </w:t>
      </w:r>
      <w:r>
        <w:rPr>
          <w:rFonts w:ascii="Palatino Linotype" w:hAnsi="Palatino Linotype" w:cs="Times New Roman"/>
          <w:lang w:val="en-US"/>
        </w:rPr>
        <w:t>3</w:t>
      </w:r>
      <w:r>
        <w:rPr>
          <w:rFonts w:ascii="Palatino Linotype" w:hAnsi="Palatino Linotype" w:cs="Times New Roman"/>
        </w:rPr>
        <w:t xml:space="preserve"> Uji Realibilitas </w:t>
      </w:r>
      <w:r>
        <w:rPr>
          <w:rFonts w:ascii="Palatino Linotype" w:hAnsi="Palatino Linotype" w:cs="Times New Roman"/>
          <w:bCs/>
          <w:i/>
          <w:color w:val="000000"/>
        </w:rPr>
        <w:t xml:space="preserve">Intraclass Correlation Coefficient </w:t>
      </w:r>
      <w:r>
        <w:rPr>
          <w:rFonts w:ascii="Palatino Linotype" w:hAnsi="Palatino Linotype" w:cs="Times New Roman"/>
          <w:bCs/>
          <w:color w:val="000000"/>
        </w:rPr>
        <w:t>Validasi Ahli</w:t>
      </w:r>
    </w:p>
    <w:tbl>
      <w:tblPr>
        <w:tblW w:w="7830"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1415"/>
        <w:gridCol w:w="1123"/>
        <w:gridCol w:w="1076"/>
        <w:gridCol w:w="1076"/>
        <w:gridCol w:w="785"/>
        <w:gridCol w:w="785"/>
        <w:gridCol w:w="785"/>
        <w:gridCol w:w="785"/>
      </w:tblGrid>
      <w:tr w:rsidR="007604AD" w14:paraId="32F5BA52" w14:textId="77777777" w:rsidTr="007604AD">
        <w:trPr>
          <w:cantSplit/>
          <w:trHeight w:val="305"/>
          <w:jc w:val="center"/>
        </w:trPr>
        <w:tc>
          <w:tcPr>
            <w:tcW w:w="7835" w:type="dxa"/>
            <w:gridSpan w:val="8"/>
            <w:tcBorders>
              <w:top w:val="single" w:sz="4" w:space="0" w:color="auto"/>
              <w:left w:val="nil"/>
              <w:bottom w:val="nil"/>
              <w:right w:val="nil"/>
            </w:tcBorders>
            <w:shd w:val="clear" w:color="auto" w:fill="FFFFFF"/>
            <w:vAlign w:val="center"/>
            <w:hideMark/>
          </w:tcPr>
          <w:p w14:paraId="7E4833BC" w14:textId="77777777" w:rsidR="007604AD" w:rsidRDefault="007604AD">
            <w:pPr>
              <w:autoSpaceDE w:val="0"/>
              <w:autoSpaceDN w:val="0"/>
              <w:adjustRightInd w:val="0"/>
              <w:ind w:left="60" w:right="60"/>
              <w:jc w:val="center"/>
              <w:rPr>
                <w:rFonts w:ascii="Palatino Linotype" w:hAnsi="Palatino Linotype" w:cs="Arial"/>
                <w:color w:val="000000"/>
              </w:rPr>
            </w:pPr>
            <w:r>
              <w:rPr>
                <w:rFonts w:ascii="Palatino Linotype" w:hAnsi="Palatino Linotype" w:cs="Arial"/>
                <w:b/>
                <w:bCs/>
                <w:color w:val="000000"/>
              </w:rPr>
              <w:t>Intraclass Correlation Coefficient</w:t>
            </w:r>
          </w:p>
        </w:tc>
      </w:tr>
      <w:tr w:rsidR="007604AD" w14:paraId="454099BB" w14:textId="77777777" w:rsidTr="007604AD">
        <w:trPr>
          <w:cantSplit/>
          <w:trHeight w:val="292"/>
          <w:jc w:val="center"/>
        </w:trPr>
        <w:tc>
          <w:tcPr>
            <w:tcW w:w="1417" w:type="dxa"/>
            <w:vMerge w:val="restart"/>
            <w:tcBorders>
              <w:top w:val="nil"/>
              <w:left w:val="nil"/>
              <w:bottom w:val="single" w:sz="4" w:space="0" w:color="auto"/>
              <w:right w:val="nil"/>
            </w:tcBorders>
            <w:shd w:val="clear" w:color="auto" w:fill="FFFFFF"/>
            <w:vAlign w:val="bottom"/>
          </w:tcPr>
          <w:p w14:paraId="17F99B8E" w14:textId="77777777" w:rsidR="007604AD" w:rsidRDefault="007604AD">
            <w:pPr>
              <w:autoSpaceDE w:val="0"/>
              <w:autoSpaceDN w:val="0"/>
              <w:adjustRightInd w:val="0"/>
              <w:rPr>
                <w:rFonts w:ascii="Palatino Linotype" w:hAnsi="Palatino Linotype" w:cs="Times New Roman"/>
              </w:rPr>
            </w:pPr>
          </w:p>
        </w:tc>
        <w:tc>
          <w:tcPr>
            <w:tcW w:w="1124" w:type="dxa"/>
            <w:vMerge w:val="restart"/>
            <w:tcBorders>
              <w:top w:val="nil"/>
              <w:left w:val="nil"/>
              <w:bottom w:val="single" w:sz="4" w:space="0" w:color="auto"/>
              <w:right w:val="nil"/>
            </w:tcBorders>
            <w:shd w:val="clear" w:color="auto" w:fill="FFFFFF"/>
            <w:vAlign w:val="bottom"/>
            <w:hideMark/>
          </w:tcPr>
          <w:p w14:paraId="5DD1602A" w14:textId="77777777" w:rsidR="007604AD" w:rsidRDefault="007604AD">
            <w:pPr>
              <w:autoSpaceDE w:val="0"/>
              <w:autoSpaceDN w:val="0"/>
              <w:adjustRightInd w:val="0"/>
              <w:ind w:left="60" w:right="60"/>
              <w:jc w:val="center"/>
              <w:rPr>
                <w:rFonts w:ascii="Palatino Linotype" w:hAnsi="Palatino Linotype" w:cs="Arial"/>
                <w:color w:val="000000"/>
              </w:rPr>
            </w:pPr>
            <w:r>
              <w:rPr>
                <w:rFonts w:ascii="Palatino Linotype" w:hAnsi="Palatino Linotype" w:cs="Arial"/>
                <w:color w:val="000000"/>
              </w:rPr>
              <w:t>Intraclass Correlation</w:t>
            </w:r>
            <w:r>
              <w:rPr>
                <w:rFonts w:ascii="Palatino Linotype" w:hAnsi="Palatino Linotype" w:cs="Arial"/>
                <w:color w:val="000000"/>
                <w:vertAlign w:val="superscript"/>
              </w:rPr>
              <w:t>b</w:t>
            </w:r>
          </w:p>
        </w:tc>
        <w:tc>
          <w:tcPr>
            <w:tcW w:w="2154" w:type="dxa"/>
            <w:gridSpan w:val="2"/>
            <w:tcBorders>
              <w:top w:val="nil"/>
              <w:left w:val="nil"/>
              <w:bottom w:val="nil"/>
              <w:right w:val="nil"/>
            </w:tcBorders>
            <w:shd w:val="clear" w:color="auto" w:fill="FFFFFF"/>
            <w:vAlign w:val="bottom"/>
            <w:hideMark/>
          </w:tcPr>
          <w:p w14:paraId="44631355" w14:textId="77777777" w:rsidR="007604AD" w:rsidRDefault="007604AD">
            <w:pPr>
              <w:autoSpaceDE w:val="0"/>
              <w:autoSpaceDN w:val="0"/>
              <w:adjustRightInd w:val="0"/>
              <w:ind w:left="60" w:right="60"/>
              <w:jc w:val="center"/>
              <w:rPr>
                <w:rFonts w:ascii="Palatino Linotype" w:hAnsi="Palatino Linotype" w:cs="Arial"/>
                <w:color w:val="000000"/>
              </w:rPr>
            </w:pPr>
            <w:r>
              <w:rPr>
                <w:rFonts w:ascii="Palatino Linotype" w:hAnsi="Palatino Linotype" w:cs="Arial"/>
                <w:color w:val="000000"/>
              </w:rPr>
              <w:t>95% Confidence Interval</w:t>
            </w:r>
          </w:p>
        </w:tc>
        <w:tc>
          <w:tcPr>
            <w:tcW w:w="3140" w:type="dxa"/>
            <w:gridSpan w:val="4"/>
            <w:tcBorders>
              <w:top w:val="nil"/>
              <w:left w:val="nil"/>
              <w:bottom w:val="nil"/>
              <w:right w:val="nil"/>
            </w:tcBorders>
            <w:shd w:val="clear" w:color="auto" w:fill="FFFFFF"/>
            <w:vAlign w:val="bottom"/>
            <w:hideMark/>
          </w:tcPr>
          <w:p w14:paraId="27E9892F" w14:textId="77777777" w:rsidR="007604AD" w:rsidRDefault="007604AD">
            <w:pPr>
              <w:autoSpaceDE w:val="0"/>
              <w:autoSpaceDN w:val="0"/>
              <w:adjustRightInd w:val="0"/>
              <w:ind w:left="60" w:right="60"/>
              <w:jc w:val="center"/>
              <w:rPr>
                <w:rFonts w:ascii="Palatino Linotype" w:hAnsi="Palatino Linotype" w:cs="Arial"/>
                <w:color w:val="000000"/>
              </w:rPr>
            </w:pPr>
            <w:r>
              <w:rPr>
                <w:rFonts w:ascii="Palatino Linotype" w:hAnsi="Palatino Linotype" w:cs="Arial"/>
                <w:color w:val="000000"/>
              </w:rPr>
              <w:t>F Test with True Value 0</w:t>
            </w:r>
          </w:p>
        </w:tc>
      </w:tr>
      <w:tr w:rsidR="007604AD" w14:paraId="7F4E8C9C" w14:textId="77777777" w:rsidTr="007604AD">
        <w:trPr>
          <w:cantSplit/>
          <w:trHeight w:val="135"/>
          <w:jc w:val="center"/>
        </w:trPr>
        <w:tc>
          <w:tcPr>
            <w:tcW w:w="7835" w:type="dxa"/>
            <w:vMerge/>
            <w:tcBorders>
              <w:top w:val="nil"/>
              <w:left w:val="nil"/>
              <w:bottom w:val="single" w:sz="4" w:space="0" w:color="auto"/>
              <w:right w:val="nil"/>
            </w:tcBorders>
            <w:vAlign w:val="center"/>
            <w:hideMark/>
          </w:tcPr>
          <w:p w14:paraId="5A56639D" w14:textId="77777777" w:rsidR="007604AD" w:rsidRDefault="007604AD">
            <w:pPr>
              <w:rPr>
                <w:rFonts w:ascii="Palatino Linotype" w:hAnsi="Palatino Linotype" w:cs="Times New Roman"/>
              </w:rPr>
            </w:pPr>
          </w:p>
        </w:tc>
        <w:tc>
          <w:tcPr>
            <w:tcW w:w="1124" w:type="dxa"/>
            <w:vMerge/>
            <w:tcBorders>
              <w:top w:val="nil"/>
              <w:left w:val="nil"/>
              <w:bottom w:val="single" w:sz="4" w:space="0" w:color="auto"/>
              <w:right w:val="nil"/>
            </w:tcBorders>
            <w:vAlign w:val="center"/>
            <w:hideMark/>
          </w:tcPr>
          <w:p w14:paraId="3F385F38" w14:textId="77777777" w:rsidR="007604AD" w:rsidRDefault="007604AD">
            <w:pPr>
              <w:rPr>
                <w:rFonts w:ascii="Palatino Linotype" w:hAnsi="Palatino Linotype" w:cs="Arial"/>
                <w:color w:val="000000"/>
              </w:rPr>
            </w:pPr>
          </w:p>
        </w:tc>
        <w:tc>
          <w:tcPr>
            <w:tcW w:w="1077" w:type="dxa"/>
            <w:tcBorders>
              <w:top w:val="nil"/>
              <w:left w:val="nil"/>
              <w:bottom w:val="single" w:sz="4" w:space="0" w:color="auto"/>
              <w:right w:val="nil"/>
            </w:tcBorders>
            <w:shd w:val="clear" w:color="auto" w:fill="FFFFFF"/>
            <w:vAlign w:val="bottom"/>
            <w:hideMark/>
          </w:tcPr>
          <w:p w14:paraId="70A9B15F" w14:textId="77777777" w:rsidR="007604AD" w:rsidRDefault="007604AD">
            <w:pPr>
              <w:autoSpaceDE w:val="0"/>
              <w:autoSpaceDN w:val="0"/>
              <w:adjustRightInd w:val="0"/>
              <w:ind w:left="60" w:right="60"/>
              <w:jc w:val="center"/>
              <w:rPr>
                <w:rFonts w:ascii="Palatino Linotype" w:hAnsi="Palatino Linotype" w:cs="Arial"/>
                <w:color w:val="000000"/>
              </w:rPr>
            </w:pPr>
            <w:r>
              <w:rPr>
                <w:rFonts w:ascii="Palatino Linotype" w:hAnsi="Palatino Linotype" w:cs="Arial"/>
                <w:color w:val="000000"/>
              </w:rPr>
              <w:t>Lower Bound</w:t>
            </w:r>
          </w:p>
        </w:tc>
        <w:tc>
          <w:tcPr>
            <w:tcW w:w="1077" w:type="dxa"/>
            <w:tcBorders>
              <w:top w:val="nil"/>
              <w:left w:val="nil"/>
              <w:bottom w:val="single" w:sz="4" w:space="0" w:color="auto"/>
              <w:right w:val="nil"/>
            </w:tcBorders>
            <w:shd w:val="clear" w:color="auto" w:fill="FFFFFF"/>
            <w:vAlign w:val="bottom"/>
            <w:hideMark/>
          </w:tcPr>
          <w:p w14:paraId="39067509" w14:textId="77777777" w:rsidR="007604AD" w:rsidRDefault="007604AD">
            <w:pPr>
              <w:autoSpaceDE w:val="0"/>
              <w:autoSpaceDN w:val="0"/>
              <w:adjustRightInd w:val="0"/>
              <w:ind w:left="60" w:right="60"/>
              <w:jc w:val="center"/>
              <w:rPr>
                <w:rFonts w:ascii="Palatino Linotype" w:hAnsi="Palatino Linotype" w:cs="Arial"/>
                <w:color w:val="000000"/>
              </w:rPr>
            </w:pPr>
            <w:r>
              <w:rPr>
                <w:rFonts w:ascii="Palatino Linotype" w:hAnsi="Palatino Linotype" w:cs="Arial"/>
                <w:color w:val="000000"/>
              </w:rPr>
              <w:t>Upper Bound</w:t>
            </w:r>
          </w:p>
        </w:tc>
        <w:tc>
          <w:tcPr>
            <w:tcW w:w="785" w:type="dxa"/>
            <w:tcBorders>
              <w:top w:val="nil"/>
              <w:left w:val="nil"/>
              <w:bottom w:val="single" w:sz="4" w:space="0" w:color="auto"/>
              <w:right w:val="nil"/>
            </w:tcBorders>
            <w:shd w:val="clear" w:color="auto" w:fill="FFFFFF"/>
            <w:vAlign w:val="bottom"/>
            <w:hideMark/>
          </w:tcPr>
          <w:p w14:paraId="47C4A6EC" w14:textId="77777777" w:rsidR="007604AD" w:rsidRDefault="007604AD">
            <w:pPr>
              <w:autoSpaceDE w:val="0"/>
              <w:autoSpaceDN w:val="0"/>
              <w:adjustRightInd w:val="0"/>
              <w:ind w:left="60" w:right="60"/>
              <w:jc w:val="center"/>
              <w:rPr>
                <w:rFonts w:ascii="Palatino Linotype" w:hAnsi="Palatino Linotype" w:cs="Arial"/>
                <w:color w:val="000000"/>
              </w:rPr>
            </w:pPr>
            <w:r>
              <w:rPr>
                <w:rFonts w:ascii="Palatino Linotype" w:hAnsi="Palatino Linotype" w:cs="Arial"/>
                <w:color w:val="000000"/>
              </w:rPr>
              <w:t>Value</w:t>
            </w:r>
          </w:p>
        </w:tc>
        <w:tc>
          <w:tcPr>
            <w:tcW w:w="785" w:type="dxa"/>
            <w:tcBorders>
              <w:top w:val="nil"/>
              <w:left w:val="nil"/>
              <w:bottom w:val="single" w:sz="4" w:space="0" w:color="auto"/>
              <w:right w:val="nil"/>
            </w:tcBorders>
            <w:shd w:val="clear" w:color="auto" w:fill="FFFFFF"/>
            <w:vAlign w:val="bottom"/>
            <w:hideMark/>
          </w:tcPr>
          <w:p w14:paraId="5E447E9B" w14:textId="77777777" w:rsidR="007604AD" w:rsidRDefault="007604AD">
            <w:pPr>
              <w:autoSpaceDE w:val="0"/>
              <w:autoSpaceDN w:val="0"/>
              <w:adjustRightInd w:val="0"/>
              <w:ind w:left="60" w:right="60"/>
              <w:jc w:val="center"/>
              <w:rPr>
                <w:rFonts w:ascii="Palatino Linotype" w:hAnsi="Palatino Linotype" w:cs="Arial"/>
                <w:color w:val="000000"/>
              </w:rPr>
            </w:pPr>
            <w:r>
              <w:rPr>
                <w:rFonts w:ascii="Palatino Linotype" w:hAnsi="Palatino Linotype" w:cs="Arial"/>
                <w:color w:val="000000"/>
              </w:rPr>
              <w:t>df1</w:t>
            </w:r>
          </w:p>
        </w:tc>
        <w:tc>
          <w:tcPr>
            <w:tcW w:w="785" w:type="dxa"/>
            <w:tcBorders>
              <w:top w:val="nil"/>
              <w:left w:val="nil"/>
              <w:bottom w:val="single" w:sz="4" w:space="0" w:color="auto"/>
              <w:right w:val="nil"/>
            </w:tcBorders>
            <w:shd w:val="clear" w:color="auto" w:fill="FFFFFF"/>
            <w:vAlign w:val="bottom"/>
            <w:hideMark/>
          </w:tcPr>
          <w:p w14:paraId="04B9D61B" w14:textId="77777777" w:rsidR="007604AD" w:rsidRDefault="007604AD">
            <w:pPr>
              <w:autoSpaceDE w:val="0"/>
              <w:autoSpaceDN w:val="0"/>
              <w:adjustRightInd w:val="0"/>
              <w:ind w:left="60" w:right="60"/>
              <w:jc w:val="center"/>
              <w:rPr>
                <w:rFonts w:ascii="Palatino Linotype" w:hAnsi="Palatino Linotype" w:cs="Arial"/>
                <w:color w:val="000000"/>
              </w:rPr>
            </w:pPr>
            <w:r>
              <w:rPr>
                <w:rFonts w:ascii="Palatino Linotype" w:hAnsi="Palatino Linotype" w:cs="Arial"/>
                <w:color w:val="000000"/>
              </w:rPr>
              <w:t>df2</w:t>
            </w:r>
          </w:p>
        </w:tc>
        <w:tc>
          <w:tcPr>
            <w:tcW w:w="785" w:type="dxa"/>
            <w:tcBorders>
              <w:top w:val="nil"/>
              <w:left w:val="nil"/>
              <w:bottom w:val="single" w:sz="4" w:space="0" w:color="auto"/>
              <w:right w:val="nil"/>
            </w:tcBorders>
            <w:shd w:val="clear" w:color="auto" w:fill="FFFFFF"/>
            <w:vAlign w:val="bottom"/>
            <w:hideMark/>
          </w:tcPr>
          <w:p w14:paraId="68577C75" w14:textId="77777777" w:rsidR="007604AD" w:rsidRDefault="007604AD">
            <w:pPr>
              <w:autoSpaceDE w:val="0"/>
              <w:autoSpaceDN w:val="0"/>
              <w:adjustRightInd w:val="0"/>
              <w:ind w:left="60" w:right="60"/>
              <w:jc w:val="center"/>
              <w:rPr>
                <w:rFonts w:ascii="Palatino Linotype" w:hAnsi="Palatino Linotype" w:cs="Arial"/>
                <w:color w:val="000000"/>
              </w:rPr>
            </w:pPr>
            <w:r>
              <w:rPr>
                <w:rFonts w:ascii="Palatino Linotype" w:hAnsi="Palatino Linotype" w:cs="Arial"/>
                <w:color w:val="000000"/>
              </w:rPr>
              <w:t>Sig</w:t>
            </w:r>
          </w:p>
        </w:tc>
      </w:tr>
      <w:tr w:rsidR="007604AD" w14:paraId="1BFAE973" w14:textId="77777777" w:rsidTr="007604AD">
        <w:trPr>
          <w:cantSplit/>
          <w:trHeight w:val="292"/>
          <w:jc w:val="center"/>
        </w:trPr>
        <w:tc>
          <w:tcPr>
            <w:tcW w:w="1417" w:type="dxa"/>
            <w:tcBorders>
              <w:top w:val="single" w:sz="4" w:space="0" w:color="auto"/>
              <w:left w:val="nil"/>
              <w:bottom w:val="nil"/>
              <w:right w:val="nil"/>
            </w:tcBorders>
            <w:shd w:val="clear" w:color="auto" w:fill="FFFFFF"/>
            <w:hideMark/>
          </w:tcPr>
          <w:p w14:paraId="03754366" w14:textId="77777777" w:rsidR="007604AD" w:rsidRDefault="007604AD">
            <w:pPr>
              <w:autoSpaceDE w:val="0"/>
              <w:autoSpaceDN w:val="0"/>
              <w:adjustRightInd w:val="0"/>
              <w:ind w:left="60" w:right="60"/>
              <w:rPr>
                <w:rFonts w:ascii="Palatino Linotype" w:hAnsi="Palatino Linotype" w:cs="Arial"/>
                <w:color w:val="000000"/>
              </w:rPr>
            </w:pPr>
            <w:r>
              <w:rPr>
                <w:rFonts w:ascii="Palatino Linotype" w:hAnsi="Palatino Linotype" w:cs="Arial"/>
                <w:color w:val="000000"/>
              </w:rPr>
              <w:t>Single Measures</w:t>
            </w:r>
          </w:p>
        </w:tc>
        <w:tc>
          <w:tcPr>
            <w:tcW w:w="1124" w:type="dxa"/>
            <w:tcBorders>
              <w:top w:val="single" w:sz="4" w:space="0" w:color="auto"/>
              <w:left w:val="nil"/>
              <w:bottom w:val="nil"/>
              <w:right w:val="nil"/>
            </w:tcBorders>
            <w:shd w:val="clear" w:color="auto" w:fill="FFFFFF"/>
            <w:vAlign w:val="center"/>
            <w:hideMark/>
          </w:tcPr>
          <w:p w14:paraId="44A743F2" w14:textId="77777777" w:rsidR="007604AD" w:rsidRDefault="007604AD">
            <w:pPr>
              <w:autoSpaceDE w:val="0"/>
              <w:autoSpaceDN w:val="0"/>
              <w:adjustRightInd w:val="0"/>
              <w:ind w:left="60" w:right="60"/>
              <w:jc w:val="right"/>
              <w:rPr>
                <w:rFonts w:ascii="Palatino Linotype" w:hAnsi="Palatino Linotype" w:cs="Arial"/>
                <w:color w:val="000000"/>
              </w:rPr>
            </w:pPr>
            <w:r>
              <w:rPr>
                <w:rFonts w:ascii="Palatino Linotype" w:hAnsi="Palatino Linotype" w:cs="Arial"/>
                <w:color w:val="000000"/>
              </w:rPr>
              <w:t>.200</w:t>
            </w:r>
            <w:r>
              <w:rPr>
                <w:rFonts w:ascii="Palatino Linotype" w:hAnsi="Palatino Linotype" w:cs="Arial"/>
                <w:color w:val="000000"/>
                <w:vertAlign w:val="superscript"/>
              </w:rPr>
              <w:t>a</w:t>
            </w:r>
          </w:p>
        </w:tc>
        <w:tc>
          <w:tcPr>
            <w:tcW w:w="1077" w:type="dxa"/>
            <w:tcBorders>
              <w:top w:val="single" w:sz="4" w:space="0" w:color="auto"/>
              <w:left w:val="nil"/>
              <w:bottom w:val="nil"/>
              <w:right w:val="nil"/>
            </w:tcBorders>
            <w:shd w:val="clear" w:color="auto" w:fill="FFFFFF"/>
            <w:vAlign w:val="center"/>
            <w:hideMark/>
          </w:tcPr>
          <w:p w14:paraId="5FE674FA" w14:textId="77777777" w:rsidR="007604AD" w:rsidRDefault="007604AD">
            <w:pPr>
              <w:autoSpaceDE w:val="0"/>
              <w:autoSpaceDN w:val="0"/>
              <w:adjustRightInd w:val="0"/>
              <w:ind w:left="60" w:right="60"/>
              <w:jc w:val="right"/>
              <w:rPr>
                <w:rFonts w:ascii="Palatino Linotype" w:hAnsi="Palatino Linotype" w:cs="Arial"/>
                <w:color w:val="000000"/>
              </w:rPr>
            </w:pPr>
            <w:r>
              <w:rPr>
                <w:rFonts w:ascii="Palatino Linotype" w:hAnsi="Palatino Linotype" w:cs="Arial"/>
                <w:color w:val="000000"/>
              </w:rPr>
              <w:t>-.064</w:t>
            </w:r>
          </w:p>
        </w:tc>
        <w:tc>
          <w:tcPr>
            <w:tcW w:w="1077" w:type="dxa"/>
            <w:tcBorders>
              <w:top w:val="single" w:sz="4" w:space="0" w:color="auto"/>
              <w:left w:val="nil"/>
              <w:bottom w:val="nil"/>
              <w:right w:val="nil"/>
            </w:tcBorders>
            <w:shd w:val="clear" w:color="auto" w:fill="FFFFFF"/>
            <w:vAlign w:val="center"/>
            <w:hideMark/>
          </w:tcPr>
          <w:p w14:paraId="27228166" w14:textId="77777777" w:rsidR="007604AD" w:rsidRDefault="007604AD">
            <w:pPr>
              <w:autoSpaceDE w:val="0"/>
              <w:autoSpaceDN w:val="0"/>
              <w:adjustRightInd w:val="0"/>
              <w:ind w:left="60" w:right="60"/>
              <w:jc w:val="right"/>
              <w:rPr>
                <w:rFonts w:ascii="Palatino Linotype" w:hAnsi="Palatino Linotype" w:cs="Arial"/>
                <w:color w:val="000000"/>
              </w:rPr>
            </w:pPr>
            <w:r>
              <w:rPr>
                <w:rFonts w:ascii="Palatino Linotype" w:hAnsi="Palatino Linotype" w:cs="Arial"/>
                <w:color w:val="000000"/>
              </w:rPr>
              <w:t>.607</w:t>
            </w:r>
          </w:p>
        </w:tc>
        <w:tc>
          <w:tcPr>
            <w:tcW w:w="785" w:type="dxa"/>
            <w:tcBorders>
              <w:top w:val="single" w:sz="4" w:space="0" w:color="auto"/>
              <w:left w:val="nil"/>
              <w:bottom w:val="nil"/>
              <w:right w:val="nil"/>
            </w:tcBorders>
            <w:shd w:val="clear" w:color="auto" w:fill="FFFFFF"/>
            <w:vAlign w:val="center"/>
            <w:hideMark/>
          </w:tcPr>
          <w:p w14:paraId="71CAF314" w14:textId="77777777" w:rsidR="007604AD" w:rsidRDefault="007604AD">
            <w:pPr>
              <w:autoSpaceDE w:val="0"/>
              <w:autoSpaceDN w:val="0"/>
              <w:adjustRightInd w:val="0"/>
              <w:ind w:left="60" w:right="60"/>
              <w:jc w:val="right"/>
              <w:rPr>
                <w:rFonts w:ascii="Palatino Linotype" w:hAnsi="Palatino Linotype" w:cs="Arial"/>
                <w:color w:val="000000"/>
              </w:rPr>
            </w:pPr>
            <w:r>
              <w:rPr>
                <w:rFonts w:ascii="Palatino Linotype" w:hAnsi="Palatino Linotype" w:cs="Arial"/>
                <w:color w:val="000000"/>
              </w:rPr>
              <w:t>2.000</w:t>
            </w:r>
          </w:p>
        </w:tc>
        <w:tc>
          <w:tcPr>
            <w:tcW w:w="785" w:type="dxa"/>
            <w:tcBorders>
              <w:top w:val="single" w:sz="4" w:space="0" w:color="auto"/>
              <w:left w:val="nil"/>
              <w:bottom w:val="nil"/>
              <w:right w:val="nil"/>
            </w:tcBorders>
            <w:shd w:val="clear" w:color="auto" w:fill="FFFFFF"/>
            <w:vAlign w:val="center"/>
            <w:hideMark/>
          </w:tcPr>
          <w:p w14:paraId="11DC3BFB" w14:textId="77777777" w:rsidR="007604AD" w:rsidRDefault="007604AD">
            <w:pPr>
              <w:autoSpaceDE w:val="0"/>
              <w:autoSpaceDN w:val="0"/>
              <w:adjustRightInd w:val="0"/>
              <w:ind w:left="60" w:right="60"/>
              <w:jc w:val="right"/>
              <w:rPr>
                <w:rFonts w:ascii="Palatino Linotype" w:hAnsi="Palatino Linotype" w:cs="Arial"/>
                <w:color w:val="000000"/>
              </w:rPr>
            </w:pPr>
            <w:r>
              <w:rPr>
                <w:rFonts w:ascii="Palatino Linotype" w:hAnsi="Palatino Linotype" w:cs="Arial"/>
                <w:color w:val="000000"/>
              </w:rPr>
              <w:t>9</w:t>
            </w:r>
          </w:p>
        </w:tc>
        <w:tc>
          <w:tcPr>
            <w:tcW w:w="785" w:type="dxa"/>
            <w:tcBorders>
              <w:top w:val="single" w:sz="4" w:space="0" w:color="auto"/>
              <w:left w:val="nil"/>
              <w:bottom w:val="nil"/>
              <w:right w:val="nil"/>
            </w:tcBorders>
            <w:shd w:val="clear" w:color="auto" w:fill="FFFFFF"/>
            <w:vAlign w:val="center"/>
            <w:hideMark/>
          </w:tcPr>
          <w:p w14:paraId="48F5CD72" w14:textId="77777777" w:rsidR="007604AD" w:rsidRDefault="007604AD">
            <w:pPr>
              <w:autoSpaceDE w:val="0"/>
              <w:autoSpaceDN w:val="0"/>
              <w:adjustRightInd w:val="0"/>
              <w:ind w:left="60" w:right="60"/>
              <w:jc w:val="right"/>
              <w:rPr>
                <w:rFonts w:ascii="Palatino Linotype" w:hAnsi="Palatino Linotype" w:cs="Arial"/>
                <w:color w:val="000000"/>
              </w:rPr>
            </w:pPr>
            <w:r>
              <w:rPr>
                <w:rFonts w:ascii="Palatino Linotype" w:hAnsi="Palatino Linotype" w:cs="Arial"/>
                <w:color w:val="000000"/>
              </w:rPr>
              <w:t>27</w:t>
            </w:r>
          </w:p>
        </w:tc>
        <w:tc>
          <w:tcPr>
            <w:tcW w:w="785" w:type="dxa"/>
            <w:tcBorders>
              <w:top w:val="single" w:sz="4" w:space="0" w:color="auto"/>
              <w:left w:val="nil"/>
              <w:bottom w:val="nil"/>
              <w:right w:val="nil"/>
            </w:tcBorders>
            <w:shd w:val="clear" w:color="auto" w:fill="FFFFFF"/>
            <w:vAlign w:val="center"/>
            <w:hideMark/>
          </w:tcPr>
          <w:p w14:paraId="18D77046" w14:textId="77777777" w:rsidR="007604AD" w:rsidRDefault="007604AD">
            <w:pPr>
              <w:autoSpaceDE w:val="0"/>
              <w:autoSpaceDN w:val="0"/>
              <w:adjustRightInd w:val="0"/>
              <w:ind w:left="60" w:right="60"/>
              <w:jc w:val="right"/>
              <w:rPr>
                <w:rFonts w:ascii="Palatino Linotype" w:hAnsi="Palatino Linotype" w:cs="Arial"/>
                <w:color w:val="000000"/>
              </w:rPr>
            </w:pPr>
            <w:r>
              <w:rPr>
                <w:rFonts w:ascii="Palatino Linotype" w:hAnsi="Palatino Linotype" w:cs="Arial"/>
                <w:color w:val="000000"/>
              </w:rPr>
              <w:t>.079</w:t>
            </w:r>
          </w:p>
        </w:tc>
      </w:tr>
      <w:tr w:rsidR="007604AD" w14:paraId="55CD79F7" w14:textId="77777777" w:rsidTr="007604AD">
        <w:trPr>
          <w:cantSplit/>
          <w:trHeight w:val="305"/>
          <w:jc w:val="center"/>
        </w:trPr>
        <w:tc>
          <w:tcPr>
            <w:tcW w:w="1417" w:type="dxa"/>
            <w:tcBorders>
              <w:top w:val="nil"/>
              <w:left w:val="nil"/>
              <w:bottom w:val="single" w:sz="4" w:space="0" w:color="auto"/>
              <w:right w:val="nil"/>
            </w:tcBorders>
            <w:shd w:val="clear" w:color="auto" w:fill="FFFFFF"/>
            <w:hideMark/>
          </w:tcPr>
          <w:p w14:paraId="03DAA737" w14:textId="77777777" w:rsidR="007604AD" w:rsidRDefault="007604AD">
            <w:pPr>
              <w:autoSpaceDE w:val="0"/>
              <w:autoSpaceDN w:val="0"/>
              <w:adjustRightInd w:val="0"/>
              <w:ind w:left="60" w:right="60"/>
              <w:rPr>
                <w:rFonts w:ascii="Palatino Linotype" w:hAnsi="Palatino Linotype" w:cs="Arial"/>
                <w:color w:val="000000"/>
              </w:rPr>
            </w:pPr>
            <w:r>
              <w:rPr>
                <w:rFonts w:ascii="Palatino Linotype" w:hAnsi="Palatino Linotype" w:cs="Arial"/>
                <w:color w:val="000000"/>
              </w:rPr>
              <w:t>Average Measures</w:t>
            </w:r>
          </w:p>
        </w:tc>
        <w:tc>
          <w:tcPr>
            <w:tcW w:w="1124" w:type="dxa"/>
            <w:tcBorders>
              <w:top w:val="nil"/>
              <w:left w:val="nil"/>
              <w:bottom w:val="single" w:sz="4" w:space="0" w:color="auto"/>
              <w:right w:val="nil"/>
            </w:tcBorders>
            <w:shd w:val="clear" w:color="auto" w:fill="FFFFFF"/>
            <w:vAlign w:val="center"/>
            <w:hideMark/>
          </w:tcPr>
          <w:p w14:paraId="764D9290" w14:textId="77777777" w:rsidR="007604AD" w:rsidRDefault="007604AD">
            <w:pPr>
              <w:autoSpaceDE w:val="0"/>
              <w:autoSpaceDN w:val="0"/>
              <w:adjustRightInd w:val="0"/>
              <w:ind w:left="60" w:right="60"/>
              <w:jc w:val="right"/>
              <w:rPr>
                <w:rFonts w:ascii="Palatino Linotype" w:hAnsi="Palatino Linotype" w:cs="Arial"/>
                <w:color w:val="000000"/>
              </w:rPr>
            </w:pPr>
            <w:r>
              <w:rPr>
                <w:rFonts w:ascii="Palatino Linotype" w:hAnsi="Palatino Linotype" w:cs="Arial"/>
                <w:color w:val="000000"/>
              </w:rPr>
              <w:t>.500</w:t>
            </w:r>
            <w:r>
              <w:rPr>
                <w:rFonts w:ascii="Palatino Linotype" w:hAnsi="Palatino Linotype" w:cs="Arial"/>
                <w:color w:val="000000"/>
                <w:vertAlign w:val="superscript"/>
              </w:rPr>
              <w:t>c</w:t>
            </w:r>
          </w:p>
        </w:tc>
        <w:tc>
          <w:tcPr>
            <w:tcW w:w="1077" w:type="dxa"/>
            <w:tcBorders>
              <w:top w:val="nil"/>
              <w:left w:val="nil"/>
              <w:bottom w:val="single" w:sz="4" w:space="0" w:color="auto"/>
              <w:right w:val="nil"/>
            </w:tcBorders>
            <w:shd w:val="clear" w:color="auto" w:fill="FFFFFF"/>
            <w:vAlign w:val="center"/>
            <w:hideMark/>
          </w:tcPr>
          <w:p w14:paraId="18FC9740" w14:textId="77777777" w:rsidR="007604AD" w:rsidRDefault="007604AD">
            <w:pPr>
              <w:autoSpaceDE w:val="0"/>
              <w:autoSpaceDN w:val="0"/>
              <w:adjustRightInd w:val="0"/>
              <w:ind w:left="60" w:right="60"/>
              <w:jc w:val="right"/>
              <w:rPr>
                <w:rFonts w:ascii="Palatino Linotype" w:hAnsi="Palatino Linotype" w:cs="Arial"/>
                <w:color w:val="000000"/>
              </w:rPr>
            </w:pPr>
            <w:r>
              <w:rPr>
                <w:rFonts w:ascii="Palatino Linotype" w:hAnsi="Palatino Linotype" w:cs="Arial"/>
                <w:color w:val="000000"/>
              </w:rPr>
              <w:t>-.315</w:t>
            </w:r>
          </w:p>
        </w:tc>
        <w:tc>
          <w:tcPr>
            <w:tcW w:w="1077" w:type="dxa"/>
            <w:tcBorders>
              <w:top w:val="nil"/>
              <w:left w:val="nil"/>
              <w:bottom w:val="single" w:sz="4" w:space="0" w:color="auto"/>
              <w:right w:val="nil"/>
            </w:tcBorders>
            <w:shd w:val="clear" w:color="auto" w:fill="FFFFFF"/>
            <w:vAlign w:val="center"/>
            <w:hideMark/>
          </w:tcPr>
          <w:p w14:paraId="2D432C52" w14:textId="77777777" w:rsidR="007604AD" w:rsidRDefault="007604AD">
            <w:pPr>
              <w:autoSpaceDE w:val="0"/>
              <w:autoSpaceDN w:val="0"/>
              <w:adjustRightInd w:val="0"/>
              <w:ind w:left="60" w:right="60"/>
              <w:jc w:val="right"/>
              <w:rPr>
                <w:rFonts w:ascii="Palatino Linotype" w:hAnsi="Palatino Linotype" w:cs="Arial"/>
                <w:color w:val="000000"/>
              </w:rPr>
            </w:pPr>
            <w:r>
              <w:rPr>
                <w:rFonts w:ascii="Palatino Linotype" w:hAnsi="Palatino Linotype" w:cs="Arial"/>
                <w:color w:val="000000"/>
              </w:rPr>
              <w:t>.861</w:t>
            </w:r>
          </w:p>
        </w:tc>
        <w:tc>
          <w:tcPr>
            <w:tcW w:w="785" w:type="dxa"/>
            <w:tcBorders>
              <w:top w:val="nil"/>
              <w:left w:val="nil"/>
              <w:bottom w:val="single" w:sz="4" w:space="0" w:color="auto"/>
              <w:right w:val="nil"/>
            </w:tcBorders>
            <w:shd w:val="clear" w:color="auto" w:fill="FFFFFF"/>
            <w:vAlign w:val="center"/>
            <w:hideMark/>
          </w:tcPr>
          <w:p w14:paraId="050816DE" w14:textId="77777777" w:rsidR="007604AD" w:rsidRDefault="007604AD">
            <w:pPr>
              <w:autoSpaceDE w:val="0"/>
              <w:autoSpaceDN w:val="0"/>
              <w:adjustRightInd w:val="0"/>
              <w:ind w:left="60" w:right="60"/>
              <w:jc w:val="right"/>
              <w:rPr>
                <w:rFonts w:ascii="Palatino Linotype" w:hAnsi="Palatino Linotype" w:cs="Arial"/>
                <w:color w:val="000000"/>
              </w:rPr>
            </w:pPr>
            <w:r>
              <w:rPr>
                <w:rFonts w:ascii="Palatino Linotype" w:hAnsi="Palatino Linotype" w:cs="Arial"/>
                <w:color w:val="000000"/>
              </w:rPr>
              <w:t>2.000</w:t>
            </w:r>
          </w:p>
        </w:tc>
        <w:tc>
          <w:tcPr>
            <w:tcW w:w="785" w:type="dxa"/>
            <w:tcBorders>
              <w:top w:val="nil"/>
              <w:left w:val="nil"/>
              <w:bottom w:val="single" w:sz="4" w:space="0" w:color="auto"/>
              <w:right w:val="nil"/>
            </w:tcBorders>
            <w:shd w:val="clear" w:color="auto" w:fill="FFFFFF"/>
            <w:vAlign w:val="center"/>
            <w:hideMark/>
          </w:tcPr>
          <w:p w14:paraId="2261E44B" w14:textId="77777777" w:rsidR="007604AD" w:rsidRDefault="007604AD">
            <w:pPr>
              <w:autoSpaceDE w:val="0"/>
              <w:autoSpaceDN w:val="0"/>
              <w:adjustRightInd w:val="0"/>
              <w:ind w:left="60" w:right="60"/>
              <w:jc w:val="right"/>
              <w:rPr>
                <w:rFonts w:ascii="Palatino Linotype" w:hAnsi="Palatino Linotype" w:cs="Arial"/>
                <w:color w:val="000000"/>
              </w:rPr>
            </w:pPr>
            <w:r>
              <w:rPr>
                <w:rFonts w:ascii="Palatino Linotype" w:hAnsi="Palatino Linotype" w:cs="Arial"/>
                <w:color w:val="000000"/>
              </w:rPr>
              <w:t>9</w:t>
            </w:r>
          </w:p>
        </w:tc>
        <w:tc>
          <w:tcPr>
            <w:tcW w:w="785" w:type="dxa"/>
            <w:tcBorders>
              <w:top w:val="nil"/>
              <w:left w:val="nil"/>
              <w:bottom w:val="single" w:sz="4" w:space="0" w:color="auto"/>
              <w:right w:val="nil"/>
            </w:tcBorders>
            <w:shd w:val="clear" w:color="auto" w:fill="FFFFFF"/>
            <w:vAlign w:val="center"/>
            <w:hideMark/>
          </w:tcPr>
          <w:p w14:paraId="207FDA14" w14:textId="77777777" w:rsidR="007604AD" w:rsidRDefault="007604AD">
            <w:pPr>
              <w:autoSpaceDE w:val="0"/>
              <w:autoSpaceDN w:val="0"/>
              <w:adjustRightInd w:val="0"/>
              <w:ind w:left="60" w:right="60"/>
              <w:jc w:val="right"/>
              <w:rPr>
                <w:rFonts w:ascii="Palatino Linotype" w:hAnsi="Palatino Linotype" w:cs="Arial"/>
                <w:color w:val="000000"/>
              </w:rPr>
            </w:pPr>
            <w:r>
              <w:rPr>
                <w:rFonts w:ascii="Palatino Linotype" w:hAnsi="Palatino Linotype" w:cs="Arial"/>
                <w:color w:val="000000"/>
              </w:rPr>
              <w:t>27</w:t>
            </w:r>
          </w:p>
        </w:tc>
        <w:tc>
          <w:tcPr>
            <w:tcW w:w="785" w:type="dxa"/>
            <w:tcBorders>
              <w:top w:val="nil"/>
              <w:left w:val="nil"/>
              <w:bottom w:val="single" w:sz="4" w:space="0" w:color="auto"/>
              <w:right w:val="nil"/>
            </w:tcBorders>
            <w:shd w:val="clear" w:color="auto" w:fill="FFFFFF"/>
            <w:vAlign w:val="center"/>
            <w:hideMark/>
          </w:tcPr>
          <w:p w14:paraId="63DDFA05" w14:textId="77777777" w:rsidR="007604AD" w:rsidRDefault="007604AD">
            <w:pPr>
              <w:autoSpaceDE w:val="0"/>
              <w:autoSpaceDN w:val="0"/>
              <w:adjustRightInd w:val="0"/>
              <w:ind w:left="60" w:right="60"/>
              <w:jc w:val="right"/>
              <w:rPr>
                <w:rFonts w:ascii="Palatino Linotype" w:hAnsi="Palatino Linotype" w:cs="Arial"/>
                <w:color w:val="000000"/>
              </w:rPr>
            </w:pPr>
            <w:r>
              <w:rPr>
                <w:rFonts w:ascii="Palatino Linotype" w:hAnsi="Palatino Linotype" w:cs="Arial"/>
                <w:color w:val="000000"/>
              </w:rPr>
              <w:t>.079</w:t>
            </w:r>
          </w:p>
        </w:tc>
      </w:tr>
      <w:tr w:rsidR="007604AD" w14:paraId="3D7A1CE6" w14:textId="77777777" w:rsidTr="007604AD">
        <w:trPr>
          <w:cantSplit/>
          <w:trHeight w:val="292"/>
          <w:jc w:val="center"/>
        </w:trPr>
        <w:tc>
          <w:tcPr>
            <w:tcW w:w="7835" w:type="dxa"/>
            <w:gridSpan w:val="8"/>
            <w:tcBorders>
              <w:top w:val="single" w:sz="4" w:space="0" w:color="auto"/>
              <w:left w:val="nil"/>
              <w:bottom w:val="nil"/>
              <w:right w:val="nil"/>
            </w:tcBorders>
            <w:shd w:val="clear" w:color="auto" w:fill="FFFFFF"/>
            <w:hideMark/>
          </w:tcPr>
          <w:p w14:paraId="46CCE500" w14:textId="77777777" w:rsidR="007604AD" w:rsidRDefault="007604AD">
            <w:pPr>
              <w:autoSpaceDE w:val="0"/>
              <w:autoSpaceDN w:val="0"/>
              <w:adjustRightInd w:val="0"/>
              <w:ind w:left="60" w:right="60"/>
              <w:rPr>
                <w:rFonts w:ascii="Palatino Linotype" w:hAnsi="Palatino Linotype" w:cs="Arial"/>
                <w:color w:val="000000"/>
              </w:rPr>
            </w:pPr>
            <w:r>
              <w:rPr>
                <w:rFonts w:ascii="Palatino Linotype" w:hAnsi="Palatino Linotype" w:cs="Arial"/>
                <w:color w:val="000000"/>
              </w:rPr>
              <w:t>Two-way mixed effects model where people effects are random and measures effects are fixed.</w:t>
            </w:r>
          </w:p>
        </w:tc>
      </w:tr>
      <w:tr w:rsidR="007604AD" w14:paraId="4E5A7A55" w14:textId="77777777" w:rsidTr="007604AD">
        <w:trPr>
          <w:cantSplit/>
          <w:trHeight w:val="305"/>
          <w:jc w:val="center"/>
        </w:trPr>
        <w:tc>
          <w:tcPr>
            <w:tcW w:w="7835" w:type="dxa"/>
            <w:gridSpan w:val="8"/>
            <w:tcBorders>
              <w:top w:val="nil"/>
              <w:left w:val="nil"/>
              <w:bottom w:val="nil"/>
              <w:right w:val="nil"/>
            </w:tcBorders>
            <w:shd w:val="clear" w:color="auto" w:fill="FFFFFF"/>
            <w:hideMark/>
          </w:tcPr>
          <w:p w14:paraId="10B36C9D" w14:textId="77777777" w:rsidR="007604AD" w:rsidRDefault="007604AD">
            <w:pPr>
              <w:autoSpaceDE w:val="0"/>
              <w:autoSpaceDN w:val="0"/>
              <w:adjustRightInd w:val="0"/>
              <w:ind w:left="60" w:right="60"/>
              <w:rPr>
                <w:rFonts w:ascii="Palatino Linotype" w:hAnsi="Palatino Linotype" w:cs="Arial"/>
                <w:color w:val="000000"/>
              </w:rPr>
            </w:pPr>
            <w:r>
              <w:rPr>
                <w:rFonts w:ascii="Palatino Linotype" w:hAnsi="Palatino Linotype" w:cs="Arial"/>
                <w:color w:val="000000"/>
              </w:rPr>
              <w:t>a. The estimator is the same, whether the interaction effect is present or not.</w:t>
            </w:r>
          </w:p>
        </w:tc>
      </w:tr>
      <w:tr w:rsidR="007604AD" w14:paraId="171E6928" w14:textId="77777777" w:rsidTr="007604AD">
        <w:trPr>
          <w:cantSplit/>
          <w:trHeight w:val="596"/>
          <w:jc w:val="center"/>
        </w:trPr>
        <w:tc>
          <w:tcPr>
            <w:tcW w:w="7835" w:type="dxa"/>
            <w:gridSpan w:val="8"/>
            <w:tcBorders>
              <w:top w:val="nil"/>
              <w:left w:val="nil"/>
              <w:bottom w:val="nil"/>
              <w:right w:val="nil"/>
            </w:tcBorders>
            <w:shd w:val="clear" w:color="auto" w:fill="FFFFFF"/>
            <w:hideMark/>
          </w:tcPr>
          <w:p w14:paraId="0013EAAC" w14:textId="77777777" w:rsidR="007604AD" w:rsidRDefault="007604AD">
            <w:pPr>
              <w:autoSpaceDE w:val="0"/>
              <w:autoSpaceDN w:val="0"/>
              <w:adjustRightInd w:val="0"/>
              <w:ind w:left="60" w:right="60"/>
              <w:rPr>
                <w:rFonts w:ascii="Palatino Linotype" w:hAnsi="Palatino Linotype" w:cs="Arial"/>
                <w:color w:val="000000"/>
              </w:rPr>
            </w:pPr>
            <w:r>
              <w:rPr>
                <w:rFonts w:ascii="Palatino Linotype" w:hAnsi="Palatino Linotype" w:cs="Arial"/>
                <w:color w:val="000000"/>
              </w:rPr>
              <w:t>b. Type C intraclass correlation coefficients using a consistency definition. The between-measure variance is excluded from the denominator variance.</w:t>
            </w:r>
          </w:p>
        </w:tc>
      </w:tr>
      <w:tr w:rsidR="007604AD" w14:paraId="29C8BA20" w14:textId="77777777" w:rsidTr="007604AD">
        <w:trPr>
          <w:cantSplit/>
          <w:trHeight w:val="292"/>
          <w:jc w:val="center"/>
        </w:trPr>
        <w:tc>
          <w:tcPr>
            <w:tcW w:w="7835" w:type="dxa"/>
            <w:gridSpan w:val="8"/>
            <w:tcBorders>
              <w:top w:val="nil"/>
              <w:left w:val="nil"/>
              <w:bottom w:val="single" w:sz="4" w:space="0" w:color="auto"/>
              <w:right w:val="nil"/>
            </w:tcBorders>
            <w:shd w:val="clear" w:color="auto" w:fill="FFFFFF"/>
            <w:hideMark/>
          </w:tcPr>
          <w:p w14:paraId="04B4DE81" w14:textId="77777777" w:rsidR="007604AD" w:rsidRDefault="007604AD">
            <w:pPr>
              <w:autoSpaceDE w:val="0"/>
              <w:autoSpaceDN w:val="0"/>
              <w:adjustRightInd w:val="0"/>
              <w:ind w:left="60" w:right="60"/>
              <w:rPr>
                <w:rFonts w:ascii="Palatino Linotype" w:hAnsi="Palatino Linotype" w:cs="Arial"/>
                <w:color w:val="000000"/>
              </w:rPr>
            </w:pPr>
            <w:r>
              <w:rPr>
                <w:rFonts w:ascii="Palatino Linotype" w:hAnsi="Palatino Linotype" w:cs="Arial"/>
                <w:color w:val="000000"/>
              </w:rPr>
              <w:t>c. This estimate is computed assuming the interaction effect is absent, because it is not estimable otherwise.</w:t>
            </w:r>
          </w:p>
        </w:tc>
      </w:tr>
    </w:tbl>
    <w:p w14:paraId="149914F2" w14:textId="77777777" w:rsidR="007604AD" w:rsidRDefault="007604AD" w:rsidP="007604AD">
      <w:pPr>
        <w:spacing w:line="360" w:lineRule="auto"/>
        <w:ind w:firstLine="567"/>
        <w:jc w:val="both"/>
        <w:rPr>
          <w:rFonts w:ascii="Palatino Linotype" w:hAnsi="Palatino Linotype" w:cs="Times New Roman"/>
          <w:bCs/>
          <w:szCs w:val="24"/>
          <w:lang w:val="en-US"/>
        </w:rPr>
      </w:pPr>
    </w:p>
    <w:p w14:paraId="4FC53578" w14:textId="77777777" w:rsidR="007604AD" w:rsidRDefault="007604AD" w:rsidP="007604AD">
      <w:pPr>
        <w:spacing w:line="360" w:lineRule="auto"/>
        <w:ind w:firstLine="567"/>
        <w:jc w:val="both"/>
        <w:rPr>
          <w:rFonts w:ascii="Palatino Linotype" w:hAnsi="Palatino Linotype" w:cs="Times New Roman"/>
          <w:bCs/>
          <w:szCs w:val="24"/>
        </w:rPr>
      </w:pPr>
      <w:r>
        <w:rPr>
          <w:rFonts w:ascii="Palatino Linotype" w:hAnsi="Palatino Linotype" w:cs="Times New Roman"/>
          <w:bCs/>
          <w:szCs w:val="24"/>
        </w:rPr>
        <w:t xml:space="preserve">Hasil validasi keseluruhan diperoleh instrument asesmen kemampuan berpikir intuitif matematis yang valid dan reliabel untuk dapat mendeskripsikan berpikir intuitif matematis melalui penalaran formal dalam memecahkan permasalahan geometri sebanyak 10 butir intrumen penilaian. Instrumen penilaian yang telah valid dapat mendeskripsikan kemampuan berpikir intuitif matematis dengan mempresentasikan aspek yang dapat dikembangkan untuk mengasah kemampuan pemecahan masalah dalam kehidupan sehari-hari melalui penalaran formal siswa. Permasalahan pada instrumen asesmen dapat diselesaikan dengan memecahkan masalah yang termuat di dalam pertanyaan di setiap butir instrumen penilaian, sebab dibutuhkan kemampuan bernalar sehingga mampu berpikir intuitif matematis dengan mengumpulkan informasi yang relevan dalam menganalisis, menemukan hubungan antar fakta/informasi yang diberikan, mengidentifikasi dan </w:t>
      </w:r>
      <w:r>
        <w:rPr>
          <w:rFonts w:ascii="Palatino Linotype" w:hAnsi="Palatino Linotype" w:cs="Times New Roman"/>
          <w:bCs/>
          <w:szCs w:val="24"/>
        </w:rPr>
        <w:lastRenderedPageBreak/>
        <w:t xml:space="preserve">merencanakan strategi penyelesaian soal untuk mendapatkan jawaban yang tepat serta menyadari perlunya meneliti kembali hasil yang telah diperoleh </w:t>
      </w:r>
      <w:r>
        <w:rPr>
          <w:rFonts w:ascii="Palatino Linotype" w:hAnsi="Palatino Linotype" w:cs="Times New Roman"/>
          <w:bCs/>
          <w:szCs w:val="24"/>
        </w:rPr>
        <w:fldChar w:fldCharType="begin" w:fldLock="1"/>
      </w:r>
      <w:r>
        <w:rPr>
          <w:rFonts w:ascii="Palatino Linotype" w:hAnsi="Palatino Linotype" w:cs="Times New Roman"/>
          <w:bCs/>
          <w:szCs w:val="24"/>
        </w:rPr>
        <w:instrText>ADDIN CSL_CITATION {"citationItems":[{"id":"ITEM-1","itemData":{"abstract":"Abstrak Penelitian ini bertujuan untuk memperoleh instrumen soal berbasis taksonomi SOLO yang layak/valid dan mendeskripsikan profil kemampuan fisika siswa dalam memecahkan masalah fluida statis berdasarkan taksonomi SOLO. Jenis penelitian ini adalah penelitian pengembangan soal dengan menggunakan metode penelitian Research and Development (R&amp;D). Sampel penelitian ini terdiri dari 105 siswa kelas X MIA di SMA Nahdlatul Ulama 1 Gresik, sebanyak 34 siswa dilibatkan untuk uji coba 1 dan 71 siswa untuk uji coba 2. Dari hasil penelitian diperoleh instrumen soal yang valid dengan nilai kelayakan/kevalidan sebesar 8,61. Profil kemampuan fisika siswa dalam memecahkan masalah berdasarkan taksonomi SOLO pada level prastruktural sebesar 31,39%, level unistruktural sebesar 13,28%, multistruktural sebesar 20,32%, relasional sebesar 27,16%, dan extended abstract sebesar 7,85%. Abstract This study aimed to obtain a SOLO taxonomy-based instruments about proper/valid and describe the profile of physical abilities of students in solving the problem of static fluid based SOLO taxonomy. This type of research is the development of research questions using research methods Research and Development (R &amp; D). The study sample consisted of 105 students of class X MIA in SMA NU 1 Gresik, about 34 students are involved in trials 1 and 71 students for the test 2. The results were obtained valid question instrument to value the feasibility/validity of 8.61 , Profile capability physics students in solving problems based on the SOLO taxonomy prastruktural level of 31.39%, amounting to 13.28% unistruktural level, multistruktural by 20.32%, amounting to 27.16% of relational and extended abstract of 7.85%.","author":[{"dropping-particle":"","family":"Pratiwi","given":"Nurul Dwi","non-dropping-particle":"","parse-names":false,"suffix":""},{"dropping-particle":"","family":"Setyarsih","given":"Woro","non-dropping-particle":"","parse-names":false,"suffix":""},{"dropping-particle":"","family":"Fisika","given":"Jurusan","non-dropping-particle":"","parse-names":false,"suffix":""},{"dropping-particle":"","family":"Matematika","given":"Fakultas","non-dropping-particle":"","parse-names":false,"suffix":""},{"dropping-particle":"","family":"Ilmu","given":"Dan","non-dropping-particle":"","parse-names":false,"suffix":""},{"dropping-particle":"","family":"Alam","given":"Pengetahuan","non-dropping-particle":"","parse-names":false,"suffix":""},{"dropping-particle":"","family":"Surabaya","given":"Universitas Negeri","non-dropping-particle":"","parse-names":false,"suffix":""},{"dropping-particle":"","family":"Kunci","given":"Kata","non-dropping-particle":"","parse-names":false,"suffix":""}],"container-title":"Jurnal Inovasi Pendidikan Fisika (JIPF) Nurul Dwi Pratiwi","id":"ITEM-1","issued":{"date-parts":[["2015"]]},"title":"Pengembangan Instrumen Evaluasi Berbasis Taksonomi Structure of the Observed Learning Outcome (SOLO) Untuk Menentukan Profil Kemampuan Siswa dalam Memecahkan Masalah Fluida Statis","type":"article-journal"},"uris":["http://www.mendeley.com/documents/?uuid=9c7688ca-d24d-490a-88b5-15aba6d21d1f"]}],"mendeley":{"formattedCitation":"(Pratiwi et al., 2015)","plainTextFormattedCitation":"(Pratiwi et al., 2015)","previouslyFormattedCitation":"(Pratiwi et al., 2015)"},"properties":{"noteIndex":0},"schema":"https://github.com/citation-style-language/schema/raw/master/csl-citation.json"}</w:instrText>
      </w:r>
      <w:r>
        <w:rPr>
          <w:rFonts w:ascii="Palatino Linotype" w:hAnsi="Palatino Linotype" w:cs="Times New Roman"/>
          <w:bCs/>
          <w:szCs w:val="24"/>
        </w:rPr>
        <w:fldChar w:fldCharType="separate"/>
      </w:r>
      <w:r>
        <w:rPr>
          <w:rFonts w:ascii="Palatino Linotype" w:hAnsi="Palatino Linotype" w:cs="Times New Roman"/>
          <w:bCs/>
          <w:noProof/>
          <w:szCs w:val="24"/>
        </w:rPr>
        <w:t>(Pratiwi et al., 2015)</w:t>
      </w:r>
      <w:r>
        <w:rPr>
          <w:rFonts w:ascii="Palatino Linotype" w:hAnsi="Palatino Linotype" w:cs="Times New Roman"/>
          <w:bCs/>
          <w:szCs w:val="24"/>
        </w:rPr>
        <w:fldChar w:fldCharType="end"/>
      </w:r>
      <w:r>
        <w:rPr>
          <w:rFonts w:ascii="Palatino Linotype" w:hAnsi="Palatino Linotype" w:cs="Times New Roman"/>
          <w:bCs/>
          <w:szCs w:val="24"/>
        </w:rPr>
        <w:t>.</w:t>
      </w:r>
    </w:p>
    <w:p w14:paraId="5BA12737" w14:textId="77777777" w:rsidR="007604AD" w:rsidRDefault="007604AD" w:rsidP="007604AD">
      <w:pPr>
        <w:spacing w:before="100" w:beforeAutospacing="1" w:after="100" w:afterAutospacing="1" w:line="360" w:lineRule="auto"/>
        <w:jc w:val="both"/>
        <w:rPr>
          <w:rFonts w:ascii="Palatino Linotype" w:eastAsia="Times New Roman" w:hAnsi="Palatino Linotype" w:cstheme="minorHAnsi"/>
          <w:color w:val="111111"/>
          <w:lang w:val="en-US"/>
        </w:rPr>
      </w:pPr>
      <w:r>
        <w:rPr>
          <w:rFonts w:ascii="Palatino Linotype" w:hAnsi="Palatino Linotype" w:cs="Times New Roman"/>
          <w:bCs/>
          <w:szCs w:val="24"/>
        </w:rPr>
        <w:t xml:space="preserve">Peluang pengembangan intrumen asesmen kemampuan berpikir intuitif matematis terbuka luas karena belum adanya kesepakatan pasti mengenai asesmen kemampuan berpikir intuitif matematis yang bertujuan untuk melihat keberhasilan dalam pemberdayaan keterampilan berpikir intuitif matematis </w:t>
      </w:r>
      <w:r>
        <w:rPr>
          <w:rFonts w:ascii="Palatino Linotype" w:hAnsi="Palatino Linotype" w:cs="Times New Roman"/>
          <w:bCs/>
          <w:szCs w:val="24"/>
        </w:rPr>
        <w:fldChar w:fldCharType="begin" w:fldLock="1"/>
      </w:r>
      <w:r>
        <w:rPr>
          <w:rFonts w:ascii="Palatino Linotype" w:hAnsi="Palatino Linotype" w:cs="Times New Roman"/>
          <w:bCs/>
          <w:szCs w:val="24"/>
        </w:rPr>
        <w:instrText>ADDIN CSL_CITATION {"citationItems":[{"id":"ITEM-1","itemData":{"DOI":"10.25273/jems.v6i2.5366","ISSN":"2337-9049","abstract":"&lt;p class=\"JRPMAbstractBody\"&gt;Kemampuan penalaran matematis diperlukan dalam memahami matematika dan dalam menyelesaikan masalah sehari-hari, mahasiswa memerlukan. Kemampuan Indonesia di dunia pendidikan dalam bidang matematika masih sangat rendah. Berdasarkan hal tersebut, penelitian ini bertujuan untuk mengetahui penalaran matematis mahasiswa dengan kemampuan berpikir intuitif sedang dalam memecahkan masalah analisis real. Penelitian ini menggunakan pendekatan kualitatif dengan jenis penelitian deskriptif kualitatif. Sumber data yang digunakan pada penelitian ini adalah mahasiswa. Teknik pengumpulan data melalui tes tulis dan wawancara. Analisis data dalam penelitian ini dilakukan dengan tahapan reduksi data, penyajian data, dan penarikan simpulan. Berdasarkan hasil penelitian diperoleh kesimpulan bahwa mahasiswa dengan kemampuan berpikir intuitif sedang pada pemecahan masalah analisis real memiliki kecenderungan melaksanakan penalaran matematis dengan kurang sempurna. Mahasiswa dengan kemampuan berpikir intuitif sedang tidak mampu melaksanakan penalaran matematis pada tahap pemecahan masalah menyelesaikan masalah sesuai rencana dan melakukan pengecekan kembali.&lt;/p&gt;&lt;p class=\"JRPMAbstractBody\"&gt; &lt;/p&gt;&lt;p class=\"JRPMAbstractBody\"&gt;Mathematical reasoning capability is needed in the understanding of mathematics and in the problem solving of daily activity, student need. Indonesian education capability in mathematics is low. Based on that fact, the aim of this research is for knowing student mathematical reasoning with medium intuitive thinking capability in the problem solving of real analysis. This research uses qualitative method with the kind of method is qualitative descriptive. Data resource that is used in this research is student. Data collecting technique is done by using writing test and interview. Data analysis in this research is done by data reduction, data display, and data verification. Based on research result is gotten conclusion that student with medium intuitive thinking capability in the problem solving of real analysis can do mathematical reasoning less completely. Student with medium intuitive thinking capability cannot do mathematical reasoning in every step solving problem based on plan and doing answer checking .&lt;/p&gt;","author":[{"dropping-particle":"","family":"Adamura","given":"Fatriya","non-dropping-particle":"","parse-names":false,"suffix":""},{"dropping-particle":"","family":"Susanti","given":"Vera Dewi","non-dropping-particle":"","parse-names":false,"suffix":""}],"container-title":"Jurnal Edukasi Matematika dan Sains","id":"ITEM-1","issued":{"date-parts":[["2018"]]},"title":"Penalaran Matematis Mahasiswa dengan Kemampuan Berpikir Intuitif Sedang dalam Memecahkan Masalah Analisis Real","type":"article-journal"},"uris":["http://www.mendeley.com/documents/?uuid=7ae77bb7-eb86-4c2b-b828-590d1c857014"]}],"mendeley":{"formattedCitation":"(Adamura &amp; Susanti, 2018)","plainTextFormattedCitation":"(Adamura &amp; Susanti, 2018)","previouslyFormattedCitation":"(Adamura &amp; Susanti, 2018)"},"properties":{"noteIndex":0},"schema":"https://github.com/citation-style-language/schema/raw/master/csl-citation.json"}</w:instrText>
      </w:r>
      <w:r>
        <w:rPr>
          <w:rFonts w:ascii="Palatino Linotype" w:hAnsi="Palatino Linotype" w:cs="Times New Roman"/>
          <w:bCs/>
          <w:szCs w:val="24"/>
        </w:rPr>
        <w:fldChar w:fldCharType="separate"/>
      </w:r>
      <w:r>
        <w:rPr>
          <w:rFonts w:ascii="Palatino Linotype" w:hAnsi="Palatino Linotype" w:cs="Times New Roman"/>
          <w:bCs/>
          <w:noProof/>
          <w:szCs w:val="24"/>
        </w:rPr>
        <w:t>(Adamura &amp; Susanti, 2018)</w:t>
      </w:r>
      <w:r>
        <w:rPr>
          <w:rFonts w:ascii="Palatino Linotype" w:hAnsi="Palatino Linotype" w:cs="Times New Roman"/>
          <w:bCs/>
          <w:szCs w:val="24"/>
        </w:rPr>
        <w:fldChar w:fldCharType="end"/>
      </w:r>
      <w:r>
        <w:rPr>
          <w:rFonts w:ascii="Palatino Linotype" w:hAnsi="Palatino Linotype" w:cs="Times New Roman"/>
          <w:bCs/>
          <w:szCs w:val="24"/>
        </w:rPr>
        <w:t>. Instrumen asesmen ini dapat mendeskripsikan kemampuan berpikir intuitif matematis dalam setiap tahapannya yang didasari dari kemampuan bernalar secara formal siswa dalam memahami permasalahan dan mengaitkan dengan konsep yang dimiliki, sintesis, dan evaluasi melalui keterampilan berpikir kritis yang dimiliki sehingga mampu memecahkan permasalahan pada materi geometri bangu ruang yang terus diajarkan dan dikembangkan secara rutin berdasarkan keterkaitannya dengan materi lainnya.</w:t>
      </w:r>
    </w:p>
    <w:p w14:paraId="506A5507" w14:textId="77777777" w:rsidR="007604AD" w:rsidRDefault="007604AD" w:rsidP="007604AD">
      <w:pPr>
        <w:spacing w:line="360" w:lineRule="auto"/>
        <w:rPr>
          <w:rFonts w:ascii="Palatino Linotype" w:hAnsi="Palatino Linotype" w:cs="Times New Roman"/>
          <w:lang w:val="en-US"/>
        </w:rPr>
      </w:pPr>
      <w:r>
        <w:rPr>
          <w:rFonts w:ascii="Palatino Linotype" w:hAnsi="Palatino Linotype" w:cs="Times New Roman"/>
          <w:b/>
        </w:rPr>
        <w:t>Simpulan</w:t>
      </w:r>
      <w:r>
        <w:rPr>
          <w:rFonts w:ascii="Palatino Linotype" w:hAnsi="Palatino Linotype" w:cs="Times New Roman"/>
          <w:b/>
          <w:lang w:val="en-US"/>
        </w:rPr>
        <w:t xml:space="preserve"> </w:t>
      </w:r>
    </w:p>
    <w:p w14:paraId="1A4CC48A" w14:textId="77777777" w:rsidR="007604AD" w:rsidRDefault="007604AD" w:rsidP="007604AD">
      <w:pPr>
        <w:spacing w:line="360" w:lineRule="auto"/>
        <w:ind w:firstLine="567"/>
        <w:jc w:val="both"/>
        <w:rPr>
          <w:rFonts w:ascii="Palatino Linotype" w:eastAsia="Times New Roman" w:hAnsi="Palatino Linotype" w:cstheme="minorHAnsi"/>
          <w:color w:val="111111"/>
          <w:lang w:val="en-US"/>
        </w:rPr>
      </w:pPr>
      <w:r>
        <w:rPr>
          <w:rFonts w:ascii="Palatino Linotype" w:hAnsi="Palatino Linotype" w:cs="Times New Roman"/>
          <w:color w:val="000000"/>
        </w:rPr>
        <w:t xml:space="preserve">Instrumen </w:t>
      </w:r>
      <w:r>
        <w:rPr>
          <w:rFonts w:ascii="Palatino Linotype" w:hAnsi="Palatino Linotype" w:cs="Times New Roman"/>
          <w:bCs/>
        </w:rPr>
        <w:t xml:space="preserve">asesmen kemampuan berpikir intuitif matematis </w:t>
      </w:r>
      <w:r>
        <w:rPr>
          <w:rFonts w:ascii="Palatino Linotype" w:hAnsi="Palatino Linotype" w:cs="Times New Roman"/>
          <w:color w:val="000000"/>
        </w:rPr>
        <w:t xml:space="preserve">pada pembelajaran matematika disekolah menengah pertama adalah valid menggunakan bukti validitas isi oleh 4 ahli. Hasil penilaian yang diperoleh dari validasi ahli menyatakan bahwa penilaian unjuk kerja ini layak dan termasuk dalam kategori sangat baik digunakan sebagai bentuk penilaian. Dengan demikian instrumen </w:t>
      </w:r>
      <w:r>
        <w:rPr>
          <w:rFonts w:ascii="Palatino Linotype" w:hAnsi="Palatino Linotype" w:cs="Times New Roman"/>
          <w:bCs/>
        </w:rPr>
        <w:t>asesmen kemampuan berpikir intuitif matematis</w:t>
      </w:r>
      <w:r>
        <w:rPr>
          <w:rFonts w:ascii="Palatino Linotype" w:hAnsi="Palatino Linotype" w:cs="Times New Roman"/>
          <w:color w:val="000000"/>
        </w:rPr>
        <w:t xml:space="preserve"> yang telah dikembangkan telah valid dan reliabel secara konstruk melalui validasi ahli sebanyak 10 butir instrument penilaian. Instrumen asesmen yang telah validdan reliabel tersebut dapat mendeskripsikan </w:t>
      </w:r>
      <w:r>
        <w:rPr>
          <w:rFonts w:ascii="Palatino Linotype" w:hAnsi="Palatino Linotype" w:cs="Times New Roman"/>
          <w:bCs/>
        </w:rPr>
        <w:t>kemampuan berpikir intuitif matematis</w:t>
      </w:r>
      <w:r>
        <w:rPr>
          <w:rFonts w:ascii="Palatino Linotype" w:hAnsi="Palatino Linotype" w:cs="Times New Roman"/>
          <w:color w:val="000000"/>
        </w:rPr>
        <w:t xml:space="preserve"> dengan mempresentasikan aspek yang dapat dikembangkan untuk mengasah kemampuan pemecahan masalah dalam kehidupan sehari-hari melalui </w:t>
      </w:r>
      <w:r>
        <w:rPr>
          <w:rFonts w:ascii="Palatino Linotype" w:hAnsi="Palatino Linotype" w:cs="Times New Roman"/>
          <w:bCs/>
        </w:rPr>
        <w:t>kemampuan berpikir intuitif matematis siswa</w:t>
      </w:r>
      <w:r>
        <w:rPr>
          <w:rFonts w:ascii="Palatino Linotype" w:hAnsi="Palatino Linotype" w:cs="Times New Roman"/>
          <w:color w:val="000000"/>
        </w:rPr>
        <w:t>. Instrumen asesmen ini dapat diimplementasikan guna menguji efektivitasnya melalui penelitian selanjutnya.</w:t>
      </w:r>
    </w:p>
    <w:p w14:paraId="0E1C9131" w14:textId="77777777" w:rsidR="007604AD" w:rsidRDefault="007604AD" w:rsidP="007604AD">
      <w:pPr>
        <w:spacing w:line="360" w:lineRule="auto"/>
        <w:jc w:val="both"/>
        <w:rPr>
          <w:rFonts w:ascii="Palatino Linotype" w:hAnsi="Palatino Linotype" w:cs="Times New Roman"/>
        </w:rPr>
      </w:pPr>
    </w:p>
    <w:p w14:paraId="78FABAF9" w14:textId="77777777" w:rsidR="007604AD" w:rsidRDefault="007604AD" w:rsidP="007604AD">
      <w:pPr>
        <w:pStyle w:val="Style16"/>
        <w:tabs>
          <w:tab w:val="clear" w:pos="5652"/>
          <w:tab w:val="left" w:leader="dot" w:pos="5508"/>
          <w:tab w:val="left" w:leader="dot" w:pos="9000"/>
        </w:tabs>
        <w:spacing w:line="360" w:lineRule="auto"/>
        <w:jc w:val="both"/>
        <w:rPr>
          <w:rFonts w:ascii="Palatino Linotype" w:hAnsi="Palatino Linotype"/>
          <w:b/>
          <w:spacing w:val="-9"/>
          <w:sz w:val="22"/>
          <w:szCs w:val="22"/>
        </w:rPr>
      </w:pPr>
      <w:r>
        <w:rPr>
          <w:rFonts w:ascii="Palatino Linotype" w:hAnsi="Palatino Linotype"/>
          <w:b/>
          <w:spacing w:val="-9"/>
          <w:sz w:val="22"/>
          <w:szCs w:val="22"/>
          <w:lang w:val="id-ID"/>
        </w:rPr>
        <w:t xml:space="preserve">Referensi </w:t>
      </w:r>
    </w:p>
    <w:p w14:paraId="45E3C8CF" w14:textId="77777777" w:rsidR="007604AD" w:rsidRDefault="007604AD" w:rsidP="007604AD">
      <w:pPr>
        <w:widowControl w:val="0"/>
        <w:autoSpaceDE w:val="0"/>
        <w:autoSpaceDN w:val="0"/>
        <w:adjustRightInd w:val="0"/>
        <w:spacing w:after="120"/>
        <w:ind w:left="480" w:hanging="480"/>
        <w:jc w:val="both"/>
        <w:rPr>
          <w:rFonts w:ascii="Palatino Linotype" w:hAnsi="Palatino Linotype" w:cs="Times New Roman"/>
          <w:noProof/>
          <w:szCs w:val="24"/>
        </w:rPr>
      </w:pPr>
      <w:r>
        <w:rPr>
          <w:rFonts w:ascii="Palatino Linotype" w:hAnsi="Palatino Linotype"/>
          <w:b/>
          <w:spacing w:val="-9"/>
        </w:rPr>
        <w:fldChar w:fldCharType="begin" w:fldLock="1"/>
      </w:r>
      <w:r>
        <w:rPr>
          <w:rFonts w:ascii="Palatino Linotype" w:hAnsi="Palatino Linotype"/>
          <w:b/>
          <w:spacing w:val="-9"/>
        </w:rPr>
        <w:instrText xml:space="preserve">ADDIN Mendeley Bibliography CSL_BIBLIOGRAPHY </w:instrText>
      </w:r>
      <w:r>
        <w:rPr>
          <w:rFonts w:ascii="Palatino Linotype" w:hAnsi="Palatino Linotype"/>
          <w:b/>
          <w:spacing w:val="-9"/>
        </w:rPr>
        <w:fldChar w:fldCharType="separate"/>
      </w:r>
      <w:r>
        <w:rPr>
          <w:rFonts w:ascii="Palatino Linotype" w:hAnsi="Palatino Linotype" w:cs="Times New Roman"/>
          <w:noProof/>
          <w:szCs w:val="24"/>
        </w:rPr>
        <w:t xml:space="preserve">Adamura, F., &amp; Susanti, V. D. (2018). Penalaran Matematis Mahasiswa dengan Kemampuan Berpikir Intuitif Sedang dalam Memecahkan Masalah Analisis Real. </w:t>
      </w:r>
      <w:r>
        <w:rPr>
          <w:rFonts w:ascii="Palatino Linotype" w:hAnsi="Palatino Linotype" w:cs="Times New Roman"/>
          <w:i/>
          <w:iCs/>
          <w:noProof/>
          <w:szCs w:val="24"/>
        </w:rPr>
        <w:t>Jurnal Edukasi Matematika Dan Sains</w:t>
      </w:r>
      <w:r>
        <w:rPr>
          <w:rFonts w:ascii="Palatino Linotype" w:hAnsi="Palatino Linotype" w:cs="Times New Roman"/>
          <w:noProof/>
          <w:szCs w:val="24"/>
        </w:rPr>
        <w:t>. https://doi.org/10.25273/jems.v6i2.5366</w:t>
      </w:r>
    </w:p>
    <w:p w14:paraId="4E9B8BD5" w14:textId="77777777" w:rsidR="007604AD" w:rsidRDefault="007604AD" w:rsidP="007604AD">
      <w:pPr>
        <w:widowControl w:val="0"/>
        <w:autoSpaceDE w:val="0"/>
        <w:autoSpaceDN w:val="0"/>
        <w:adjustRightInd w:val="0"/>
        <w:spacing w:after="120"/>
        <w:ind w:left="480" w:hanging="480"/>
        <w:jc w:val="both"/>
        <w:rPr>
          <w:rFonts w:ascii="Palatino Linotype" w:hAnsi="Palatino Linotype" w:cs="Times New Roman"/>
          <w:noProof/>
          <w:szCs w:val="24"/>
        </w:rPr>
      </w:pPr>
      <w:r>
        <w:rPr>
          <w:rFonts w:ascii="Palatino Linotype" w:hAnsi="Palatino Linotype" w:cs="Times New Roman"/>
          <w:noProof/>
          <w:szCs w:val="24"/>
        </w:rPr>
        <w:t xml:space="preserve">Basadur, M., Runco, M. A., &amp; Vegaxy, L. A. (2000). Understanding how creative thinking </w:t>
      </w:r>
      <w:r>
        <w:rPr>
          <w:rFonts w:ascii="Palatino Linotype" w:hAnsi="Palatino Linotype" w:cs="Times New Roman"/>
          <w:noProof/>
          <w:szCs w:val="24"/>
        </w:rPr>
        <w:lastRenderedPageBreak/>
        <w:t xml:space="preserve">skills, attitudes and behaviors work together: A causal process model. </w:t>
      </w:r>
      <w:r>
        <w:rPr>
          <w:rFonts w:ascii="Palatino Linotype" w:hAnsi="Palatino Linotype" w:cs="Times New Roman"/>
          <w:i/>
          <w:iCs/>
          <w:noProof/>
          <w:szCs w:val="24"/>
        </w:rPr>
        <w:t>Journal of Creative Behavior</w:t>
      </w:r>
      <w:r>
        <w:rPr>
          <w:rFonts w:ascii="Palatino Linotype" w:hAnsi="Palatino Linotype" w:cs="Times New Roman"/>
          <w:noProof/>
          <w:szCs w:val="24"/>
        </w:rPr>
        <w:t>. https://doi.org/10.1002/j.2162-6057.2000.tb01203.x</w:t>
      </w:r>
    </w:p>
    <w:p w14:paraId="40505407" w14:textId="77777777" w:rsidR="007604AD" w:rsidRDefault="007604AD" w:rsidP="007604AD">
      <w:pPr>
        <w:widowControl w:val="0"/>
        <w:autoSpaceDE w:val="0"/>
        <w:autoSpaceDN w:val="0"/>
        <w:adjustRightInd w:val="0"/>
        <w:spacing w:after="120"/>
        <w:ind w:left="480" w:hanging="480"/>
        <w:jc w:val="both"/>
        <w:rPr>
          <w:rFonts w:ascii="Palatino Linotype" w:hAnsi="Palatino Linotype" w:cs="Times New Roman"/>
          <w:noProof/>
          <w:szCs w:val="24"/>
        </w:rPr>
      </w:pPr>
      <w:r>
        <w:rPr>
          <w:rFonts w:ascii="Palatino Linotype" w:hAnsi="Palatino Linotype" w:cs="Times New Roman"/>
          <w:noProof/>
          <w:szCs w:val="24"/>
        </w:rPr>
        <w:t xml:space="preserve">BSNP. (2010). Paradigma Pendidikan Nasional Abad XXI. In </w:t>
      </w:r>
      <w:r>
        <w:rPr>
          <w:rFonts w:ascii="Palatino Linotype" w:hAnsi="Palatino Linotype" w:cs="Times New Roman"/>
          <w:i/>
          <w:iCs/>
          <w:noProof/>
          <w:szCs w:val="24"/>
        </w:rPr>
        <w:t>Paradigma Pendidikan Nasional Abad XXI</w:t>
      </w:r>
      <w:r>
        <w:rPr>
          <w:rFonts w:ascii="Palatino Linotype" w:hAnsi="Palatino Linotype" w:cs="Times New Roman"/>
          <w:noProof/>
          <w:szCs w:val="24"/>
        </w:rPr>
        <w:t>.</w:t>
      </w:r>
    </w:p>
    <w:p w14:paraId="64B46EBA" w14:textId="77777777" w:rsidR="007604AD" w:rsidRDefault="007604AD" w:rsidP="007604AD">
      <w:pPr>
        <w:widowControl w:val="0"/>
        <w:autoSpaceDE w:val="0"/>
        <w:autoSpaceDN w:val="0"/>
        <w:adjustRightInd w:val="0"/>
        <w:spacing w:after="120"/>
        <w:ind w:left="480" w:hanging="480"/>
        <w:jc w:val="both"/>
        <w:rPr>
          <w:rFonts w:ascii="Palatino Linotype" w:hAnsi="Palatino Linotype" w:cs="Times New Roman"/>
          <w:noProof/>
          <w:szCs w:val="24"/>
        </w:rPr>
      </w:pPr>
      <w:r>
        <w:rPr>
          <w:rFonts w:ascii="Palatino Linotype" w:hAnsi="Palatino Linotype" w:cs="Times New Roman"/>
          <w:noProof/>
          <w:szCs w:val="24"/>
        </w:rPr>
        <w:t xml:space="preserve">Burnett, C. (2007). </w:t>
      </w:r>
      <w:r>
        <w:rPr>
          <w:rFonts w:ascii="Palatino Linotype" w:hAnsi="Palatino Linotype" w:cs="Times New Roman"/>
          <w:i/>
          <w:iCs/>
          <w:noProof/>
          <w:szCs w:val="24"/>
        </w:rPr>
        <w:t>Deliberate intuition</w:t>
      </w:r>
      <w:r>
        <w:rPr>
          <w:rFonts w:ascii="Times New Roman" w:hAnsi="Times New Roman" w:cs="Times New Roman"/>
          <w:i/>
          <w:iCs/>
          <w:noProof/>
          <w:szCs w:val="24"/>
        </w:rPr>
        <w:t> </w:t>
      </w:r>
      <w:r>
        <w:rPr>
          <w:rFonts w:ascii="Palatino Linotype" w:hAnsi="Palatino Linotype" w:cs="Times New Roman"/>
          <w:i/>
          <w:iCs/>
          <w:noProof/>
          <w:szCs w:val="24"/>
        </w:rPr>
        <w:t>: Giving intuitive insights their rightful place in the creative problem solving thinking skills model</w:t>
      </w:r>
      <w:r>
        <w:rPr>
          <w:rFonts w:ascii="Palatino Linotype" w:hAnsi="Palatino Linotype" w:cs="Times New Roman"/>
          <w:noProof/>
          <w:szCs w:val="24"/>
        </w:rPr>
        <w:t xml:space="preserve">. </w:t>
      </w:r>
      <w:r>
        <w:rPr>
          <w:rFonts w:ascii="Palatino Linotype" w:hAnsi="Palatino Linotype" w:cs="Times New Roman"/>
          <w:i/>
          <w:iCs/>
          <w:noProof/>
          <w:szCs w:val="24"/>
        </w:rPr>
        <w:t>3</w:t>
      </w:r>
      <w:r>
        <w:rPr>
          <w:rFonts w:ascii="Palatino Linotype" w:hAnsi="Palatino Linotype" w:cs="Times New Roman"/>
          <w:noProof/>
          <w:szCs w:val="24"/>
        </w:rPr>
        <w:t>, 236–253. http://www.bridgepointeffect.com/wp-content/uploads/2012/12/Deliberate-Intuition-CIM.pdf</w:t>
      </w:r>
    </w:p>
    <w:p w14:paraId="7908BBC5" w14:textId="77777777" w:rsidR="007604AD" w:rsidRDefault="007604AD" w:rsidP="007604AD">
      <w:pPr>
        <w:widowControl w:val="0"/>
        <w:autoSpaceDE w:val="0"/>
        <w:autoSpaceDN w:val="0"/>
        <w:adjustRightInd w:val="0"/>
        <w:spacing w:after="120"/>
        <w:ind w:left="480" w:hanging="480"/>
        <w:jc w:val="both"/>
        <w:rPr>
          <w:rFonts w:ascii="Palatino Linotype" w:hAnsi="Palatino Linotype" w:cs="Times New Roman"/>
          <w:noProof/>
          <w:szCs w:val="24"/>
        </w:rPr>
      </w:pPr>
      <w:r>
        <w:rPr>
          <w:rFonts w:ascii="Palatino Linotype" w:hAnsi="Palatino Linotype" w:cs="Times New Roman"/>
          <w:noProof/>
          <w:szCs w:val="24"/>
        </w:rPr>
        <w:t xml:space="preserve">Clements, M. D., &amp; Cord, B. A. (2013). Assessment Guiding Learning: Developing Graduate Qualities in an Experiential Learning Programme. </w:t>
      </w:r>
      <w:r>
        <w:rPr>
          <w:rFonts w:ascii="Palatino Linotype" w:hAnsi="Palatino Linotype" w:cs="Times New Roman"/>
          <w:i/>
          <w:iCs/>
          <w:noProof/>
          <w:szCs w:val="24"/>
        </w:rPr>
        <w:t>Assessment and Evaluation in Higher Education</w:t>
      </w:r>
      <w:r>
        <w:rPr>
          <w:rFonts w:ascii="Palatino Linotype" w:hAnsi="Palatino Linotype" w:cs="Times New Roman"/>
          <w:noProof/>
          <w:szCs w:val="24"/>
        </w:rPr>
        <w:t xml:space="preserve">, </w:t>
      </w:r>
      <w:r>
        <w:rPr>
          <w:rFonts w:ascii="Palatino Linotype" w:hAnsi="Palatino Linotype" w:cs="Times New Roman"/>
          <w:i/>
          <w:iCs/>
          <w:noProof/>
          <w:szCs w:val="24"/>
        </w:rPr>
        <w:t>38</w:t>
      </w:r>
      <w:r>
        <w:rPr>
          <w:rFonts w:ascii="Palatino Linotype" w:hAnsi="Palatino Linotype" w:cs="Times New Roman"/>
          <w:noProof/>
          <w:szCs w:val="24"/>
        </w:rPr>
        <w:t>(1), 114–124. https://doi.org/10.1080/02602938.2011.609314</w:t>
      </w:r>
    </w:p>
    <w:p w14:paraId="5F186B7A" w14:textId="77777777" w:rsidR="007604AD" w:rsidRDefault="007604AD" w:rsidP="007604AD">
      <w:pPr>
        <w:widowControl w:val="0"/>
        <w:autoSpaceDE w:val="0"/>
        <w:autoSpaceDN w:val="0"/>
        <w:adjustRightInd w:val="0"/>
        <w:spacing w:after="120"/>
        <w:ind w:left="480" w:hanging="480"/>
        <w:jc w:val="both"/>
        <w:rPr>
          <w:rFonts w:ascii="Palatino Linotype" w:hAnsi="Palatino Linotype" w:cs="Times New Roman"/>
          <w:noProof/>
          <w:szCs w:val="24"/>
        </w:rPr>
      </w:pPr>
      <w:r>
        <w:rPr>
          <w:rFonts w:ascii="Palatino Linotype" w:hAnsi="Palatino Linotype" w:cs="Times New Roman"/>
          <w:noProof/>
          <w:szCs w:val="24"/>
        </w:rPr>
        <w:t xml:space="preserve">Dreyfus, T., &amp; Eisenberg, T. (2020). Intuitive Functional Concepts: A Baseline Study on Intuitions. </w:t>
      </w:r>
      <w:r>
        <w:rPr>
          <w:rFonts w:ascii="Palatino Linotype" w:hAnsi="Palatino Linotype" w:cs="Times New Roman"/>
          <w:i/>
          <w:iCs/>
          <w:noProof/>
          <w:szCs w:val="24"/>
        </w:rPr>
        <w:t>Journal for Research in Mathematics Education</w:t>
      </w:r>
      <w:r>
        <w:rPr>
          <w:rFonts w:ascii="Palatino Linotype" w:hAnsi="Palatino Linotype" w:cs="Times New Roman"/>
          <w:noProof/>
          <w:szCs w:val="24"/>
        </w:rPr>
        <w:t>. https://doi.org/10.5951/jresematheduc.13.5.0360</w:t>
      </w:r>
    </w:p>
    <w:p w14:paraId="46E00B59" w14:textId="77777777" w:rsidR="007604AD" w:rsidRDefault="007604AD" w:rsidP="007604AD">
      <w:pPr>
        <w:widowControl w:val="0"/>
        <w:autoSpaceDE w:val="0"/>
        <w:autoSpaceDN w:val="0"/>
        <w:adjustRightInd w:val="0"/>
        <w:spacing w:after="120"/>
        <w:ind w:left="480" w:hanging="480"/>
        <w:jc w:val="both"/>
        <w:rPr>
          <w:rFonts w:ascii="Palatino Linotype" w:hAnsi="Palatino Linotype" w:cs="Times New Roman"/>
          <w:noProof/>
          <w:szCs w:val="24"/>
        </w:rPr>
      </w:pPr>
      <w:r>
        <w:rPr>
          <w:rFonts w:ascii="Palatino Linotype" w:hAnsi="Palatino Linotype" w:cs="Times New Roman"/>
          <w:noProof/>
          <w:szCs w:val="24"/>
        </w:rPr>
        <w:t xml:space="preserve">Etika, E. D., Sujadi, I., &amp; Subanti, S. (2016). Intuisi Kelas VII SMP Negeri 1 Nganjuk dalam Pemecahan Masalah Matematika Ditinjau Dari Adversity Quotient ( Aq ). </w:t>
      </w:r>
      <w:r>
        <w:rPr>
          <w:rFonts w:ascii="Palatino Linotype" w:hAnsi="Palatino Linotype" w:cs="Times New Roman"/>
          <w:i/>
          <w:iCs/>
          <w:noProof/>
          <w:szCs w:val="24"/>
        </w:rPr>
        <w:t>Jurnal Elektronik Pembelajaran Matematika</w:t>
      </w:r>
      <w:r>
        <w:rPr>
          <w:rFonts w:ascii="Palatino Linotype" w:hAnsi="Palatino Linotype" w:cs="Times New Roman"/>
          <w:noProof/>
          <w:szCs w:val="24"/>
        </w:rPr>
        <w:t xml:space="preserve">, </w:t>
      </w:r>
      <w:r>
        <w:rPr>
          <w:rFonts w:ascii="Palatino Linotype" w:hAnsi="Palatino Linotype" w:cs="Times New Roman"/>
          <w:i/>
          <w:iCs/>
          <w:noProof/>
          <w:szCs w:val="24"/>
        </w:rPr>
        <w:t>4</w:t>
      </w:r>
      <w:r>
        <w:rPr>
          <w:rFonts w:ascii="Palatino Linotype" w:hAnsi="Palatino Linotype" w:cs="Times New Roman"/>
          <w:noProof/>
          <w:szCs w:val="24"/>
        </w:rPr>
        <w:t>(5), 563–574.</w:t>
      </w:r>
    </w:p>
    <w:p w14:paraId="1C2041FB" w14:textId="77777777" w:rsidR="007604AD" w:rsidRDefault="007604AD" w:rsidP="007604AD">
      <w:pPr>
        <w:widowControl w:val="0"/>
        <w:autoSpaceDE w:val="0"/>
        <w:autoSpaceDN w:val="0"/>
        <w:adjustRightInd w:val="0"/>
        <w:spacing w:after="120"/>
        <w:ind w:left="480" w:hanging="480"/>
        <w:jc w:val="both"/>
        <w:rPr>
          <w:rFonts w:ascii="Palatino Linotype" w:hAnsi="Palatino Linotype" w:cs="Times New Roman"/>
          <w:noProof/>
          <w:szCs w:val="24"/>
        </w:rPr>
      </w:pPr>
      <w:r>
        <w:rPr>
          <w:rFonts w:ascii="Palatino Linotype" w:hAnsi="Palatino Linotype" w:cs="Times New Roman"/>
          <w:noProof/>
          <w:szCs w:val="24"/>
        </w:rPr>
        <w:t xml:space="preserve">Fitriana, D. A., &amp; Supahar, S. (2019). Developing an Assessment Instrument of Mathematical Problem-Solving Skills in Senior High School. </w:t>
      </w:r>
      <w:r>
        <w:rPr>
          <w:rFonts w:ascii="Palatino Linotype" w:hAnsi="Palatino Linotype" w:cs="Times New Roman"/>
          <w:i/>
          <w:iCs/>
          <w:noProof/>
          <w:szCs w:val="24"/>
        </w:rPr>
        <w:t>International Journal of Trends in Mathematics Education Research</w:t>
      </w:r>
      <w:r>
        <w:rPr>
          <w:rFonts w:ascii="Palatino Linotype" w:hAnsi="Palatino Linotype" w:cs="Times New Roman"/>
          <w:noProof/>
          <w:szCs w:val="24"/>
        </w:rPr>
        <w:t>. https://doi.org/10.33122/ijtmer.v2i3.81</w:t>
      </w:r>
    </w:p>
    <w:p w14:paraId="1C8FFC33" w14:textId="77777777" w:rsidR="007604AD" w:rsidRDefault="007604AD" w:rsidP="007604AD">
      <w:pPr>
        <w:widowControl w:val="0"/>
        <w:autoSpaceDE w:val="0"/>
        <w:autoSpaceDN w:val="0"/>
        <w:adjustRightInd w:val="0"/>
        <w:spacing w:after="120"/>
        <w:ind w:left="480" w:hanging="480"/>
        <w:jc w:val="both"/>
        <w:rPr>
          <w:rFonts w:ascii="Palatino Linotype" w:hAnsi="Palatino Linotype" w:cs="Times New Roman"/>
          <w:noProof/>
          <w:szCs w:val="24"/>
        </w:rPr>
      </w:pPr>
      <w:r>
        <w:rPr>
          <w:rFonts w:ascii="Palatino Linotype" w:hAnsi="Palatino Linotype" w:cs="Times New Roman"/>
          <w:noProof/>
          <w:szCs w:val="24"/>
        </w:rPr>
        <w:t xml:space="preserve">Fleiss, J. L. (1975). Measuring Agreement between Two Judges on the Presence or Absence of a Trait. </w:t>
      </w:r>
      <w:r>
        <w:rPr>
          <w:rFonts w:ascii="Palatino Linotype" w:hAnsi="Palatino Linotype" w:cs="Times New Roman"/>
          <w:i/>
          <w:iCs/>
          <w:noProof/>
          <w:szCs w:val="24"/>
        </w:rPr>
        <w:t>Biometrics</w:t>
      </w:r>
      <w:r>
        <w:rPr>
          <w:rFonts w:ascii="Palatino Linotype" w:hAnsi="Palatino Linotype" w:cs="Times New Roman"/>
          <w:noProof/>
          <w:szCs w:val="24"/>
        </w:rPr>
        <w:t>. https://doi.org/10.2307/2529549</w:t>
      </w:r>
    </w:p>
    <w:p w14:paraId="5ACAE4FA" w14:textId="77777777" w:rsidR="007604AD" w:rsidRDefault="007604AD" w:rsidP="007604AD">
      <w:pPr>
        <w:widowControl w:val="0"/>
        <w:autoSpaceDE w:val="0"/>
        <w:autoSpaceDN w:val="0"/>
        <w:adjustRightInd w:val="0"/>
        <w:spacing w:after="120"/>
        <w:ind w:left="480" w:hanging="480"/>
        <w:jc w:val="both"/>
        <w:rPr>
          <w:rFonts w:ascii="Palatino Linotype" w:hAnsi="Palatino Linotype" w:cs="Times New Roman"/>
          <w:noProof/>
          <w:szCs w:val="24"/>
        </w:rPr>
      </w:pPr>
      <w:r>
        <w:rPr>
          <w:rFonts w:ascii="Palatino Linotype" w:hAnsi="Palatino Linotype" w:cs="Times New Roman"/>
          <w:noProof/>
          <w:szCs w:val="24"/>
        </w:rPr>
        <w:t xml:space="preserve">LAWSHE, C. H. (1975). A QUANTITATIVE APPROACH TO CONTENT VALIDITY. </w:t>
      </w:r>
      <w:r>
        <w:rPr>
          <w:rFonts w:ascii="Palatino Linotype" w:hAnsi="Palatino Linotype" w:cs="Times New Roman"/>
          <w:i/>
          <w:iCs/>
          <w:noProof/>
          <w:szCs w:val="24"/>
        </w:rPr>
        <w:t>Personnel Psychology</w:t>
      </w:r>
      <w:r>
        <w:rPr>
          <w:rFonts w:ascii="Palatino Linotype" w:hAnsi="Palatino Linotype" w:cs="Times New Roman"/>
          <w:noProof/>
          <w:szCs w:val="24"/>
        </w:rPr>
        <w:t>. https://doi.org/10.1111/j.1744-6570.1975.tb01393.x</w:t>
      </w:r>
    </w:p>
    <w:p w14:paraId="34BF2A5B" w14:textId="77777777" w:rsidR="007604AD" w:rsidRDefault="007604AD" w:rsidP="007604AD">
      <w:pPr>
        <w:widowControl w:val="0"/>
        <w:autoSpaceDE w:val="0"/>
        <w:autoSpaceDN w:val="0"/>
        <w:adjustRightInd w:val="0"/>
        <w:spacing w:after="120"/>
        <w:ind w:left="480" w:hanging="480"/>
        <w:jc w:val="both"/>
        <w:rPr>
          <w:rFonts w:ascii="Palatino Linotype" w:hAnsi="Palatino Linotype" w:cs="Times New Roman"/>
          <w:noProof/>
          <w:szCs w:val="24"/>
        </w:rPr>
      </w:pPr>
      <w:r>
        <w:rPr>
          <w:rFonts w:ascii="Palatino Linotype" w:hAnsi="Palatino Linotype" w:cs="Times New Roman"/>
          <w:noProof/>
          <w:szCs w:val="24"/>
        </w:rPr>
        <w:t xml:space="preserve">Mardapi, D. (2012). Pengukuran Penilaian dan Evaluasi Pendidikan. </w:t>
      </w:r>
      <w:r>
        <w:rPr>
          <w:rFonts w:ascii="Palatino Linotype" w:hAnsi="Palatino Linotype" w:cs="Times New Roman"/>
          <w:i/>
          <w:iCs/>
          <w:noProof/>
          <w:szCs w:val="24"/>
        </w:rPr>
        <w:t>Yogyakarta: Nuha Medika</w:t>
      </w:r>
      <w:r>
        <w:rPr>
          <w:rFonts w:ascii="Palatino Linotype" w:hAnsi="Palatino Linotype" w:cs="Times New Roman"/>
          <w:noProof/>
          <w:szCs w:val="24"/>
        </w:rPr>
        <w:t xml:space="preserve">, </w:t>
      </w:r>
      <w:r>
        <w:rPr>
          <w:rFonts w:ascii="Palatino Linotype" w:hAnsi="Palatino Linotype" w:cs="Times New Roman"/>
          <w:i/>
          <w:iCs/>
          <w:noProof/>
          <w:szCs w:val="24"/>
        </w:rPr>
        <w:t>45</w:t>
      </w:r>
      <w:r>
        <w:rPr>
          <w:rFonts w:ascii="Palatino Linotype" w:hAnsi="Palatino Linotype" w:cs="Times New Roman"/>
          <w:noProof/>
          <w:szCs w:val="24"/>
        </w:rPr>
        <w:t>.</w:t>
      </w:r>
    </w:p>
    <w:p w14:paraId="24C8AF3D" w14:textId="77777777" w:rsidR="007604AD" w:rsidRDefault="007604AD" w:rsidP="007604AD">
      <w:pPr>
        <w:widowControl w:val="0"/>
        <w:autoSpaceDE w:val="0"/>
        <w:autoSpaceDN w:val="0"/>
        <w:adjustRightInd w:val="0"/>
        <w:spacing w:after="120"/>
        <w:ind w:left="480" w:hanging="480"/>
        <w:jc w:val="both"/>
        <w:rPr>
          <w:rFonts w:ascii="Palatino Linotype" w:hAnsi="Palatino Linotype" w:cs="Times New Roman"/>
          <w:noProof/>
          <w:szCs w:val="24"/>
        </w:rPr>
      </w:pPr>
      <w:r>
        <w:rPr>
          <w:rFonts w:ascii="Palatino Linotype" w:hAnsi="Palatino Linotype" w:cs="Times New Roman"/>
          <w:noProof/>
          <w:szCs w:val="24"/>
        </w:rPr>
        <w:t xml:space="preserve">METCALFE, A. W. S. (2011). Cognitive Psychology: A Student’s Handbook (6th Ed.) by M. W. Eysenck and M. T. Keane. </w:t>
      </w:r>
      <w:r>
        <w:rPr>
          <w:rFonts w:ascii="Palatino Linotype" w:hAnsi="Palatino Linotype" w:cs="Times New Roman"/>
          <w:i/>
          <w:iCs/>
          <w:noProof/>
          <w:szCs w:val="24"/>
        </w:rPr>
        <w:t>British Journal of Psychology</w:t>
      </w:r>
      <w:r>
        <w:rPr>
          <w:rFonts w:ascii="Palatino Linotype" w:hAnsi="Palatino Linotype" w:cs="Times New Roman"/>
          <w:noProof/>
          <w:szCs w:val="24"/>
        </w:rPr>
        <w:t>. https://doi.org/10.1111/j.2044-8295.2010.02010.x</w:t>
      </w:r>
    </w:p>
    <w:p w14:paraId="41F78A41" w14:textId="77777777" w:rsidR="007604AD" w:rsidRDefault="007604AD" w:rsidP="007604AD">
      <w:pPr>
        <w:widowControl w:val="0"/>
        <w:autoSpaceDE w:val="0"/>
        <w:autoSpaceDN w:val="0"/>
        <w:adjustRightInd w:val="0"/>
        <w:spacing w:after="120"/>
        <w:ind w:left="480" w:hanging="480"/>
        <w:jc w:val="both"/>
        <w:rPr>
          <w:rFonts w:ascii="Palatino Linotype" w:hAnsi="Palatino Linotype" w:cs="Times New Roman"/>
          <w:noProof/>
          <w:szCs w:val="24"/>
        </w:rPr>
      </w:pPr>
      <w:r>
        <w:rPr>
          <w:rFonts w:ascii="Palatino Linotype" w:hAnsi="Palatino Linotype" w:cs="Times New Roman"/>
          <w:noProof/>
          <w:szCs w:val="24"/>
        </w:rPr>
        <w:t xml:space="preserve">munir. (2012). </w:t>
      </w:r>
      <w:r>
        <w:rPr>
          <w:rFonts w:ascii="Palatino Linotype" w:hAnsi="Palatino Linotype" w:cs="Times New Roman"/>
          <w:i/>
          <w:iCs/>
          <w:noProof/>
          <w:szCs w:val="24"/>
        </w:rPr>
        <w:t>Model Penalaran Intuitif Siswa</w:t>
      </w:r>
      <w:r>
        <w:rPr>
          <w:rFonts w:ascii="Palatino Linotype" w:hAnsi="Palatino Linotype" w:cs="Times New Roman"/>
          <w:noProof/>
          <w:szCs w:val="24"/>
        </w:rPr>
        <w:t xml:space="preserve">. </w:t>
      </w:r>
      <w:r>
        <w:rPr>
          <w:rFonts w:ascii="Palatino Linotype" w:hAnsi="Palatino Linotype" w:cs="Times New Roman"/>
          <w:i/>
          <w:iCs/>
          <w:noProof/>
          <w:szCs w:val="24"/>
        </w:rPr>
        <w:t>November</w:t>
      </w:r>
      <w:r>
        <w:rPr>
          <w:rFonts w:ascii="Palatino Linotype" w:hAnsi="Palatino Linotype" w:cs="Times New Roman"/>
          <w:noProof/>
          <w:szCs w:val="24"/>
        </w:rPr>
        <w:t>, 978–979.</w:t>
      </w:r>
    </w:p>
    <w:p w14:paraId="507FCA4F" w14:textId="77777777" w:rsidR="007604AD" w:rsidRDefault="007604AD" w:rsidP="007604AD">
      <w:pPr>
        <w:widowControl w:val="0"/>
        <w:autoSpaceDE w:val="0"/>
        <w:autoSpaceDN w:val="0"/>
        <w:adjustRightInd w:val="0"/>
        <w:spacing w:after="120"/>
        <w:ind w:left="480" w:hanging="480"/>
        <w:jc w:val="both"/>
        <w:rPr>
          <w:rFonts w:ascii="Palatino Linotype" w:hAnsi="Palatino Linotype" w:cs="Times New Roman"/>
          <w:noProof/>
          <w:szCs w:val="24"/>
        </w:rPr>
      </w:pPr>
      <w:r>
        <w:rPr>
          <w:rFonts w:ascii="Palatino Linotype" w:hAnsi="Palatino Linotype" w:cs="Times New Roman"/>
          <w:noProof/>
          <w:szCs w:val="24"/>
        </w:rPr>
        <w:t xml:space="preserve">Muniri, M. (2018). Peran Berpikir Intuitif dan Analitis dalam Memecahkan Masalah Matematika. </w:t>
      </w:r>
      <w:r>
        <w:rPr>
          <w:rFonts w:ascii="Palatino Linotype" w:hAnsi="Palatino Linotype" w:cs="Times New Roman"/>
          <w:i/>
          <w:iCs/>
          <w:noProof/>
          <w:szCs w:val="24"/>
        </w:rPr>
        <w:t>Jurnal Tadris Matematika</w:t>
      </w:r>
      <w:r>
        <w:rPr>
          <w:rFonts w:ascii="Palatino Linotype" w:hAnsi="Palatino Linotype" w:cs="Times New Roman"/>
          <w:noProof/>
          <w:szCs w:val="24"/>
        </w:rPr>
        <w:t>. https://doi.org/10.21274/jtm.2018.1.1.9-22</w:t>
      </w:r>
    </w:p>
    <w:p w14:paraId="51812BB7" w14:textId="77777777" w:rsidR="007604AD" w:rsidRDefault="007604AD" w:rsidP="007604AD">
      <w:pPr>
        <w:widowControl w:val="0"/>
        <w:autoSpaceDE w:val="0"/>
        <w:autoSpaceDN w:val="0"/>
        <w:adjustRightInd w:val="0"/>
        <w:spacing w:after="120"/>
        <w:ind w:left="480" w:hanging="480"/>
        <w:jc w:val="both"/>
        <w:rPr>
          <w:rFonts w:ascii="Palatino Linotype" w:hAnsi="Palatino Linotype" w:cs="Times New Roman"/>
          <w:noProof/>
          <w:szCs w:val="24"/>
        </w:rPr>
      </w:pPr>
      <w:r>
        <w:rPr>
          <w:rFonts w:ascii="Palatino Linotype" w:hAnsi="Palatino Linotype" w:cs="Times New Roman"/>
          <w:noProof/>
          <w:szCs w:val="24"/>
        </w:rPr>
        <w:t xml:space="preserve">Nieveen, N., &amp; Folmer, E. (2013). Formative evaluation in educational design research. </w:t>
      </w:r>
      <w:r>
        <w:rPr>
          <w:rFonts w:ascii="Palatino Linotype" w:hAnsi="Palatino Linotype" w:cs="Times New Roman"/>
          <w:i/>
          <w:iCs/>
          <w:noProof/>
          <w:szCs w:val="24"/>
        </w:rPr>
        <w:t>Educational Design Research. Part A: An Introduction</w:t>
      </w:r>
      <w:r>
        <w:rPr>
          <w:rFonts w:ascii="Palatino Linotype" w:hAnsi="Palatino Linotype" w:cs="Times New Roman"/>
          <w:noProof/>
          <w:szCs w:val="24"/>
        </w:rPr>
        <w:t>.</w:t>
      </w:r>
    </w:p>
    <w:p w14:paraId="6376DE59" w14:textId="77777777" w:rsidR="007604AD" w:rsidRDefault="007604AD" w:rsidP="007604AD">
      <w:pPr>
        <w:widowControl w:val="0"/>
        <w:autoSpaceDE w:val="0"/>
        <w:autoSpaceDN w:val="0"/>
        <w:adjustRightInd w:val="0"/>
        <w:spacing w:after="120"/>
        <w:ind w:left="480" w:hanging="480"/>
        <w:jc w:val="both"/>
        <w:rPr>
          <w:rFonts w:ascii="Palatino Linotype" w:hAnsi="Palatino Linotype" w:cs="Times New Roman"/>
          <w:noProof/>
          <w:szCs w:val="24"/>
        </w:rPr>
      </w:pPr>
      <w:r>
        <w:rPr>
          <w:rFonts w:ascii="Palatino Linotype" w:hAnsi="Palatino Linotype" w:cs="Times New Roman"/>
          <w:noProof/>
          <w:szCs w:val="24"/>
        </w:rPr>
        <w:t xml:space="preserve">Nitko, A. J., &amp; Brookhart, S. M. (2011). Educational assessment of students. </w:t>
      </w:r>
      <w:r>
        <w:rPr>
          <w:rFonts w:ascii="Palatino Linotype" w:hAnsi="Palatino Linotype" w:cs="Times New Roman"/>
          <w:i/>
          <w:iCs/>
          <w:noProof/>
          <w:szCs w:val="24"/>
        </w:rPr>
        <w:t>Human Movement Science</w:t>
      </w:r>
      <w:r>
        <w:rPr>
          <w:rFonts w:ascii="Palatino Linotype" w:hAnsi="Palatino Linotype" w:cs="Times New Roman"/>
          <w:noProof/>
          <w:szCs w:val="24"/>
        </w:rPr>
        <w:t>. https://doi.org/10.1016/j.humov.2005.02.001</w:t>
      </w:r>
    </w:p>
    <w:p w14:paraId="623CF87D" w14:textId="77777777" w:rsidR="007604AD" w:rsidRDefault="007604AD" w:rsidP="007604AD">
      <w:pPr>
        <w:widowControl w:val="0"/>
        <w:autoSpaceDE w:val="0"/>
        <w:autoSpaceDN w:val="0"/>
        <w:adjustRightInd w:val="0"/>
        <w:spacing w:after="120"/>
        <w:ind w:left="480" w:hanging="480"/>
        <w:jc w:val="both"/>
        <w:rPr>
          <w:rFonts w:ascii="Palatino Linotype" w:hAnsi="Palatino Linotype" w:cs="Times New Roman"/>
          <w:noProof/>
          <w:szCs w:val="24"/>
        </w:rPr>
      </w:pPr>
      <w:r>
        <w:rPr>
          <w:rFonts w:ascii="Palatino Linotype" w:hAnsi="Palatino Linotype" w:cs="Times New Roman"/>
          <w:noProof/>
          <w:szCs w:val="24"/>
        </w:rPr>
        <w:t xml:space="preserve">Pratiwi, N. D., Setyarsih, W., Fisika, J., Matematika, F., Ilmu, D., Alam, P., Surabaya, U. N., &amp; Kunci, K. (2015). Pengembangan Instrumen Evaluasi Berbasis Taksonomi Structure of the Observed Learning Outcome (SOLO) Untuk Menentukan Profil Kemampuan Siswa dalam Memecahkan Masalah Fluida Statis. </w:t>
      </w:r>
      <w:r>
        <w:rPr>
          <w:rFonts w:ascii="Palatino Linotype" w:hAnsi="Palatino Linotype" w:cs="Times New Roman"/>
          <w:i/>
          <w:iCs/>
          <w:noProof/>
          <w:szCs w:val="24"/>
        </w:rPr>
        <w:t>Jurnal Inovasi Pendidikan Fisika (JIPF) Nurul Dwi Pratiwi</w:t>
      </w:r>
      <w:r>
        <w:rPr>
          <w:rFonts w:ascii="Palatino Linotype" w:hAnsi="Palatino Linotype" w:cs="Times New Roman"/>
          <w:noProof/>
          <w:szCs w:val="24"/>
        </w:rPr>
        <w:t>.</w:t>
      </w:r>
    </w:p>
    <w:p w14:paraId="5815AC6C" w14:textId="77777777" w:rsidR="007604AD" w:rsidRDefault="007604AD" w:rsidP="007604AD">
      <w:pPr>
        <w:widowControl w:val="0"/>
        <w:autoSpaceDE w:val="0"/>
        <w:autoSpaceDN w:val="0"/>
        <w:adjustRightInd w:val="0"/>
        <w:spacing w:after="120"/>
        <w:ind w:left="480" w:hanging="480"/>
        <w:jc w:val="both"/>
        <w:rPr>
          <w:rFonts w:ascii="Palatino Linotype" w:hAnsi="Palatino Linotype" w:cs="Times New Roman"/>
          <w:noProof/>
          <w:szCs w:val="24"/>
        </w:rPr>
      </w:pPr>
      <w:r>
        <w:rPr>
          <w:rFonts w:ascii="Palatino Linotype" w:hAnsi="Palatino Linotype" w:cs="Times New Roman"/>
          <w:noProof/>
          <w:szCs w:val="24"/>
        </w:rPr>
        <w:lastRenderedPageBreak/>
        <w:t>Purnomo, Y. W. (2014). Assessment-Based Learning</w:t>
      </w:r>
      <w:r>
        <w:rPr>
          <w:rFonts w:ascii="Times New Roman" w:hAnsi="Times New Roman" w:cs="Times New Roman"/>
          <w:noProof/>
          <w:szCs w:val="24"/>
        </w:rPr>
        <w:t> </w:t>
      </w:r>
      <w:r>
        <w:rPr>
          <w:rFonts w:ascii="Palatino Linotype" w:hAnsi="Palatino Linotype" w:cs="Times New Roman"/>
          <w:noProof/>
          <w:szCs w:val="24"/>
        </w:rPr>
        <w:t>: Sebuah Tinjauan untuk Meningkatkan Motivasi Assessment-Based Learning</w:t>
      </w:r>
      <w:r>
        <w:rPr>
          <w:rFonts w:ascii="Times New Roman" w:hAnsi="Times New Roman" w:cs="Times New Roman"/>
          <w:noProof/>
          <w:szCs w:val="24"/>
        </w:rPr>
        <w:t> </w:t>
      </w:r>
      <w:r>
        <w:rPr>
          <w:rFonts w:ascii="Palatino Linotype" w:hAnsi="Palatino Linotype" w:cs="Times New Roman"/>
          <w:noProof/>
          <w:szCs w:val="24"/>
        </w:rPr>
        <w:t xml:space="preserve">: Sebuah Tinjauan untuk Meningkatkan Motivasi Belajar dan Pemahaman Matematis. </w:t>
      </w:r>
      <w:r>
        <w:rPr>
          <w:rFonts w:ascii="Palatino Linotype" w:hAnsi="Palatino Linotype" w:cs="Times New Roman"/>
          <w:i/>
          <w:iCs/>
          <w:noProof/>
          <w:szCs w:val="24"/>
        </w:rPr>
        <w:t>Sigma Journal</w:t>
      </w:r>
      <w:r>
        <w:rPr>
          <w:rFonts w:ascii="Palatino Linotype" w:hAnsi="Palatino Linotype" w:cs="Times New Roman"/>
          <w:noProof/>
          <w:szCs w:val="24"/>
        </w:rPr>
        <w:t xml:space="preserve">, </w:t>
      </w:r>
      <w:r>
        <w:rPr>
          <w:rFonts w:ascii="Palatino Linotype" w:hAnsi="Palatino Linotype" w:cs="Times New Roman"/>
          <w:i/>
          <w:iCs/>
          <w:noProof/>
          <w:szCs w:val="24"/>
        </w:rPr>
        <w:t>VI</w:t>
      </w:r>
      <w:r>
        <w:rPr>
          <w:rFonts w:ascii="Palatino Linotype" w:hAnsi="Palatino Linotype" w:cs="Times New Roman"/>
          <w:noProof/>
          <w:szCs w:val="24"/>
        </w:rPr>
        <w:t>(June).</w:t>
      </w:r>
    </w:p>
    <w:p w14:paraId="5284A358" w14:textId="77777777" w:rsidR="007604AD" w:rsidRDefault="007604AD" w:rsidP="007604AD">
      <w:pPr>
        <w:widowControl w:val="0"/>
        <w:autoSpaceDE w:val="0"/>
        <w:autoSpaceDN w:val="0"/>
        <w:adjustRightInd w:val="0"/>
        <w:spacing w:after="120"/>
        <w:ind w:left="480" w:hanging="480"/>
        <w:jc w:val="both"/>
        <w:rPr>
          <w:rFonts w:ascii="Palatino Linotype" w:hAnsi="Palatino Linotype" w:cs="Times New Roman"/>
          <w:noProof/>
          <w:szCs w:val="24"/>
        </w:rPr>
      </w:pPr>
      <w:r>
        <w:rPr>
          <w:rFonts w:ascii="Palatino Linotype" w:hAnsi="Palatino Linotype" w:cs="Times New Roman"/>
          <w:noProof/>
          <w:szCs w:val="24"/>
        </w:rPr>
        <w:t xml:space="preserve">R, A. L. (1985). Three Coefficients for Analysing Reliability and Validity of Rating. </w:t>
      </w:r>
      <w:r>
        <w:rPr>
          <w:rFonts w:ascii="Palatino Linotype" w:hAnsi="Palatino Linotype" w:cs="Times New Roman"/>
          <w:i/>
          <w:iCs/>
          <w:noProof/>
          <w:szCs w:val="24"/>
        </w:rPr>
        <w:t>Educational and Psychological Measurement</w:t>
      </w:r>
      <w:r>
        <w:rPr>
          <w:rFonts w:ascii="Palatino Linotype" w:hAnsi="Palatino Linotype" w:cs="Times New Roman"/>
          <w:noProof/>
          <w:szCs w:val="24"/>
        </w:rPr>
        <w:t xml:space="preserve">, </w:t>
      </w:r>
      <w:r>
        <w:rPr>
          <w:rFonts w:ascii="Palatino Linotype" w:hAnsi="Palatino Linotype" w:cs="Times New Roman"/>
          <w:i/>
          <w:iCs/>
          <w:noProof/>
          <w:szCs w:val="24"/>
        </w:rPr>
        <w:t>45</w:t>
      </w:r>
      <w:r>
        <w:rPr>
          <w:rFonts w:ascii="Palatino Linotype" w:hAnsi="Palatino Linotype" w:cs="Times New Roman"/>
          <w:noProof/>
          <w:szCs w:val="24"/>
        </w:rPr>
        <w:t>, 131–142. https://doi.org/10.1177/07399863870092005</w:t>
      </w:r>
    </w:p>
    <w:p w14:paraId="457B4754" w14:textId="77777777" w:rsidR="007604AD" w:rsidRDefault="007604AD" w:rsidP="007604AD">
      <w:pPr>
        <w:widowControl w:val="0"/>
        <w:autoSpaceDE w:val="0"/>
        <w:autoSpaceDN w:val="0"/>
        <w:adjustRightInd w:val="0"/>
        <w:spacing w:after="120"/>
        <w:ind w:left="480" w:hanging="480"/>
        <w:jc w:val="both"/>
        <w:rPr>
          <w:rFonts w:ascii="Palatino Linotype" w:hAnsi="Palatino Linotype" w:cs="Times New Roman"/>
          <w:noProof/>
          <w:szCs w:val="24"/>
        </w:rPr>
      </w:pPr>
      <w:r>
        <w:rPr>
          <w:rFonts w:ascii="Palatino Linotype" w:hAnsi="Palatino Linotype" w:cs="Times New Roman"/>
          <w:noProof/>
          <w:szCs w:val="24"/>
        </w:rPr>
        <w:t xml:space="preserve">Sabbagh, S. A. (2016). Childhood Students’ Creativity in Mathematics Class in Jordan. </w:t>
      </w:r>
      <w:r>
        <w:rPr>
          <w:rFonts w:ascii="Palatino Linotype" w:hAnsi="Palatino Linotype" w:cs="Times New Roman"/>
          <w:i/>
          <w:iCs/>
          <w:noProof/>
          <w:szCs w:val="24"/>
        </w:rPr>
        <w:t>American Journal of Educational Research</w:t>
      </w:r>
      <w:r>
        <w:rPr>
          <w:rFonts w:ascii="Palatino Linotype" w:hAnsi="Palatino Linotype" w:cs="Times New Roman"/>
          <w:noProof/>
          <w:szCs w:val="24"/>
        </w:rPr>
        <w:t>.</w:t>
      </w:r>
    </w:p>
    <w:p w14:paraId="256C2B9F" w14:textId="77777777" w:rsidR="007604AD" w:rsidRDefault="007604AD" w:rsidP="007604AD">
      <w:pPr>
        <w:widowControl w:val="0"/>
        <w:autoSpaceDE w:val="0"/>
        <w:autoSpaceDN w:val="0"/>
        <w:adjustRightInd w:val="0"/>
        <w:spacing w:after="120"/>
        <w:ind w:left="480" w:hanging="480"/>
        <w:jc w:val="both"/>
        <w:rPr>
          <w:rFonts w:ascii="Palatino Linotype" w:hAnsi="Palatino Linotype" w:cs="Times New Roman"/>
          <w:noProof/>
          <w:szCs w:val="24"/>
        </w:rPr>
      </w:pPr>
      <w:r>
        <w:rPr>
          <w:rFonts w:ascii="Palatino Linotype" w:hAnsi="Palatino Linotype" w:cs="Times New Roman"/>
          <w:noProof/>
          <w:szCs w:val="24"/>
        </w:rPr>
        <w:t xml:space="preserve">Streiner, D. L., &amp; Norman, G. R. (2008). Health Measurement Scales: A practical guide to their development and use. In </w:t>
      </w:r>
      <w:r>
        <w:rPr>
          <w:rFonts w:ascii="Palatino Linotype" w:hAnsi="Palatino Linotype" w:cs="Times New Roman"/>
          <w:i/>
          <w:iCs/>
          <w:noProof/>
          <w:szCs w:val="24"/>
        </w:rPr>
        <w:t>Health Measurement Scales: A Practical Guide to their Development and Use</w:t>
      </w:r>
      <w:r>
        <w:rPr>
          <w:rFonts w:ascii="Palatino Linotype" w:hAnsi="Palatino Linotype" w:cs="Times New Roman"/>
          <w:noProof/>
          <w:szCs w:val="24"/>
        </w:rPr>
        <w:t>. https://doi.org/10.1093/acprof:oso/9780199231881.001.0001</w:t>
      </w:r>
    </w:p>
    <w:p w14:paraId="41D23EE4" w14:textId="77777777" w:rsidR="007604AD" w:rsidRDefault="007604AD" w:rsidP="007604AD">
      <w:pPr>
        <w:widowControl w:val="0"/>
        <w:autoSpaceDE w:val="0"/>
        <w:autoSpaceDN w:val="0"/>
        <w:adjustRightInd w:val="0"/>
        <w:spacing w:after="120"/>
        <w:ind w:left="480" w:hanging="480"/>
        <w:jc w:val="both"/>
        <w:rPr>
          <w:rFonts w:ascii="Palatino Linotype" w:hAnsi="Palatino Linotype" w:cs="Times New Roman"/>
          <w:noProof/>
          <w:szCs w:val="24"/>
        </w:rPr>
      </w:pPr>
      <w:r>
        <w:rPr>
          <w:rFonts w:ascii="Palatino Linotype" w:hAnsi="Palatino Linotype" w:cs="Times New Roman"/>
          <w:noProof/>
          <w:szCs w:val="24"/>
        </w:rPr>
        <w:t xml:space="preserve">Thiagarajan, S. (1974). Instructional development for training teachers of exceptional children. In </w:t>
      </w:r>
      <w:r>
        <w:rPr>
          <w:rFonts w:ascii="Palatino Linotype" w:hAnsi="Palatino Linotype" w:cs="Times New Roman"/>
          <w:i/>
          <w:iCs/>
          <w:noProof/>
          <w:szCs w:val="24"/>
        </w:rPr>
        <w:t>A sourcebook</w:t>
      </w:r>
      <w:r>
        <w:rPr>
          <w:rFonts w:ascii="Palatino Linotype" w:hAnsi="Palatino Linotype" w:cs="Times New Roman"/>
          <w:noProof/>
          <w:szCs w:val="24"/>
        </w:rPr>
        <w:t>.</w:t>
      </w:r>
    </w:p>
    <w:p w14:paraId="39C37949" w14:textId="77777777" w:rsidR="007604AD" w:rsidRDefault="007604AD" w:rsidP="007604AD">
      <w:pPr>
        <w:widowControl w:val="0"/>
        <w:autoSpaceDE w:val="0"/>
        <w:autoSpaceDN w:val="0"/>
        <w:adjustRightInd w:val="0"/>
        <w:spacing w:after="120"/>
        <w:ind w:left="480" w:hanging="480"/>
        <w:jc w:val="both"/>
        <w:rPr>
          <w:rFonts w:ascii="Palatino Linotype" w:hAnsi="Palatino Linotype" w:cs="Times New Roman"/>
          <w:noProof/>
          <w:szCs w:val="24"/>
        </w:rPr>
      </w:pPr>
      <w:r>
        <w:rPr>
          <w:rFonts w:ascii="Palatino Linotype" w:hAnsi="Palatino Linotype" w:cs="Times New Roman"/>
          <w:noProof/>
          <w:szCs w:val="24"/>
        </w:rPr>
        <w:t xml:space="preserve">Ulumudin, I., &amp; Fujianita, S. (2019). The Implementation of Attitude Assessment in Curriculum 2013 at Elementary Schools. </w:t>
      </w:r>
      <w:r>
        <w:rPr>
          <w:rFonts w:ascii="Palatino Linotype" w:hAnsi="Palatino Linotype" w:cs="Times New Roman"/>
          <w:i/>
          <w:iCs/>
          <w:noProof/>
          <w:szCs w:val="24"/>
        </w:rPr>
        <w:t>Jurnal Penelitian Dan Evaluasi Pendidikan</w:t>
      </w:r>
      <w:r>
        <w:rPr>
          <w:rFonts w:ascii="Palatino Linotype" w:hAnsi="Palatino Linotype" w:cs="Times New Roman"/>
          <w:noProof/>
          <w:szCs w:val="24"/>
        </w:rPr>
        <w:t xml:space="preserve">, </w:t>
      </w:r>
      <w:r>
        <w:rPr>
          <w:rFonts w:ascii="Palatino Linotype" w:hAnsi="Palatino Linotype" w:cs="Times New Roman"/>
          <w:i/>
          <w:iCs/>
          <w:noProof/>
          <w:szCs w:val="24"/>
        </w:rPr>
        <w:t>23</w:t>
      </w:r>
      <w:r>
        <w:rPr>
          <w:rFonts w:ascii="Palatino Linotype" w:hAnsi="Palatino Linotype" w:cs="Times New Roman"/>
          <w:noProof/>
          <w:szCs w:val="24"/>
        </w:rPr>
        <w:t>(1), 46–56. https://doi.org/10.21831/pep.v23i1.23391</w:t>
      </w:r>
    </w:p>
    <w:p w14:paraId="1B10B1CD" w14:textId="77777777" w:rsidR="007604AD" w:rsidRDefault="007604AD" w:rsidP="007604AD">
      <w:pPr>
        <w:widowControl w:val="0"/>
        <w:autoSpaceDE w:val="0"/>
        <w:autoSpaceDN w:val="0"/>
        <w:adjustRightInd w:val="0"/>
        <w:spacing w:after="120"/>
        <w:ind w:left="480" w:hanging="480"/>
        <w:jc w:val="both"/>
        <w:rPr>
          <w:rFonts w:ascii="Palatino Linotype" w:hAnsi="Palatino Linotype" w:cs="Times New Roman"/>
          <w:noProof/>
          <w:szCs w:val="24"/>
        </w:rPr>
      </w:pPr>
      <w:r>
        <w:rPr>
          <w:rFonts w:ascii="Palatino Linotype" w:hAnsi="Palatino Linotype" w:cs="Times New Roman"/>
          <w:noProof/>
          <w:szCs w:val="24"/>
        </w:rPr>
        <w:t xml:space="preserve">Wess, R., Klock, H., Siller, H. S., &amp; Greefrath, G. (2021). Test Quality. In </w:t>
      </w:r>
      <w:r>
        <w:rPr>
          <w:rFonts w:ascii="Palatino Linotype" w:hAnsi="Palatino Linotype" w:cs="Times New Roman"/>
          <w:i/>
          <w:iCs/>
          <w:noProof/>
          <w:szCs w:val="24"/>
        </w:rPr>
        <w:t>International Perspectives on the Teaching and Learning of Mathematical Modelling</w:t>
      </w:r>
      <w:r>
        <w:rPr>
          <w:rFonts w:ascii="Palatino Linotype" w:hAnsi="Palatino Linotype" w:cs="Times New Roman"/>
          <w:noProof/>
          <w:szCs w:val="24"/>
        </w:rPr>
        <w:t>. https://doi.org/10.1007/978-3-030-78071-5_4</w:t>
      </w:r>
    </w:p>
    <w:p w14:paraId="6A81B580" w14:textId="77777777" w:rsidR="007604AD" w:rsidRDefault="007604AD" w:rsidP="007604AD">
      <w:pPr>
        <w:widowControl w:val="0"/>
        <w:autoSpaceDE w:val="0"/>
        <w:autoSpaceDN w:val="0"/>
        <w:adjustRightInd w:val="0"/>
        <w:spacing w:after="120"/>
        <w:ind w:left="480" w:hanging="480"/>
        <w:jc w:val="both"/>
        <w:rPr>
          <w:rFonts w:ascii="Palatino Linotype" w:hAnsi="Palatino Linotype" w:cs="Times New Roman"/>
          <w:noProof/>
          <w:szCs w:val="24"/>
        </w:rPr>
      </w:pPr>
      <w:r>
        <w:rPr>
          <w:rFonts w:ascii="Palatino Linotype" w:hAnsi="Palatino Linotype" w:cs="Times New Roman"/>
          <w:noProof/>
          <w:szCs w:val="24"/>
        </w:rPr>
        <w:t xml:space="preserve">Williams, G. (2008). Introduction to research in the health sciences (5th edition). </w:t>
      </w:r>
      <w:r>
        <w:rPr>
          <w:rFonts w:ascii="Palatino Linotype" w:hAnsi="Palatino Linotype" w:cs="Times New Roman"/>
          <w:i/>
          <w:iCs/>
          <w:noProof/>
          <w:szCs w:val="24"/>
        </w:rPr>
        <w:t>British Dental Journal</w:t>
      </w:r>
      <w:r>
        <w:rPr>
          <w:rFonts w:ascii="Palatino Linotype" w:hAnsi="Palatino Linotype" w:cs="Times New Roman"/>
          <w:noProof/>
          <w:szCs w:val="24"/>
        </w:rPr>
        <w:t>. https://doi.org/10.1038/sj.bdj.2008.313</w:t>
      </w:r>
    </w:p>
    <w:p w14:paraId="0D1CD9E7" w14:textId="77777777" w:rsidR="007604AD" w:rsidRDefault="007604AD" w:rsidP="007604AD">
      <w:pPr>
        <w:widowControl w:val="0"/>
        <w:autoSpaceDE w:val="0"/>
        <w:autoSpaceDN w:val="0"/>
        <w:adjustRightInd w:val="0"/>
        <w:spacing w:after="120"/>
        <w:ind w:left="480" w:hanging="480"/>
        <w:jc w:val="both"/>
        <w:rPr>
          <w:rFonts w:ascii="Palatino Linotype" w:hAnsi="Palatino Linotype" w:cs="Times New Roman"/>
          <w:noProof/>
          <w:szCs w:val="24"/>
        </w:rPr>
      </w:pPr>
      <w:r>
        <w:rPr>
          <w:rFonts w:ascii="Palatino Linotype" w:hAnsi="Palatino Linotype" w:cs="Times New Roman"/>
          <w:noProof/>
          <w:szCs w:val="24"/>
        </w:rPr>
        <w:t xml:space="preserve">Wilson, M. (2004). Constructing measures: An item response modeling approach. In </w:t>
      </w:r>
      <w:r>
        <w:rPr>
          <w:rFonts w:ascii="Palatino Linotype" w:hAnsi="Palatino Linotype" w:cs="Times New Roman"/>
          <w:i/>
          <w:iCs/>
          <w:noProof/>
          <w:szCs w:val="24"/>
        </w:rPr>
        <w:t>Constructing Measures: An Item Response Modeling Approach</w:t>
      </w:r>
      <w:r>
        <w:rPr>
          <w:rFonts w:ascii="Palatino Linotype" w:hAnsi="Palatino Linotype" w:cs="Times New Roman"/>
          <w:noProof/>
          <w:szCs w:val="24"/>
        </w:rPr>
        <w:t>. https://doi.org/10.4324/9781410611697</w:t>
      </w:r>
    </w:p>
    <w:p w14:paraId="26E023B3" w14:textId="77777777" w:rsidR="007604AD" w:rsidRDefault="007604AD" w:rsidP="007604AD">
      <w:pPr>
        <w:widowControl w:val="0"/>
        <w:autoSpaceDE w:val="0"/>
        <w:autoSpaceDN w:val="0"/>
        <w:adjustRightInd w:val="0"/>
        <w:spacing w:after="120"/>
        <w:ind w:left="480" w:hanging="480"/>
        <w:jc w:val="both"/>
        <w:rPr>
          <w:rFonts w:ascii="Palatino Linotype" w:hAnsi="Palatino Linotype" w:cs="Times New Roman"/>
          <w:noProof/>
          <w:szCs w:val="24"/>
        </w:rPr>
      </w:pPr>
      <w:r>
        <w:rPr>
          <w:rFonts w:ascii="Palatino Linotype" w:hAnsi="Palatino Linotype" w:cs="Times New Roman"/>
          <w:noProof/>
          <w:szCs w:val="24"/>
        </w:rPr>
        <w:t xml:space="preserve">Yudha, R. P. (2020). </w:t>
      </w:r>
      <w:r>
        <w:rPr>
          <w:rFonts w:ascii="Palatino Linotype" w:hAnsi="Palatino Linotype" w:cs="Times New Roman"/>
          <w:i/>
          <w:iCs/>
          <w:noProof/>
          <w:szCs w:val="24"/>
        </w:rPr>
        <w:t>Asesmen Unjuk Kerja Geometri,</w:t>
      </w:r>
      <w:r>
        <w:rPr>
          <w:rFonts w:ascii="Palatino Linotype" w:hAnsi="Palatino Linotype" w:cs="Times New Roman"/>
          <w:noProof/>
          <w:szCs w:val="24"/>
        </w:rPr>
        <w:t>. CV Budi Utama.</w:t>
      </w:r>
    </w:p>
    <w:p w14:paraId="7FC64704" w14:textId="77777777" w:rsidR="007604AD" w:rsidRDefault="007604AD" w:rsidP="007604AD">
      <w:pPr>
        <w:widowControl w:val="0"/>
        <w:autoSpaceDE w:val="0"/>
        <w:autoSpaceDN w:val="0"/>
        <w:adjustRightInd w:val="0"/>
        <w:spacing w:after="120"/>
        <w:ind w:left="480" w:hanging="480"/>
        <w:jc w:val="both"/>
        <w:rPr>
          <w:rFonts w:ascii="Palatino Linotype" w:hAnsi="Palatino Linotype"/>
          <w:noProof/>
        </w:rPr>
      </w:pPr>
      <w:r>
        <w:rPr>
          <w:rFonts w:ascii="Palatino Linotype" w:hAnsi="Palatino Linotype" w:cs="Times New Roman"/>
          <w:noProof/>
          <w:szCs w:val="24"/>
        </w:rPr>
        <w:t xml:space="preserve">Yusup, F. (2018). Uji Validitas dan Reliabilitas Instrumen Penelitian Kuantitatif. </w:t>
      </w:r>
      <w:r>
        <w:rPr>
          <w:rFonts w:ascii="Palatino Linotype" w:hAnsi="Palatino Linotype" w:cs="Times New Roman"/>
          <w:i/>
          <w:iCs/>
          <w:noProof/>
          <w:szCs w:val="24"/>
        </w:rPr>
        <w:t>Jurnal Tarbiyah</w:t>
      </w:r>
      <w:r>
        <w:rPr>
          <w:rFonts w:ascii="Times New Roman" w:hAnsi="Times New Roman" w:cs="Times New Roman"/>
          <w:i/>
          <w:iCs/>
          <w:noProof/>
          <w:szCs w:val="24"/>
        </w:rPr>
        <w:t> </w:t>
      </w:r>
      <w:r>
        <w:rPr>
          <w:rFonts w:ascii="Palatino Linotype" w:hAnsi="Palatino Linotype" w:cs="Times New Roman"/>
          <w:i/>
          <w:iCs/>
          <w:noProof/>
          <w:szCs w:val="24"/>
        </w:rPr>
        <w:t>: Jurnal Ilmiah Kependidikan</w:t>
      </w:r>
      <w:r>
        <w:rPr>
          <w:rFonts w:ascii="Palatino Linotype" w:hAnsi="Palatino Linotype" w:cs="Times New Roman"/>
          <w:noProof/>
          <w:szCs w:val="24"/>
        </w:rPr>
        <w:t>. https://doi.org/10.18592/tarbiyah.v7i1.2100</w:t>
      </w:r>
    </w:p>
    <w:p w14:paraId="749F5F1C" w14:textId="77777777" w:rsidR="007604AD" w:rsidRDefault="007604AD" w:rsidP="007604AD">
      <w:pPr>
        <w:pStyle w:val="Style16"/>
        <w:tabs>
          <w:tab w:val="clear" w:pos="5652"/>
          <w:tab w:val="left" w:leader="dot" w:pos="5508"/>
          <w:tab w:val="left" w:leader="dot" w:pos="9000"/>
        </w:tabs>
        <w:spacing w:after="120" w:line="240" w:lineRule="auto"/>
        <w:jc w:val="both"/>
        <w:rPr>
          <w:rFonts w:ascii="Palatino Linotype" w:hAnsi="Palatino Linotype"/>
          <w:b/>
          <w:color w:val="auto"/>
          <w:spacing w:val="-9"/>
          <w:sz w:val="22"/>
          <w:szCs w:val="22"/>
        </w:rPr>
      </w:pPr>
      <w:r>
        <w:rPr>
          <w:rFonts w:ascii="Palatino Linotype" w:hAnsi="Palatino Linotype"/>
          <w:b/>
          <w:color w:val="auto"/>
          <w:spacing w:val="-9"/>
          <w:sz w:val="22"/>
          <w:szCs w:val="22"/>
        </w:rPr>
        <w:fldChar w:fldCharType="end"/>
      </w:r>
    </w:p>
    <w:p w14:paraId="72D93D14" w14:textId="77777777" w:rsidR="002C3705" w:rsidRPr="007604AD" w:rsidRDefault="002C3705" w:rsidP="007604AD"/>
    <w:sectPr w:rsidR="002C3705" w:rsidRPr="007604AD" w:rsidSect="00F94EF7">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07D38" w14:textId="77777777" w:rsidR="00DF4DEB" w:rsidRDefault="00DF4DEB" w:rsidP="00074999">
      <w:r>
        <w:separator/>
      </w:r>
    </w:p>
  </w:endnote>
  <w:endnote w:type="continuationSeparator" w:id="0">
    <w:p w14:paraId="3B726483" w14:textId="77777777" w:rsidR="00DF4DEB" w:rsidRDefault="00DF4DEB" w:rsidP="0007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haroni">
    <w:charset w:val="00"/>
    <w:family w:val="auto"/>
    <w:pitch w:val="variable"/>
    <w:sig w:usb0="00000803" w:usb1="00000000" w:usb2="00000000" w:usb3="00000000" w:csb0="00000021"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4264"/>
      <w:docPartObj>
        <w:docPartGallery w:val="Page Numbers (Bottom of Page)"/>
        <w:docPartUnique/>
      </w:docPartObj>
    </w:sdtPr>
    <w:sdtEndPr/>
    <w:sdtContent>
      <w:p w14:paraId="5B84DBEF" w14:textId="77777777" w:rsidR="004E0F11" w:rsidRDefault="004E0F11">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D56A06">
          <w:rPr>
            <w:rFonts w:ascii="Times New Roman" w:hAnsi="Times New Roman" w:cs="Times New Roman"/>
            <w:noProof/>
            <w:sz w:val="24"/>
          </w:rPr>
          <w:t>2</w:t>
        </w:r>
        <w:r w:rsidRPr="00331F25">
          <w:rPr>
            <w:rFonts w:ascii="Times New Roman" w:hAnsi="Times New Roman" w:cs="Times New Roman"/>
            <w:sz w:val="24"/>
          </w:rPr>
          <w:fldChar w:fldCharType="end"/>
        </w:r>
      </w:p>
    </w:sdtContent>
  </w:sdt>
  <w:p w14:paraId="12F64248" w14:textId="77777777" w:rsidR="004E0F11" w:rsidRDefault="004E0F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4262"/>
      <w:docPartObj>
        <w:docPartGallery w:val="Page Numbers (Bottom of Page)"/>
        <w:docPartUnique/>
      </w:docPartObj>
    </w:sdtPr>
    <w:sdtEndPr/>
    <w:sdtContent>
      <w:p w14:paraId="6331E6C6" w14:textId="77777777" w:rsidR="004E0F11" w:rsidRDefault="004E0F11">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D56A06">
          <w:rPr>
            <w:rFonts w:ascii="Times New Roman" w:hAnsi="Times New Roman" w:cs="Times New Roman"/>
            <w:noProof/>
            <w:sz w:val="24"/>
          </w:rPr>
          <w:t>3</w:t>
        </w:r>
        <w:r w:rsidRPr="00331F25">
          <w:rPr>
            <w:rFonts w:ascii="Times New Roman" w:hAnsi="Times New Roman" w:cs="Times New Roman"/>
            <w:sz w:val="24"/>
          </w:rPr>
          <w:fldChar w:fldCharType="end"/>
        </w:r>
      </w:p>
    </w:sdtContent>
  </w:sdt>
  <w:p w14:paraId="0C6F333E" w14:textId="77777777" w:rsidR="004E0F11" w:rsidRDefault="004E0F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4259"/>
      <w:docPartObj>
        <w:docPartGallery w:val="Page Numbers (Bottom of Page)"/>
        <w:docPartUnique/>
      </w:docPartObj>
    </w:sdtPr>
    <w:sdtEndPr/>
    <w:sdtContent>
      <w:p w14:paraId="462C6C37" w14:textId="77777777" w:rsidR="004E0F11" w:rsidRDefault="004E0F11">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D56A06">
          <w:rPr>
            <w:rFonts w:ascii="Times New Roman" w:hAnsi="Times New Roman" w:cs="Times New Roman"/>
            <w:noProof/>
            <w:sz w:val="24"/>
          </w:rPr>
          <w:t>1</w:t>
        </w:r>
        <w:r w:rsidRPr="00331F25">
          <w:rPr>
            <w:rFonts w:ascii="Times New Roman" w:hAnsi="Times New Roman" w:cs="Times New Roman"/>
            <w:sz w:val="24"/>
          </w:rPr>
          <w:fldChar w:fldCharType="end"/>
        </w:r>
      </w:p>
    </w:sdtContent>
  </w:sdt>
  <w:p w14:paraId="31406714" w14:textId="77777777" w:rsidR="004E0F11" w:rsidRDefault="004E0F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D276E3" w14:textId="77777777" w:rsidR="00DF4DEB" w:rsidRDefault="00DF4DEB" w:rsidP="00074999">
      <w:r>
        <w:separator/>
      </w:r>
    </w:p>
  </w:footnote>
  <w:footnote w:type="continuationSeparator" w:id="0">
    <w:p w14:paraId="61C530BA" w14:textId="77777777" w:rsidR="00DF4DEB" w:rsidRDefault="00DF4DEB" w:rsidP="00074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29"/>
    </w:tblGrid>
    <w:tr w:rsidR="004E0F11" w14:paraId="3B46F60F" w14:textId="77777777" w:rsidTr="005D7274">
      <w:tc>
        <w:tcPr>
          <w:tcW w:w="1951" w:type="dxa"/>
        </w:tcPr>
        <w:p w14:paraId="6C26AE1A" w14:textId="34C8784F" w:rsidR="004E0F11" w:rsidRPr="00FC5C34" w:rsidRDefault="004E0F11" w:rsidP="00735D7E">
          <w:pPr>
            <w:pStyle w:val="Header"/>
            <w:rPr>
              <w:rFonts w:asciiTheme="majorHAnsi" w:hAnsiTheme="majorHAnsi" w:cs="Times New Roman"/>
              <w:color w:val="000000" w:themeColor="text1"/>
              <w:sz w:val="20"/>
              <w:szCs w:val="20"/>
            </w:rPr>
          </w:pPr>
        </w:p>
      </w:tc>
      <w:tc>
        <w:tcPr>
          <w:tcW w:w="7229" w:type="dxa"/>
        </w:tcPr>
        <w:p w14:paraId="22F20F70" w14:textId="0FB1D86D" w:rsidR="004E0F11" w:rsidRPr="00714A83" w:rsidRDefault="004E0F11" w:rsidP="00735D7E">
          <w:pPr>
            <w:pStyle w:val="Header"/>
            <w:jc w:val="right"/>
            <w:rPr>
              <w:rFonts w:asciiTheme="majorHAnsi" w:hAnsiTheme="majorHAnsi" w:cs="Times New Roman"/>
              <w:sz w:val="20"/>
              <w:szCs w:val="20"/>
            </w:rPr>
          </w:pPr>
        </w:p>
      </w:tc>
    </w:tr>
  </w:tbl>
  <w:p w14:paraId="2C5A6408" w14:textId="77777777" w:rsidR="004E0F11" w:rsidRDefault="004E0F11" w:rsidP="004367A6">
    <w:pPr>
      <w:pStyle w:val="Header"/>
      <w:tabs>
        <w:tab w:val="clear" w:pos="4513"/>
        <w:tab w:val="clear" w:pos="9026"/>
        <w:tab w:val="left" w:pos="2415"/>
      </w:tabs>
      <w:jc w:val="both"/>
    </w:pPr>
  </w:p>
  <w:p w14:paraId="22BC64CB" w14:textId="77777777" w:rsidR="004E0F11" w:rsidRDefault="004E0F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4E0F11" w14:paraId="5220475B" w14:textId="77777777" w:rsidTr="002F50C4">
      <w:tc>
        <w:tcPr>
          <w:tcW w:w="4643" w:type="dxa"/>
        </w:tcPr>
        <w:p w14:paraId="1F243DA1" w14:textId="53177F91" w:rsidR="004E0F11" w:rsidRDefault="004E0F11" w:rsidP="002F50C4">
          <w:pPr>
            <w:pStyle w:val="Header"/>
            <w:rPr>
              <w:rFonts w:ascii="Palatino Linotype" w:hAnsi="Palatino Linotype" w:cs="Aharoni"/>
            </w:rPr>
          </w:pPr>
          <w:r w:rsidRPr="004B3E59">
            <w:rPr>
              <w:rFonts w:ascii="Palatino Linotype" w:hAnsi="Palatino Linotype" w:cs="Aharoni"/>
              <w:i/>
            </w:rPr>
            <w:t>Pasundan Journal of Mathematics Education</w:t>
          </w:r>
          <w:r>
            <w:rPr>
              <w:rFonts w:ascii="Palatino Linotype" w:hAnsi="Palatino Linotype" w:cs="Aharoni"/>
            </w:rPr>
            <w:t>:</w:t>
          </w:r>
        </w:p>
        <w:p w14:paraId="4785BF15" w14:textId="3791DE79" w:rsidR="004E0F11" w:rsidRPr="00F677A0" w:rsidRDefault="004E0F11" w:rsidP="002F50C4">
          <w:pPr>
            <w:pStyle w:val="Header"/>
            <w:rPr>
              <w:rFonts w:ascii="Palatino Linotype" w:hAnsi="Palatino Linotype" w:cs="Aharoni"/>
            </w:rPr>
          </w:pPr>
          <w:r>
            <w:rPr>
              <w:rFonts w:ascii="Palatino Linotype" w:hAnsi="Palatino Linotype" w:cs="Aharoni"/>
            </w:rPr>
            <w:t>Jurnal Pendidikan Matematika</w:t>
          </w:r>
        </w:p>
        <w:p w14:paraId="4C5D1B9C" w14:textId="395A1E6A" w:rsidR="004E0F11" w:rsidRPr="008C1195" w:rsidRDefault="004E0F11" w:rsidP="00F677A0">
          <w:pPr>
            <w:pStyle w:val="Header"/>
            <w:rPr>
              <w:rFonts w:ascii="Bauhaus 93" w:hAnsi="Bauhaus 93" w:cs="Aharoni"/>
              <w:lang w:val="en-US"/>
            </w:rPr>
          </w:pPr>
          <w:r w:rsidRPr="00F677A0">
            <w:rPr>
              <w:rFonts w:ascii="Palatino Linotype" w:hAnsi="Palatino Linotype" w:cs="Aharoni"/>
              <w:sz w:val="16"/>
            </w:rPr>
            <w:t xml:space="preserve">Vol. 10 No. </w:t>
          </w:r>
          <w:r w:rsidRPr="00F677A0">
            <w:rPr>
              <w:rFonts w:ascii="Palatino Linotype" w:hAnsi="Palatino Linotype" w:cs="Aharoni"/>
              <w:sz w:val="16"/>
              <w:lang w:val="en-US"/>
            </w:rPr>
            <w:t>1</w:t>
          </w:r>
          <w:r w:rsidRPr="00F677A0">
            <w:rPr>
              <w:rFonts w:ascii="Palatino Linotype" w:hAnsi="Palatino Linotype" w:cs="Aharoni"/>
              <w:sz w:val="16"/>
            </w:rPr>
            <w:t>, Mei 20</w:t>
          </w:r>
          <w:r w:rsidRPr="00F677A0">
            <w:rPr>
              <w:rFonts w:ascii="Palatino Linotype" w:hAnsi="Palatino Linotype" w:cs="Aharoni"/>
              <w:sz w:val="16"/>
              <w:lang w:val="en-US"/>
            </w:rPr>
            <w:t>20</w:t>
          </w:r>
          <w:r w:rsidRPr="00F677A0">
            <w:rPr>
              <w:rFonts w:ascii="Palatino Linotype" w:hAnsi="Palatino Linotype" w:cs="Aharoni"/>
              <w:sz w:val="16"/>
            </w:rPr>
            <w:t xml:space="preserve">, hal. </w:t>
          </w:r>
          <w:r w:rsidRPr="00F677A0">
            <w:rPr>
              <w:rFonts w:ascii="Palatino Linotype" w:hAnsi="Palatino Linotype" w:cs="Aharoni"/>
              <w:sz w:val="16"/>
              <w:lang w:val="en-US"/>
            </w:rPr>
            <w:t>1</w:t>
          </w:r>
          <w:r w:rsidRPr="00F677A0">
            <w:rPr>
              <w:rFonts w:ascii="Palatino Linotype" w:hAnsi="Palatino Linotype" w:cs="Aharoni"/>
              <w:sz w:val="16"/>
            </w:rPr>
            <w:t xml:space="preserve"> – </w:t>
          </w:r>
          <w:r w:rsidRPr="00F677A0">
            <w:rPr>
              <w:rFonts w:ascii="Palatino Linotype" w:hAnsi="Palatino Linotype" w:cs="Aharoni"/>
              <w:sz w:val="16"/>
              <w:lang w:val="en-US"/>
            </w:rPr>
            <w:t>4</w:t>
          </w:r>
        </w:p>
      </w:tc>
      <w:tc>
        <w:tcPr>
          <w:tcW w:w="4643" w:type="dxa"/>
        </w:tcPr>
        <w:p w14:paraId="2AF90C82" w14:textId="6236870B" w:rsidR="004E0F11" w:rsidRPr="00051636" w:rsidRDefault="004E0F11" w:rsidP="002F50C4">
          <w:pPr>
            <w:pStyle w:val="Header"/>
            <w:rPr>
              <w:rFonts w:asciiTheme="majorHAnsi" w:hAnsiTheme="majorHAnsi" w:cs="Times New Roman"/>
              <w:color w:val="000000" w:themeColor="text1"/>
              <w:sz w:val="20"/>
              <w:szCs w:val="20"/>
              <w:lang w:val="en-US"/>
            </w:rPr>
          </w:pPr>
          <w:r w:rsidRPr="002F1954">
            <w:rPr>
              <w:rFonts w:asciiTheme="majorHAnsi" w:hAnsiTheme="majorHAnsi" w:cs="Times New Roman"/>
              <w:color w:val="000000" w:themeColor="text1"/>
              <w:sz w:val="20"/>
              <w:szCs w:val="20"/>
            </w:rPr>
            <w:t xml:space="preserve">DOI: </w:t>
          </w:r>
          <w:r w:rsidRPr="00070A2A">
            <w:rPr>
              <w:rFonts w:ascii="Cambria" w:hAnsi="Cambria"/>
              <w:color w:val="111111"/>
              <w:sz w:val="20"/>
              <w:szCs w:val="20"/>
              <w:shd w:val="clear" w:color="auto" w:fill="FBFBF3"/>
            </w:rPr>
            <w:t>10.29408/jel.v</w:t>
          </w:r>
          <w:r>
            <w:rPr>
              <w:rFonts w:ascii="Cambria" w:hAnsi="Cambria"/>
              <w:color w:val="111111"/>
              <w:sz w:val="20"/>
              <w:szCs w:val="20"/>
              <w:shd w:val="clear" w:color="auto" w:fill="FBFBF3"/>
              <w:lang w:val="en-US"/>
            </w:rPr>
            <w:t>6</w:t>
          </w:r>
          <w:r w:rsidRPr="00070A2A">
            <w:rPr>
              <w:rFonts w:ascii="Cambria" w:hAnsi="Cambria"/>
              <w:color w:val="111111"/>
              <w:sz w:val="20"/>
              <w:szCs w:val="20"/>
              <w:shd w:val="clear" w:color="auto" w:fill="FBFBF3"/>
            </w:rPr>
            <w:t>i</w:t>
          </w:r>
          <w:r>
            <w:rPr>
              <w:rFonts w:ascii="Cambria" w:hAnsi="Cambria"/>
              <w:color w:val="111111"/>
              <w:sz w:val="20"/>
              <w:szCs w:val="20"/>
              <w:shd w:val="clear" w:color="auto" w:fill="FBFBF3"/>
              <w:lang w:val="en-US"/>
            </w:rPr>
            <w:t>1</w:t>
          </w:r>
          <w:r w:rsidRPr="00070A2A">
            <w:rPr>
              <w:rFonts w:ascii="Cambria" w:hAnsi="Cambria"/>
              <w:color w:val="111111"/>
              <w:sz w:val="20"/>
              <w:szCs w:val="20"/>
              <w:shd w:val="clear" w:color="auto" w:fill="FBFBF3"/>
            </w:rPr>
            <w:t>.</w:t>
          </w:r>
          <w:r>
            <w:rPr>
              <w:rFonts w:ascii="Cambria" w:hAnsi="Cambria"/>
              <w:color w:val="111111"/>
              <w:sz w:val="20"/>
              <w:szCs w:val="20"/>
              <w:shd w:val="clear" w:color="auto" w:fill="FBFBF3"/>
              <w:lang w:val="en-US"/>
            </w:rPr>
            <w:t>XXXX</w:t>
          </w:r>
        </w:p>
        <w:p w14:paraId="2F61B317" w14:textId="46FF2168" w:rsidR="004E0F11" w:rsidRPr="00F677A0" w:rsidRDefault="004E0F11" w:rsidP="00007776">
          <w:pPr>
            <w:pStyle w:val="Header"/>
            <w:rPr>
              <w:rFonts w:ascii="Palatino Linotype" w:hAnsi="Palatino Linotype" w:cs="Times New Roman"/>
              <w:color w:val="000000" w:themeColor="text1"/>
            </w:rPr>
          </w:pPr>
          <w:r w:rsidRPr="00F677A0">
            <w:rPr>
              <w:rFonts w:ascii="Palatino Linotype" w:hAnsi="Palatino Linotype"/>
            </w:rPr>
            <w:t>https://journal.unpas.ac.id/index.php/pjme</w:t>
          </w:r>
        </w:p>
      </w:tc>
    </w:tr>
  </w:tbl>
  <w:p w14:paraId="3B5E4B45" w14:textId="77777777" w:rsidR="004E0F11" w:rsidRDefault="004E0F11" w:rsidP="00331F25">
    <w:pPr>
      <w:pStyle w:val="Header"/>
      <w:rPr>
        <w:rFonts w:ascii="Times New Roman" w:hAnsi="Times New Roman" w:cs="Times New Roman"/>
      </w:rPr>
    </w:pPr>
  </w:p>
  <w:p w14:paraId="2B7A6E69" w14:textId="77777777" w:rsidR="004E0F11" w:rsidRPr="0071266C" w:rsidRDefault="004E0F11" w:rsidP="00331F25">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5EC8"/>
    <w:multiLevelType w:val="hybridMultilevel"/>
    <w:tmpl w:val="B0CAD478"/>
    <w:lvl w:ilvl="0" w:tplc="0421000F">
      <w:start w:val="1"/>
      <w:numFmt w:val="decimal"/>
      <w:lvlText w:val="%1."/>
      <w:lvlJc w:val="lef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
    <w:nsid w:val="03992CDD"/>
    <w:multiLevelType w:val="multilevel"/>
    <w:tmpl w:val="BAEED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1F0AD9"/>
    <w:multiLevelType w:val="hybridMultilevel"/>
    <w:tmpl w:val="6E309D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197F3F"/>
    <w:multiLevelType w:val="hybridMultilevel"/>
    <w:tmpl w:val="B9242E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7AF634C"/>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CE02632"/>
    <w:multiLevelType w:val="hybridMultilevel"/>
    <w:tmpl w:val="5CFCBB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D6A53D9"/>
    <w:multiLevelType w:val="hybridMultilevel"/>
    <w:tmpl w:val="D88609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6821D9D"/>
    <w:multiLevelType w:val="hybridMultilevel"/>
    <w:tmpl w:val="E98407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6EB786F"/>
    <w:multiLevelType w:val="hybridMultilevel"/>
    <w:tmpl w:val="3CB20B92"/>
    <w:lvl w:ilvl="0" w:tplc="0421000B">
      <w:start w:val="1"/>
      <w:numFmt w:val="bullet"/>
      <w:lvlText w:val=""/>
      <w:lvlJc w:val="left"/>
      <w:pPr>
        <w:ind w:left="1003" w:hanging="360"/>
      </w:pPr>
      <w:rPr>
        <w:rFonts w:ascii="Wingdings" w:hAnsi="Wingdings" w:hint="default"/>
      </w:rPr>
    </w:lvl>
    <w:lvl w:ilvl="1" w:tplc="04210003" w:tentative="1">
      <w:start w:val="1"/>
      <w:numFmt w:val="bullet"/>
      <w:lvlText w:val="o"/>
      <w:lvlJc w:val="left"/>
      <w:pPr>
        <w:ind w:left="1723" w:hanging="360"/>
      </w:pPr>
      <w:rPr>
        <w:rFonts w:ascii="Courier New" w:hAnsi="Courier New" w:cs="Courier New" w:hint="default"/>
      </w:rPr>
    </w:lvl>
    <w:lvl w:ilvl="2" w:tplc="04210005" w:tentative="1">
      <w:start w:val="1"/>
      <w:numFmt w:val="bullet"/>
      <w:lvlText w:val=""/>
      <w:lvlJc w:val="left"/>
      <w:pPr>
        <w:ind w:left="2443" w:hanging="360"/>
      </w:pPr>
      <w:rPr>
        <w:rFonts w:ascii="Wingdings" w:hAnsi="Wingdings" w:hint="default"/>
      </w:rPr>
    </w:lvl>
    <w:lvl w:ilvl="3" w:tplc="04210001" w:tentative="1">
      <w:start w:val="1"/>
      <w:numFmt w:val="bullet"/>
      <w:lvlText w:val=""/>
      <w:lvlJc w:val="left"/>
      <w:pPr>
        <w:ind w:left="3163" w:hanging="360"/>
      </w:pPr>
      <w:rPr>
        <w:rFonts w:ascii="Symbol" w:hAnsi="Symbol" w:hint="default"/>
      </w:rPr>
    </w:lvl>
    <w:lvl w:ilvl="4" w:tplc="04210003" w:tentative="1">
      <w:start w:val="1"/>
      <w:numFmt w:val="bullet"/>
      <w:lvlText w:val="o"/>
      <w:lvlJc w:val="left"/>
      <w:pPr>
        <w:ind w:left="3883" w:hanging="360"/>
      </w:pPr>
      <w:rPr>
        <w:rFonts w:ascii="Courier New" w:hAnsi="Courier New" w:cs="Courier New" w:hint="default"/>
      </w:rPr>
    </w:lvl>
    <w:lvl w:ilvl="5" w:tplc="04210005" w:tentative="1">
      <w:start w:val="1"/>
      <w:numFmt w:val="bullet"/>
      <w:lvlText w:val=""/>
      <w:lvlJc w:val="left"/>
      <w:pPr>
        <w:ind w:left="4603" w:hanging="360"/>
      </w:pPr>
      <w:rPr>
        <w:rFonts w:ascii="Wingdings" w:hAnsi="Wingdings" w:hint="default"/>
      </w:rPr>
    </w:lvl>
    <w:lvl w:ilvl="6" w:tplc="04210001" w:tentative="1">
      <w:start w:val="1"/>
      <w:numFmt w:val="bullet"/>
      <w:lvlText w:val=""/>
      <w:lvlJc w:val="left"/>
      <w:pPr>
        <w:ind w:left="5323" w:hanging="360"/>
      </w:pPr>
      <w:rPr>
        <w:rFonts w:ascii="Symbol" w:hAnsi="Symbol" w:hint="default"/>
      </w:rPr>
    </w:lvl>
    <w:lvl w:ilvl="7" w:tplc="04210003" w:tentative="1">
      <w:start w:val="1"/>
      <w:numFmt w:val="bullet"/>
      <w:lvlText w:val="o"/>
      <w:lvlJc w:val="left"/>
      <w:pPr>
        <w:ind w:left="6043" w:hanging="360"/>
      </w:pPr>
      <w:rPr>
        <w:rFonts w:ascii="Courier New" w:hAnsi="Courier New" w:cs="Courier New" w:hint="default"/>
      </w:rPr>
    </w:lvl>
    <w:lvl w:ilvl="8" w:tplc="04210005" w:tentative="1">
      <w:start w:val="1"/>
      <w:numFmt w:val="bullet"/>
      <w:lvlText w:val=""/>
      <w:lvlJc w:val="left"/>
      <w:pPr>
        <w:ind w:left="6763" w:hanging="360"/>
      </w:pPr>
      <w:rPr>
        <w:rFonts w:ascii="Wingdings" w:hAnsi="Wingdings" w:hint="default"/>
      </w:rPr>
    </w:lvl>
  </w:abstractNum>
  <w:abstractNum w:abstractNumId="9">
    <w:nsid w:val="19A5095E"/>
    <w:multiLevelType w:val="hybridMultilevel"/>
    <w:tmpl w:val="DF72BFB6"/>
    <w:lvl w:ilvl="0" w:tplc="1FE600EC">
      <w:start w:val="1"/>
      <w:numFmt w:val="low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BA967F8"/>
    <w:multiLevelType w:val="hybridMultilevel"/>
    <w:tmpl w:val="82FA57FE"/>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D1A37B2"/>
    <w:multiLevelType w:val="hybridMultilevel"/>
    <w:tmpl w:val="DCD45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BF16BE"/>
    <w:multiLevelType w:val="hybridMultilevel"/>
    <w:tmpl w:val="6762AE4C"/>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3">
    <w:nsid w:val="24B26FB4"/>
    <w:multiLevelType w:val="hybridMultilevel"/>
    <w:tmpl w:val="4498D75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26BA5E1F"/>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7C4425B"/>
    <w:multiLevelType w:val="hybridMultilevel"/>
    <w:tmpl w:val="C7B4D8D2"/>
    <w:lvl w:ilvl="0" w:tplc="0421000F">
      <w:start w:val="1"/>
      <w:numFmt w:val="decimal"/>
      <w:lvlText w:val="%1."/>
      <w:lvlJc w:val="left"/>
      <w:pPr>
        <w:ind w:left="1060" w:hanging="360"/>
      </w:pPr>
    </w:lvl>
    <w:lvl w:ilvl="1" w:tplc="04210019" w:tentative="1">
      <w:start w:val="1"/>
      <w:numFmt w:val="lowerLetter"/>
      <w:lvlText w:val="%2."/>
      <w:lvlJc w:val="left"/>
      <w:pPr>
        <w:ind w:left="1780" w:hanging="360"/>
      </w:pPr>
    </w:lvl>
    <w:lvl w:ilvl="2" w:tplc="0421001B" w:tentative="1">
      <w:start w:val="1"/>
      <w:numFmt w:val="lowerRoman"/>
      <w:lvlText w:val="%3."/>
      <w:lvlJc w:val="right"/>
      <w:pPr>
        <w:ind w:left="2500" w:hanging="180"/>
      </w:pPr>
    </w:lvl>
    <w:lvl w:ilvl="3" w:tplc="0421000F" w:tentative="1">
      <w:start w:val="1"/>
      <w:numFmt w:val="decimal"/>
      <w:lvlText w:val="%4."/>
      <w:lvlJc w:val="left"/>
      <w:pPr>
        <w:ind w:left="3220" w:hanging="360"/>
      </w:pPr>
    </w:lvl>
    <w:lvl w:ilvl="4" w:tplc="04210019" w:tentative="1">
      <w:start w:val="1"/>
      <w:numFmt w:val="lowerLetter"/>
      <w:lvlText w:val="%5."/>
      <w:lvlJc w:val="left"/>
      <w:pPr>
        <w:ind w:left="3940" w:hanging="360"/>
      </w:pPr>
    </w:lvl>
    <w:lvl w:ilvl="5" w:tplc="0421001B" w:tentative="1">
      <w:start w:val="1"/>
      <w:numFmt w:val="lowerRoman"/>
      <w:lvlText w:val="%6."/>
      <w:lvlJc w:val="right"/>
      <w:pPr>
        <w:ind w:left="4660" w:hanging="180"/>
      </w:pPr>
    </w:lvl>
    <w:lvl w:ilvl="6" w:tplc="0421000F" w:tentative="1">
      <w:start w:val="1"/>
      <w:numFmt w:val="decimal"/>
      <w:lvlText w:val="%7."/>
      <w:lvlJc w:val="left"/>
      <w:pPr>
        <w:ind w:left="5380" w:hanging="360"/>
      </w:pPr>
    </w:lvl>
    <w:lvl w:ilvl="7" w:tplc="04210019" w:tentative="1">
      <w:start w:val="1"/>
      <w:numFmt w:val="lowerLetter"/>
      <w:lvlText w:val="%8."/>
      <w:lvlJc w:val="left"/>
      <w:pPr>
        <w:ind w:left="6100" w:hanging="360"/>
      </w:pPr>
    </w:lvl>
    <w:lvl w:ilvl="8" w:tplc="0421001B" w:tentative="1">
      <w:start w:val="1"/>
      <w:numFmt w:val="lowerRoman"/>
      <w:lvlText w:val="%9."/>
      <w:lvlJc w:val="right"/>
      <w:pPr>
        <w:ind w:left="6820" w:hanging="180"/>
      </w:pPr>
    </w:lvl>
  </w:abstractNum>
  <w:abstractNum w:abstractNumId="16">
    <w:nsid w:val="34EB5F8B"/>
    <w:multiLevelType w:val="hybridMultilevel"/>
    <w:tmpl w:val="F732BA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B8F2C0B"/>
    <w:multiLevelType w:val="hybridMultilevel"/>
    <w:tmpl w:val="AB0697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3D301363"/>
    <w:multiLevelType w:val="hybridMultilevel"/>
    <w:tmpl w:val="027A84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3F531F28"/>
    <w:multiLevelType w:val="hybridMultilevel"/>
    <w:tmpl w:val="ED08ED3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469A3B74"/>
    <w:multiLevelType w:val="hybridMultilevel"/>
    <w:tmpl w:val="47DAC4B6"/>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4B5C4859"/>
    <w:multiLevelType w:val="hybridMultilevel"/>
    <w:tmpl w:val="7452DCD6"/>
    <w:lvl w:ilvl="0" w:tplc="04090001">
      <w:start w:val="1"/>
      <w:numFmt w:val="bullet"/>
      <w:lvlText w:val=""/>
      <w:lvlJc w:val="left"/>
      <w:pPr>
        <w:ind w:left="987" w:hanging="360"/>
      </w:pPr>
      <w:rPr>
        <w:rFonts w:ascii="Symbol" w:hAnsi="Symbol" w:hint="default"/>
      </w:rPr>
    </w:lvl>
    <w:lvl w:ilvl="1" w:tplc="04090003">
      <w:start w:val="1"/>
      <w:numFmt w:val="bullet"/>
      <w:lvlText w:val="o"/>
      <w:lvlJc w:val="left"/>
      <w:pPr>
        <w:ind w:left="1707" w:hanging="360"/>
      </w:pPr>
      <w:rPr>
        <w:rFonts w:ascii="Courier New" w:hAnsi="Courier New" w:cs="Courier New" w:hint="default"/>
      </w:rPr>
    </w:lvl>
    <w:lvl w:ilvl="2" w:tplc="04090005">
      <w:start w:val="1"/>
      <w:numFmt w:val="bullet"/>
      <w:lvlText w:val=""/>
      <w:lvlJc w:val="left"/>
      <w:pPr>
        <w:ind w:left="2427" w:hanging="360"/>
      </w:pPr>
      <w:rPr>
        <w:rFonts w:ascii="Wingdings" w:hAnsi="Wingdings" w:hint="default"/>
      </w:rPr>
    </w:lvl>
    <w:lvl w:ilvl="3" w:tplc="04090001">
      <w:start w:val="1"/>
      <w:numFmt w:val="bullet"/>
      <w:lvlText w:val=""/>
      <w:lvlJc w:val="left"/>
      <w:pPr>
        <w:ind w:left="3147" w:hanging="360"/>
      </w:pPr>
      <w:rPr>
        <w:rFonts w:ascii="Symbol" w:hAnsi="Symbol" w:hint="default"/>
      </w:rPr>
    </w:lvl>
    <w:lvl w:ilvl="4" w:tplc="04090003">
      <w:start w:val="1"/>
      <w:numFmt w:val="bullet"/>
      <w:lvlText w:val="o"/>
      <w:lvlJc w:val="left"/>
      <w:pPr>
        <w:ind w:left="3867" w:hanging="360"/>
      </w:pPr>
      <w:rPr>
        <w:rFonts w:ascii="Courier New" w:hAnsi="Courier New" w:cs="Courier New" w:hint="default"/>
      </w:rPr>
    </w:lvl>
    <w:lvl w:ilvl="5" w:tplc="04090005">
      <w:start w:val="1"/>
      <w:numFmt w:val="bullet"/>
      <w:lvlText w:val=""/>
      <w:lvlJc w:val="left"/>
      <w:pPr>
        <w:ind w:left="4587" w:hanging="360"/>
      </w:pPr>
      <w:rPr>
        <w:rFonts w:ascii="Wingdings" w:hAnsi="Wingdings" w:hint="default"/>
      </w:rPr>
    </w:lvl>
    <w:lvl w:ilvl="6" w:tplc="04090001">
      <w:start w:val="1"/>
      <w:numFmt w:val="bullet"/>
      <w:lvlText w:val=""/>
      <w:lvlJc w:val="left"/>
      <w:pPr>
        <w:ind w:left="5307" w:hanging="360"/>
      </w:pPr>
      <w:rPr>
        <w:rFonts w:ascii="Symbol" w:hAnsi="Symbol" w:hint="default"/>
      </w:rPr>
    </w:lvl>
    <w:lvl w:ilvl="7" w:tplc="04090003">
      <w:start w:val="1"/>
      <w:numFmt w:val="bullet"/>
      <w:lvlText w:val="o"/>
      <w:lvlJc w:val="left"/>
      <w:pPr>
        <w:ind w:left="6027" w:hanging="360"/>
      </w:pPr>
      <w:rPr>
        <w:rFonts w:ascii="Courier New" w:hAnsi="Courier New" w:cs="Courier New" w:hint="default"/>
      </w:rPr>
    </w:lvl>
    <w:lvl w:ilvl="8" w:tplc="04090005">
      <w:start w:val="1"/>
      <w:numFmt w:val="bullet"/>
      <w:lvlText w:val=""/>
      <w:lvlJc w:val="left"/>
      <w:pPr>
        <w:ind w:left="6747" w:hanging="360"/>
      </w:pPr>
      <w:rPr>
        <w:rFonts w:ascii="Wingdings" w:hAnsi="Wingdings" w:hint="default"/>
      </w:rPr>
    </w:lvl>
  </w:abstractNum>
  <w:abstractNum w:abstractNumId="22">
    <w:nsid w:val="55CB27DD"/>
    <w:multiLevelType w:val="hybridMultilevel"/>
    <w:tmpl w:val="CB4CA924"/>
    <w:lvl w:ilvl="0" w:tplc="74D6D2C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17421E"/>
    <w:multiLevelType w:val="hybridMultilevel"/>
    <w:tmpl w:val="A140BF04"/>
    <w:lvl w:ilvl="0" w:tplc="A11E856E">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F543320"/>
    <w:multiLevelType w:val="hybridMultilevel"/>
    <w:tmpl w:val="004A919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6FD511A9"/>
    <w:multiLevelType w:val="hybridMultilevel"/>
    <w:tmpl w:val="52389D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5517A08"/>
    <w:multiLevelType w:val="hybridMultilevel"/>
    <w:tmpl w:val="C4020AF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8"/>
  </w:num>
  <w:num w:numId="4">
    <w:abstractNumId w:val="24"/>
  </w:num>
  <w:num w:numId="5">
    <w:abstractNumId w:val="19"/>
  </w:num>
  <w:num w:numId="6">
    <w:abstractNumId w:val="26"/>
  </w:num>
  <w:num w:numId="7">
    <w:abstractNumId w:val="12"/>
  </w:num>
  <w:num w:numId="8">
    <w:abstractNumId w:val="13"/>
  </w:num>
  <w:num w:numId="9">
    <w:abstractNumId w:val="4"/>
  </w:num>
  <w:num w:numId="10">
    <w:abstractNumId w:val="14"/>
  </w:num>
  <w:num w:numId="11">
    <w:abstractNumId w:val="6"/>
  </w:num>
  <w:num w:numId="12">
    <w:abstractNumId w:val="18"/>
  </w:num>
  <w:num w:numId="13">
    <w:abstractNumId w:val="20"/>
  </w:num>
  <w:num w:numId="14">
    <w:abstractNumId w:val="5"/>
  </w:num>
  <w:num w:numId="15">
    <w:abstractNumId w:val="3"/>
  </w:num>
  <w:num w:numId="16">
    <w:abstractNumId w:val="7"/>
  </w:num>
  <w:num w:numId="17">
    <w:abstractNumId w:val="16"/>
  </w:num>
  <w:num w:numId="18">
    <w:abstractNumId w:val="0"/>
  </w:num>
  <w:num w:numId="19">
    <w:abstractNumId w:val="15"/>
  </w:num>
  <w:num w:numId="20">
    <w:abstractNumId w:val="2"/>
  </w:num>
  <w:num w:numId="21">
    <w:abstractNumId w:val="21"/>
  </w:num>
  <w:num w:numId="22">
    <w:abstractNumId w:val="11"/>
  </w:num>
  <w:num w:numId="23">
    <w:abstractNumId w:val="23"/>
  </w:num>
  <w:num w:numId="24">
    <w:abstractNumId w:val="9"/>
  </w:num>
  <w:num w:numId="25">
    <w:abstractNumId w:val="25"/>
  </w:num>
  <w:num w:numId="26">
    <w:abstractNumId w:val="2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zMzY2NLAwsTQ0MDVX0lEKTi0uzszPAykwrAUAfuGtvSwAAAA="/>
  </w:docVars>
  <w:rsids>
    <w:rsidRoot w:val="00540997"/>
    <w:rsid w:val="000010F7"/>
    <w:rsid w:val="00007776"/>
    <w:rsid w:val="00011F0E"/>
    <w:rsid w:val="0001294D"/>
    <w:rsid w:val="00024E26"/>
    <w:rsid w:val="00025F67"/>
    <w:rsid w:val="00027DFC"/>
    <w:rsid w:val="00031F89"/>
    <w:rsid w:val="00033086"/>
    <w:rsid w:val="00034F11"/>
    <w:rsid w:val="00035DB4"/>
    <w:rsid w:val="00037089"/>
    <w:rsid w:val="000419D4"/>
    <w:rsid w:val="00042C99"/>
    <w:rsid w:val="00043F33"/>
    <w:rsid w:val="00044433"/>
    <w:rsid w:val="00047847"/>
    <w:rsid w:val="00051636"/>
    <w:rsid w:val="00060FF2"/>
    <w:rsid w:val="00062DDB"/>
    <w:rsid w:val="000671D5"/>
    <w:rsid w:val="00067FB3"/>
    <w:rsid w:val="00074999"/>
    <w:rsid w:val="00080882"/>
    <w:rsid w:val="00082BDA"/>
    <w:rsid w:val="000A2F21"/>
    <w:rsid w:val="000A6EBA"/>
    <w:rsid w:val="000B02F3"/>
    <w:rsid w:val="000B2231"/>
    <w:rsid w:val="000B3E91"/>
    <w:rsid w:val="000E0031"/>
    <w:rsid w:val="000E10C2"/>
    <w:rsid w:val="000E5E3F"/>
    <w:rsid w:val="000E5F16"/>
    <w:rsid w:val="000E7C91"/>
    <w:rsid w:val="000F4907"/>
    <w:rsid w:val="001014F4"/>
    <w:rsid w:val="00106A9F"/>
    <w:rsid w:val="00114CCA"/>
    <w:rsid w:val="001157CD"/>
    <w:rsid w:val="00123408"/>
    <w:rsid w:val="001276E6"/>
    <w:rsid w:val="00130028"/>
    <w:rsid w:val="00132AD7"/>
    <w:rsid w:val="00141B0B"/>
    <w:rsid w:val="0014268F"/>
    <w:rsid w:val="001437CB"/>
    <w:rsid w:val="00151ECB"/>
    <w:rsid w:val="00153BCF"/>
    <w:rsid w:val="00155EC7"/>
    <w:rsid w:val="001626FD"/>
    <w:rsid w:val="001634E7"/>
    <w:rsid w:val="00163622"/>
    <w:rsid w:val="001647B4"/>
    <w:rsid w:val="00164975"/>
    <w:rsid w:val="00165744"/>
    <w:rsid w:val="00167475"/>
    <w:rsid w:val="001757EB"/>
    <w:rsid w:val="0018682B"/>
    <w:rsid w:val="00187A02"/>
    <w:rsid w:val="001A4B07"/>
    <w:rsid w:val="001C0268"/>
    <w:rsid w:val="001C2D2A"/>
    <w:rsid w:val="001C3E31"/>
    <w:rsid w:val="001C53D2"/>
    <w:rsid w:val="001C653E"/>
    <w:rsid w:val="001C7242"/>
    <w:rsid w:val="001D1C4D"/>
    <w:rsid w:val="001D1E38"/>
    <w:rsid w:val="001D3AA1"/>
    <w:rsid w:val="001D41B1"/>
    <w:rsid w:val="001D4545"/>
    <w:rsid w:val="001E24F9"/>
    <w:rsid w:val="001F11BB"/>
    <w:rsid w:val="001F3D29"/>
    <w:rsid w:val="001F47CE"/>
    <w:rsid w:val="001F5584"/>
    <w:rsid w:val="002007A4"/>
    <w:rsid w:val="00200C0D"/>
    <w:rsid w:val="00201C26"/>
    <w:rsid w:val="00202923"/>
    <w:rsid w:val="002031EA"/>
    <w:rsid w:val="00206277"/>
    <w:rsid w:val="00215B07"/>
    <w:rsid w:val="00216B81"/>
    <w:rsid w:val="00220021"/>
    <w:rsid w:val="002207D8"/>
    <w:rsid w:val="002225FB"/>
    <w:rsid w:val="002247F4"/>
    <w:rsid w:val="00250E69"/>
    <w:rsid w:val="00272BB9"/>
    <w:rsid w:val="00273D3C"/>
    <w:rsid w:val="002745E4"/>
    <w:rsid w:val="002757A9"/>
    <w:rsid w:val="00280A02"/>
    <w:rsid w:val="00291E40"/>
    <w:rsid w:val="00293320"/>
    <w:rsid w:val="002966A3"/>
    <w:rsid w:val="00296753"/>
    <w:rsid w:val="00297A61"/>
    <w:rsid w:val="002A005B"/>
    <w:rsid w:val="002A2E33"/>
    <w:rsid w:val="002A3A8C"/>
    <w:rsid w:val="002A4083"/>
    <w:rsid w:val="002B0DF5"/>
    <w:rsid w:val="002B448E"/>
    <w:rsid w:val="002C2758"/>
    <w:rsid w:val="002C2CF5"/>
    <w:rsid w:val="002C3705"/>
    <w:rsid w:val="002C7884"/>
    <w:rsid w:val="002D2FCE"/>
    <w:rsid w:val="002D5999"/>
    <w:rsid w:val="002E0A92"/>
    <w:rsid w:val="002E4A48"/>
    <w:rsid w:val="002F1954"/>
    <w:rsid w:val="002F1DD8"/>
    <w:rsid w:val="002F4B01"/>
    <w:rsid w:val="002F4FBD"/>
    <w:rsid w:val="002F50C4"/>
    <w:rsid w:val="002F5170"/>
    <w:rsid w:val="00303D66"/>
    <w:rsid w:val="00305483"/>
    <w:rsid w:val="00307047"/>
    <w:rsid w:val="003109BF"/>
    <w:rsid w:val="00310F66"/>
    <w:rsid w:val="00311B9A"/>
    <w:rsid w:val="003120D7"/>
    <w:rsid w:val="003146F9"/>
    <w:rsid w:val="003220BA"/>
    <w:rsid w:val="003242EE"/>
    <w:rsid w:val="00324416"/>
    <w:rsid w:val="003244CF"/>
    <w:rsid w:val="00324A15"/>
    <w:rsid w:val="003279CB"/>
    <w:rsid w:val="00331F25"/>
    <w:rsid w:val="00334CD9"/>
    <w:rsid w:val="003354AB"/>
    <w:rsid w:val="0033613A"/>
    <w:rsid w:val="00336FB5"/>
    <w:rsid w:val="003407D9"/>
    <w:rsid w:val="00340A13"/>
    <w:rsid w:val="00342CDC"/>
    <w:rsid w:val="003446D8"/>
    <w:rsid w:val="00346644"/>
    <w:rsid w:val="00347516"/>
    <w:rsid w:val="0035053A"/>
    <w:rsid w:val="003512C3"/>
    <w:rsid w:val="00354D91"/>
    <w:rsid w:val="00362A20"/>
    <w:rsid w:val="00362ACC"/>
    <w:rsid w:val="003644CB"/>
    <w:rsid w:val="003658DE"/>
    <w:rsid w:val="00367F03"/>
    <w:rsid w:val="00383F57"/>
    <w:rsid w:val="00385C5C"/>
    <w:rsid w:val="00386018"/>
    <w:rsid w:val="0038715F"/>
    <w:rsid w:val="0039050A"/>
    <w:rsid w:val="00392B31"/>
    <w:rsid w:val="003A12FC"/>
    <w:rsid w:val="003A2324"/>
    <w:rsid w:val="003A2F0A"/>
    <w:rsid w:val="003A56C0"/>
    <w:rsid w:val="003A68D5"/>
    <w:rsid w:val="003A6C81"/>
    <w:rsid w:val="003B2B94"/>
    <w:rsid w:val="003B4877"/>
    <w:rsid w:val="003B7ACA"/>
    <w:rsid w:val="003C12F7"/>
    <w:rsid w:val="003C1ABA"/>
    <w:rsid w:val="003C2067"/>
    <w:rsid w:val="003C33A4"/>
    <w:rsid w:val="003D553A"/>
    <w:rsid w:val="003E012D"/>
    <w:rsid w:val="003E5367"/>
    <w:rsid w:val="00407DEC"/>
    <w:rsid w:val="00414F59"/>
    <w:rsid w:val="004153BC"/>
    <w:rsid w:val="00415BA9"/>
    <w:rsid w:val="0041619B"/>
    <w:rsid w:val="0041736E"/>
    <w:rsid w:val="004204D2"/>
    <w:rsid w:val="00420846"/>
    <w:rsid w:val="004244D9"/>
    <w:rsid w:val="00424ED1"/>
    <w:rsid w:val="00426F8D"/>
    <w:rsid w:val="0043085B"/>
    <w:rsid w:val="004367A6"/>
    <w:rsid w:val="0043704B"/>
    <w:rsid w:val="004372A5"/>
    <w:rsid w:val="00451384"/>
    <w:rsid w:val="00457533"/>
    <w:rsid w:val="0046509E"/>
    <w:rsid w:val="00465324"/>
    <w:rsid w:val="0047097F"/>
    <w:rsid w:val="00473058"/>
    <w:rsid w:val="00486BFB"/>
    <w:rsid w:val="004909E7"/>
    <w:rsid w:val="004A2B17"/>
    <w:rsid w:val="004A2C5B"/>
    <w:rsid w:val="004A3BD2"/>
    <w:rsid w:val="004A6C9E"/>
    <w:rsid w:val="004A741D"/>
    <w:rsid w:val="004B3E59"/>
    <w:rsid w:val="004C3A86"/>
    <w:rsid w:val="004C4471"/>
    <w:rsid w:val="004D079D"/>
    <w:rsid w:val="004D5C40"/>
    <w:rsid w:val="004D76E5"/>
    <w:rsid w:val="004E0F11"/>
    <w:rsid w:val="004E11E7"/>
    <w:rsid w:val="004E7276"/>
    <w:rsid w:val="004F1ED4"/>
    <w:rsid w:val="005003A0"/>
    <w:rsid w:val="00501E4C"/>
    <w:rsid w:val="005072B3"/>
    <w:rsid w:val="00512619"/>
    <w:rsid w:val="00520952"/>
    <w:rsid w:val="0052598A"/>
    <w:rsid w:val="00525AB0"/>
    <w:rsid w:val="00532A68"/>
    <w:rsid w:val="0053524A"/>
    <w:rsid w:val="005353E2"/>
    <w:rsid w:val="00540997"/>
    <w:rsid w:val="00543AAD"/>
    <w:rsid w:val="00546240"/>
    <w:rsid w:val="00552673"/>
    <w:rsid w:val="00552994"/>
    <w:rsid w:val="00554593"/>
    <w:rsid w:val="00560229"/>
    <w:rsid w:val="00563AD9"/>
    <w:rsid w:val="0056595D"/>
    <w:rsid w:val="005755C2"/>
    <w:rsid w:val="00584FA1"/>
    <w:rsid w:val="005855B3"/>
    <w:rsid w:val="00585CBD"/>
    <w:rsid w:val="00590AA7"/>
    <w:rsid w:val="00590DB6"/>
    <w:rsid w:val="0059192F"/>
    <w:rsid w:val="00593818"/>
    <w:rsid w:val="00594C5B"/>
    <w:rsid w:val="00595A39"/>
    <w:rsid w:val="005A6498"/>
    <w:rsid w:val="005A7FFC"/>
    <w:rsid w:val="005B291B"/>
    <w:rsid w:val="005B2CF3"/>
    <w:rsid w:val="005B4DC1"/>
    <w:rsid w:val="005C6C6F"/>
    <w:rsid w:val="005D01E6"/>
    <w:rsid w:val="005D661E"/>
    <w:rsid w:val="005D7274"/>
    <w:rsid w:val="005E72B3"/>
    <w:rsid w:val="005E790C"/>
    <w:rsid w:val="005F202C"/>
    <w:rsid w:val="00607B32"/>
    <w:rsid w:val="00611077"/>
    <w:rsid w:val="00620A53"/>
    <w:rsid w:val="006236F9"/>
    <w:rsid w:val="00623FDE"/>
    <w:rsid w:val="00625244"/>
    <w:rsid w:val="00626ABB"/>
    <w:rsid w:val="00626D30"/>
    <w:rsid w:val="00631AE8"/>
    <w:rsid w:val="006426F3"/>
    <w:rsid w:val="00647CB2"/>
    <w:rsid w:val="00647F47"/>
    <w:rsid w:val="00654E29"/>
    <w:rsid w:val="00656ED8"/>
    <w:rsid w:val="00661FC6"/>
    <w:rsid w:val="00665E90"/>
    <w:rsid w:val="00673094"/>
    <w:rsid w:val="00674D66"/>
    <w:rsid w:val="00676333"/>
    <w:rsid w:val="00680A5D"/>
    <w:rsid w:val="00683929"/>
    <w:rsid w:val="006A16F0"/>
    <w:rsid w:val="006A1AA7"/>
    <w:rsid w:val="006A4950"/>
    <w:rsid w:val="006A49F6"/>
    <w:rsid w:val="006A51D5"/>
    <w:rsid w:val="006B07AC"/>
    <w:rsid w:val="006B1268"/>
    <w:rsid w:val="006B2502"/>
    <w:rsid w:val="006C133B"/>
    <w:rsid w:val="006C2AA3"/>
    <w:rsid w:val="006C30CA"/>
    <w:rsid w:val="006C491C"/>
    <w:rsid w:val="006C596F"/>
    <w:rsid w:val="006D2A16"/>
    <w:rsid w:val="006D3CE0"/>
    <w:rsid w:val="006D43D2"/>
    <w:rsid w:val="006D673B"/>
    <w:rsid w:val="006D72C3"/>
    <w:rsid w:val="006D74B1"/>
    <w:rsid w:val="006E1D1A"/>
    <w:rsid w:val="006E35B2"/>
    <w:rsid w:val="006E39F4"/>
    <w:rsid w:val="006F36E6"/>
    <w:rsid w:val="006F3A92"/>
    <w:rsid w:val="006F6C07"/>
    <w:rsid w:val="006F7F2C"/>
    <w:rsid w:val="0070224E"/>
    <w:rsid w:val="007068ED"/>
    <w:rsid w:val="00706ED0"/>
    <w:rsid w:val="00707C08"/>
    <w:rsid w:val="0071266C"/>
    <w:rsid w:val="00712784"/>
    <w:rsid w:val="00714A83"/>
    <w:rsid w:val="00716A31"/>
    <w:rsid w:val="007228BD"/>
    <w:rsid w:val="007269E5"/>
    <w:rsid w:val="00735D7E"/>
    <w:rsid w:val="00743B28"/>
    <w:rsid w:val="007452C3"/>
    <w:rsid w:val="0074550C"/>
    <w:rsid w:val="007457E6"/>
    <w:rsid w:val="00750D27"/>
    <w:rsid w:val="00757CA1"/>
    <w:rsid w:val="007604AD"/>
    <w:rsid w:val="007806D5"/>
    <w:rsid w:val="00785BA1"/>
    <w:rsid w:val="00790ED2"/>
    <w:rsid w:val="00791DEC"/>
    <w:rsid w:val="00793960"/>
    <w:rsid w:val="00796116"/>
    <w:rsid w:val="00797BD2"/>
    <w:rsid w:val="007B03A1"/>
    <w:rsid w:val="007B0C2D"/>
    <w:rsid w:val="007B5C6E"/>
    <w:rsid w:val="007C0B53"/>
    <w:rsid w:val="007C1B7E"/>
    <w:rsid w:val="007C43FA"/>
    <w:rsid w:val="007C4DDA"/>
    <w:rsid w:val="007C6BA5"/>
    <w:rsid w:val="007C70AB"/>
    <w:rsid w:val="007C730E"/>
    <w:rsid w:val="007C767A"/>
    <w:rsid w:val="007D0BF0"/>
    <w:rsid w:val="007D1E4D"/>
    <w:rsid w:val="007D2092"/>
    <w:rsid w:val="007D2D09"/>
    <w:rsid w:val="007D3FE3"/>
    <w:rsid w:val="007E1EC7"/>
    <w:rsid w:val="007E1F0C"/>
    <w:rsid w:val="007E2565"/>
    <w:rsid w:val="007E2B0E"/>
    <w:rsid w:val="007F2AC8"/>
    <w:rsid w:val="007F31A6"/>
    <w:rsid w:val="007F3967"/>
    <w:rsid w:val="00801D72"/>
    <w:rsid w:val="00803A40"/>
    <w:rsid w:val="00811FC5"/>
    <w:rsid w:val="0081426B"/>
    <w:rsid w:val="00825A17"/>
    <w:rsid w:val="00825ACE"/>
    <w:rsid w:val="008274EE"/>
    <w:rsid w:val="00827873"/>
    <w:rsid w:val="008324B2"/>
    <w:rsid w:val="008349D8"/>
    <w:rsid w:val="008363AD"/>
    <w:rsid w:val="0084328F"/>
    <w:rsid w:val="00847C71"/>
    <w:rsid w:val="0085098F"/>
    <w:rsid w:val="00850F83"/>
    <w:rsid w:val="00857F82"/>
    <w:rsid w:val="00860337"/>
    <w:rsid w:val="00860C31"/>
    <w:rsid w:val="00861011"/>
    <w:rsid w:val="008649D3"/>
    <w:rsid w:val="0086611F"/>
    <w:rsid w:val="00880567"/>
    <w:rsid w:val="0088186A"/>
    <w:rsid w:val="0088254E"/>
    <w:rsid w:val="00883D8E"/>
    <w:rsid w:val="00886867"/>
    <w:rsid w:val="00892909"/>
    <w:rsid w:val="00895A50"/>
    <w:rsid w:val="008962E2"/>
    <w:rsid w:val="008A2DA9"/>
    <w:rsid w:val="008A7891"/>
    <w:rsid w:val="008B3354"/>
    <w:rsid w:val="008B7948"/>
    <w:rsid w:val="008C1195"/>
    <w:rsid w:val="008C20A7"/>
    <w:rsid w:val="008C3C26"/>
    <w:rsid w:val="008C4EC3"/>
    <w:rsid w:val="008C7E36"/>
    <w:rsid w:val="008D526A"/>
    <w:rsid w:val="008D7469"/>
    <w:rsid w:val="008E4F0A"/>
    <w:rsid w:val="008E58E6"/>
    <w:rsid w:val="008E65BC"/>
    <w:rsid w:val="008F2791"/>
    <w:rsid w:val="009036E6"/>
    <w:rsid w:val="0090377A"/>
    <w:rsid w:val="00903924"/>
    <w:rsid w:val="00903B20"/>
    <w:rsid w:val="009059A0"/>
    <w:rsid w:val="00907B82"/>
    <w:rsid w:val="00912357"/>
    <w:rsid w:val="00914190"/>
    <w:rsid w:val="00917362"/>
    <w:rsid w:val="0092132A"/>
    <w:rsid w:val="009213A0"/>
    <w:rsid w:val="00923793"/>
    <w:rsid w:val="00927430"/>
    <w:rsid w:val="00930B5B"/>
    <w:rsid w:val="00933CFE"/>
    <w:rsid w:val="00934769"/>
    <w:rsid w:val="00941C6D"/>
    <w:rsid w:val="00942A74"/>
    <w:rsid w:val="009445D6"/>
    <w:rsid w:val="00947F7F"/>
    <w:rsid w:val="009556F4"/>
    <w:rsid w:val="00962942"/>
    <w:rsid w:val="00973A2A"/>
    <w:rsid w:val="009756EF"/>
    <w:rsid w:val="0097768D"/>
    <w:rsid w:val="009852F4"/>
    <w:rsid w:val="00995DA9"/>
    <w:rsid w:val="00995F50"/>
    <w:rsid w:val="009B026C"/>
    <w:rsid w:val="009B08F1"/>
    <w:rsid w:val="009B13A8"/>
    <w:rsid w:val="009B174D"/>
    <w:rsid w:val="009B1C4B"/>
    <w:rsid w:val="009B40A2"/>
    <w:rsid w:val="009B561C"/>
    <w:rsid w:val="009C5776"/>
    <w:rsid w:val="009D489B"/>
    <w:rsid w:val="009D6640"/>
    <w:rsid w:val="009D683F"/>
    <w:rsid w:val="009E017D"/>
    <w:rsid w:val="009E043F"/>
    <w:rsid w:val="009E2131"/>
    <w:rsid w:val="009E350C"/>
    <w:rsid w:val="009E588E"/>
    <w:rsid w:val="009E70B0"/>
    <w:rsid w:val="009F0175"/>
    <w:rsid w:val="009F39A1"/>
    <w:rsid w:val="009F4040"/>
    <w:rsid w:val="00A074B6"/>
    <w:rsid w:val="00A17FCE"/>
    <w:rsid w:val="00A2028A"/>
    <w:rsid w:val="00A2262F"/>
    <w:rsid w:val="00A30290"/>
    <w:rsid w:val="00A329E9"/>
    <w:rsid w:val="00A331EB"/>
    <w:rsid w:val="00A33657"/>
    <w:rsid w:val="00A46495"/>
    <w:rsid w:val="00A4695F"/>
    <w:rsid w:val="00A52844"/>
    <w:rsid w:val="00A53066"/>
    <w:rsid w:val="00A60002"/>
    <w:rsid w:val="00A62DDF"/>
    <w:rsid w:val="00A6614D"/>
    <w:rsid w:val="00A70058"/>
    <w:rsid w:val="00A70C05"/>
    <w:rsid w:val="00A72828"/>
    <w:rsid w:val="00A8113E"/>
    <w:rsid w:val="00A92773"/>
    <w:rsid w:val="00A9360E"/>
    <w:rsid w:val="00A96923"/>
    <w:rsid w:val="00AA0741"/>
    <w:rsid w:val="00AA4A00"/>
    <w:rsid w:val="00AA5BE1"/>
    <w:rsid w:val="00AA6F38"/>
    <w:rsid w:val="00AB32D4"/>
    <w:rsid w:val="00AB427C"/>
    <w:rsid w:val="00AD76C7"/>
    <w:rsid w:val="00AE1448"/>
    <w:rsid w:val="00AE17EF"/>
    <w:rsid w:val="00AE2344"/>
    <w:rsid w:val="00AE400B"/>
    <w:rsid w:val="00AE44FA"/>
    <w:rsid w:val="00AE5AB8"/>
    <w:rsid w:val="00AF696F"/>
    <w:rsid w:val="00B000EA"/>
    <w:rsid w:val="00B046B2"/>
    <w:rsid w:val="00B07DBF"/>
    <w:rsid w:val="00B10718"/>
    <w:rsid w:val="00B179FB"/>
    <w:rsid w:val="00B2393E"/>
    <w:rsid w:val="00B312BA"/>
    <w:rsid w:val="00B35FC0"/>
    <w:rsid w:val="00B434F3"/>
    <w:rsid w:val="00B4623D"/>
    <w:rsid w:val="00B4636E"/>
    <w:rsid w:val="00B46E70"/>
    <w:rsid w:val="00B47D24"/>
    <w:rsid w:val="00B51B28"/>
    <w:rsid w:val="00B537C0"/>
    <w:rsid w:val="00B53BF5"/>
    <w:rsid w:val="00B54F63"/>
    <w:rsid w:val="00B572C8"/>
    <w:rsid w:val="00B6151F"/>
    <w:rsid w:val="00B627E0"/>
    <w:rsid w:val="00B628EB"/>
    <w:rsid w:val="00B62915"/>
    <w:rsid w:val="00B65396"/>
    <w:rsid w:val="00B664CE"/>
    <w:rsid w:val="00B66BE3"/>
    <w:rsid w:val="00B71726"/>
    <w:rsid w:val="00B746E3"/>
    <w:rsid w:val="00B75DB7"/>
    <w:rsid w:val="00B80EC5"/>
    <w:rsid w:val="00B83D49"/>
    <w:rsid w:val="00B85911"/>
    <w:rsid w:val="00B860C6"/>
    <w:rsid w:val="00B90AFD"/>
    <w:rsid w:val="00B94E60"/>
    <w:rsid w:val="00BA330A"/>
    <w:rsid w:val="00BA661C"/>
    <w:rsid w:val="00BA7DAA"/>
    <w:rsid w:val="00BB585C"/>
    <w:rsid w:val="00BB7A9C"/>
    <w:rsid w:val="00BD0F5F"/>
    <w:rsid w:val="00BD16E2"/>
    <w:rsid w:val="00BD22A9"/>
    <w:rsid w:val="00BD24CD"/>
    <w:rsid w:val="00BE0D51"/>
    <w:rsid w:val="00BE1DD4"/>
    <w:rsid w:val="00BE20DE"/>
    <w:rsid w:val="00BE6834"/>
    <w:rsid w:val="00C03F9C"/>
    <w:rsid w:val="00C040F5"/>
    <w:rsid w:val="00C04A28"/>
    <w:rsid w:val="00C108A9"/>
    <w:rsid w:val="00C109EF"/>
    <w:rsid w:val="00C1230C"/>
    <w:rsid w:val="00C13FE9"/>
    <w:rsid w:val="00C17CA2"/>
    <w:rsid w:val="00C206D2"/>
    <w:rsid w:val="00C20CEA"/>
    <w:rsid w:val="00C26EF1"/>
    <w:rsid w:val="00C27BCD"/>
    <w:rsid w:val="00C30561"/>
    <w:rsid w:val="00C30726"/>
    <w:rsid w:val="00C3123E"/>
    <w:rsid w:val="00C329C5"/>
    <w:rsid w:val="00C36D9B"/>
    <w:rsid w:val="00C4230B"/>
    <w:rsid w:val="00C47605"/>
    <w:rsid w:val="00C51AC7"/>
    <w:rsid w:val="00C54EDC"/>
    <w:rsid w:val="00C57761"/>
    <w:rsid w:val="00C6050C"/>
    <w:rsid w:val="00C62B2C"/>
    <w:rsid w:val="00C6434C"/>
    <w:rsid w:val="00C82338"/>
    <w:rsid w:val="00C82BCC"/>
    <w:rsid w:val="00C84AEC"/>
    <w:rsid w:val="00C97DED"/>
    <w:rsid w:val="00CA239D"/>
    <w:rsid w:val="00CB2911"/>
    <w:rsid w:val="00CC4195"/>
    <w:rsid w:val="00CC65B7"/>
    <w:rsid w:val="00CC6B7C"/>
    <w:rsid w:val="00CD2514"/>
    <w:rsid w:val="00CD3984"/>
    <w:rsid w:val="00CD4817"/>
    <w:rsid w:val="00CD5735"/>
    <w:rsid w:val="00CF0315"/>
    <w:rsid w:val="00CF0383"/>
    <w:rsid w:val="00CF3D3B"/>
    <w:rsid w:val="00CF51D9"/>
    <w:rsid w:val="00D03C6B"/>
    <w:rsid w:val="00D07380"/>
    <w:rsid w:val="00D11B65"/>
    <w:rsid w:val="00D12778"/>
    <w:rsid w:val="00D27BA5"/>
    <w:rsid w:val="00D33383"/>
    <w:rsid w:val="00D355A5"/>
    <w:rsid w:val="00D37818"/>
    <w:rsid w:val="00D41F32"/>
    <w:rsid w:val="00D4278A"/>
    <w:rsid w:val="00D56A06"/>
    <w:rsid w:val="00D616DB"/>
    <w:rsid w:val="00D63E72"/>
    <w:rsid w:val="00D73CF2"/>
    <w:rsid w:val="00D75BAB"/>
    <w:rsid w:val="00D75EB3"/>
    <w:rsid w:val="00D8450C"/>
    <w:rsid w:val="00D85FA8"/>
    <w:rsid w:val="00D91240"/>
    <w:rsid w:val="00D93112"/>
    <w:rsid w:val="00D93CFE"/>
    <w:rsid w:val="00D95BA8"/>
    <w:rsid w:val="00DA0C4D"/>
    <w:rsid w:val="00DA0F4A"/>
    <w:rsid w:val="00DA10DB"/>
    <w:rsid w:val="00DA1CEE"/>
    <w:rsid w:val="00DA28C2"/>
    <w:rsid w:val="00DA50BF"/>
    <w:rsid w:val="00DC1714"/>
    <w:rsid w:val="00DC1D0F"/>
    <w:rsid w:val="00DC375D"/>
    <w:rsid w:val="00DC41C7"/>
    <w:rsid w:val="00DD3FB0"/>
    <w:rsid w:val="00DE212E"/>
    <w:rsid w:val="00DE3769"/>
    <w:rsid w:val="00DE62BE"/>
    <w:rsid w:val="00DE6CBB"/>
    <w:rsid w:val="00DE701E"/>
    <w:rsid w:val="00DF0FD6"/>
    <w:rsid w:val="00DF1A12"/>
    <w:rsid w:val="00DF2259"/>
    <w:rsid w:val="00DF2DA5"/>
    <w:rsid w:val="00DF400A"/>
    <w:rsid w:val="00DF4DEB"/>
    <w:rsid w:val="00E001E7"/>
    <w:rsid w:val="00E00A17"/>
    <w:rsid w:val="00E12A6F"/>
    <w:rsid w:val="00E14836"/>
    <w:rsid w:val="00E15F3D"/>
    <w:rsid w:val="00E21682"/>
    <w:rsid w:val="00E32E4F"/>
    <w:rsid w:val="00E34455"/>
    <w:rsid w:val="00E345CD"/>
    <w:rsid w:val="00E36CF0"/>
    <w:rsid w:val="00E37951"/>
    <w:rsid w:val="00E4029C"/>
    <w:rsid w:val="00E4157C"/>
    <w:rsid w:val="00E451C2"/>
    <w:rsid w:val="00E45D2E"/>
    <w:rsid w:val="00E5073F"/>
    <w:rsid w:val="00E52A8B"/>
    <w:rsid w:val="00E54766"/>
    <w:rsid w:val="00E56114"/>
    <w:rsid w:val="00E5735D"/>
    <w:rsid w:val="00E61E25"/>
    <w:rsid w:val="00E8046C"/>
    <w:rsid w:val="00E8127B"/>
    <w:rsid w:val="00E8609E"/>
    <w:rsid w:val="00E862FF"/>
    <w:rsid w:val="00E91A11"/>
    <w:rsid w:val="00E9433B"/>
    <w:rsid w:val="00EA1275"/>
    <w:rsid w:val="00EA2E50"/>
    <w:rsid w:val="00EA3469"/>
    <w:rsid w:val="00EB7735"/>
    <w:rsid w:val="00EB7CB9"/>
    <w:rsid w:val="00EC2DC1"/>
    <w:rsid w:val="00EC6F5A"/>
    <w:rsid w:val="00EC71BA"/>
    <w:rsid w:val="00EC7DB0"/>
    <w:rsid w:val="00ED3318"/>
    <w:rsid w:val="00ED374C"/>
    <w:rsid w:val="00ED4AA4"/>
    <w:rsid w:val="00ED59E3"/>
    <w:rsid w:val="00ED62C8"/>
    <w:rsid w:val="00ED775A"/>
    <w:rsid w:val="00EE02D5"/>
    <w:rsid w:val="00EE1A95"/>
    <w:rsid w:val="00EE566A"/>
    <w:rsid w:val="00EE71A6"/>
    <w:rsid w:val="00EF27A5"/>
    <w:rsid w:val="00EF2AE2"/>
    <w:rsid w:val="00EF3524"/>
    <w:rsid w:val="00EF5BD8"/>
    <w:rsid w:val="00EF7C30"/>
    <w:rsid w:val="00F00544"/>
    <w:rsid w:val="00F03778"/>
    <w:rsid w:val="00F03FB7"/>
    <w:rsid w:val="00F120BB"/>
    <w:rsid w:val="00F12A8E"/>
    <w:rsid w:val="00F1749C"/>
    <w:rsid w:val="00F20EB4"/>
    <w:rsid w:val="00F2453F"/>
    <w:rsid w:val="00F246F1"/>
    <w:rsid w:val="00F26E78"/>
    <w:rsid w:val="00F35D84"/>
    <w:rsid w:val="00F361B0"/>
    <w:rsid w:val="00F4003E"/>
    <w:rsid w:val="00F47DAB"/>
    <w:rsid w:val="00F54AFB"/>
    <w:rsid w:val="00F55506"/>
    <w:rsid w:val="00F62A2C"/>
    <w:rsid w:val="00F65227"/>
    <w:rsid w:val="00F677A0"/>
    <w:rsid w:val="00F715FB"/>
    <w:rsid w:val="00F73176"/>
    <w:rsid w:val="00F73594"/>
    <w:rsid w:val="00F73CE5"/>
    <w:rsid w:val="00F73FB8"/>
    <w:rsid w:val="00F74ED5"/>
    <w:rsid w:val="00F80F08"/>
    <w:rsid w:val="00F914C6"/>
    <w:rsid w:val="00F9209B"/>
    <w:rsid w:val="00F93D75"/>
    <w:rsid w:val="00F94EF7"/>
    <w:rsid w:val="00FA10DE"/>
    <w:rsid w:val="00FA25E5"/>
    <w:rsid w:val="00FB139F"/>
    <w:rsid w:val="00FB29B4"/>
    <w:rsid w:val="00FC1BA8"/>
    <w:rsid w:val="00FC5C34"/>
    <w:rsid w:val="00FC6626"/>
    <w:rsid w:val="00FC6C4B"/>
    <w:rsid w:val="00FD1257"/>
    <w:rsid w:val="00FD1575"/>
    <w:rsid w:val="00FD158B"/>
    <w:rsid w:val="00FD419E"/>
    <w:rsid w:val="00FD59BB"/>
    <w:rsid w:val="00FE0FDB"/>
    <w:rsid w:val="00FE13F5"/>
    <w:rsid w:val="00FE4D80"/>
    <w:rsid w:val="00FE6FE1"/>
    <w:rsid w:val="00FF1716"/>
    <w:rsid w:val="00FF29A1"/>
    <w:rsid w:val="00FF35FB"/>
    <w:rsid w:val="00FF485C"/>
    <w:rsid w:val="00FF6F7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A7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5 Char1,Body of text+1,Body of text+2,Body of text+3,List Paragraph11"/>
    <w:basedOn w:val="Normal"/>
    <w:link w:val="ListParagraphChar"/>
    <w:uiPriority w:val="34"/>
    <w:qFormat/>
    <w:rsid w:val="001D41B1"/>
    <w:pPr>
      <w:ind w:left="720"/>
      <w:contextualSpacing/>
    </w:pPr>
  </w:style>
  <w:style w:type="paragraph" w:customStyle="1" w:styleId="Default">
    <w:name w:val="Default"/>
    <w:uiPriority w:val="99"/>
    <w:rsid w:val="001D41B1"/>
    <w:pPr>
      <w:autoSpaceDE w:val="0"/>
      <w:autoSpaceDN w:val="0"/>
      <w:adjustRightInd w:val="0"/>
    </w:pPr>
    <w:rPr>
      <w:rFonts w:ascii="Bookman Old Style" w:hAnsi="Bookman Old Style" w:cs="Bookman Old Style"/>
      <w:color w:val="000000"/>
      <w:sz w:val="24"/>
      <w:szCs w:val="24"/>
    </w:rPr>
  </w:style>
  <w:style w:type="character" w:customStyle="1" w:styleId="ListParagraphChar">
    <w:name w:val="List Paragraph Char"/>
    <w:aliases w:val="Body of text Char,List Paragraph1 Char,Colorful List - Accent 11 Char,Heading 5 Char1 Char,Body of text+1 Char,Body of text+2 Char,Body of text+3 Char,List Paragraph11 Char"/>
    <w:link w:val="ListParagraph"/>
    <w:uiPriority w:val="34"/>
    <w:locked/>
    <w:rsid w:val="001D41B1"/>
  </w:style>
  <w:style w:type="paragraph" w:styleId="Caption">
    <w:name w:val="caption"/>
    <w:basedOn w:val="Normal"/>
    <w:next w:val="Normal"/>
    <w:uiPriority w:val="35"/>
    <w:unhideWhenUsed/>
    <w:qFormat/>
    <w:rsid w:val="00AA0741"/>
    <w:pPr>
      <w:spacing w:after="200"/>
    </w:pPr>
    <w:rPr>
      <w:b/>
      <w:bCs/>
      <w:color w:val="4F81BD" w:themeColor="accent1"/>
      <w:sz w:val="18"/>
      <w:szCs w:val="18"/>
    </w:rPr>
  </w:style>
  <w:style w:type="table" w:styleId="TableGrid">
    <w:name w:val="Table Grid"/>
    <w:basedOn w:val="TableNormal"/>
    <w:uiPriority w:val="59"/>
    <w:rsid w:val="00B4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6F8D"/>
    <w:rPr>
      <w:rFonts w:ascii="Tahoma" w:hAnsi="Tahoma" w:cs="Tahoma"/>
      <w:sz w:val="16"/>
      <w:szCs w:val="16"/>
    </w:rPr>
  </w:style>
  <w:style w:type="character" w:customStyle="1" w:styleId="BalloonTextChar">
    <w:name w:val="Balloon Text Char"/>
    <w:basedOn w:val="DefaultParagraphFont"/>
    <w:link w:val="BalloonText"/>
    <w:uiPriority w:val="99"/>
    <w:semiHidden/>
    <w:rsid w:val="00426F8D"/>
    <w:rPr>
      <w:rFonts w:ascii="Tahoma" w:hAnsi="Tahoma" w:cs="Tahoma"/>
      <w:sz w:val="16"/>
      <w:szCs w:val="16"/>
    </w:rPr>
  </w:style>
  <w:style w:type="paragraph" w:styleId="NoSpacing">
    <w:name w:val="No Spacing"/>
    <w:uiPriority w:val="1"/>
    <w:qFormat/>
    <w:rsid w:val="00D37818"/>
  </w:style>
  <w:style w:type="character" w:customStyle="1" w:styleId="hps">
    <w:name w:val="hps"/>
    <w:basedOn w:val="DefaultParagraphFont"/>
    <w:rsid w:val="006A16F0"/>
  </w:style>
  <w:style w:type="paragraph" w:customStyle="1" w:styleId="Style16">
    <w:name w:val="Style 16"/>
    <w:basedOn w:val="Normal"/>
    <w:rsid w:val="006A16F0"/>
    <w:pPr>
      <w:widowControl w:val="0"/>
      <w:tabs>
        <w:tab w:val="left" w:leader="dot" w:pos="5652"/>
      </w:tabs>
      <w:spacing w:line="300" w:lineRule="atLeast"/>
    </w:pPr>
    <w:rPr>
      <w:rFonts w:ascii="Times New Roman" w:eastAsia="Times New Roman" w:hAnsi="Times New Roman" w:cs="Times New Roman"/>
      <w:color w:val="000000"/>
      <w:sz w:val="20"/>
      <w:szCs w:val="20"/>
      <w:lang w:val="en-US"/>
    </w:rPr>
  </w:style>
  <w:style w:type="paragraph" w:styleId="Header">
    <w:name w:val="header"/>
    <w:basedOn w:val="Normal"/>
    <w:link w:val="HeaderChar"/>
    <w:uiPriority w:val="99"/>
    <w:unhideWhenUsed/>
    <w:rsid w:val="00074999"/>
    <w:pPr>
      <w:tabs>
        <w:tab w:val="center" w:pos="4513"/>
        <w:tab w:val="right" w:pos="9026"/>
      </w:tabs>
    </w:pPr>
  </w:style>
  <w:style w:type="character" w:customStyle="1" w:styleId="HeaderChar">
    <w:name w:val="Header Char"/>
    <w:basedOn w:val="DefaultParagraphFont"/>
    <w:link w:val="Header"/>
    <w:uiPriority w:val="99"/>
    <w:rsid w:val="00074999"/>
  </w:style>
  <w:style w:type="paragraph" w:styleId="Footer">
    <w:name w:val="footer"/>
    <w:basedOn w:val="Normal"/>
    <w:link w:val="FooterChar"/>
    <w:uiPriority w:val="99"/>
    <w:unhideWhenUsed/>
    <w:rsid w:val="00074999"/>
    <w:pPr>
      <w:tabs>
        <w:tab w:val="center" w:pos="4513"/>
        <w:tab w:val="right" w:pos="9026"/>
      </w:tabs>
    </w:pPr>
  </w:style>
  <w:style w:type="character" w:customStyle="1" w:styleId="FooterChar">
    <w:name w:val="Footer Char"/>
    <w:basedOn w:val="DefaultParagraphFont"/>
    <w:link w:val="Footer"/>
    <w:uiPriority w:val="99"/>
    <w:rsid w:val="00074999"/>
  </w:style>
  <w:style w:type="character" w:styleId="Hyperlink">
    <w:name w:val="Hyperlink"/>
    <w:basedOn w:val="DefaultParagraphFont"/>
    <w:uiPriority w:val="99"/>
    <w:unhideWhenUsed/>
    <w:rsid w:val="00FF1716"/>
    <w:rPr>
      <w:color w:val="0000FF"/>
      <w:u w:val="single"/>
    </w:rPr>
  </w:style>
  <w:style w:type="character" w:customStyle="1" w:styleId="a">
    <w:name w:val="a"/>
    <w:basedOn w:val="DefaultParagraphFont"/>
    <w:rsid w:val="00FF1716"/>
  </w:style>
  <w:style w:type="character" w:styleId="Strong">
    <w:name w:val="Strong"/>
    <w:basedOn w:val="DefaultParagraphFont"/>
    <w:uiPriority w:val="22"/>
    <w:qFormat/>
    <w:rsid w:val="002B448E"/>
    <w:rPr>
      <w:b/>
      <w:bCs/>
    </w:rPr>
  </w:style>
  <w:style w:type="character" w:styleId="Emphasis">
    <w:name w:val="Emphasis"/>
    <w:basedOn w:val="DefaultParagraphFont"/>
    <w:uiPriority w:val="20"/>
    <w:qFormat/>
    <w:rsid w:val="002B448E"/>
    <w:rPr>
      <w:i/>
      <w:iCs/>
    </w:rPr>
  </w:style>
  <w:style w:type="paragraph" w:styleId="NormalWeb">
    <w:name w:val="Normal (Web)"/>
    <w:basedOn w:val="Normal"/>
    <w:uiPriority w:val="99"/>
    <w:semiHidden/>
    <w:unhideWhenUsed/>
    <w:rsid w:val="00B51B28"/>
    <w:pPr>
      <w:spacing w:before="100" w:beforeAutospacing="1" w:after="100" w:afterAutospacing="1"/>
    </w:pPr>
    <w:rPr>
      <w:rFonts w:ascii="Times New Roman" w:eastAsia="Times New Roman" w:hAnsi="Times New Roman" w:cs="Times New Roman"/>
      <w:sz w:val="24"/>
      <w:szCs w:val="24"/>
      <w:lang w:eastAsia="id-ID"/>
    </w:rPr>
  </w:style>
  <w:style w:type="character" w:customStyle="1" w:styleId="UnresolvedMention1">
    <w:name w:val="Unresolved Mention1"/>
    <w:basedOn w:val="DefaultParagraphFont"/>
    <w:uiPriority w:val="99"/>
    <w:semiHidden/>
    <w:unhideWhenUsed/>
    <w:rsid w:val="003242EE"/>
    <w:rPr>
      <w:color w:val="605E5C"/>
      <w:shd w:val="clear" w:color="auto" w:fill="E1DFDD"/>
    </w:rPr>
  </w:style>
  <w:style w:type="character" w:customStyle="1" w:styleId="fontstyle01">
    <w:name w:val="fontstyle01"/>
    <w:basedOn w:val="DefaultParagraphFont"/>
    <w:rsid w:val="007604AD"/>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5 Char1,Body of text+1,Body of text+2,Body of text+3,List Paragraph11"/>
    <w:basedOn w:val="Normal"/>
    <w:link w:val="ListParagraphChar"/>
    <w:uiPriority w:val="34"/>
    <w:qFormat/>
    <w:rsid w:val="001D41B1"/>
    <w:pPr>
      <w:ind w:left="720"/>
      <w:contextualSpacing/>
    </w:pPr>
  </w:style>
  <w:style w:type="paragraph" w:customStyle="1" w:styleId="Default">
    <w:name w:val="Default"/>
    <w:uiPriority w:val="99"/>
    <w:rsid w:val="001D41B1"/>
    <w:pPr>
      <w:autoSpaceDE w:val="0"/>
      <w:autoSpaceDN w:val="0"/>
      <w:adjustRightInd w:val="0"/>
    </w:pPr>
    <w:rPr>
      <w:rFonts w:ascii="Bookman Old Style" w:hAnsi="Bookman Old Style" w:cs="Bookman Old Style"/>
      <w:color w:val="000000"/>
      <w:sz w:val="24"/>
      <w:szCs w:val="24"/>
    </w:rPr>
  </w:style>
  <w:style w:type="character" w:customStyle="1" w:styleId="ListParagraphChar">
    <w:name w:val="List Paragraph Char"/>
    <w:aliases w:val="Body of text Char,List Paragraph1 Char,Colorful List - Accent 11 Char,Heading 5 Char1 Char,Body of text+1 Char,Body of text+2 Char,Body of text+3 Char,List Paragraph11 Char"/>
    <w:link w:val="ListParagraph"/>
    <w:uiPriority w:val="34"/>
    <w:locked/>
    <w:rsid w:val="001D41B1"/>
  </w:style>
  <w:style w:type="paragraph" w:styleId="Caption">
    <w:name w:val="caption"/>
    <w:basedOn w:val="Normal"/>
    <w:next w:val="Normal"/>
    <w:uiPriority w:val="35"/>
    <w:unhideWhenUsed/>
    <w:qFormat/>
    <w:rsid w:val="00AA0741"/>
    <w:pPr>
      <w:spacing w:after="200"/>
    </w:pPr>
    <w:rPr>
      <w:b/>
      <w:bCs/>
      <w:color w:val="4F81BD" w:themeColor="accent1"/>
      <w:sz w:val="18"/>
      <w:szCs w:val="18"/>
    </w:rPr>
  </w:style>
  <w:style w:type="table" w:styleId="TableGrid">
    <w:name w:val="Table Grid"/>
    <w:basedOn w:val="TableNormal"/>
    <w:uiPriority w:val="59"/>
    <w:rsid w:val="00B4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6F8D"/>
    <w:rPr>
      <w:rFonts w:ascii="Tahoma" w:hAnsi="Tahoma" w:cs="Tahoma"/>
      <w:sz w:val="16"/>
      <w:szCs w:val="16"/>
    </w:rPr>
  </w:style>
  <w:style w:type="character" w:customStyle="1" w:styleId="BalloonTextChar">
    <w:name w:val="Balloon Text Char"/>
    <w:basedOn w:val="DefaultParagraphFont"/>
    <w:link w:val="BalloonText"/>
    <w:uiPriority w:val="99"/>
    <w:semiHidden/>
    <w:rsid w:val="00426F8D"/>
    <w:rPr>
      <w:rFonts w:ascii="Tahoma" w:hAnsi="Tahoma" w:cs="Tahoma"/>
      <w:sz w:val="16"/>
      <w:szCs w:val="16"/>
    </w:rPr>
  </w:style>
  <w:style w:type="paragraph" w:styleId="NoSpacing">
    <w:name w:val="No Spacing"/>
    <w:uiPriority w:val="1"/>
    <w:qFormat/>
    <w:rsid w:val="00D37818"/>
  </w:style>
  <w:style w:type="character" w:customStyle="1" w:styleId="hps">
    <w:name w:val="hps"/>
    <w:basedOn w:val="DefaultParagraphFont"/>
    <w:rsid w:val="006A16F0"/>
  </w:style>
  <w:style w:type="paragraph" w:customStyle="1" w:styleId="Style16">
    <w:name w:val="Style 16"/>
    <w:basedOn w:val="Normal"/>
    <w:rsid w:val="006A16F0"/>
    <w:pPr>
      <w:widowControl w:val="0"/>
      <w:tabs>
        <w:tab w:val="left" w:leader="dot" w:pos="5652"/>
      </w:tabs>
      <w:spacing w:line="300" w:lineRule="atLeast"/>
    </w:pPr>
    <w:rPr>
      <w:rFonts w:ascii="Times New Roman" w:eastAsia="Times New Roman" w:hAnsi="Times New Roman" w:cs="Times New Roman"/>
      <w:color w:val="000000"/>
      <w:sz w:val="20"/>
      <w:szCs w:val="20"/>
      <w:lang w:val="en-US"/>
    </w:rPr>
  </w:style>
  <w:style w:type="paragraph" w:styleId="Header">
    <w:name w:val="header"/>
    <w:basedOn w:val="Normal"/>
    <w:link w:val="HeaderChar"/>
    <w:uiPriority w:val="99"/>
    <w:unhideWhenUsed/>
    <w:rsid w:val="00074999"/>
    <w:pPr>
      <w:tabs>
        <w:tab w:val="center" w:pos="4513"/>
        <w:tab w:val="right" w:pos="9026"/>
      </w:tabs>
    </w:pPr>
  </w:style>
  <w:style w:type="character" w:customStyle="1" w:styleId="HeaderChar">
    <w:name w:val="Header Char"/>
    <w:basedOn w:val="DefaultParagraphFont"/>
    <w:link w:val="Header"/>
    <w:uiPriority w:val="99"/>
    <w:rsid w:val="00074999"/>
  </w:style>
  <w:style w:type="paragraph" w:styleId="Footer">
    <w:name w:val="footer"/>
    <w:basedOn w:val="Normal"/>
    <w:link w:val="FooterChar"/>
    <w:uiPriority w:val="99"/>
    <w:unhideWhenUsed/>
    <w:rsid w:val="00074999"/>
    <w:pPr>
      <w:tabs>
        <w:tab w:val="center" w:pos="4513"/>
        <w:tab w:val="right" w:pos="9026"/>
      </w:tabs>
    </w:pPr>
  </w:style>
  <w:style w:type="character" w:customStyle="1" w:styleId="FooterChar">
    <w:name w:val="Footer Char"/>
    <w:basedOn w:val="DefaultParagraphFont"/>
    <w:link w:val="Footer"/>
    <w:uiPriority w:val="99"/>
    <w:rsid w:val="00074999"/>
  </w:style>
  <w:style w:type="character" w:styleId="Hyperlink">
    <w:name w:val="Hyperlink"/>
    <w:basedOn w:val="DefaultParagraphFont"/>
    <w:uiPriority w:val="99"/>
    <w:unhideWhenUsed/>
    <w:rsid w:val="00FF1716"/>
    <w:rPr>
      <w:color w:val="0000FF"/>
      <w:u w:val="single"/>
    </w:rPr>
  </w:style>
  <w:style w:type="character" w:customStyle="1" w:styleId="a">
    <w:name w:val="a"/>
    <w:basedOn w:val="DefaultParagraphFont"/>
    <w:rsid w:val="00FF1716"/>
  </w:style>
  <w:style w:type="character" w:styleId="Strong">
    <w:name w:val="Strong"/>
    <w:basedOn w:val="DefaultParagraphFont"/>
    <w:uiPriority w:val="22"/>
    <w:qFormat/>
    <w:rsid w:val="002B448E"/>
    <w:rPr>
      <w:b/>
      <w:bCs/>
    </w:rPr>
  </w:style>
  <w:style w:type="character" w:styleId="Emphasis">
    <w:name w:val="Emphasis"/>
    <w:basedOn w:val="DefaultParagraphFont"/>
    <w:uiPriority w:val="20"/>
    <w:qFormat/>
    <w:rsid w:val="002B448E"/>
    <w:rPr>
      <w:i/>
      <w:iCs/>
    </w:rPr>
  </w:style>
  <w:style w:type="paragraph" w:styleId="NormalWeb">
    <w:name w:val="Normal (Web)"/>
    <w:basedOn w:val="Normal"/>
    <w:uiPriority w:val="99"/>
    <w:semiHidden/>
    <w:unhideWhenUsed/>
    <w:rsid w:val="00B51B28"/>
    <w:pPr>
      <w:spacing w:before="100" w:beforeAutospacing="1" w:after="100" w:afterAutospacing="1"/>
    </w:pPr>
    <w:rPr>
      <w:rFonts w:ascii="Times New Roman" w:eastAsia="Times New Roman" w:hAnsi="Times New Roman" w:cs="Times New Roman"/>
      <w:sz w:val="24"/>
      <w:szCs w:val="24"/>
      <w:lang w:eastAsia="id-ID"/>
    </w:rPr>
  </w:style>
  <w:style w:type="character" w:customStyle="1" w:styleId="UnresolvedMention1">
    <w:name w:val="Unresolved Mention1"/>
    <w:basedOn w:val="DefaultParagraphFont"/>
    <w:uiPriority w:val="99"/>
    <w:semiHidden/>
    <w:unhideWhenUsed/>
    <w:rsid w:val="003242EE"/>
    <w:rPr>
      <w:color w:val="605E5C"/>
      <w:shd w:val="clear" w:color="auto" w:fill="E1DFDD"/>
    </w:rPr>
  </w:style>
  <w:style w:type="character" w:customStyle="1" w:styleId="fontstyle01">
    <w:name w:val="fontstyle01"/>
    <w:basedOn w:val="DefaultParagraphFont"/>
    <w:rsid w:val="007604AD"/>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551777">
      <w:bodyDiv w:val="1"/>
      <w:marLeft w:val="0"/>
      <w:marRight w:val="0"/>
      <w:marTop w:val="0"/>
      <w:marBottom w:val="0"/>
      <w:divBdr>
        <w:top w:val="none" w:sz="0" w:space="0" w:color="auto"/>
        <w:left w:val="none" w:sz="0" w:space="0" w:color="auto"/>
        <w:bottom w:val="none" w:sz="0" w:space="0" w:color="auto"/>
        <w:right w:val="none" w:sz="0" w:space="0" w:color="auto"/>
      </w:divBdr>
    </w:div>
    <w:div w:id="164909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YUD15</b:Tag>
    <b:SourceType>Book</b:SourceType>
    <b:Guid>{5BECDE23-2724-464F-89B7-FFD161C8CBF0}</b:Guid>
    <b:Author>
      <b:Author>
        <b:NameList>
          <b:Person>
            <b:Last>PUTRA</b:Last>
            <b:First>YUDI</b:First>
            <b:Middle>YUNIKA</b:Middle>
          </b:Person>
        </b:NameList>
      </b:Author>
    </b:Author>
    <b:Title>RAYUAN MAUT</b:Title>
    <b:Year>2015</b:Year>
    <b:City>JAKARTA</b:City>
    <b:Publisher>ERLANGGA</b:Publisher>
    <b:RefOrder>1</b:RefOrder>
  </b:Source>
</b:Sources>
</file>

<file path=customXml/itemProps1.xml><?xml version="1.0" encoding="utf-8"?>
<ds:datastoreItem xmlns:ds="http://schemas.openxmlformats.org/officeDocument/2006/customXml" ds:itemID="{46AAA120-BFE3-4287-8158-F3C30BBA9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13867</Words>
  <Characters>79045</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dc:creator>
  <cp:lastModifiedBy>Windows User</cp:lastModifiedBy>
  <cp:revision>2</cp:revision>
  <cp:lastPrinted>2016-11-19T07:16:00Z</cp:lastPrinted>
  <dcterms:created xsi:type="dcterms:W3CDTF">2023-05-31T04:15:00Z</dcterms:created>
  <dcterms:modified xsi:type="dcterms:W3CDTF">2023-05-31T04:15:00Z</dcterms:modified>
</cp:coreProperties>
</file>