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D23" w:rsidRPr="00440D23" w:rsidRDefault="00440D23" w:rsidP="00440D23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</w:pPr>
      <w:bookmarkStart w:id="0" w:name="_Toc105823884"/>
      <w:bookmarkStart w:id="1" w:name="_Toc105824096"/>
      <w:bookmarkStart w:id="2" w:name="_Toc112758195"/>
      <w:r w:rsidRPr="00440D23"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  <w:t>BAB II</w:t>
      </w:r>
      <w:bookmarkEnd w:id="0"/>
      <w:bookmarkEnd w:id="1"/>
      <w:bookmarkEnd w:id="2"/>
    </w:p>
    <w:p w:rsidR="00440D23" w:rsidRPr="00440D23" w:rsidRDefault="00440D23" w:rsidP="00440D23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</w:pPr>
      <w:bookmarkStart w:id="3" w:name="_Toc105823885"/>
      <w:bookmarkStart w:id="4" w:name="_Toc105824097"/>
      <w:bookmarkStart w:id="5" w:name="_Toc112758196"/>
      <w:r w:rsidRPr="00440D23"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  <w:t>TINJAUAN PUSTAKA</w:t>
      </w:r>
      <w:bookmarkEnd w:id="3"/>
      <w:bookmarkEnd w:id="4"/>
      <w:bookmarkEnd w:id="5"/>
      <w:r w:rsidRPr="00440D23">
        <w:rPr>
          <w:rFonts w:ascii="Times New Roman" w:eastAsiaTheme="majorEastAsia" w:hAnsi="Times New Roman" w:cstheme="majorBidi"/>
          <w:b/>
          <w:bCs/>
          <w:color w:val="000000" w:themeColor="text1"/>
          <w:kern w:val="0"/>
          <w:sz w:val="24"/>
          <w:szCs w:val="28"/>
          <w:lang w:val="id-ID"/>
          <w14:ligatures w14:val="none"/>
        </w:rPr>
        <w:t xml:space="preserve"> </w:t>
      </w: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after="0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bookmarkStart w:id="6" w:name="_Toc105823886"/>
      <w:bookmarkStart w:id="7" w:name="_Toc105824098"/>
      <w:bookmarkStart w:id="8" w:name="_Toc112758197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2.1.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Literatur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Review</w:t>
      </w:r>
      <w:bookmarkEnd w:id="6"/>
      <w:bookmarkEnd w:id="7"/>
      <w:bookmarkEnd w:id="8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membahas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kaji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tokoh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mahasiswa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perguruan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Indonesia. Maka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meggunakan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laporan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skripsi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sumber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referensi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informasi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diantaranya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berikut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Tulisan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skripsi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berjudul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She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2015-2016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diprakarsai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mewujudkan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di Indonesia”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disusun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Haifa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Hafiyanti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Susetyo</w:t>
      </w:r>
      <w:proofErr w:type="spellEnd"/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"/>
          <w:id w:val="-549304753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(Haifa 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Hafiyanti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2017)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memaparkan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She yang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landaskan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di Indonesia.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ketimpangan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menyebabkan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sangat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beragam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termasuk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kekerasan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rumah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(KDRT). Faktor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diakrenakan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pemikiran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partiarki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berarti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berkuasa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pemikiran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lemah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berkompeten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hapuskan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 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menangani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She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melibatkan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mewujukan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menghapuskan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pikir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kesempatan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Gerakan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solidaritas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melibatkan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agen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perubahan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mewujudkan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keadilan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berbasis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keterlibatan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merubah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piker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dukungan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kesempatan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  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Tulisan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kedua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Kementrian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Perempuan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Perlindungan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Anak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berjudul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“Parameter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Perundang-undangan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perundang-undangan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berfokus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dikarenakan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rasa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peduli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perundang-undangan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termasuk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kebijakan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diskriminatif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luang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pusat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daerah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parameter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uraian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perundang-undangan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terbatas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daerah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perlu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disusun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sekaligus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melengkapi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pedoman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sudah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diterbitkan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Kementerian Hukum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(HAM).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rumusan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ketentuan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Perundang-undangan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dijabarkan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akses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manfaat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kontrol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penguasaan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sumber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diharapkan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pula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berdampak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perlakuan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pemenuhan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berperspektif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sebaliknya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berakibat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diskriminatif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bias gender.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ketentuan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perundang-undangan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dasar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pun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terimplementasikan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demi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terwujudnya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Tulisan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berjudul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“Perempuan, HAM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Permasalahannya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Indonesia”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disusun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Louisa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Yesami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Krisnalita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penyebab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terjadinya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diskriminasi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jurnal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permasalahan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hak-hak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Indonesia 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punyai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ditemukan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mengatur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"/>
          <w:id w:val="1310602725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(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Krisnalita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2018)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membahas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menganai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Sistem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mengkaji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manusia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ranah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Perempuan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tatanan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wajib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mendapatkan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jaminan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hak-hak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memiliki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bidang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pemerintahan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bidang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kewarganegaraan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pendidikan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pengajaran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ketenagakerjaan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kesehatan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hak-hak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perbuatan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hak-hak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putusnya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perkawinan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tetapi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sayangnya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kekerasan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marak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kehidupan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"/>
          <w:id w:val="-1521312386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(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Krisnalita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2018)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Tabel 1.1. Tabel </w:t>
      </w:r>
      <w:proofErr w:type="spellStart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Perbandingan</w:t>
      </w:r>
      <w:proofErr w:type="spellEnd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>Literatur</w:t>
      </w:r>
      <w:proofErr w:type="spellEnd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Review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510"/>
        <w:gridCol w:w="2324"/>
        <w:gridCol w:w="1629"/>
        <w:gridCol w:w="1561"/>
        <w:gridCol w:w="1909"/>
      </w:tblGrid>
      <w:tr w:rsidR="00440D23" w:rsidRPr="00440D23" w:rsidTr="00924AAA">
        <w:trPr>
          <w:trHeight w:val="359"/>
        </w:trPr>
        <w:tc>
          <w:tcPr>
            <w:tcW w:w="510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24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Buku</w:t>
            </w:r>
            <w:proofErr w:type="spellEnd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Skripsi</w:t>
            </w:r>
            <w:proofErr w:type="spellEnd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1556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Penulis</w:t>
            </w:r>
            <w:proofErr w:type="spellEnd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Persamaan</w:t>
            </w:r>
            <w:proofErr w:type="spellEnd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Perbedaan</w:t>
            </w:r>
            <w:proofErr w:type="spellEnd"/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0D23" w:rsidRPr="00440D23" w:rsidTr="00924AAA">
        <w:trPr>
          <w:trHeight w:val="3127"/>
        </w:trPr>
        <w:tc>
          <w:tcPr>
            <w:tcW w:w="510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She Pada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2015-2016 Yang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Diprakarsai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Oleh UN Women Dalam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 Di Indonesia</w:t>
            </w:r>
          </w:p>
        </w:tc>
        <w:tc>
          <w:tcPr>
            <w:tcW w:w="1556" w:type="dxa"/>
          </w:tcPr>
          <w:p w:rsidR="00440D23" w:rsidRPr="00440D23" w:rsidRDefault="00440D23" w:rsidP="00440D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Haifa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Hafiyanti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Susetyo</w:t>
            </w:r>
            <w:proofErr w:type="spellEnd"/>
          </w:p>
        </w:tc>
        <w:tc>
          <w:tcPr>
            <w:tcW w:w="1791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She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gender.</w:t>
            </w:r>
          </w:p>
        </w:tc>
        <w:tc>
          <w:tcPr>
            <w:tcW w:w="1752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menangani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ketidakadilan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buruh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perempuandan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Tindakan KDRT.</w:t>
            </w:r>
          </w:p>
        </w:tc>
      </w:tr>
      <w:tr w:rsidR="00440D23" w:rsidRPr="00440D23" w:rsidTr="00924AAA">
        <w:trPr>
          <w:trHeight w:val="3026"/>
        </w:trPr>
        <w:tc>
          <w:tcPr>
            <w:tcW w:w="510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24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Parameter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 Dalam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1556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Kementrian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Pemberdayaan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Perempuan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Anak</w:t>
            </w:r>
          </w:p>
        </w:tc>
        <w:tc>
          <w:tcPr>
            <w:tcW w:w="1791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gender.</w:t>
            </w:r>
          </w:p>
        </w:tc>
        <w:tc>
          <w:tcPr>
            <w:tcW w:w="1752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pada gender.</w:t>
            </w:r>
          </w:p>
        </w:tc>
      </w:tr>
      <w:tr w:rsidR="00440D23" w:rsidRPr="00440D23" w:rsidTr="00924AAA">
        <w:trPr>
          <w:trHeight w:val="3687"/>
        </w:trPr>
        <w:tc>
          <w:tcPr>
            <w:tcW w:w="510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Perempuan, HAM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Permasalahannya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</w:p>
        </w:tc>
        <w:tc>
          <w:tcPr>
            <w:tcW w:w="1556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Louisa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Yesami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Krisnalita</w:t>
            </w:r>
            <w:proofErr w:type="spellEnd"/>
          </w:p>
        </w:tc>
        <w:tc>
          <w:tcPr>
            <w:tcW w:w="1791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hak-hak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440D23" w:rsidRPr="00440D23" w:rsidRDefault="00440D23" w:rsidP="00440D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HAM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lebihmenekankan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gender,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hak-hak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</w:p>
        </w:tc>
      </w:tr>
    </w:tbl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after="0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bookmarkStart w:id="9" w:name="_Toc105823887"/>
      <w:bookmarkStart w:id="10" w:name="_Toc105824099"/>
      <w:bookmarkStart w:id="11" w:name="_Toc112758198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2.2.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Kerangka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Teoritis</w:t>
      </w:r>
      <w:bookmarkEnd w:id="9"/>
      <w:bookmarkEnd w:id="10"/>
      <w:bookmarkEnd w:id="11"/>
      <w:proofErr w:type="spellEnd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Kerangka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teoritis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kerangka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teori-teori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digunakan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tolak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ukur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pembanding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12" w:name="_Toc105823888"/>
      <w:bookmarkStart w:id="13" w:name="_Toc105824100"/>
      <w:bookmarkStart w:id="14" w:name="_Toc112758199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2.2.1.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Hubungan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Internasional</w:t>
      </w:r>
      <w:bookmarkEnd w:id="12"/>
      <w:bookmarkEnd w:id="13"/>
      <w:bookmarkEnd w:id="14"/>
      <w:proofErr w:type="spellEnd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David Singer,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mengatakan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Hubungan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generasi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empiris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gejala-gejala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memliliki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kemampuan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deskriptif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ekspalatif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prediktif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Adapun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generelisasi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empiris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kesimpulan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ditarik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temuan-temuan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empiris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konkret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rumusan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bersifat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logis</w:t>
      </w:r>
      <w:proofErr w:type="spellEnd"/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"/>
          <w:id w:val="691721421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(J. David Singer 1961)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Sementara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Kaplan dan George Modelski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mengarti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seperangkat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norma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menunjukkan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aktor-aktor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bertindak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(behave).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jelas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dipengaruhi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perspektif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studi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HI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melihat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aktor-aktor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hubungan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sederhana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Jonathan Cristol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mengatakan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berusaha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di masa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lalu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memprediksikan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masa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depan</w:t>
      </w:r>
      <w:proofErr w:type="spellEnd"/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"/>
          <w:id w:val="2006547731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(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cristel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jonathan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2016).</w:t>
          </w:r>
        </w:sdtContent>
      </w:sdt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HI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mencoba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menyampaikan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kerangka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konseptual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hubungan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diteliti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Teori HI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dunia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hubungan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Teori HI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kerangka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konseptual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memfasilitasi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pemahaman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penjelasan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peristiwa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fenomena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dunia,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menganalisis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menginformasikan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keterkaitan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kebijakan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praktik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hubungan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Dapat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dikatakan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teori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seperangkat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gagasan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internasional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15" w:name="_Toc112758200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2.2.2.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Gender</w:t>
      </w:r>
      <w:bookmarkEnd w:id="15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Interpretasi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konstruksi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berdasarkan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perbedaan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tercermin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konsep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tugas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fungsi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tanggung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jawab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sikap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kehidupan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publik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kehidupan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pribadi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Peraturan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Menteri Negara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Perempuan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Perlindungan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Anak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Republik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Indonesia.</w:t>
      </w:r>
      <w:r w:rsidRPr="00440D23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ditampilkan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wanita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wanita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Orang-orang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menganggap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perbedaan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kesalahpahaman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konstruksi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definisi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H. T. Wilson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bukunya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Sex and Gender,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berkontribusi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berbeda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begitulah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diidentifikasi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berpendapat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lokal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berdampak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gender,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wanita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berbeda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wanita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kebiasaan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norma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pandangan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berasal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Istilah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diterjemahkan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bahasa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Inggris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diartikan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kelamin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Ratna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megawangi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beragumen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sifat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maskulin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dikontruksi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2"/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diartikan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sifat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melekat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dikontruksi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kultular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3"/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16" w:name="_Toc105823889"/>
      <w:bookmarkStart w:id="17" w:name="_Toc105824101"/>
      <w:bookmarkStart w:id="18" w:name="_Toc112758201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2.2.3. Gerakan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Feminisme</w:t>
      </w:r>
      <w:bookmarkEnd w:id="16"/>
      <w:bookmarkEnd w:id="17"/>
      <w:bookmarkEnd w:id="18"/>
      <w:proofErr w:type="spellEnd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Feminisme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berasal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kata Latin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wanita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Ungkapan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kali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muncul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1890-an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menggambarkan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filosofi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perjuangan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hak-hak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"/>
          <w:id w:val="-1405908854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(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Asmaeny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Azis 2007)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pengetahuan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muncul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menyikapi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persoalan-persoalan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aktual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jika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dilihat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perspektif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feminisme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Islam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umumnya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sekaligus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gerakan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historis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kontekstual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Banyak orang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mendefinisikannya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pembedaan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berpihak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berdasarkan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Feminisme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ideologi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mengakui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diremehkan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berusaha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mereformasi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memperbaikinya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"/>
          <w:id w:val="1095829919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(Ratna 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Saptari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dan Brigitte Holzner 1997)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Geofe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Sugihastuti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Suharto, 2005:61)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Memperjuangkan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kepentingan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gerakan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terorganisir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dikenal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feminisme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Perempuan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bebas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mendefinisikan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jika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mempunyai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</w:t>
      </w:r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..</w:t>
      </w:r>
      <w:proofErr w:type="gramEnd"/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menjunjung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gender,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seksual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Teori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feminisme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menjunjung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nilai-nilai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pengalaman-pengalaman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dialami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Feminism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pengungkapan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kehidupan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440D23">
        <w:rPr>
          <w:kern w:val="0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William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Outwaite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Feminisme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digambarkan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dedikasi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memajukan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status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bersama-sama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advokasi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dukungan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Hal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mengandung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mengalami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keadaan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seimbang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berupa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patriarki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dominasi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ketimpangan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implikasi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ketimpangan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gender.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"/>
          <w:id w:val="-315876148"/>
          <w:placeholder>
            <w:docPart w:val="701AAB7408FF42368AA392EDAACB016D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(William </w:t>
          </w:r>
          <w:proofErr w:type="spellStart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Outwaite</w:t>
          </w:r>
          <w:proofErr w:type="spellEnd"/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2008)</w:t>
          </w:r>
        </w:sdtContent>
      </w:sdt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19" w:name="_Toc105823890"/>
      <w:bookmarkStart w:id="20" w:name="_Toc105824102"/>
      <w:bookmarkStart w:id="21" w:name="_Toc112758202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lastRenderedPageBreak/>
        <w:t xml:space="preserve">2.2.4. </w:t>
      </w:r>
      <w:bookmarkEnd w:id="19"/>
      <w:bookmarkEnd w:id="20"/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Kampanye</w:t>
      </w:r>
      <w:bookmarkEnd w:id="21"/>
      <w:proofErr w:type="spellEnd"/>
    </w:p>
    <w:p w:rsidR="00440D23" w:rsidRPr="00440D23" w:rsidRDefault="00440D23" w:rsidP="00440D23">
      <w:pPr>
        <w:jc w:val="both"/>
        <w:rPr>
          <w:kern w:val="0"/>
          <w14:ligatures w14:val="none"/>
        </w:rPr>
      </w:pPr>
      <w:r w:rsidRPr="00440D23">
        <w:rPr>
          <w:kern w:val="0"/>
          <w14:ligatures w14:val="none"/>
        </w:rPr>
        <w:tab/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umum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menginformasikan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publik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menerima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isu-isu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diangkat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Antar Venus,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melayani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berikut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selama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kegiatan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:</w:t>
      </w:r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upaya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mengembangkan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meningkatkan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pengetahuan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opini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publik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masalah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tertentu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;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metode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informasi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mengubah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pola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pikir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; dan</w:t>
      </w:r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Pertumbuhan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bisnis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mempengaruhi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khalayak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membeli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dipasarkan</w:t>
      </w:r>
      <w:proofErr w:type="spellEnd"/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mempromosikan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persepsi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kampanye</w:t>
      </w:r>
      <w:proofErr w:type="spellEnd"/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Kotler &amp; Roberto (Philip Kotler, Eduardo L. Roberto, 1989)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menegaskan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dirancang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mengubah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sikap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umum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tertentu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Leslie B. Snyder,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mendefinisikan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tindakan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terencana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diarahkan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audiens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tertentu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dilakukan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selama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periode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waktu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ditentukan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serangkaian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tertentu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beberapa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ahli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konsep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Rogers dan Storey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paling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banyak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digunakan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diakui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oleh para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ilmuwan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faktor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.</w:t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Alasan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definisi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khusus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menetapkan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tindakan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kedua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cukup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luas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mencakup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spektrum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praktik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diamati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dunia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nyata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Setiap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setidaknya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memiliki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komponen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sejumlah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khalayak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sasaran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terkonsentrasi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waktu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singkat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urutan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tindakan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direncanakan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tindakan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dimaksudkan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menghasilkan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tertentu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memiliki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tambahan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sumber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jelas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siapa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pencipta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penyiar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orang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bertanggung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jawab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produk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pembuat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setiap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orang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mendengar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mengenalinya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menilainya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22" w:name="_Toc112758203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2.2.5.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Global</w:t>
      </w:r>
      <w:bookmarkEnd w:id="22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Global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istilah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merujuk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beberapa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pengertian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berikut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lain :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keseluruhan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bulat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hitungan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,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kesepakatan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,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keputusan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garis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bersangkut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meliputi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seluruh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dunia.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beberapa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ahli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konsep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Rogers dan Storey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paling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banyak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digunakan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diakui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oleh para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ilmuwan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faktor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.</w:t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Alasan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definisi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khusus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menetapkan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tindakan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kedua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cukup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luas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mencakup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spektrum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praktik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diamati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dunia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nyata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pembahasan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global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dilaksanakan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bersifat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keseluruhan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meliputi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seluruh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dunia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bergabung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kampenye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usaha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meminta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bantuan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maksud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tersampaikan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tindakan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mengkomunikasikan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terencana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sudah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terorganisir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kurun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waktu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tertentu</w:t>
      </w:r>
      <w:proofErr w:type="spellEnd"/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23" w:name="_Toc105823891"/>
      <w:bookmarkStart w:id="24" w:name="_Toc105824103"/>
      <w:bookmarkStart w:id="25" w:name="_Toc112758204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2.2.6. </w:t>
      </w:r>
      <w:bookmarkEnd w:id="23"/>
      <w:bookmarkEnd w:id="24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Sosialisasi</w:t>
      </w:r>
      <w:bookmarkEnd w:id="25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bookmarkStart w:id="26" w:name="_Toc105823892"/>
      <w:bookmarkStart w:id="27" w:name="_Toc105824104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osialisasi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belajar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seumur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mana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mempelajari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kebiasaan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kultur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meliputi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norma-norma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diterima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Sosialisasi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dipengaruhi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kebudayaan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selain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interaksi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pengalaman-pengalaman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kepribadiannya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Bagi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berfungsi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pedoman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belajar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menyesuaikan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norma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struktur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Pengertian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Soekanto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Lindriati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dkk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(2017)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berpendapat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mendapatkan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sikap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sesuai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orang-orang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disekitarnya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Agustin (2014),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seumur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berkenaan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bagaimana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mempelajari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cara-cara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norma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kelompoknya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berkembang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pribadi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diterima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kelompoknya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Gunawan (2012:198),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penyampaian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orang </w:t>
      </w: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lain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tahu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mengubah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sikap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pendapat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langsung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maupun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langsung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Tujuan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Agustin (2014),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lain: 1)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keterampilan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pengetahuan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dibutuhkan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melangsungkan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kehidupan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ditengah-tengah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2)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Menambah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kemampuan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berkomunikas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efisien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mengembangkan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kemampuan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membaca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menulis,dan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bercerita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3)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pengendalianfungsi-fungsi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pelatihan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mawas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4)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Membiasakan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nilai-nilai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kepercayaan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28" w:name="_Toc112758205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2.2.7.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Perempuan</w:t>
      </w:r>
      <w:bookmarkEnd w:id="28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biasanya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dipahami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kemampuan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upaya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kualitas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seseorang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Adjid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(1985)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mendefinisikan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kapasitas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menanggapi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kondisi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sukses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tertib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integrasi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memungkinkan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berperilaku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sesuai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logika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terkandung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kondisi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Pengertian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Cohen dan Uphoff (1977),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keterlibatan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pelaksanaan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pemanfaatan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perencanaan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pengambilan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keputusan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Sayogyo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(1998)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menawarkan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kesempatan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terlibat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memutuskan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kebijakan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mengevaluasi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definisi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Sajogyo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(2003)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menawarkan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definisi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di mana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sejumlah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mitra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berbagi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wewenang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pengaruh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proyek-proyek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termasuk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pilihan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sumber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mana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dialokasikan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menegaskan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dimaksud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yakni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membangun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keterlibatan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puncaknya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inisiatif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literatur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FAO (1989)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Mikkelsen (2001)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menerangkan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mempekakan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terbuka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tanggap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proyek-proyek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artinya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individu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kelompok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ambil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menggunakan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kebebasannya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berinisiatif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mengumpulkan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pengetahuan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konteks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lokal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komunikasi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lokal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karyawan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persiapan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pelaksanaan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pemantauan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proyek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anggota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sukarela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mengambil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perubahan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keterlibatan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anggotanya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kehidupan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lingkungannya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Cleaver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mengatakan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argumen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efisiensi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orang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mampu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mengarah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bermanfaat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argumentasi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demokratisasi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partisipasi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hidup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(Cleaver, 2002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Cooke &amp; Kothari, 2002:37)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29" w:name="_Toc112758206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2.2.8.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She</w:t>
      </w:r>
      <w:bookmarkEnd w:id="29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PBB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badan-badan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khusus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melindungi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melidungi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menangani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Women.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Peserikatan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Bangsa-Bangsa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bidang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anak-anak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anggota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PBB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standar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global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pemerintah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menerapkan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standar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perempuan-perempuan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seluruh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dunia. 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dibawah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Women Goodwill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mempermudah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Pada 20 September 2014, UN Women Goodwill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mendirikan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bernama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HeForShe. HeForShe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sebuah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platform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mewujudkan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mengunakan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pendekatan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sistematik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dijadikan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menargetkan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memperjuangkan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agen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perubahan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ketidakadilan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Pada 2016, Indonesia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menggelar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pameran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kartun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bertajuk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planet 50-50 di Jakarta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bersamaan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resmi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menyuarakan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keterlibatannya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HeForShe. Adanya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dampak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sangat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positif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pikiran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mengubah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pikir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Sekjen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PBB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resolusi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Majelis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Umum PBB 63/311.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Setelah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pada Januari 2006,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Sekretaris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Jenderal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Ban Ki Moon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menyampaikan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laporan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berjudul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‘Proposal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Komprehensif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Majemuk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Perempuan’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‘</w:t>
      </w:r>
      <w:r w:rsidRPr="00440D2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Comprehensive Proposal for the Composite Entity for Gender Equality and the Empowerment of Women’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Pembentukan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entitas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UN Women,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badan-badan PBB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lainnya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tugas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Sekretaris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Jenderal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Ban Ki Moon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memutuskan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laporannya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Badan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baru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berusaha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mempertajam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fokus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dampaknya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PBB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"/>
          <w:id w:val="1930386722"/>
          <w:placeholder>
            <w:docPart w:val="89A3A3AF39F44D909E09F02FD3E72711"/>
          </w:placeholder>
        </w:sdtPr>
        <w:sdtContent>
          <w:r w:rsidRPr="00440D23"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 xml:space="preserve"> (UN Woman 2019).</w:t>
          </w:r>
        </w:sdtContent>
      </w:sdt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30" w:name="_Toc112758207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2.2.</w:t>
      </w:r>
      <w:proofErr w:type="gram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9.Partisipasi</w:t>
      </w:r>
      <w:proofErr w:type="gram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Perempuan Indonesia</w:t>
      </w:r>
      <w:bookmarkEnd w:id="30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Pemerintah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Indonesia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berfokus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empat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terkait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pendidikan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kesehatan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pekerjaan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pencegahan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kekerasan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pengakuan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penting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dimainkan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pembangunan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Topik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gender,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pencapaian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Sustainable Development Goals (SDGs),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khususnya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kelima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gender, juga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digarap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langkah-langkah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strategis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Awalnya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bidang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pendidikan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Program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Keluarga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Harapan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Kartu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Indonesia Pintar,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pemerintah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kesempatan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anak-anak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keluarga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berpenghasilan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rendah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mengamanatkan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wajib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belajar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12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tahun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Kedua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Indonesia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memprioritaskan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peningkatan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ketersediaan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kualitas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pelayanan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kesehatan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ibu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anak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remaja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meningkatkan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upaya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perbaikan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gizi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termasuk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kesehatan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reproduksi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lastRenderedPageBreak/>
        <w:t>ke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pendidikan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mendorong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literasi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keluarga.serta</w:t>
      </w:r>
      <w:proofErr w:type="spellEnd"/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memperbaiki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akses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kualitas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keluarga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berencana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Ketiga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pemerintah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memprioritaskan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peningkatan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kesempatan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mempromosikan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fleksibilitas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pasar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tenaga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menyesuaikan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gaji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kekuatan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pasar,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meningkatkan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keterampilan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kapasitas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tenaga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pelatihan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memperkuat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penerapan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undang-undang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ketenagakerjaan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mendukung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gender.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Keempat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akhirnya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terkait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pengurangan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kekerasan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Indonesia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berupaya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mendefinisikan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kekerasan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penyelundupan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lebih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melindungi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korban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kekerasan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hukum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meningkatkan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efisiensi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layanan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penyintas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anak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solusi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inisiatif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memberdayakan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tempat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industri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berhasil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menyerap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sebagian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besar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pekerjaan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Perempuan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mendominasi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bisnis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2011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hingga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2016,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menurut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Laporan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Tenaga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Ekonomi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BPS dan Badan Ekonomi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Bekraf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).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53,86%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industri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Jika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dibandingkan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perincian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bisnis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keseluruhan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di mana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hanya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sekitar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37,16%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62,84%,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angka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sangat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mengejutkan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9,4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juta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dipekerjakan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ekonomi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tahun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2016.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lastRenderedPageBreak/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bisnis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perfilman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khususnya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sektor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ekonomi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kreatif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peluang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bagi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mandiri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secara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ekonomi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Dalam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beberapa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tahun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terakhir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Indonesia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menghasilkan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sutradara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penulis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skenario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produser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pakar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produksi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audio dan video.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Terlepas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kenyataan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bahwa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harus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diizinkan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bekerja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semua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profesi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sejauh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mampu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menunjukkan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keterlibatan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proses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pertumbuhan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. Agar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kontribusi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menjadi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seefektif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mungkin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di masa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depan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pemerintah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pemangku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kepentingan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terkait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lainnya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hanya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perlu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memperluas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peluang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 xml:space="preserve">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:lang w:val="en-ID"/>
          <w14:ligatures w14:val="none"/>
        </w:rPr>
        <w:t>..</w:t>
      </w:r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:vertAlign w:val="superscript"/>
          <w:lang w:val="en-ID"/>
          <w14:ligatures w14:val="none"/>
        </w:rPr>
        <w:footnoteReference w:id="4"/>
      </w:r>
    </w:p>
    <w:p w:rsidR="00440D23" w:rsidRPr="00440D23" w:rsidRDefault="00440D23" w:rsidP="00440D23">
      <w:pPr>
        <w:keepNext/>
        <w:keepLines/>
        <w:spacing w:before="40" w:after="0"/>
        <w:ind w:left="1440"/>
        <w:outlineLvl w:val="2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</w:pPr>
      <w:bookmarkStart w:id="31" w:name="_Toc112758208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2.2.10. Sosialisasi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He </w:t>
      </w:r>
      <w:proofErr w:type="spellStart"/>
      <w:proofErr w:type="gram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>For</w:t>
      </w:r>
      <w:proofErr w:type="spellEnd"/>
      <w:proofErr w:type="gram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4"/>
          <w14:ligatures w14:val="none"/>
        </w:rPr>
        <w:t xml:space="preserve"> She</w:t>
      </w:r>
      <w:bookmarkEnd w:id="31"/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memiliki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tugasnya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khusus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mewujudkan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memberdayakan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mendorong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segala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aspek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bidang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politik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Peran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United Nations Entity for Gender Equality and the Empowerment of Women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440D23" w:rsidRPr="00440D23" w:rsidRDefault="00440D23" w:rsidP="00440D23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Mendukung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pemerintah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status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wanita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Commision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The Status Of Women)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merumusan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kebijakan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standar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norma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global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gender. </w:t>
      </w:r>
    </w:p>
    <w:p w:rsidR="00440D23" w:rsidRPr="00440D23" w:rsidRDefault="00440D23" w:rsidP="00440D23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negara-negara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anggota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menerapkan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standar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dukungan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teknis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finansial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negaranegara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anggota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menjalin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kemnitraan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efektif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sipil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D23" w:rsidRPr="00440D23" w:rsidRDefault="00440D23" w:rsidP="00440D23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Adanya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koordinasi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PBB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meminta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pertanggungjawaban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komitmennya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melalui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pemantauan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kemajuan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seluruh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sistem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PBB.</w:t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Tujuan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fokus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utama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ingin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HeForShe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gender pada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2030.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HeForshe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meluncurkan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IMPACT 10X10X10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mempercepat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target. IMPACT 10X10X10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percontohan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meminta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kepala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negara,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institusi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akademik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bisnis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contoh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wilayah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mereka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membawa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perubahan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struktural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budaya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diperlukan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mencapai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440D23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5"/>
      </w:r>
    </w:p>
    <w:p w:rsidR="00440D23" w:rsidRPr="00440D23" w:rsidRDefault="00440D23" w:rsidP="00440D2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after="0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bookmarkStart w:id="32" w:name="_Toc105823893"/>
      <w:bookmarkStart w:id="33" w:name="_Toc105824105"/>
      <w:bookmarkStart w:id="34" w:name="_Toc112758209"/>
      <w:bookmarkEnd w:id="26"/>
      <w:bookmarkEnd w:id="27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2.3.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Hipotesis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Penelitian</w:t>
      </w:r>
      <w:bookmarkEnd w:id="32"/>
      <w:bookmarkEnd w:id="33"/>
      <w:bookmarkEnd w:id="34"/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latar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belakang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penjelasan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sudah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jelaskan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maka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menimbulkan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hipotesis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berikut</w:t>
      </w:r>
      <w:proofErr w:type="spellEnd"/>
      <w:r w:rsidRPr="00440D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</w:t>
      </w:r>
      <w:proofErr w:type="gramEnd"/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“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Dengan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diimplementasikannya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5 program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He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for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She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yaitu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Goes to Campus, He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For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She Run, SIMFONI,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di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Seluma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pendaulantan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pemimpin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daerah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menjadi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duta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kampanye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tersebut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maka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itu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meningkatkan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kesadaran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laki-laki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dalam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pentingnya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kesetaraan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gender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serta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pemberdayaan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perempuan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meningkat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dan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kesetaran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gender di Indonesia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dapat</w:t>
      </w:r>
      <w:proofErr w:type="spellEnd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terwujud</w:t>
      </w:r>
      <w:proofErr w:type="spellEnd"/>
      <w:proofErr w:type="gramStart"/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” .</w:t>
      </w:r>
      <w:proofErr w:type="gramEnd"/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after="0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bookmarkStart w:id="35" w:name="_Toc105823894"/>
      <w:bookmarkStart w:id="36" w:name="_Toc105824106"/>
      <w:bookmarkStart w:id="37" w:name="_Toc112758210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lastRenderedPageBreak/>
        <w:t xml:space="preserve">2.4.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Verivikasi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Variabel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Indikator</w:t>
      </w:r>
      <w:bookmarkEnd w:id="35"/>
      <w:bookmarkEnd w:id="36"/>
      <w:bookmarkEnd w:id="37"/>
      <w:proofErr w:type="spellEnd"/>
    </w:p>
    <w:p w:rsidR="00440D23" w:rsidRPr="00440D23" w:rsidRDefault="00440D23" w:rsidP="00440D23">
      <w:pPr>
        <w:rPr>
          <w:kern w:val="0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3822"/>
      </w:tblGrid>
      <w:tr w:rsidR="00440D23" w:rsidRPr="00440D23" w:rsidTr="00924AAA">
        <w:tc>
          <w:tcPr>
            <w:tcW w:w="1980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hipotesis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teoritik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  <w:p w:rsidR="00440D23" w:rsidRPr="00440D23" w:rsidRDefault="00440D23" w:rsidP="00440D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empirik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:rsidR="00440D23" w:rsidRPr="00440D23" w:rsidRDefault="00440D23" w:rsidP="00440D2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Veritivikasi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0D23" w:rsidRPr="00440D23" w:rsidTr="00924AAA">
        <w:tc>
          <w:tcPr>
            <w:tcW w:w="1980" w:type="dxa"/>
          </w:tcPr>
          <w:p w:rsidR="00440D23" w:rsidRPr="00440D23" w:rsidRDefault="00440D23" w:rsidP="00440D2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She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 di Indonesia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terwujud</w:t>
            </w:r>
            <w:proofErr w:type="spellEnd"/>
          </w:p>
        </w:tc>
        <w:tc>
          <w:tcPr>
            <w:tcW w:w="2126" w:type="dxa"/>
          </w:tcPr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1.pemberdayaan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megakhiri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2. .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keterlibatan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pemuda pada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40D23">
              <w:t xml:space="preserve"> </w:t>
            </w: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swsta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pemberdayaan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Danone, di Indonesia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mengimplementasikan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He For She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dilingkungan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program mentoring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karir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pekerja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program EVE.</w:t>
            </w:r>
            <w:r w:rsidRPr="00440D23"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seminar EVE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rintangan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karier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Eve, Le Blog “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Veranita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Yosephine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: « Join the HeForShe cause to create an equal and meaningful world for men and women!”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diakes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hyperlink r:id="rId7" w:history="1"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https://www.eveprogramme.com/24634/veranitaheforshe/</w:t>
              </w:r>
            </w:hyperlink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3 Januari 2021)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2. Kementerian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Pemberdayaan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Perempuan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Anak (KPP-PA)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Youth Studies Center (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YouSure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Fisipol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UGM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menyelenggarakan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acara #HeForShe Goes to Campus di Ruang Seminar Timur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Fisipol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Dalam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 di Indonesia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She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wilayah di Indonesia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menyasar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target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acaranya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sedemikian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minat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pemuda. (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https://fisipol.ugm.ac.id/mewujudkan-kesetaraan-gender-lewat-gerakan-heforshe-goes-to-campus/</w:t>
              </w:r>
            </w:hyperlink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D23" w:rsidRPr="00440D23" w:rsidTr="00924AAA">
        <w:tc>
          <w:tcPr>
            <w:tcW w:w="1980" w:type="dxa"/>
          </w:tcPr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Variabel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Terikat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 di Indonesia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terujud</w:t>
            </w:r>
            <w:proofErr w:type="spellEnd"/>
          </w:p>
        </w:tc>
        <w:tc>
          <w:tcPr>
            <w:tcW w:w="2126" w:type="dxa"/>
          </w:tcPr>
          <w:p w:rsidR="00440D23" w:rsidRPr="00440D23" w:rsidRDefault="00440D23" w:rsidP="00440D2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kesetaraan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gender di Indonesia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memulihkan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</w:p>
        </w:tc>
        <w:tc>
          <w:tcPr>
            <w:tcW w:w="3822" w:type="dxa"/>
          </w:tcPr>
          <w:p w:rsidR="00440D23" w:rsidRPr="00440D23" w:rsidRDefault="00440D23" w:rsidP="00440D23">
            <w:pPr>
              <w:spacing w:line="480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D23">
              <w:rPr>
                <w:rFonts w:ascii="nerislight" w:hAnsi="nerislight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Melalui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proofErr w:type="spellStart"/>
            <w:proofErr w:type="gram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She</w:t>
            </w:r>
            <w:r w:rsidRPr="00440D23">
              <w:rPr>
                <w:rFonts w:ascii="Times New Roman" w:hAnsi="Times New Roman" w:cs="Times New Roman"/>
                <w:color w:val="222222"/>
              </w:rPr>
              <w:t xml:space="preserve"> Dalam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Mencipatkan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Rasa Aman Bagi Perempuan. Salah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satunya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bekerjasama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dengan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lembaga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swasta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untuk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pemberdayaan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di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lingkungan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kerja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dilingkungan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kerjanya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dengan</w:t>
            </w:r>
            <w:proofErr w:type="spellEnd"/>
            <w:r w:rsidRPr="00440D23">
              <w:rPr>
                <w:rFonts w:ascii="nerislight" w:hAnsi="nerislight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memberikan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program mentoring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karir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kepada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pekerja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  <w:p w:rsidR="00440D23" w:rsidRPr="00440D23" w:rsidRDefault="00440D23" w:rsidP="00440D23">
            <w:pPr>
              <w:spacing w:line="480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440D23">
              <w:rPr>
                <w:rFonts w:ascii="Times New Roman" w:hAnsi="Times New Roman" w:cs="Times New Roman"/>
                <w:color w:val="222222"/>
              </w:rPr>
              <w:t xml:space="preserve">program EVE.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Dengan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adanya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seminar EVE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ini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,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tidak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perlu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merasa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takut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menghadapi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rintangan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karier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dan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pemberdayaan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akan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</w:rPr>
              <w:t>terwujud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</w:rPr>
              <w:t xml:space="preserve">.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Dampak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dari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kampanye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40D2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He She </w:t>
            </w:r>
            <w:proofErr w:type="gramStart"/>
            <w:r w:rsidRPr="00440D2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for</w:t>
            </w:r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bagi</w:t>
            </w:r>
            <w:proofErr w:type="spellEnd"/>
            <w:proofErr w:type="gramEnd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Indonesia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sendiri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memberikan</w:t>
            </w:r>
            <w:proofErr w:type="spellEnd"/>
            <w:r w:rsidRPr="00440D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perekonomian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sehingga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signifikan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pemulihan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440D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 xml:space="preserve">Ini </w:t>
              </w:r>
              <w:proofErr w:type="spellStart"/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Kontribusi</w:t>
              </w:r>
              <w:proofErr w:type="spellEnd"/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 xml:space="preserve"> Perempuan </w:t>
              </w:r>
              <w:proofErr w:type="spellStart"/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dalam</w:t>
              </w:r>
              <w:proofErr w:type="spellEnd"/>
              <w:r w:rsidRPr="00440D2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 xml:space="preserve"> Ekonomi Nasional (kemenkeu.go.id)</w:t>
              </w:r>
            </w:hyperlink>
            <w:r w:rsidRPr="00440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keepNext/>
        <w:keepLines/>
        <w:spacing w:after="0"/>
        <w:outlineLvl w:val="1"/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</w:pPr>
      <w:bookmarkStart w:id="38" w:name="_Toc105823895"/>
      <w:bookmarkStart w:id="39" w:name="_Toc105824107"/>
      <w:bookmarkStart w:id="40" w:name="_Toc112758211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2.5. Skema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Kerangka</w:t>
      </w:r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  <w:proofErr w:type="spellStart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>Konseptual</w:t>
      </w:r>
      <w:bookmarkEnd w:id="38"/>
      <w:bookmarkEnd w:id="39"/>
      <w:bookmarkEnd w:id="40"/>
      <w:proofErr w:type="spellEnd"/>
      <w:r w:rsidRPr="00440D23">
        <w:rPr>
          <w:rFonts w:ascii="Times New Roman" w:eastAsiaTheme="majorEastAsia" w:hAnsi="Times New Roman" w:cstheme="majorBidi"/>
          <w:b/>
          <w:color w:val="000000" w:themeColor="text1"/>
          <w:kern w:val="0"/>
          <w:sz w:val="24"/>
          <w:szCs w:val="26"/>
          <w14:ligatures w14:val="none"/>
        </w:rPr>
        <w:t xml:space="preserve"> </w:t>
      </w:r>
    </w:p>
    <w:p w:rsidR="00440D23" w:rsidRPr="00440D23" w:rsidRDefault="00440D23" w:rsidP="00440D23">
      <w:pPr>
        <w:rPr>
          <w:kern w:val="0"/>
          <w14:ligatures w14:val="none"/>
        </w:rPr>
      </w:pP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Bagan 2.1. Skema </w:t>
      </w:r>
      <w:proofErr w:type="spellStart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>toritik</w:t>
      </w:r>
      <w:proofErr w:type="spellEnd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440D23">
        <w:rPr>
          <w:rFonts w:ascii="Times New Roman" w:hAnsi="Times New Roman" w:cs="Times New Roman"/>
          <w:kern w:val="0"/>
          <w:sz w:val="20"/>
          <w:szCs w:val="20"/>
          <w14:ligatures w14:val="none"/>
        </w:rPr>
        <w:t>penelitian</w:t>
      </w:r>
      <w:proofErr w:type="spellEnd"/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163D9" wp14:editId="3AF06089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1285875" cy="733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D23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40D23" w:rsidRPr="00861C41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 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63D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29.85pt;width:101.25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" fillcolor="window" strokeweight=".5pt">
                <v:textbox>
                  <w:txbxContent>
                    <w:p w:rsidR="00440D23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40D23" w:rsidRPr="00861C41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 WOMEN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44668" wp14:editId="48FDC711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9525" cy="762000"/>
                <wp:effectExtent l="762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C9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8pt;margin-top:18pt;width:.75pt;height:6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AB55C" wp14:editId="5D9C709F">
                <wp:simplePos x="0" y="0"/>
                <wp:positionH relativeFrom="column">
                  <wp:posOffset>4160520</wp:posOffset>
                </wp:positionH>
                <wp:positionV relativeFrom="paragraph">
                  <wp:posOffset>151765</wp:posOffset>
                </wp:positionV>
                <wp:extent cx="1247775" cy="7429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D23" w:rsidRPr="003613DD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Peningkatan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pemberdayaan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perempuan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B55C" id="Text Box 22" o:spid="_x0000_s1027" type="#_x0000_t202" style="position:absolute;left:0;text-align:left;margin-left:327.6pt;margin-top:11.95pt;width:98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" fillcolor="window" strokeweight=".5pt">
                <v:textbox>
                  <w:txbxContent>
                    <w:p w:rsidR="00440D23" w:rsidRPr="003613DD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Peningkatan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pemberdayaan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perempuan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97AAC" wp14:editId="7C03FC6F">
                <wp:simplePos x="0" y="0"/>
                <wp:positionH relativeFrom="column">
                  <wp:posOffset>3388995</wp:posOffset>
                </wp:positionH>
                <wp:positionV relativeFrom="paragraph">
                  <wp:posOffset>513715</wp:posOffset>
                </wp:positionV>
                <wp:extent cx="742950" cy="45719"/>
                <wp:effectExtent l="0" t="38100" r="38100" b="882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BE1C" id="Straight Arrow Connector 21" o:spid="_x0000_s1026" type="#_x0000_t32" style="position:absolute;margin-left:266.85pt;margin-top:40.45pt;width:58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83A5E" wp14:editId="30E3EE5C">
                <wp:simplePos x="0" y="0"/>
                <wp:positionH relativeFrom="column">
                  <wp:posOffset>1998345</wp:posOffset>
                </wp:positionH>
                <wp:positionV relativeFrom="paragraph">
                  <wp:posOffset>132715</wp:posOffset>
                </wp:positionV>
                <wp:extent cx="1381125" cy="752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D23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40D23" w:rsidRPr="003613DD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3A5E" id="Text Box 20" o:spid="_x0000_s1028" type="#_x0000_t202" style="position:absolute;left:0;text-align:left;margin-left:157.35pt;margin-top:10.45pt;width:108.75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" fillcolor="window" strokeweight=".5pt">
                <v:textbox>
                  <w:txbxContent>
                    <w:p w:rsidR="00440D23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40D23" w:rsidRPr="003613DD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Indonesia</w:t>
                      </w:r>
                    </w:p>
                  </w:txbxContent>
                </v:textbox>
              </v:shape>
            </w:pict>
          </mc:Fallback>
        </mc:AlternateContent>
      </w: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BFA77" wp14:editId="1F04862B">
                <wp:simplePos x="0" y="0"/>
                <wp:positionH relativeFrom="column">
                  <wp:posOffset>1312545</wp:posOffset>
                </wp:positionH>
                <wp:positionV relativeFrom="paragraph">
                  <wp:posOffset>504190</wp:posOffset>
                </wp:positionV>
                <wp:extent cx="666750" cy="45085"/>
                <wp:effectExtent l="0" t="57150" r="1905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208F" id="Straight Arrow Connector 18" o:spid="_x0000_s1026" type="#_x0000_t32" style="position:absolute;margin-left:103.35pt;margin-top:39.7pt;width:52.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Pr="00440D2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BD86C" wp14:editId="74CA4E92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304925" cy="7810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D23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1C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Kampanye</w:t>
                            </w:r>
                            <w:proofErr w:type="spellEnd"/>
                          </w:p>
                          <w:p w:rsidR="00440D23" w:rsidRPr="00861C41" w:rsidRDefault="00440D23" w:rsidP="00440D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06C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 For 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D86C" id="Text Box 16" o:spid="_x0000_s1029" type="#_x0000_t202" style="position:absolute;left:0;text-align:left;margin-left:0;margin-top:9.7pt;width:102.75pt;height:6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" fillcolor="window" strokeweight=".5pt">
                <v:textbox>
                  <w:txbxContent>
                    <w:p w:rsidR="00440D23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861C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Kampanye</w:t>
                      </w:r>
                      <w:proofErr w:type="spellEnd"/>
                    </w:p>
                    <w:p w:rsidR="00440D23" w:rsidRPr="00861C41" w:rsidRDefault="00440D23" w:rsidP="00440D2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106C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For She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40D2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BAB III</w:t>
      </w: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40D23" w:rsidRPr="00440D23" w:rsidRDefault="00440D23" w:rsidP="00440D23">
      <w:pPr>
        <w:spacing w:line="48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1A2C75" w:rsidRDefault="001A2C75"/>
    <w:sectPr w:rsidR="001A2C75" w:rsidSect="00440D23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233" w:rsidRDefault="00CF3233" w:rsidP="00440D23">
      <w:pPr>
        <w:spacing w:after="0" w:line="240" w:lineRule="auto"/>
      </w:pPr>
      <w:r>
        <w:separator/>
      </w:r>
    </w:p>
  </w:endnote>
  <w:endnote w:type="continuationSeparator" w:id="0">
    <w:p w:rsidR="00CF3233" w:rsidRDefault="00CF3233" w:rsidP="0044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ris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233" w:rsidRDefault="00CF3233" w:rsidP="00440D23">
      <w:pPr>
        <w:spacing w:after="0" w:line="240" w:lineRule="auto"/>
      </w:pPr>
      <w:r>
        <w:separator/>
      </w:r>
    </w:p>
  </w:footnote>
  <w:footnote w:type="continuationSeparator" w:id="0">
    <w:p w:rsidR="00CF3233" w:rsidRDefault="00CF3233" w:rsidP="00440D23">
      <w:pPr>
        <w:spacing w:after="0" w:line="240" w:lineRule="auto"/>
      </w:pPr>
      <w:r>
        <w:continuationSeparator/>
      </w:r>
    </w:p>
  </w:footnote>
  <w:footnote w:id="1">
    <w:p w:rsidR="00440D23" w:rsidRDefault="00440D23" w:rsidP="00440D23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proofErr w:type="spellStart"/>
      <w:r>
        <w:t>Peraturan</w:t>
      </w:r>
      <w:proofErr w:type="spellEnd"/>
      <w:r>
        <w:t xml:space="preserve"> Menteri Negara </w:t>
      </w:r>
      <w:proofErr w:type="spellStart"/>
      <w:r>
        <w:t>Pemberdayaan</w:t>
      </w:r>
      <w:proofErr w:type="spellEnd"/>
      <w:r>
        <w:t xml:space="preserve"> Perempuan Dan </w:t>
      </w:r>
      <w:proofErr w:type="spellStart"/>
      <w:r>
        <w:t>Perlindungan</w:t>
      </w:r>
      <w:proofErr w:type="spellEnd"/>
      <w:r>
        <w:t xml:space="preserve"> Anak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11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Pengarusutamaan</w:t>
      </w:r>
      <w:proofErr w:type="spellEnd"/>
      <w:r>
        <w:t xml:space="preserve"> Gender Di Madrasah Kementerian Agama </w:t>
      </w:r>
      <w:proofErr w:type="spellStart"/>
      <w:r>
        <w:t>Republik</w:t>
      </w:r>
      <w:proofErr w:type="spellEnd"/>
      <w:r>
        <w:t xml:space="preserve"> Indonesia, Jakarta: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Perempuan, 2010.</w:t>
      </w:r>
    </w:p>
  </w:footnote>
  <w:footnote w:id="2">
    <w:p w:rsidR="00440D23" w:rsidRDefault="00440D23" w:rsidP="00440D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53B67">
        <w:t>Syarifuddin</w:t>
      </w:r>
      <w:proofErr w:type="spellEnd"/>
      <w:r w:rsidRPr="00B53B67">
        <w:t xml:space="preserve"> Jurdi, </w:t>
      </w:r>
      <w:proofErr w:type="spellStart"/>
      <w:r w:rsidRPr="00B53B67">
        <w:t>Sosiologi</w:t>
      </w:r>
      <w:proofErr w:type="spellEnd"/>
      <w:r w:rsidRPr="00B53B67">
        <w:t xml:space="preserve"> Nusantara: </w:t>
      </w:r>
      <w:proofErr w:type="spellStart"/>
      <w:r w:rsidRPr="00B53B67">
        <w:t>Memahami</w:t>
      </w:r>
      <w:proofErr w:type="spellEnd"/>
      <w:r w:rsidRPr="00B53B67">
        <w:t xml:space="preserve"> </w:t>
      </w:r>
      <w:proofErr w:type="spellStart"/>
      <w:r w:rsidRPr="00B53B67">
        <w:t>Sosiologi</w:t>
      </w:r>
      <w:proofErr w:type="spellEnd"/>
      <w:r w:rsidRPr="00B53B67">
        <w:t xml:space="preserve"> </w:t>
      </w:r>
      <w:proofErr w:type="spellStart"/>
      <w:r w:rsidRPr="00B53B67">
        <w:t>Integralistik</w:t>
      </w:r>
      <w:proofErr w:type="spellEnd"/>
      <w:r w:rsidRPr="00B53B67">
        <w:t xml:space="preserve">, (Jakarta: </w:t>
      </w:r>
      <w:proofErr w:type="spellStart"/>
      <w:r w:rsidRPr="00B53B67">
        <w:t>Kencana</w:t>
      </w:r>
      <w:proofErr w:type="spellEnd"/>
      <w:r w:rsidRPr="00B53B67">
        <w:t>, 2013), 271.</w:t>
      </w:r>
    </w:p>
  </w:footnote>
  <w:footnote w:id="3">
    <w:p w:rsidR="00440D23" w:rsidRDefault="00440D23" w:rsidP="00440D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3B67">
        <w:t xml:space="preserve">Mansour Fakih, Analisis Gender &amp; </w:t>
      </w:r>
      <w:proofErr w:type="spellStart"/>
      <w:r w:rsidRPr="00B53B67">
        <w:t>Transformasi</w:t>
      </w:r>
      <w:proofErr w:type="spellEnd"/>
      <w:r w:rsidRPr="00B53B67">
        <w:t xml:space="preserve"> </w:t>
      </w:r>
      <w:proofErr w:type="spellStart"/>
      <w:r w:rsidRPr="00B53B67">
        <w:t>Sosial</w:t>
      </w:r>
      <w:proofErr w:type="spellEnd"/>
      <w:r w:rsidRPr="00B53B67">
        <w:t xml:space="preserve">, (Yogyakarta: </w:t>
      </w:r>
      <w:proofErr w:type="spellStart"/>
      <w:r w:rsidRPr="00B53B67">
        <w:t>INSISTPress</w:t>
      </w:r>
      <w:proofErr w:type="spellEnd"/>
      <w:r w:rsidRPr="00B53B67">
        <w:t>, 2016), 8</w:t>
      </w:r>
    </w:p>
  </w:footnote>
  <w:footnote w:id="4">
    <w:p w:rsidR="00440D23" w:rsidRDefault="00440D23" w:rsidP="00440D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369A">
        <w:t>https://www.kemenkopmk.go.id/optimalisasi-peran-perempuan-dalam-pembangunan</w:t>
      </w:r>
    </w:p>
  </w:footnote>
  <w:footnote w:id="5">
    <w:p w:rsidR="00440D23" w:rsidRDefault="00440D23" w:rsidP="00440D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37CE">
        <w:t xml:space="preserve">0 UN </w:t>
      </w:r>
      <w:proofErr w:type="spellStart"/>
      <w:proofErr w:type="gramStart"/>
      <w:r w:rsidRPr="00A837CE">
        <w:t>Women“</w:t>
      </w:r>
      <w:proofErr w:type="gramEnd"/>
      <w:r w:rsidRPr="00A837CE">
        <w:t>In</w:t>
      </w:r>
      <w:proofErr w:type="spellEnd"/>
      <w:r w:rsidRPr="00A837CE">
        <w:t xml:space="preserve"> the words of Johanna </w:t>
      </w:r>
      <w:proofErr w:type="spellStart"/>
      <w:r w:rsidRPr="00A837CE">
        <w:t>Tantria</w:t>
      </w:r>
      <w:proofErr w:type="spellEnd"/>
      <w:r w:rsidRPr="00A837CE">
        <w:t xml:space="preserve"> T. </w:t>
      </w:r>
      <w:proofErr w:type="spellStart"/>
      <w:r w:rsidRPr="00A837CE">
        <w:t>Wardham</w:t>
      </w:r>
      <w:proofErr w:type="spellEnd"/>
      <w:r w:rsidRPr="00A837CE">
        <w:t xml:space="preserve">: “Gender inequality starts from the household” </w:t>
      </w:r>
      <w:proofErr w:type="spellStart"/>
      <w:r w:rsidRPr="00A837CE">
        <w:t>diakses</w:t>
      </w:r>
      <w:proofErr w:type="spellEnd"/>
      <w:r w:rsidRPr="00A837CE">
        <w:t xml:space="preserve"> di https:/ /www.unwomen.org/en/news/stories/2017/11 /in-the-</w:t>
      </w:r>
      <w:proofErr w:type="spellStart"/>
      <w:r w:rsidRPr="00A837CE">
        <w:t>wordsof</w:t>
      </w:r>
      <w:proofErr w:type="spellEnd"/>
      <w:r w:rsidRPr="00A837CE">
        <w:t>-</w:t>
      </w:r>
      <w:proofErr w:type="spellStart"/>
      <w:r w:rsidRPr="00A837CE">
        <w:t>johanna</w:t>
      </w:r>
      <w:proofErr w:type="spellEnd"/>
      <w:r w:rsidRPr="00A837CE">
        <w:t>-</w:t>
      </w:r>
      <w:proofErr w:type="spellStart"/>
      <w:r w:rsidRPr="00A837CE">
        <w:t>tantria</w:t>
      </w:r>
      <w:proofErr w:type="spellEnd"/>
      <w:r w:rsidRPr="00A837CE">
        <w:t>-t-</w:t>
      </w:r>
      <w:proofErr w:type="spellStart"/>
      <w:r w:rsidRPr="00A837CE">
        <w:t>wardham</w:t>
      </w:r>
      <w:proofErr w:type="spellEnd"/>
      <w:r w:rsidRPr="00A837CE"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AAF"/>
    <w:multiLevelType w:val="hybridMultilevel"/>
    <w:tmpl w:val="95BCDA22"/>
    <w:lvl w:ilvl="0" w:tplc="2F5E9FA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103ED"/>
    <w:multiLevelType w:val="multilevel"/>
    <w:tmpl w:val="A4FE37D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 w16cid:durableId="174267633">
    <w:abstractNumId w:val="1"/>
  </w:num>
  <w:num w:numId="2" w16cid:durableId="1099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23"/>
    <w:rsid w:val="001A2C75"/>
    <w:rsid w:val="001E4D07"/>
    <w:rsid w:val="00440D23"/>
    <w:rsid w:val="008336F5"/>
    <w:rsid w:val="00C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0E2F"/>
  <w15:chartTrackingRefBased/>
  <w15:docId w15:val="{D84CD531-9A91-4B64-966A-248A9E7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0D2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D2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40D23"/>
    <w:rPr>
      <w:vertAlign w:val="superscript"/>
    </w:rPr>
  </w:style>
  <w:style w:type="table" w:styleId="TableGrid">
    <w:name w:val="Table Grid"/>
    <w:basedOn w:val="TableNormal"/>
    <w:uiPriority w:val="39"/>
    <w:rsid w:val="00440D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ipol.ugm.ac.id/mewujudkan-kesetaraan-gender-lewat-gerakan-heforshe-goes-to-camp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programme.com/24634/veranitaheforsh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emenkeu.go.id/publikasi/berita/ini-kontribusi-perempuan-dalam-ekonomi-nasiona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AAB7408FF42368AA392EDAACB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5D32-C2A0-403A-9B40-3255E26A346F}"/>
      </w:docPartPr>
      <w:docPartBody>
        <w:p w:rsidR="00000000" w:rsidRDefault="00027FC7" w:rsidP="00027FC7">
          <w:pPr>
            <w:pStyle w:val="701AAB7408FF42368AA392EDAACB016D"/>
          </w:pPr>
          <w:r w:rsidRPr="007C57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3A3AF39F44D909E09F02FD3E7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FB86-7707-4A39-8F5B-24C9B1027337}"/>
      </w:docPartPr>
      <w:docPartBody>
        <w:p w:rsidR="00000000" w:rsidRDefault="00027FC7" w:rsidP="00027FC7">
          <w:pPr>
            <w:pStyle w:val="89A3A3AF39F44D909E09F02FD3E72711"/>
          </w:pPr>
          <w:r w:rsidRPr="007C57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ris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C7"/>
    <w:rsid w:val="00027FC7"/>
    <w:rsid w:val="00F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FC7"/>
    <w:rPr>
      <w:color w:val="808080"/>
    </w:rPr>
  </w:style>
  <w:style w:type="paragraph" w:customStyle="1" w:styleId="701AAB7408FF42368AA392EDAACB016D">
    <w:name w:val="701AAB7408FF42368AA392EDAACB016D"/>
    <w:rsid w:val="00027FC7"/>
  </w:style>
  <w:style w:type="paragraph" w:customStyle="1" w:styleId="89A3A3AF39F44D909E09F02FD3E72711">
    <w:name w:val="89A3A3AF39F44D909E09F02FD3E72711"/>
    <w:rsid w:val="00027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4053</Words>
  <Characters>23108</Characters>
  <Application>Microsoft Office Word</Application>
  <DocSecurity>0</DocSecurity>
  <Lines>192</Lines>
  <Paragraphs>54</Paragraphs>
  <ScaleCrop>false</ScaleCrop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2022-11-04T10:25:00Z</dcterms:created>
  <dcterms:modified xsi:type="dcterms:W3CDTF">2022-11-04T10:26:00Z</dcterms:modified>
</cp:coreProperties>
</file>