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B817" w14:textId="77777777" w:rsidR="004E2188" w:rsidRPr="00342D58" w:rsidRDefault="004E2188" w:rsidP="004E2188">
      <w:pPr>
        <w:pStyle w:val="Heading1"/>
      </w:pPr>
      <w:bookmarkStart w:id="0" w:name="_Toc100414712"/>
      <w:bookmarkStart w:id="1" w:name="_Toc100415421"/>
      <w:bookmarkStart w:id="2" w:name="_Toc106095240"/>
      <w:r w:rsidRPr="00342D58">
        <w:t>BAB II</w:t>
      </w:r>
      <w:bookmarkEnd w:id="0"/>
      <w:bookmarkEnd w:id="1"/>
      <w:bookmarkEnd w:id="2"/>
      <w:r w:rsidRPr="00342D58">
        <w:t xml:space="preserve"> </w:t>
      </w:r>
    </w:p>
    <w:p w14:paraId="45C52249" w14:textId="77777777" w:rsidR="004E2188" w:rsidRDefault="004E2188" w:rsidP="004E218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42D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TINJAUAN PUSTAKA </w:t>
      </w:r>
    </w:p>
    <w:p w14:paraId="36C11719" w14:textId="77777777" w:rsidR="004E2188" w:rsidRDefault="004E2188" w:rsidP="004E218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9FE5FC" w14:textId="77777777" w:rsidR="004E2188" w:rsidRPr="007E42FB" w:rsidRDefault="004E2188" w:rsidP="004E218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46CE77" w14:textId="77777777" w:rsidR="004E2188" w:rsidRPr="007F0F15" w:rsidRDefault="004E2188" w:rsidP="004E2188">
      <w:pPr>
        <w:pStyle w:val="Heading2"/>
      </w:pPr>
      <w:bookmarkStart w:id="3" w:name="_Toc100414713"/>
      <w:bookmarkStart w:id="4" w:name="_Toc100415422"/>
      <w:bookmarkStart w:id="5" w:name="_Toc106095241"/>
      <w:r w:rsidRPr="007F0F15">
        <w:t xml:space="preserve">2.1 </w:t>
      </w:r>
      <w:proofErr w:type="spellStart"/>
      <w:r w:rsidRPr="007F0F15">
        <w:t>Literatur</w:t>
      </w:r>
      <w:proofErr w:type="spellEnd"/>
      <w:r w:rsidRPr="007F0F15">
        <w:t xml:space="preserve"> </w:t>
      </w:r>
      <w:proofErr w:type="spellStart"/>
      <w:r w:rsidRPr="007F0F15">
        <w:t>Revi</w:t>
      </w:r>
      <w:bookmarkEnd w:id="3"/>
      <w:bookmarkEnd w:id="4"/>
      <w:r>
        <w:t>u</w:t>
      </w:r>
      <w:bookmarkEnd w:id="5"/>
      <w:proofErr w:type="spellEnd"/>
    </w:p>
    <w:p w14:paraId="4C6B5D82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original.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sudah-sudah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Peran ASEAN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Asean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Agreement on Transboundary Haze Pollution.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meninjau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Peran ASEAN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ASEAN Agreement on Transboundary Haze Pollution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Indonesia. </w:t>
      </w:r>
    </w:p>
    <w:p w14:paraId="4DEF197F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Nina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Yulianti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Pengenalan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Kabut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Asap Lintas Batas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Gambut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Sejuta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Hektar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)”.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2018,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Kalimantan Tengah.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(PLG)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diinisiasi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Dekrit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No. 82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1995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Kalimantan Tengah.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sawah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karhutla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B1EBBC" w14:textId="77777777" w:rsidR="004E2188" w:rsidRDefault="004E2188" w:rsidP="004E218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Wiendara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“Peran </w:t>
      </w:r>
      <w:r w:rsidRPr="004E076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ASEAN </w:t>
      </w:r>
      <w:r w:rsidRPr="004E076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Agreement </w:t>
      </w:r>
      <w:proofErr w:type="gramStart"/>
      <w:r w:rsidRPr="004E076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On</w:t>
      </w:r>
      <w:proofErr w:type="gramEnd"/>
      <w:r w:rsidRPr="004E076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Transboundary Haze Pollution (AATHP)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Indonesia”,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AATHP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menanganinya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AATHP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AATHP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illegal logging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AATHP,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ASEAN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AATHP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sangat minim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konsistennya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zero burning policy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CAD79E5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Nurkholis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Amaya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Abdillah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Arum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Widiastuti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Ayu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Deka Ayu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Gina Aprilia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Wangge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Widyaningsih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Temporal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1997 dan 2015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Riau).”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Riau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1997/1998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transmigrasi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 investor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perkebunan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anomali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El-Nino di Samudra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Pasifik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kekeringan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pembukaan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37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HPH dan HTI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membakar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titik-titik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progresif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29FD8F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43F16011" w14:textId="77777777" w:rsidR="004E2188" w:rsidRDefault="004E2188" w:rsidP="004E218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Review </w:t>
      </w:r>
    </w:p>
    <w:p w14:paraId="1DFF559A" w14:textId="77777777" w:rsidR="004E2188" w:rsidRPr="00F8092A" w:rsidRDefault="004E2188" w:rsidP="004E218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553"/>
        <w:gridCol w:w="1697"/>
        <w:gridCol w:w="1563"/>
        <w:gridCol w:w="1852"/>
        <w:gridCol w:w="1843"/>
        <w:gridCol w:w="1701"/>
      </w:tblGrid>
      <w:tr w:rsidR="004E2188" w14:paraId="277F11A2" w14:textId="77777777" w:rsidTr="009F576E">
        <w:trPr>
          <w:trHeight w:val="509"/>
          <w:jc w:val="center"/>
        </w:trPr>
        <w:tc>
          <w:tcPr>
            <w:tcW w:w="553" w:type="dxa"/>
          </w:tcPr>
          <w:p w14:paraId="6783BE39" w14:textId="77777777" w:rsidR="004E2188" w:rsidRPr="0015343D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No </w:t>
            </w:r>
          </w:p>
        </w:tc>
        <w:tc>
          <w:tcPr>
            <w:tcW w:w="1697" w:type="dxa"/>
          </w:tcPr>
          <w:p w14:paraId="44258346" w14:textId="77777777" w:rsidR="004E2188" w:rsidRPr="0015343D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1563" w:type="dxa"/>
          </w:tcPr>
          <w:p w14:paraId="6E29E3DA" w14:textId="77777777" w:rsidR="004E2188" w:rsidRPr="009F674F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Pengarang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2" w:type="dxa"/>
          </w:tcPr>
          <w:p w14:paraId="581710B7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Isi </w:t>
            </w:r>
          </w:p>
        </w:tc>
        <w:tc>
          <w:tcPr>
            <w:tcW w:w="1843" w:type="dxa"/>
          </w:tcPr>
          <w:p w14:paraId="07E91353" w14:textId="77777777" w:rsidR="004E2188" w:rsidRPr="00391C8F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Persamaan</w:t>
            </w:r>
            <w:proofErr w:type="spellEnd"/>
          </w:p>
        </w:tc>
        <w:tc>
          <w:tcPr>
            <w:tcW w:w="1701" w:type="dxa"/>
          </w:tcPr>
          <w:p w14:paraId="13971EA3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Perbedaan</w:t>
            </w:r>
            <w:proofErr w:type="spellEnd"/>
          </w:p>
        </w:tc>
      </w:tr>
      <w:tr w:rsidR="004E2188" w14:paraId="0CE63E38" w14:textId="77777777" w:rsidTr="009F576E">
        <w:trPr>
          <w:trHeight w:val="1282"/>
          <w:jc w:val="center"/>
        </w:trPr>
        <w:tc>
          <w:tcPr>
            <w:tcW w:w="553" w:type="dxa"/>
          </w:tcPr>
          <w:p w14:paraId="50D43317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14:paraId="77B8DEE1" w14:textId="77777777" w:rsidR="004E2188" w:rsidRPr="00F22B41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Lintas Batas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Hektar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563" w:type="dxa"/>
          </w:tcPr>
          <w:p w14:paraId="0A4B62AA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4D03B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850AF2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2" w:type="dxa"/>
          </w:tcPr>
          <w:p w14:paraId="5101E9DD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global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Kalimantan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Tengah..</w:t>
            </w:r>
            <w:proofErr w:type="gramEnd"/>
          </w:p>
        </w:tc>
        <w:tc>
          <w:tcPr>
            <w:tcW w:w="1843" w:type="dxa"/>
          </w:tcPr>
          <w:p w14:paraId="5175982E" w14:textId="77777777" w:rsidR="004E2188" w:rsidRPr="00242AE0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 dan program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wilayah Kalimantan Tengah.</w:t>
            </w:r>
          </w:p>
        </w:tc>
        <w:tc>
          <w:tcPr>
            <w:tcW w:w="1701" w:type="dxa"/>
          </w:tcPr>
          <w:p w14:paraId="275BEED6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wilayah Kalimantan Tengah.</w:t>
            </w:r>
          </w:p>
        </w:tc>
      </w:tr>
      <w:tr w:rsidR="004E2188" w14:paraId="0D49FE6A" w14:textId="77777777" w:rsidTr="009F576E">
        <w:trPr>
          <w:trHeight w:val="1282"/>
          <w:jc w:val="center"/>
        </w:trPr>
        <w:tc>
          <w:tcPr>
            <w:tcW w:w="553" w:type="dxa"/>
          </w:tcPr>
          <w:p w14:paraId="77ED9FD7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7" w:type="dxa"/>
          </w:tcPr>
          <w:p w14:paraId="7219EF77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ASEAN Agreement on Transboundary Haze Pollution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aathp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Indonesia</w:t>
            </w:r>
          </w:p>
        </w:tc>
        <w:tc>
          <w:tcPr>
            <w:tcW w:w="1563" w:type="dxa"/>
          </w:tcPr>
          <w:p w14:paraId="6804ABE1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42B620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51A5DF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5510FD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797D7F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D044D5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Wiendara</w:t>
            </w:r>
            <w:proofErr w:type="spellEnd"/>
          </w:p>
        </w:tc>
        <w:tc>
          <w:tcPr>
            <w:tcW w:w="1852" w:type="dxa"/>
          </w:tcPr>
          <w:p w14:paraId="78ED7518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meratifikasi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1843" w:type="dxa"/>
          </w:tcPr>
          <w:p w14:paraId="48B21221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Peran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ASEAN Agreement on Transboundary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Haaze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Pollution (AATHP)</w:t>
            </w:r>
          </w:p>
        </w:tc>
        <w:tc>
          <w:tcPr>
            <w:tcW w:w="1701" w:type="dxa"/>
          </w:tcPr>
          <w:p w14:paraId="726E51EE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Indonesia.</w:t>
            </w:r>
          </w:p>
        </w:tc>
      </w:tr>
      <w:tr w:rsidR="004E2188" w14:paraId="0BB1F338" w14:textId="77777777" w:rsidTr="009F576E">
        <w:trPr>
          <w:trHeight w:val="1282"/>
          <w:jc w:val="center"/>
        </w:trPr>
        <w:tc>
          <w:tcPr>
            <w:tcW w:w="553" w:type="dxa"/>
          </w:tcPr>
          <w:p w14:paraId="6AB1F229" w14:textId="77777777" w:rsidR="004E2188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7" w:type="dxa"/>
          </w:tcPr>
          <w:p w14:paraId="47A3FDF0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1997 dan 2015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Riau)</w:t>
            </w:r>
          </w:p>
        </w:tc>
        <w:tc>
          <w:tcPr>
            <w:tcW w:w="1563" w:type="dxa"/>
          </w:tcPr>
          <w:p w14:paraId="7951C15E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Nurkholis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Amaya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Arum Sari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Widiastuti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Ayu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Deka Ayu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Gina Aprilia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Wangge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Widyaningsih</w:t>
            </w:r>
            <w:proofErr w:type="spellEnd"/>
          </w:p>
          <w:p w14:paraId="5074238A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450A8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17099B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D87194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</w:tcPr>
          <w:p w14:paraId="2189EE65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1997 dan 205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paling besa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14:paraId="438B51F0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Riau</w:t>
            </w:r>
          </w:p>
        </w:tc>
        <w:tc>
          <w:tcPr>
            <w:tcW w:w="1701" w:type="dxa"/>
          </w:tcPr>
          <w:p w14:paraId="52D33556" w14:textId="77777777" w:rsidR="004E2188" w:rsidRDefault="004E2188" w:rsidP="009F57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1997 dan 2015</w:t>
            </w:r>
          </w:p>
        </w:tc>
      </w:tr>
    </w:tbl>
    <w:p w14:paraId="44CC700E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F39237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3D2C9C" w14:textId="77777777" w:rsidR="004E2188" w:rsidRPr="007F0F15" w:rsidRDefault="004E2188" w:rsidP="004E2188">
      <w:pPr>
        <w:pStyle w:val="Heading2"/>
      </w:pPr>
      <w:bookmarkStart w:id="6" w:name="_Toc100414714"/>
      <w:bookmarkStart w:id="7" w:name="_Toc100415423"/>
      <w:bookmarkStart w:id="8" w:name="_Toc106095242"/>
      <w:r w:rsidRPr="007F0F15">
        <w:t xml:space="preserve">2.2 </w:t>
      </w:r>
      <w:proofErr w:type="spellStart"/>
      <w:r w:rsidRPr="007F0F15">
        <w:t>Kerangka</w:t>
      </w:r>
      <w:proofErr w:type="spellEnd"/>
      <w:r w:rsidRPr="007F0F15">
        <w:t xml:space="preserve"> </w:t>
      </w:r>
      <w:proofErr w:type="spellStart"/>
      <w:r w:rsidRPr="007F0F15">
        <w:t>Konseptual</w:t>
      </w:r>
      <w:bookmarkEnd w:id="6"/>
      <w:bookmarkEnd w:id="7"/>
      <w:bookmarkEnd w:id="8"/>
      <w:proofErr w:type="spellEnd"/>
      <w:r w:rsidRPr="007F0F15">
        <w:t xml:space="preserve"> </w:t>
      </w:r>
    </w:p>
    <w:p w14:paraId="4DE5346A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1894E1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147BCA" w14:textId="77777777" w:rsidR="004E2188" w:rsidRPr="007737BF" w:rsidRDefault="004E2188" w:rsidP="004E2188">
      <w:pPr>
        <w:pStyle w:val="bab3"/>
        <w:numPr>
          <w:ilvl w:val="0"/>
          <w:numId w:val="0"/>
        </w:numPr>
        <w:ind w:left="720"/>
        <w:rPr>
          <w:b/>
          <w:bCs/>
        </w:rPr>
      </w:pPr>
      <w:bookmarkStart w:id="9" w:name="_Toc100414715"/>
      <w:bookmarkStart w:id="10" w:name="_Toc100415424"/>
      <w:bookmarkStart w:id="11" w:name="_Toc106095243"/>
      <w:proofErr w:type="gramStart"/>
      <w:r w:rsidRPr="007737BF">
        <w:rPr>
          <w:b/>
          <w:bCs/>
        </w:rPr>
        <w:t xml:space="preserve">2.2.1  </w:t>
      </w:r>
      <w:proofErr w:type="spellStart"/>
      <w:r w:rsidRPr="007737BF">
        <w:rPr>
          <w:b/>
          <w:bCs/>
        </w:rPr>
        <w:t>Organisasi</w:t>
      </w:r>
      <w:proofErr w:type="spellEnd"/>
      <w:proofErr w:type="gramEnd"/>
      <w:r w:rsidRPr="007737BF">
        <w:rPr>
          <w:b/>
          <w:bCs/>
        </w:rPr>
        <w:t xml:space="preserve"> </w:t>
      </w:r>
      <w:proofErr w:type="spellStart"/>
      <w:r w:rsidRPr="007737BF">
        <w:rPr>
          <w:b/>
          <w:bCs/>
        </w:rPr>
        <w:t>Internasional</w:t>
      </w:r>
      <w:bookmarkEnd w:id="9"/>
      <w:bookmarkEnd w:id="10"/>
      <w:bookmarkEnd w:id="11"/>
      <w:proofErr w:type="spellEnd"/>
      <w:r w:rsidRPr="007737BF">
        <w:rPr>
          <w:b/>
          <w:bCs/>
        </w:rPr>
        <w:t xml:space="preserve"> </w:t>
      </w:r>
    </w:p>
    <w:p w14:paraId="23DDDE8F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0F57E7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0F5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7E7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0F5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Dan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perspektf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neorealisme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konstruktifisme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AFD630" w14:textId="77777777" w:rsidR="004E2188" w:rsidRDefault="004E2188" w:rsidP="004E218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Neoliberal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institusionalis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Robert Keohane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khawatir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dikhianati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Robert Keohane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mengingkari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membagikan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angotanya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ketidakpastian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berkomitmen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1B8B8CB" w14:textId="77777777" w:rsidR="004E2188" w:rsidRDefault="004E2188" w:rsidP="004E218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International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Govermental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Organization/IGO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ASEAN, UNICEF, WHO, Dan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International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Non Governmental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Organization/INGO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WWF,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Children dan lain-lain.  </w:t>
      </w:r>
    </w:p>
    <w:p w14:paraId="469616EB" w14:textId="77777777" w:rsidR="004E2188" w:rsidRDefault="004E2188" w:rsidP="004E218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Clive Archer,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6FA00AE" w14:textId="77777777" w:rsidR="004E2188" w:rsidRDefault="004E2188" w:rsidP="004E218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menyelaraskan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F8B561" w14:textId="77777777" w:rsidR="004E2188" w:rsidRDefault="004E2188" w:rsidP="004E218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Arena (forum/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berkomuikasi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memprakarsai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perjanjian-perjanjian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(convention, treaty,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agreement, dan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3531D7C" w14:textId="77777777" w:rsidR="004E2188" w:rsidRDefault="004E2188" w:rsidP="004E218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yangautonomous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kapasitasnya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anggota-anggotanya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9EF051" w14:textId="77777777" w:rsidR="004E2188" w:rsidRPr="00DD55F5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763E32" w14:textId="77777777" w:rsidR="004E2188" w:rsidRPr="000F57E7" w:rsidRDefault="004E2188" w:rsidP="004E218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3CFE26" w14:textId="77777777" w:rsidR="004E2188" w:rsidRDefault="004E2188" w:rsidP="004E2188">
      <w:pPr>
        <w:spacing w:line="480" w:lineRule="auto"/>
        <w:ind w:left="1298" w:hanging="57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2.2.2 </w:t>
      </w:r>
      <w:proofErr w:type="spellStart"/>
      <w:r w:rsidRPr="007737BF">
        <w:rPr>
          <w:rStyle w:val="bab3Char"/>
          <w:b/>
          <w:bCs/>
        </w:rPr>
        <w:t>Regionalisme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FEEC68E" w14:textId="77777777" w:rsidR="004E2188" w:rsidRPr="00643EA2" w:rsidRDefault="004E2188" w:rsidP="004E2188">
      <w:pPr>
        <w:spacing w:line="480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formal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regionalisasi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Prof. Budi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Winarno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Kotemporer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(2011),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diidentifikaasi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ketergantungn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keikutsertaan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aktor-aktornya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Kawasan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reformasi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aktor-aktor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regional.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dan strategi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6440BC0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83C09C" w14:textId="77777777" w:rsidR="004E2188" w:rsidRPr="00CF5723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0DDE3" w14:textId="77777777" w:rsidR="004E2188" w:rsidRPr="007737BF" w:rsidRDefault="004E2188" w:rsidP="004E2188">
      <w:pPr>
        <w:pStyle w:val="bab3"/>
        <w:numPr>
          <w:ilvl w:val="0"/>
          <w:numId w:val="0"/>
        </w:numPr>
        <w:ind w:left="720"/>
        <w:rPr>
          <w:b/>
          <w:bCs/>
        </w:rPr>
      </w:pPr>
      <w:bookmarkStart w:id="12" w:name="_Toc100414717"/>
      <w:bookmarkStart w:id="13" w:name="_Toc100415426"/>
      <w:bookmarkStart w:id="14" w:name="_Toc106095244"/>
      <w:r w:rsidRPr="007737BF">
        <w:rPr>
          <w:b/>
          <w:bCs/>
        </w:rPr>
        <w:t>2.2.</w:t>
      </w:r>
      <w:r>
        <w:rPr>
          <w:b/>
          <w:bCs/>
        </w:rPr>
        <w:t xml:space="preserve">3 </w:t>
      </w:r>
      <w:r w:rsidRPr="007737BF">
        <w:rPr>
          <w:b/>
          <w:bCs/>
        </w:rPr>
        <w:t>Green Theory</w:t>
      </w:r>
      <w:bookmarkEnd w:id="12"/>
      <w:bookmarkEnd w:id="13"/>
      <w:bookmarkEnd w:id="14"/>
    </w:p>
    <w:p w14:paraId="02CD36AB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Green theory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Hijau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1960-an,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batas-batas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negara. </w:t>
      </w:r>
    </w:p>
    <w:p w14:paraId="15B6F280" w14:textId="77777777" w:rsidR="004E2188" w:rsidRPr="008F3662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DE5C6C">
        <w:rPr>
          <w:rFonts w:ascii="Times New Roman" w:hAnsi="Times New Roman" w:cs="Times New Roman"/>
          <w:sz w:val="24"/>
          <w:szCs w:val="24"/>
          <w:lang w:val="en-US"/>
        </w:rPr>
        <w:t>Paterson (</w:t>
      </w:r>
      <w:proofErr w:type="spellStart"/>
      <w:r w:rsidRPr="00DE5C6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E5C6C">
        <w:rPr>
          <w:rFonts w:ascii="Times New Roman" w:hAnsi="Times New Roman" w:cs="Times New Roman"/>
          <w:sz w:val="24"/>
          <w:szCs w:val="24"/>
          <w:lang w:val="en-US"/>
        </w:rPr>
        <w:t xml:space="preserve"> Burchill, 2001)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Green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Polittics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asumsi-asumsi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mendasarinya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penolakan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antropocentic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human-centered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eksploitatif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desentralisasi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mempercayai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lestari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pendesentralisasian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(Burchill, 2001). </w:t>
      </w:r>
    </w:p>
    <w:p w14:paraId="2681CAB5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C4A40B1" w14:textId="77777777" w:rsidR="004E2188" w:rsidRPr="007737BF" w:rsidRDefault="004E2188" w:rsidP="004E2188">
      <w:pPr>
        <w:pStyle w:val="bab3"/>
        <w:numPr>
          <w:ilvl w:val="0"/>
          <w:numId w:val="0"/>
        </w:numPr>
        <w:ind w:left="720"/>
        <w:rPr>
          <w:b/>
          <w:bCs/>
        </w:rPr>
      </w:pPr>
      <w:bookmarkStart w:id="15" w:name="_Toc100414718"/>
      <w:bookmarkStart w:id="16" w:name="_Toc100415427"/>
      <w:bookmarkStart w:id="17" w:name="_Toc106095245"/>
      <w:r w:rsidRPr="007737BF">
        <w:rPr>
          <w:b/>
          <w:bCs/>
        </w:rPr>
        <w:t>2.2.</w:t>
      </w:r>
      <w:r>
        <w:rPr>
          <w:b/>
          <w:bCs/>
        </w:rPr>
        <w:t>4</w:t>
      </w:r>
      <w:r w:rsidRPr="007737BF">
        <w:rPr>
          <w:b/>
          <w:bCs/>
        </w:rPr>
        <w:t xml:space="preserve"> </w:t>
      </w:r>
      <w:proofErr w:type="spellStart"/>
      <w:r w:rsidRPr="007737BF">
        <w:rPr>
          <w:b/>
          <w:bCs/>
        </w:rPr>
        <w:t>Antroposentrisme</w:t>
      </w:r>
      <w:bookmarkEnd w:id="15"/>
      <w:bookmarkEnd w:id="16"/>
      <w:bookmarkEnd w:id="17"/>
      <w:proofErr w:type="spellEnd"/>
      <w:r w:rsidRPr="007737BF">
        <w:rPr>
          <w:b/>
          <w:bCs/>
        </w:rPr>
        <w:t xml:space="preserve"> </w:t>
      </w:r>
    </w:p>
    <w:p w14:paraId="27A0B652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bookmarkStart w:id="18" w:name="_Hlk105975533"/>
      <w:proofErr w:type="spellStart"/>
      <w:r w:rsidRPr="00322A1E">
        <w:rPr>
          <w:rFonts w:ascii="Times New Roman" w:hAnsi="Times New Roman" w:cs="Times New Roman"/>
          <w:sz w:val="24"/>
          <w:szCs w:val="24"/>
          <w:lang w:val="en-US"/>
        </w:rPr>
        <w:t>Antroposentrisme</w:t>
      </w:r>
      <w:proofErr w:type="spellEnd"/>
      <w:r w:rsidRPr="0032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berpandangan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pemuas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Nilai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eksploitasi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Etika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bookmarkEnd w:id="18"/>
    <w:p w14:paraId="5B7F3078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734CC7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egoistis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moral.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Sutoyo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17553853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E8D50" w14:textId="77777777" w:rsidR="004E2188" w:rsidRPr="007737BF" w:rsidRDefault="004E2188" w:rsidP="004E2188">
      <w:pPr>
        <w:pStyle w:val="bab3"/>
        <w:numPr>
          <w:ilvl w:val="0"/>
          <w:numId w:val="0"/>
        </w:numPr>
        <w:ind w:left="720"/>
        <w:rPr>
          <w:b/>
          <w:bCs/>
        </w:rPr>
      </w:pPr>
      <w:bookmarkStart w:id="19" w:name="_Toc100414719"/>
      <w:bookmarkStart w:id="20" w:name="_Toc100415428"/>
      <w:bookmarkStart w:id="21" w:name="_Toc106095246"/>
      <w:r w:rsidRPr="007737BF">
        <w:rPr>
          <w:b/>
          <w:bCs/>
        </w:rPr>
        <w:t>2.2.</w:t>
      </w:r>
      <w:r>
        <w:rPr>
          <w:b/>
          <w:bCs/>
        </w:rPr>
        <w:t>5</w:t>
      </w:r>
      <w:r w:rsidRPr="007737BF">
        <w:rPr>
          <w:b/>
          <w:bCs/>
        </w:rPr>
        <w:t xml:space="preserve"> </w:t>
      </w:r>
      <w:proofErr w:type="spellStart"/>
      <w:r w:rsidRPr="007737BF">
        <w:rPr>
          <w:b/>
          <w:bCs/>
        </w:rPr>
        <w:t>Keamanan</w:t>
      </w:r>
      <w:proofErr w:type="spellEnd"/>
      <w:r w:rsidRPr="007737BF">
        <w:rPr>
          <w:b/>
          <w:bCs/>
        </w:rPr>
        <w:t xml:space="preserve"> </w:t>
      </w:r>
      <w:proofErr w:type="spellStart"/>
      <w:r w:rsidRPr="007737BF">
        <w:rPr>
          <w:b/>
          <w:bCs/>
        </w:rPr>
        <w:t>Lingkungan</w:t>
      </w:r>
      <w:bookmarkEnd w:id="19"/>
      <w:bookmarkEnd w:id="20"/>
      <w:bookmarkEnd w:id="21"/>
      <w:proofErr w:type="spellEnd"/>
      <w:r w:rsidRPr="007737BF">
        <w:rPr>
          <w:b/>
          <w:bCs/>
        </w:rPr>
        <w:t xml:space="preserve"> </w:t>
      </w:r>
    </w:p>
    <w:p w14:paraId="356002A4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9B0D73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9B0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D73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9B0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D73"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  <w:lang w:val="en-US"/>
        </w:rPr>
        <w:t>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Konverensi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Perserikatan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Bangsa-Bangsa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(PBB) pada 1972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Buzan,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et.al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., 1998:71)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1980-an (Martinovsky,2011:2).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level global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degradasi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rakyatnya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negara.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organsasi-organisasi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Wittkopf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2001:366). </w:t>
      </w:r>
    </w:p>
    <w:p w14:paraId="3F52197B" w14:textId="77777777" w:rsidR="004E2188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biosfer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aktor-aktor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epistemik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organisasi-organisasi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Kelompok-kelompok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mengagendakan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Agenda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kebijakan-kebijakan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BA85D99" w14:textId="77777777" w:rsidR="004E2188" w:rsidRPr="008D5D39" w:rsidRDefault="004E2188" w:rsidP="004E2188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1B8F3A" w14:textId="77777777" w:rsidR="004E2188" w:rsidRPr="007737BF" w:rsidRDefault="004E2188" w:rsidP="004E2188">
      <w:pPr>
        <w:pStyle w:val="Heading2"/>
      </w:pPr>
      <w:bookmarkStart w:id="22" w:name="_Toc100414720"/>
      <w:bookmarkStart w:id="23" w:name="_Toc100415429"/>
      <w:bookmarkStart w:id="24" w:name="_Toc106095247"/>
      <w:r w:rsidRPr="007737BF">
        <w:lastRenderedPageBreak/>
        <w:t xml:space="preserve">2.3 </w:t>
      </w:r>
      <w:proofErr w:type="spellStart"/>
      <w:r w:rsidRPr="007737BF">
        <w:t>Hipotesis</w:t>
      </w:r>
      <w:proofErr w:type="spellEnd"/>
      <w:r w:rsidRPr="007737BF">
        <w:t xml:space="preserve"> </w:t>
      </w:r>
      <w:proofErr w:type="spellStart"/>
      <w:r w:rsidRPr="007737BF">
        <w:t>Penelitian</w:t>
      </w:r>
      <w:bookmarkEnd w:id="22"/>
      <w:bookmarkEnd w:id="23"/>
      <w:bookmarkEnd w:id="24"/>
      <w:proofErr w:type="spellEnd"/>
      <w:r w:rsidRPr="007737BF">
        <w:t xml:space="preserve"> </w:t>
      </w:r>
    </w:p>
    <w:p w14:paraId="5D5252F9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batasan-batasan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memperkecil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jangkauan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pemaparan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ASEAN Agreement on Transboundary Haze Pollution di Indonesia,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intenitas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berkurang</w:t>
      </w:r>
      <w:proofErr w:type="spellEnd"/>
      <w:r w:rsidRPr="00496D00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aathp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diminimalisirt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460F6C" w14:textId="77777777" w:rsidR="004E2188" w:rsidRPr="007975C5" w:rsidRDefault="004E2188" w:rsidP="004E21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3969"/>
      </w:tblGrid>
      <w:tr w:rsidR="004E2188" w14:paraId="07ABE07A" w14:textId="77777777" w:rsidTr="009F576E">
        <w:trPr>
          <w:jc w:val="center"/>
        </w:trPr>
        <w:tc>
          <w:tcPr>
            <w:tcW w:w="1701" w:type="dxa"/>
          </w:tcPr>
          <w:p w14:paraId="2CCA6A77" w14:textId="77777777" w:rsidR="004E2188" w:rsidRPr="00B6239A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Teoritik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6C6334F7" w14:textId="77777777" w:rsidR="004E2188" w:rsidRPr="00572545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72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  <w:r w:rsidRPr="00572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72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Empirik</w:t>
            </w:r>
            <w:proofErr w:type="spellEnd"/>
            <w:r w:rsidRPr="005725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</w:tcPr>
          <w:p w14:paraId="34F3CA7D" w14:textId="77777777" w:rsidR="004E2188" w:rsidRPr="00924DB7" w:rsidRDefault="004E2188" w:rsidP="009F57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Verifikasi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E2188" w14:paraId="49BADD08" w14:textId="77777777" w:rsidTr="009F576E">
        <w:trPr>
          <w:jc w:val="center"/>
        </w:trPr>
        <w:tc>
          <w:tcPr>
            <w:tcW w:w="1701" w:type="dxa"/>
          </w:tcPr>
          <w:p w14:paraId="67CF4B3C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16862F5D" w14:textId="77777777" w:rsidR="004E2188" w:rsidRPr="0065250F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ASEAN Agreement on Transboundary Haze Pollution di Indonesia, </w:t>
            </w: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</w:t>
            </w:r>
            <w:proofErr w:type="spellEnd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intenitas</w:t>
            </w:r>
            <w:proofErr w:type="spellEnd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hutan</w:t>
            </w:r>
            <w:proofErr w:type="spellEnd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14:paraId="34D3D236" w14:textId="77777777" w:rsidR="004E2188" w:rsidRPr="000D2843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Kabut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berdampak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hingga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Malaysia dan Singapura.</w:t>
            </w:r>
          </w:p>
          <w:p w14:paraId="3D3429C6" w14:textId="77777777" w:rsidR="004E2188" w:rsidRPr="00A22593" w:rsidRDefault="004E2188" w:rsidP="009F576E">
            <w:pPr>
              <w:pStyle w:val="List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53367B3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Kabut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akibat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Indonesia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tetangga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Malaysia,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kabut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menyebabkan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indeks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pencemaran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udara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Malaysia dan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sekitarnya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mencapai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mendekati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udara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01DFE8A" w14:textId="77777777" w:rsidR="004E2188" w:rsidRPr="000416A2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 channel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tvOneNews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upload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</w:tc>
      </w:tr>
      <w:tr w:rsidR="004E2188" w14:paraId="3813549C" w14:textId="77777777" w:rsidTr="009F576E">
        <w:trPr>
          <w:jc w:val="center"/>
        </w:trPr>
        <w:tc>
          <w:tcPr>
            <w:tcW w:w="1701" w:type="dxa"/>
          </w:tcPr>
          <w:p w14:paraId="20BE6123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2A13E67" w14:textId="77777777" w:rsidR="004E2188" w:rsidRPr="000D2843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 ASEAN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ASEAN Agreement on Transboundary Haze Pollution (AATHP)</w:t>
            </w:r>
          </w:p>
        </w:tc>
        <w:tc>
          <w:tcPr>
            <w:tcW w:w="3969" w:type="dxa"/>
          </w:tcPr>
          <w:p w14:paraId="3EE3C238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AATHP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Regional Haze Action Plan (RHP) dan Hanoi Action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menanggulagi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Haze Pollution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kawsan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ASEAN. AATHP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negara-negara ASEAN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2002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November 2003.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Sejarah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ASEAN Agreement on Transboundary Haze Pollution (AATHP). </w:t>
            </w:r>
          </w:p>
          <w:p w14:paraId="429EBF27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7E2073">
                <w:rPr>
                  <w:rStyle w:val="Hyperlink"/>
                  <w:sz w:val="24"/>
                  <w:szCs w:val="24"/>
                </w:rPr>
                <w:t>https://eprints.umm.ac.id/43000/3/BAB%20II.pdf</w:t>
              </w:r>
            </w:hyperlink>
          </w:p>
          <w:p w14:paraId="5F1808B8" w14:textId="77777777" w:rsidR="004E2188" w:rsidRPr="008A7A22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188" w14:paraId="525ABD41" w14:textId="77777777" w:rsidTr="009F576E">
        <w:trPr>
          <w:jc w:val="center"/>
        </w:trPr>
        <w:tc>
          <w:tcPr>
            <w:tcW w:w="1701" w:type="dxa"/>
          </w:tcPr>
          <w:p w14:paraId="58A1AF60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Terikat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DD1D363" w14:textId="77777777" w:rsidR="004E2188" w:rsidRPr="00BF19E2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oleh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meminimalisir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14:paraId="05A74AD2" w14:textId="77777777" w:rsidR="004E2188" w:rsidRPr="000D2843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Pelaksanaan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ASEAN Agreement on Transboundary Haze Pollution di Indonesia </w:t>
            </w:r>
          </w:p>
        </w:tc>
        <w:tc>
          <w:tcPr>
            <w:tcW w:w="3969" w:type="dxa"/>
          </w:tcPr>
          <w:p w14:paraId="7DEE0332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ditegakan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diratifikasi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ASEAN pada 2014.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dan 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bussiness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as usual. </w:t>
            </w:r>
          </w:p>
          <w:p w14:paraId="2EFD9C1C" w14:textId="77777777" w:rsidR="004E2188" w:rsidRPr="00683185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Indonesia.   </w:t>
            </w:r>
            <w:hyperlink r:id="rId6" w:history="1">
              <w:r w:rsidRPr="007E2073">
                <w:rPr>
                  <w:rStyle w:val="Hyperlink"/>
                  <w:sz w:val="24"/>
                  <w:szCs w:val="24"/>
                </w:rPr>
                <w:t>http://berkas.dpr.go.id/puslit/files/info_singkat/info%20singkat-vi-19-i-p3di-oktober-2014-54.pdf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E2188" w14:paraId="02FFB599" w14:textId="77777777" w:rsidTr="009F576E">
        <w:trPr>
          <w:jc w:val="center"/>
        </w:trPr>
        <w:tc>
          <w:tcPr>
            <w:tcW w:w="1701" w:type="dxa"/>
          </w:tcPr>
          <w:p w14:paraId="7E1B53B5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9673293" w14:textId="77777777" w:rsidR="004E2188" w:rsidRPr="000D2843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Efektifitas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ASEAN Agreement on Transboundary </w:t>
            </w:r>
            <w:proofErr w:type="spellStart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</w:t>
            </w:r>
            <w:proofErr w:type="spellEnd"/>
            <w:r w:rsidRPr="000D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Pollution </w:t>
            </w:r>
          </w:p>
        </w:tc>
        <w:tc>
          <w:tcPr>
            <w:tcW w:w="3969" w:type="dxa"/>
          </w:tcPr>
          <w:p w14:paraId="070C19EE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Pencemaran</w:t>
            </w:r>
            <w:proofErr w:type="spellEnd"/>
            <w:r w:rsidRPr="0019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peristiwa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Asia Tenggara,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penyebabnya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kebakaran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hampir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kemarau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wilayah Sumatra dan Kalimantan.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Indonesia AATHP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negara-negara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beberpa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ketidakefektifan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delegasi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kewenangan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64B81EB" w14:textId="77777777" w:rsidR="004E2188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AATHP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penanggulangan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pencemaran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2017.</w:t>
            </w:r>
          </w:p>
          <w:p w14:paraId="49C418FE" w14:textId="77777777" w:rsidR="004E2188" w:rsidRPr="00191C71" w:rsidRDefault="004E2188" w:rsidP="009F576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E2073">
                <w:rPr>
                  <w:rStyle w:val="Hyperlink"/>
                  <w:sz w:val="24"/>
                  <w:szCs w:val="24"/>
                </w:rPr>
                <w:t>https://arenahukum.ub.ac.id/index.php/arena/article/viewFile/268/241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26E66296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F60CA37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F3A99E3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62E87AF" w14:textId="77777777" w:rsidR="004E2188" w:rsidRDefault="004E2188" w:rsidP="004E2188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br w:type="page"/>
      </w:r>
    </w:p>
    <w:p w14:paraId="321825E8" w14:textId="77777777" w:rsidR="004E2188" w:rsidRDefault="004E2188" w:rsidP="004E218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3730D3F" w14:textId="77777777" w:rsidR="004E2188" w:rsidRPr="005B4E32" w:rsidRDefault="004E2188" w:rsidP="004E2188">
      <w:pPr>
        <w:pStyle w:val="Heading2"/>
      </w:pPr>
      <w:bookmarkStart w:id="25" w:name="_Toc100414721"/>
      <w:bookmarkStart w:id="26" w:name="_Toc100415430"/>
      <w:bookmarkStart w:id="27" w:name="_Toc106095248"/>
      <w:r>
        <w:t xml:space="preserve">2.4 </w:t>
      </w:r>
      <w:r w:rsidRPr="005B4E32">
        <w:t xml:space="preserve">Skema dan Alur </w:t>
      </w:r>
      <w:proofErr w:type="spellStart"/>
      <w:r w:rsidRPr="005B4E32">
        <w:t>Penelitian</w:t>
      </w:r>
      <w:bookmarkEnd w:id="25"/>
      <w:bookmarkEnd w:id="26"/>
      <w:bookmarkEnd w:id="27"/>
      <w:proofErr w:type="spellEnd"/>
      <w:r w:rsidRPr="005B4E32">
        <w:t xml:space="preserve">                                                                                                                                                      </w:t>
      </w:r>
    </w:p>
    <w:p w14:paraId="4FD00D2B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7365" wp14:editId="2B0C95D3">
                <wp:simplePos x="0" y="0"/>
                <wp:positionH relativeFrom="column">
                  <wp:posOffset>1675130</wp:posOffset>
                </wp:positionH>
                <wp:positionV relativeFrom="paragraph">
                  <wp:posOffset>255593</wp:posOffset>
                </wp:positionV>
                <wp:extent cx="2145030" cy="427355"/>
                <wp:effectExtent l="0" t="0" r="13970" b="1714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4273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8A9D3" w14:textId="77777777" w:rsidR="004E2188" w:rsidRPr="00847BBD" w:rsidRDefault="004E2188" w:rsidP="004E2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Kebakaran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Hutan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97365" id="Rectangle: Rounded Corners 2" o:spid="_x0000_s1026" style="position:absolute;margin-left:131.9pt;margin-top:20.15pt;width:168.9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1vznQIAAL4FAAAOAAAAZHJzL2Uyb0RvYy54bWysVE1v2zAMvQ/YfxB0X22nyboFdYqgRYcB&#13;&#10;RVu0HXpWZCn2IImapMTOfv0o+SPdVmzAsBwUUiSfyGeS5xedVmQvnG/AlLQ4ySkRhkPVmG1Jvzxd&#13;&#10;v/tAiQ/MVEyBESU9CE8vVm/fnLd2KWZQg6qEIwhi/LK1Ja1DsMss87wWmvkTsMKgUYLTLKDqtlnl&#13;&#10;WIvoWmWzPH+fteAq64AL7/H2qjfSVcKXUvBwJ6UXgaiSYm4hnS6dm3hmq3O23Dpm64YPabB/yEKz&#13;&#10;xuCjE9QVC4zsXPMblG64Aw8ynHDQGUjZcJFqwGqK/JdqHmtmRaoFyfF2osn/P1h+u3+09w5paK1f&#13;&#10;ehRjFZ10Ov5jfqRLZB0mskQXCMfLWTFf5KfIKUfbfHZ2ulhENrNjtHU+fBKgSRRK6mBnqgf8Ioko&#13;&#10;tr/xITFWEcM0tgarvlIitUL+90yR9G0QbXBEacSLUR5UU103SiUldou4VI5gYEk322LI5CcvZf4W&#13;&#10;GLpXAvHhGJkd+UlSOCgR8ZR5EJI0VWQkFZZa95gM41yYUPSmmlWiz3GR42/Mckw/sZcAI7LE6ibs&#13;&#10;AWD07EFG7J72wT+GitT5U3D+p8T64CkivQwmTMG6MeBeA1BY1fBy7z+S1FMTWQrdpkOXKG6gOtw7&#13;&#10;4qAfQW/5dYNtccN8uGcOvzl2Eu6RcIeHVNCWFAaJkhrc99fuoz+OAlopaXGGS+q/7ZgTlKjPBofk&#13;&#10;YzGfx6FPynxxNkPFvbRsXlrMTl8Ctk+BG8vyJEb/oEZROtDPuG7W8VU0McPx7ZLy4EblMvS7BRcW&#13;&#10;F+t1csNBtyzcmEfLI3gkOHbyU/fMnB1mI+BU3cI470PT9+QefWOkgfUugGxCNB55HRRcEqmHhoUW&#13;&#10;t9BLPXkd1+7qBwAAAP//AwBQSwMEFAAGAAgAAAAhAHF+MFjkAAAADwEAAA8AAABkcnMvZG93bnJl&#13;&#10;di54bWxMj91Kw0AQhe8F32EZwTu720ZWSbMp4g+lIBSrD7DJjklodjZmN218e8crvRkY5pwz3yk2&#13;&#10;s+/FCcfYBTKwXCgQSHVwHTUGPt5fbu5BxGTJ2T4QGvjGCJvy8qKwuQtnesPTITWCQyjm1kCb0pBL&#13;&#10;GesWvY2LMCDx7TOM3iZex0a60Z453PdypZSW3nbEH1o74GOL9fEweQN6mve77GvcNdm26l79MTxv&#13;&#10;p2DM9dX8tObxsAaRcE5/DvjtwPxQMlgVJnJR9AZWOmP+ZOBWZSBYoNVSg6hYqe40yLKQ/3uUPwAA&#13;&#10;AP//AwBQSwECLQAUAAYACAAAACEAtoM4kv4AAADhAQAAEwAAAAAAAAAAAAAAAAAAAAAAW0NvbnRl&#13;&#10;bnRfVHlwZXNdLnhtbFBLAQItABQABgAIAAAAIQA4/SH/1gAAAJQBAAALAAAAAAAAAAAAAAAAAC8B&#13;&#10;AABfcmVscy8ucmVsc1BLAQItABQABgAIAAAAIQB3S1vznQIAAL4FAAAOAAAAAAAAAAAAAAAAAC4C&#13;&#10;AABkcnMvZTJvRG9jLnhtbFBLAQItABQABgAIAAAAIQBxfjBY5AAAAA8BAAAPAAAAAAAAAAAAAAAA&#13;&#10;APcEAABkcnMvZG93bnJldi54bWxQSwUGAAAAAAQABADzAAAACAYAAAAA&#13;&#10;" fillcolor="white [3212]" strokecolor="black [3213]" strokeweight="1pt">
                <v:stroke joinstyle="miter"/>
                <v:textbox>
                  <w:txbxContent>
                    <w:p w14:paraId="11E8A9D3" w14:textId="77777777" w:rsidR="004E2188" w:rsidRPr="00847BBD" w:rsidRDefault="004E2188" w:rsidP="004E21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Kebakaran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Hutan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95F7F2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55EA23" w14:textId="77777777" w:rsidR="004E2188" w:rsidRPr="005B4E32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98F8" wp14:editId="55E52959">
                <wp:simplePos x="0" y="0"/>
                <wp:positionH relativeFrom="column">
                  <wp:posOffset>2553970</wp:posOffset>
                </wp:positionH>
                <wp:positionV relativeFrom="paragraph">
                  <wp:posOffset>145123</wp:posOffset>
                </wp:positionV>
                <wp:extent cx="314960" cy="637540"/>
                <wp:effectExtent l="12700" t="0" r="27940" b="2286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637540"/>
                        </a:xfrm>
                        <a:prstGeom prst="downArrow">
                          <a:avLst>
                            <a:gd name="adj1" fmla="val 32299"/>
                            <a:gd name="adj2" fmla="val 7532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126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201.1pt;margin-top:11.45pt;width:24.8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DTPogIAANsFAAAOAAAAZHJzL2Uyb0RvYy54bWysVN9PGzEMfp+0/yHK+7jetYW14ooqENMk&#13;&#10;BAiYeA65hLspibMk7bX76+fkfrTb0B7QeAj22f5sf7V9frHTimyF8w2YkuYnE0qE4VA15rWk356u&#13;&#10;P32mxAdmKqbAiJLuhacXq48fzlu7FAXUoCrhCIIYv2xtSesQ7DLLPK+FZv4ErDBolOA0C6i616xy&#13;&#10;rEV0rbJiMjnNWnCVdcCF9/j1qjPSVcKXUvBwJ6UXgaiSYm0hvS69L/HNVuds+eqYrRvel8HeUYVm&#13;&#10;jcGkI9QVC4xsXPMXlG64Aw8ynHDQGUjZcJF6wG7yyR/dPNbMitQLkuPtSJP/f7D8dvto7x3S0Fq/&#13;&#10;9CjGLnbS6fgf6yO7RNZ+JEvsAuH4cZrPFqdIKUfT6fRsPktkZodg63z4IkCTKJS0gtasnYM28cS2&#13;&#10;Nz4kwipimMbJYNX3nBKpFfK/ZYpMi2Kx6H+fI5/i2OdsPi2SD6btEVEaEkd4D6qprhulkhKnSlwq&#13;&#10;RzBBScMuj/gY8ZuXMu8KRJgYmR14TFLYKxHxlHkQkjQVMlckBtKIH4phnAsT8s5Us0p0Nc4n+DdU&#13;&#10;OZSfak6AEVlidyN2DzB4diADdtds7x9DRdqQMXjyr8K64DEiZQYTxmDdGHBvASjsqs/c+Q8kddRE&#13;&#10;ll6g2t874qDbT2/5dYNDc8N8uGcOBwLnDI9MuMNHKmhLCr1ESQ3u51vfoz/uCVopaXHBS+p/bJgT&#13;&#10;lKivBjdokc9wZElIymx+VqDiji0vxxaz0ZeAM4MjitUlMfoHNYjSgX7GW7SOWdHEDMfcJeXBDcpl&#13;&#10;6A4PXjMu1uvkhlfAsnBjHi2P4JHVOL5Pu2fmbL85AVfuFoZj0E96x+jBN0YaWG8CyCZE44HXXsEL&#13;&#10;kganv3bxRB3ryetwk1e/AAAA//8DAFBLAwQUAAYACAAAACEAA1zTCuUAAAAPAQAADwAAAGRycy9k&#13;&#10;b3ducmV2LnhtbEyPzU7DMBCE70i8g7VI3KhT90eQxqkqCAckLqQ9wM2NlyQiXofYadO3ZznBZaXV&#13;&#10;fjM7k20n14kTDqH1pGE+S0AgVd62VGs47J/v7kGEaMiazhNquGCAbX59lZnU+jO94amMtWATCqnR&#13;&#10;0MTYp1KGqkFnwsz3SHz79IMzkdehlnYwZzZ3nVRJspbOtMQfGtPjY4PVVzk6DS/Fa9kV71bV3zsr&#13;&#10;9+OqWH9cDlrf3kxPGx67DYiIU/xTwG8Hzg85Bzv6kWwQnYZlohSjGpR6AMHAcjXnQkcm1WIBMs/k&#13;&#10;/x75DwAAAP//AwBQSwECLQAUAAYACAAAACEAtoM4kv4AAADhAQAAEwAAAAAAAAAAAAAAAAAAAAAA&#13;&#10;W0NvbnRlbnRfVHlwZXNdLnhtbFBLAQItABQABgAIAAAAIQA4/SH/1gAAAJQBAAALAAAAAAAAAAAA&#13;&#10;AAAAAC8BAABfcmVscy8ucmVsc1BLAQItABQABgAIAAAAIQDkpDTPogIAANsFAAAOAAAAAAAAAAAA&#13;&#10;AAAAAC4CAABkcnMvZTJvRG9jLnhtbFBLAQItABQABgAIAAAAIQADXNMK5QAAAA8BAAAPAAAAAAAA&#13;&#10;AAAAAAAAAPwEAABkcnMvZG93bnJldi54bWxQSwUGAAAAAAQABADzAAAADgYAAAAA&#13;&#10;" adj="13562,7312" fillcolor="black [3213]" strokecolor="black [3213]" strokeweight="1pt"/>
            </w:pict>
          </mc:Fallback>
        </mc:AlternateContent>
      </w:r>
    </w:p>
    <w:p w14:paraId="520417DB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140FEB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03191" wp14:editId="122A79A5">
                <wp:simplePos x="0" y="0"/>
                <wp:positionH relativeFrom="column">
                  <wp:posOffset>1673860</wp:posOffset>
                </wp:positionH>
                <wp:positionV relativeFrom="paragraph">
                  <wp:posOffset>162018</wp:posOffset>
                </wp:positionV>
                <wp:extent cx="2145030" cy="594000"/>
                <wp:effectExtent l="0" t="0" r="13970" b="158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594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7C985" w14:textId="77777777" w:rsidR="004E2188" w:rsidRPr="00847BBD" w:rsidRDefault="004E2188" w:rsidP="004E2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Kabut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Asap Lintas Batas </w:t>
                            </w: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ke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wilayah Asia Tenggara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03191" id="Rectangle: Rounded Corners 3" o:spid="_x0000_s1027" style="position:absolute;margin-left:131.8pt;margin-top:12.75pt;width:168.9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KOYngIAAMUFAAAOAAAAZHJzL2Uyb0RvYy54bWysVN9v2yAQfp+0/wHxvtrOkm2N6lRRq06T&#13;&#10;qrZqO/WZYIg9AceAxM7++h34R9qt2qRpLxi4+z7uPt/d2XmnFdkL5xswJS1OckqE4VA1ZlvSr49X&#13;&#10;7z5R4gMzFVNgREkPwtPz1ds3Z61dihnUoCrhCJIYv2xtSesQ7DLLPK+FZv4ErDBolOA0C3h026xy&#13;&#10;rEV2rbJZnn/IWnCVdcCF93h72RvpKvFLKXi4ldKLQFRJMbaQVpfWTVyz1Rlbbh2zdcOHMNg/RKFZ&#13;&#10;Y/DRieqSBUZ2rvmNSjfcgQcZTjjoDKRsuEg5YDZF/ks2DzWzIuWC4ng7yeT/Hy2/2T/YO4cytNYv&#13;&#10;PW5jFp10On4xPtIlsQ6TWKILhOPlrJgv8veoKUfb4nSe50nN7Ii2zofPAjSJm5I62JnqHv9IEort&#13;&#10;r31IilXEMI2lwapvlEitUP89U2RkGxyRd+SLKA+qqa4apdIhVou4UI4gsKSbbRH/KyJeeCnzN2Do&#13;&#10;XgEiTURmR33SLhyUiHzK3AtJmioqkhJLpXsMhnEuTCh6U80q0ce4QLnGDCdEijkRRmaJ2U3cA8HL&#13;&#10;REfuPtnBP0JFqvwJnP8psB48IdLLYMIE1o0B9xqBwqyGl3v/UaRemqhS6DYdaoODIXrGmw1UhztH&#13;&#10;HPSd6C2/arA6rpkPd8zhr8eCwnESbnGRCtqSwrCjpAb347X76I8dgVZKWmzlkvrvO+YEJeqLwV45&#13;&#10;Lebz2PvpMF98nOHBPbdsnlvMTl8AVlGBg8vytI3+QY1b6UA/4dRZx1fRxAzHt0vKgxsPF6EfMTi3&#13;&#10;uFivkxv2u2Xh2jxYHsmjzrGgH7sn5uzQIgGb6wbGtmfLVPu9xkffiDSw3gWQTYjGo67DAWdFKqVh&#13;&#10;rsVh9PycvI7Td/UTAAD//wMAUEsDBBQABgAIAAAAIQDyqmg95AAAAA8BAAAPAAAAZHJzL2Rvd25y&#13;&#10;ZXYueG1sTI/dTsMwDIXvkXiHyEjcsaQri6BrOiF+NE2ahBg8QNqYtlqTlCTdyttjruDGsuXPx+eU&#13;&#10;m9kO7IQh9t4pyBYCGLrGm961Cj7eX27ugMWkndGDd6jgGyNsqsuLUhfGn90bng6pZSTiYqEVdCmN&#13;&#10;Beex6dDquPAjOtp9+mB1ojG03AR9JnE78KUQklvdO/rQ6REfO2yOh8kqkNP8usu/wq7Nt3W/t0f/&#13;&#10;vJ28UtdX89OaysMaWMI5/V3AbwbyDxUZq/3kTGSDgqXMJaHUrFbACJAiuwVWE5ndC+BVyf/nqH4A&#13;&#10;AAD//wMAUEsBAi0AFAAGAAgAAAAhALaDOJL+AAAA4QEAABMAAAAAAAAAAAAAAAAAAAAAAFtDb250&#13;&#10;ZW50X1R5cGVzXS54bWxQSwECLQAUAAYACAAAACEAOP0h/9YAAACUAQAACwAAAAAAAAAAAAAAAAAv&#13;&#10;AQAAX3JlbHMvLnJlbHNQSwECLQAUAAYACAAAACEALXyjmJ4CAADFBQAADgAAAAAAAAAAAAAAAAAu&#13;&#10;AgAAZHJzL2Uyb0RvYy54bWxQSwECLQAUAAYACAAAACEA8qpoPeQAAAAPAQAADwAAAAAAAAAAAAAA&#13;&#10;AAD4BAAAZHJzL2Rvd25yZXYueG1sUEsFBgAAAAAEAAQA8wAAAAkGAAAAAA==&#13;&#10;" fillcolor="white [3212]" strokecolor="black [3213]" strokeweight="1pt">
                <v:stroke joinstyle="miter"/>
                <v:textbox>
                  <w:txbxContent>
                    <w:p w14:paraId="78D7C985" w14:textId="77777777" w:rsidR="004E2188" w:rsidRPr="00847BBD" w:rsidRDefault="004E2188" w:rsidP="004E21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Kabut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Asap Lintas Batas </w:t>
                      </w: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ke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wilayah Asia Tenggara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B3584D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4F6914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96CFC" wp14:editId="6D26C24E">
                <wp:simplePos x="0" y="0"/>
                <wp:positionH relativeFrom="column">
                  <wp:posOffset>2555240</wp:posOffset>
                </wp:positionH>
                <wp:positionV relativeFrom="paragraph">
                  <wp:posOffset>161769</wp:posOffset>
                </wp:positionV>
                <wp:extent cx="314960" cy="637540"/>
                <wp:effectExtent l="12700" t="0" r="27940" b="2286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637540"/>
                        </a:xfrm>
                        <a:prstGeom prst="downArrow">
                          <a:avLst>
                            <a:gd name="adj1" fmla="val 32299"/>
                            <a:gd name="adj2" fmla="val 7532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0911" id="Arrow: Down 8" o:spid="_x0000_s1026" type="#_x0000_t67" style="position:absolute;margin-left:201.2pt;margin-top:12.75pt;width:24.8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DTPogIAANsFAAAOAAAAZHJzL2Uyb0RvYy54bWysVN9PGzEMfp+0/yHK+7jetYW14ooqENMk&#13;&#10;BAiYeA65hLspibMk7bX76+fkfrTb0B7QeAj22f5sf7V9frHTimyF8w2YkuYnE0qE4VA15rWk356u&#13;&#10;P32mxAdmKqbAiJLuhacXq48fzlu7FAXUoCrhCIIYv2xtSesQ7DLLPK+FZv4ErDBolOA0C6i616xy&#13;&#10;rEV0rbJiMjnNWnCVdcCF9/j1qjPSVcKXUvBwJ6UXgaiSYm0hvS69L/HNVuds+eqYrRvel8HeUYVm&#13;&#10;jcGkI9QVC4xsXPMXlG64Aw8ynHDQGUjZcJF6wG7yyR/dPNbMitQLkuPtSJP/f7D8dvto7x3S0Fq/&#13;&#10;9CjGLnbS6fgf6yO7RNZ+JEvsAuH4cZrPFqdIKUfT6fRsPktkZodg63z4IkCTKJS0gtasnYM28cS2&#13;&#10;Nz4kwipimMbJYNX3nBKpFfK/ZYpMi2Kx6H+fI5/i2OdsPi2SD6btEVEaEkd4D6qprhulkhKnSlwq&#13;&#10;RzBBScMuj/gY8ZuXMu8KRJgYmR14TFLYKxHxlHkQkjQVMlckBtKIH4phnAsT8s5Us0p0Nc4n+DdU&#13;&#10;OZSfak6AEVlidyN2DzB4diADdtds7x9DRdqQMXjyr8K64DEiZQYTxmDdGHBvASjsqs/c+Q8kddRE&#13;&#10;ll6g2t874qDbT2/5dYNDc8N8uGcOBwLnDI9MuMNHKmhLCr1ESQ3u51vfoz/uCVopaXHBS+p/bJgT&#13;&#10;lKivBjdokc9wZElIymx+VqDiji0vxxaz0ZeAM4MjitUlMfoHNYjSgX7GW7SOWdHEDMfcJeXBDcpl&#13;&#10;6A4PXjMu1uvkhlfAsnBjHi2P4JHVOL5Pu2fmbL85AVfuFoZj0E96x+jBN0YaWG8CyCZE44HXXsEL&#13;&#10;kganv3bxRB3ryetwk1e/AAAA//8DAFBLAwQUAAYACAAAACEA4aJ5gOQAAAAPAQAADwAAAGRycy9k&#13;&#10;b3ducmV2LnhtbEyPMU/DMBCFdyT+g3VIbNTBiitI41QVhAGJhbQDbG58TaLGdoidNv33HBNdTjrd&#13;&#10;9969l69n27MTjqHzTsHjIgGGrvamc42C3fbt4QlYiNoZ3XuHCi4YYF3c3uQ6M/7sPvFUxYaRiQuZ&#13;&#10;VtDGOGSch7pFq8PCD+jodvCj1ZHWseFm1Gcytz0XSbLkVneOPrR6wJcW62M1WQXv5UfVl19GND8b&#13;&#10;w7eTLJffl51S93fz64rGZgUs4hz/FfDXgfJDQcH2fnImsF5BmoiUUAVCSmAEpFJQwz2RQj4DL3J+&#13;&#10;3aP4BQAA//8DAFBLAQItABQABgAIAAAAIQC2gziS/gAAAOEBAAATAAAAAAAAAAAAAAAAAAAAAABb&#13;&#10;Q29udGVudF9UeXBlc10ueG1sUEsBAi0AFAAGAAgAAAAhADj9If/WAAAAlAEAAAsAAAAAAAAAAAAA&#13;&#10;AAAALwEAAF9yZWxzLy5yZWxzUEsBAi0AFAAGAAgAAAAhAOSkNM+iAgAA2wUAAA4AAAAAAAAAAAAA&#13;&#10;AAAALgIAAGRycy9lMm9Eb2MueG1sUEsBAi0AFAAGAAgAAAAhAOGieYDkAAAADwEAAA8AAAAAAAAA&#13;&#10;AAAAAAAA/AQAAGRycy9kb3ducmV2LnhtbFBLBQYAAAAABAAEAPMAAAANBgAAAAA=&#13;&#10;" adj="13562,7312" fillcolor="black [3213]" strokecolor="black [3213]" strokeweight="1pt"/>
            </w:pict>
          </mc:Fallback>
        </mc:AlternateContent>
      </w:r>
    </w:p>
    <w:p w14:paraId="367EEC59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3DE222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9247A" wp14:editId="2AF9035C">
                <wp:simplePos x="0" y="0"/>
                <wp:positionH relativeFrom="column">
                  <wp:posOffset>1677670</wp:posOffset>
                </wp:positionH>
                <wp:positionV relativeFrom="paragraph">
                  <wp:posOffset>229870</wp:posOffset>
                </wp:positionV>
                <wp:extent cx="2145030" cy="764498"/>
                <wp:effectExtent l="0" t="0" r="13970" b="107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76449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E464B" w14:textId="77777777" w:rsidR="004E2188" w:rsidRPr="00847BBD" w:rsidRDefault="004E2188" w:rsidP="004E2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Penyelesaian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masalah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oleh ASEAN </w:t>
                            </w: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847B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 xml:space="preserve">ASEAN Agreement on Transboundary Haze Pollution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9247A" id="Rectangle: Rounded Corners 4" o:spid="_x0000_s1028" style="position:absolute;margin-left:132.1pt;margin-top:18.1pt;width:168.9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kcooAIAAMUFAAAOAAAAZHJzL2Uyb0RvYy54bWysVNtu2zAMfR+wfxD0vtrO0ltQpwhadBhQ&#13;&#10;tEXboc+KLMUeJFGTlNjZ14+SL+m2YgOG5UEhRfKIPCZ5cdlpRXbC+QZMSYujnBJhOFSN2ZT0y/PN&#13;&#10;hzNKfGCmYgqMKOleeHq5fP/uorULMYMaVCUcQRDjF60taR2CXWSZ57XQzB+BFQaNEpxmAVW3ySrH&#13;&#10;WkTXKpvl+UnWgqusAy68x9vr3kiXCV9KwcO9lF4EokqKuYV0unSu45ktL9hi45itGz6kwf4hC80a&#13;&#10;g49OUNcsMLJ1zW9QuuEOPMhwxEFnIGXDRaoBqynyX6p5qpkVqRYkx9uJJv//YPnd7sk+OKShtX7h&#13;&#10;UYxVdNLp+I/5kS6RtZ/IEl0gHC9nxfw4/4iccrSdnszn52eRzewQbZ0PnwRoEoWSOtia6hG/SCKK&#13;&#10;7W59SIxVxDCNrcGqr5RIrZD/HVMkfRtEGxxRGvFilAfVVDeNUkmJ3SKulCMYWNL1phgy+clLmb8F&#13;&#10;hu6NQHw4RmYHfpIU9kpEPGUehSRNFRlJhaXWPSTDOBcmFL2pZpXoczzO8TdmOaaf2EuAEVlidRP2&#13;&#10;ADB69iAjdk/74B9DRer8KTj/U2J98BSRXgYTpmDdGHBvASisani59x9J6qmJLIVu3SE3kRr0jDdr&#13;&#10;qPYPjjjoJ9FbftNgd9wyHx6Yw0+PDYXrJNzjIRW0JYVBoqQG9/2t++iPE4FWSloc5ZL6b1vmBCXq&#13;&#10;s8FZOS/m8zj7SZkfn85Qca8t69cWs9VXgF1U4OKyPInRP6hRlA70C26dVXwVTcxwfLukPLhRuQr9&#13;&#10;isG9xcVqldxw3i0Lt+bJ8ggeeY4N/dy9MGeHEQk4XHcwjv3Q+z3HB98YaWC1DSCbEI0HXgcFd0Vq&#13;&#10;pWGvxWX0Wk9eh+27/AEAAP//AwBQSwMEFAAGAAgAAAAhADlHmB3iAAAADwEAAA8AAABkcnMvZG93&#13;&#10;bnJldi54bWxMj91OwzAMhe+ReIfISNyxlBYi1DWdED+aJiEhBg+QNqat1jglSbfy9pgruLFl+fPx&#13;&#10;OdVmcaM4YoiDJw3XqwwEUuvtQJ2Gj/fnqzsQMRmyZvSEGr4xwqY+P6tMaf2J3vC4T51gEYql0dCn&#13;&#10;NJVSxrZHZ+LKT0i8+/TBmcRj6KQN5sTibpR5linpzED8oTcTPvTYHvaz06Dm5XVXfIVdV2yb4cUd&#13;&#10;/NN29lpfXiyPay73axAJl/R3Ab8Z2D/UbKzxM9koRg25uskZ1VAo7gyoLOeEDZO3SoGsK/k/R/0D&#13;&#10;AAD//wMAUEsBAi0AFAAGAAgAAAAhALaDOJL+AAAA4QEAABMAAAAAAAAAAAAAAAAAAAAAAFtDb250&#13;&#10;ZW50X1R5cGVzXS54bWxQSwECLQAUAAYACAAAACEAOP0h/9YAAACUAQAACwAAAAAAAAAAAAAAAAAv&#13;&#10;AQAAX3JlbHMvLnJlbHNQSwECLQAUAAYACAAAACEA4YpHKKACAADFBQAADgAAAAAAAAAAAAAAAAAu&#13;&#10;AgAAZHJzL2Uyb0RvYy54bWxQSwECLQAUAAYACAAAACEAOUeYHeIAAAAPAQAADwAAAAAAAAAAAAAA&#13;&#10;AAD6BAAAZHJzL2Rvd25yZXYueG1sUEsFBgAAAAAEAAQA8wAAAAkGAAAAAA==&#13;&#10;" fillcolor="white [3212]" strokecolor="black [3213]" strokeweight="1pt">
                <v:stroke joinstyle="miter"/>
                <v:textbox>
                  <w:txbxContent>
                    <w:p w14:paraId="014E464B" w14:textId="77777777" w:rsidR="004E2188" w:rsidRPr="00847BBD" w:rsidRDefault="004E2188" w:rsidP="004E218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Penyelesaian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masalah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oleh ASEAN </w:t>
                      </w: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melalui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847B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US"/>
                        </w:rPr>
                        <w:t xml:space="preserve">ASEAN Agreement on Transboundary Haze Pollution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18F6FC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3C80A12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2AC41" wp14:editId="3796FD33">
                <wp:simplePos x="0" y="0"/>
                <wp:positionH relativeFrom="column">
                  <wp:posOffset>2555631</wp:posOffset>
                </wp:positionH>
                <wp:positionV relativeFrom="paragraph">
                  <wp:posOffset>291709</wp:posOffset>
                </wp:positionV>
                <wp:extent cx="314960" cy="637540"/>
                <wp:effectExtent l="12700" t="0" r="27940" b="2286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637540"/>
                        </a:xfrm>
                        <a:prstGeom prst="downArrow">
                          <a:avLst>
                            <a:gd name="adj1" fmla="val 32299"/>
                            <a:gd name="adj2" fmla="val 7532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97811" id="Arrow: Down 9" o:spid="_x0000_s1026" type="#_x0000_t67" style="position:absolute;margin-left:201.25pt;margin-top:22.95pt;width:24.8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DTPogIAANsFAAAOAAAAZHJzL2Uyb0RvYy54bWysVN9PGzEMfp+0/yHK+7jetYW14ooqENMk&#13;&#10;BAiYeA65hLspibMk7bX76+fkfrTb0B7QeAj22f5sf7V9frHTimyF8w2YkuYnE0qE4VA15rWk356u&#13;&#10;P32mxAdmKqbAiJLuhacXq48fzlu7FAXUoCrhCIIYv2xtSesQ7DLLPK+FZv4ErDBolOA0C6i616xy&#13;&#10;rEV0rbJiMjnNWnCVdcCF9/j1qjPSVcKXUvBwJ6UXgaiSYm0hvS69L/HNVuds+eqYrRvel8HeUYVm&#13;&#10;jcGkI9QVC4xsXPMXlG64Aw8ynHDQGUjZcJF6wG7yyR/dPNbMitQLkuPtSJP/f7D8dvto7x3S0Fq/&#13;&#10;9CjGLnbS6fgf6yO7RNZ+JEvsAuH4cZrPFqdIKUfT6fRsPktkZodg63z4IkCTKJS0gtasnYM28cS2&#13;&#10;Nz4kwipimMbJYNX3nBKpFfK/ZYpMi2Kx6H+fI5/i2OdsPi2SD6btEVEaEkd4D6qprhulkhKnSlwq&#13;&#10;RzBBScMuj/gY8ZuXMu8KRJgYmR14TFLYKxHxlHkQkjQVMlckBtKIH4phnAsT8s5Us0p0Nc4n+DdU&#13;&#10;OZSfak6AEVlidyN2DzB4diADdtds7x9DRdqQMXjyr8K64DEiZQYTxmDdGHBvASjsqs/c+Q8kddRE&#13;&#10;ll6g2t874qDbT2/5dYNDc8N8uGcOBwLnDI9MuMNHKmhLCr1ESQ3u51vfoz/uCVopaXHBS+p/bJgT&#13;&#10;lKivBjdokc9wZElIymx+VqDiji0vxxaz0ZeAM4MjitUlMfoHNYjSgX7GW7SOWdHEDMfcJeXBDcpl&#13;&#10;6A4PXjMu1uvkhlfAsnBjHi2P4JHVOL5Pu2fmbL85AVfuFoZj0E96x+jBN0YaWG8CyCZE44HXXsEL&#13;&#10;kganv3bxRB3ryetwk1e/AAAA//8DAFBLAwQUAAYACAAAACEAvuBpyOUAAAAPAQAADwAAAGRycy9k&#13;&#10;b3ducmV2LnhtbEyPQU/DMAyF70j8h8hI3Fi60lasazpNUA5IXNbtALesydqKxClNunX/HnOCi2XL&#13;&#10;n5/fKzazNeysR987FLBcRMA0Nk712Ao47F8fnoD5IFFJ41ALuGoPm/L2ppC5chfc6XMdWkYi6HMp&#13;&#10;oAthyDn3Taet9As3aKTdyY1WBhrHlqtRXkjcGh5HUcat7JE+dHLQz51uvurJCnir3mtTfai4/d4q&#13;&#10;vp/SKvu8HoS4v5tf1lS2a2BBz+HvAn4zkH8oydjRTag8MwKSKE4JpSZdASMgSeMlsCORSfYIvCz4&#13;&#10;/xzlDwAAAP//AwBQSwECLQAUAAYACAAAACEAtoM4kv4AAADhAQAAEwAAAAAAAAAAAAAAAAAAAAAA&#13;&#10;W0NvbnRlbnRfVHlwZXNdLnhtbFBLAQItABQABgAIAAAAIQA4/SH/1gAAAJQBAAALAAAAAAAAAAAA&#13;&#10;AAAAAC8BAABfcmVscy8ucmVsc1BLAQItABQABgAIAAAAIQDkpDTPogIAANsFAAAOAAAAAAAAAAAA&#13;&#10;AAAAAC4CAABkcnMvZTJvRG9jLnhtbFBLAQItABQABgAIAAAAIQC+4GnI5QAAAA8BAAAPAAAAAAAA&#13;&#10;AAAAAAAAAPwEAABkcnMvZG93bnJldi54bWxQSwUGAAAAAAQABADzAAAADgYAAAAA&#13;&#10;" adj="13562,7312" fillcolor="black [3213]" strokecolor="black [3213]" strokeweight="1pt"/>
            </w:pict>
          </mc:Fallback>
        </mc:AlternateContent>
      </w:r>
    </w:p>
    <w:p w14:paraId="6C373D49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E37172D" w14:textId="77777777" w:rsidR="004E2188" w:rsidRPr="00A571F7" w:rsidRDefault="004E2188" w:rsidP="004E2188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C6139" wp14:editId="5CAA9D6C">
                <wp:simplePos x="0" y="0"/>
                <wp:positionH relativeFrom="column">
                  <wp:posOffset>1674495</wp:posOffset>
                </wp:positionH>
                <wp:positionV relativeFrom="paragraph">
                  <wp:posOffset>249994</wp:posOffset>
                </wp:positionV>
                <wp:extent cx="2145030" cy="528955"/>
                <wp:effectExtent l="0" t="0" r="13970" b="1714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528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3304F" w14:textId="77777777" w:rsidR="004E2188" w:rsidRPr="00847BBD" w:rsidRDefault="004E2188" w:rsidP="004E2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Intensitas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kebakaran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hutan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menurun</w:t>
                            </w:r>
                            <w:proofErr w:type="spellEnd"/>
                            <w:r w:rsidRPr="00847B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C6139" id="Rectangle: Rounded Corners 5" o:spid="_x0000_s1029" style="position:absolute;margin-left:131.85pt;margin-top:19.7pt;width:168.9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WZOoQIAAMUFAAAOAAAAZHJzL2Uyb0RvYy54bWysVE1v2zAMvQ/YfxB0X22nydYGdYqgRYcB&#13;&#10;RVe0HXpWZCn2IImapMTOfv0o+SPdVmzAsBwUUiSfyGeSF5edVmQvnG/AlLQ4ySkRhkPVmG1Jvzzd&#13;&#10;vDujxAdmKqbAiJIehKeXq7dvLlq7FDOoQVXCEQQxftnaktYh2GWWeV4LzfwJWGHQKMFpFlB126xy&#13;&#10;rEV0rbJZnr/PWnCVdcCF93h73RvpKuFLKXj4LKUXgaiSYm4hnS6dm3hmqwu23Dpm64YPabB/yEKz&#13;&#10;xuCjE9Q1C4zsXPMblG64Aw8ynHDQGUjZcJFqwGqK/JdqHmtmRaoFyfF2osn/P1h+t3+09w5paK1f&#13;&#10;ehRjFZ10Ov5jfqRLZB0mskQXCMfLWTFf5KfIKUfbYnZ2vlhENrNjtHU+fBSgSRRK6mBnqgf8Ioko&#13;&#10;tr/1ITFWEcM0tgarvlIitUL+90yR9G0QbXBEacSLUR5UU900SiUldou4Uo5gYEk322LI5CcvZf4W&#13;&#10;GLpXAvHhGJkd+UlSOCgR8ZR5EJI0VWQkFZZa95gM41yYUPSmmlWiz3GR42/Mckw/sZcAI7LE6ibs&#13;&#10;AWD07EFG7J72wT+GitT5U3D+p8T64CkivQwmTMG6MeBeA1BY1fBy7z+S1FMTWQrdpkNuSnoaPePN&#13;&#10;BqrDvSMO+kn0lt802B23zId75vDTY0PhOgmf8ZAK2pLCIFFSg/v+2n30x4lAKyUtjnJJ/bcdc4IS&#13;&#10;9cngrJwX83mc/aTMFx9mqLiXls1Li9npK8AuKnBxWZ7E6B/UKEoH+hm3zjq+iiZmOL5dUh7cqFyF&#13;&#10;fsXg3uJivU5uOO+WhVvzaHkEjzzHhn7qnpmzw4gEHK47GMd+6P2e46NvjDSw3gWQTYjGI6+Dgrsi&#13;&#10;tdKw1+Iyeqknr+P2Xf0AAAD//wMAUEsDBBQABgAIAAAAIQAY9rG+5QAAAA8BAAAPAAAAZHJzL2Rv&#13;&#10;d25yZXYueG1sTI/NTsMwEITvSLyDtUjcqNMEUkjjVIgfVZWQEIUHcOIliRqvg+204e1ZTnBZabXf&#13;&#10;zM6Um9kO4og+9I4ULBcJCKTGmZ5aBR/vz1e3IELUZPTgCBV8Y4BNdX5W6sK4E73hcR9bwSYUCq2g&#13;&#10;i3EspAxNh1aHhRuR+PbpvNWRV99K4/WJze0g0yTJpdU98YdOj/jQYXPYT1ZBPs2vu+zL79psW/cv&#13;&#10;9uCetpNT6vJiflzzuF+DiDjHPwX8duD8UHGw2k1kghgUpHm2YlRBdncNgoE8Wd6AqJlM0xXIqpT/&#13;&#10;e1Q/AAAA//8DAFBLAQItABQABgAIAAAAIQC2gziS/gAAAOEBAAATAAAAAAAAAAAAAAAAAAAAAABb&#13;&#10;Q29udGVudF9UeXBlc10ueG1sUEsBAi0AFAAGAAgAAAAhADj9If/WAAAAlAEAAAsAAAAAAAAAAAAA&#13;&#10;AAAALwEAAF9yZWxzLy5yZWxzUEsBAi0AFAAGAAgAAAAhAIEtZk6hAgAAxQUAAA4AAAAAAAAAAAAA&#13;&#10;AAAALgIAAGRycy9lMm9Eb2MueG1sUEsBAi0AFAAGAAgAAAAhABj2sb7lAAAADwEAAA8AAAAAAAAA&#13;&#10;AAAAAAAA+wQAAGRycy9kb3ducmV2LnhtbFBLBQYAAAAABAAEAPMAAAANBgAAAAA=&#13;&#10;" fillcolor="white [3212]" strokecolor="black [3213]" strokeweight="1pt">
                <v:stroke joinstyle="miter"/>
                <v:textbox>
                  <w:txbxContent>
                    <w:p w14:paraId="07E3304F" w14:textId="77777777" w:rsidR="004E2188" w:rsidRPr="00847BBD" w:rsidRDefault="004E2188" w:rsidP="004E21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Intensitas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kebakaran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hutan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menurun</w:t>
                      </w:r>
                      <w:proofErr w:type="spellEnd"/>
                      <w:r w:rsidRPr="00847BBD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80E45A" w14:textId="77777777" w:rsidR="004E2188" w:rsidRPr="007737BF" w:rsidRDefault="004E2188" w:rsidP="004E2188">
      <w:pPr>
        <w:pStyle w:val="Heading1"/>
      </w:pPr>
      <w:bookmarkStart w:id="28" w:name="_Toc100414722"/>
      <w:bookmarkStart w:id="29" w:name="_Toc100415431"/>
      <w:bookmarkStart w:id="30" w:name="_Toc105985430"/>
      <w:bookmarkStart w:id="31" w:name="_Toc106095249"/>
      <w:r w:rsidRPr="007737BF">
        <w:t>BAB III</w:t>
      </w:r>
      <w:bookmarkEnd w:id="28"/>
      <w:bookmarkEnd w:id="29"/>
      <w:bookmarkEnd w:id="30"/>
      <w:bookmarkEnd w:id="31"/>
      <w:r w:rsidRPr="007737BF">
        <w:t xml:space="preserve"> </w:t>
      </w:r>
    </w:p>
    <w:p w14:paraId="65C523B7" w14:textId="77777777" w:rsidR="004E2188" w:rsidRDefault="004E2188" w:rsidP="004E2188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61AA1B" w14:textId="31A90DEC" w:rsidR="004C6A20" w:rsidRPr="004E2188" w:rsidRDefault="004E218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br w:type="page"/>
      </w:r>
    </w:p>
    <w:sectPr w:rsidR="004C6A20" w:rsidRPr="004E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5FE2"/>
    <w:multiLevelType w:val="hybridMultilevel"/>
    <w:tmpl w:val="741272C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B969AE"/>
    <w:multiLevelType w:val="multilevel"/>
    <w:tmpl w:val="D1F06D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none"/>
      <w:pStyle w:val="Heading3"/>
      <w:isLgl/>
      <w:lvlText w:val="1.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409281380">
    <w:abstractNumId w:val="1"/>
  </w:num>
  <w:num w:numId="2" w16cid:durableId="195802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8"/>
    <w:rsid w:val="000271FD"/>
    <w:rsid w:val="004E2188"/>
    <w:rsid w:val="00531A4B"/>
    <w:rsid w:val="00855B9A"/>
    <w:rsid w:val="009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74E54"/>
  <w15:chartTrackingRefBased/>
  <w15:docId w15:val="{FCA356C9-B737-E144-B52D-EBD57DB9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88"/>
    <w:rPr>
      <w:rFonts w:eastAsiaTheme="minorEastAsia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188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188"/>
    <w:p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2188"/>
    <w:pPr>
      <w:numPr>
        <w:ilvl w:val="2"/>
        <w:numId w:val="1"/>
      </w:numPr>
      <w:spacing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88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2188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2188"/>
    <w:rPr>
      <w:rFonts w:ascii="Times New Roman" w:eastAsiaTheme="minorEastAsia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4E2188"/>
    <w:pPr>
      <w:ind w:left="720"/>
      <w:contextualSpacing/>
    </w:pPr>
  </w:style>
  <w:style w:type="table" w:styleId="TableGrid">
    <w:name w:val="Table Grid"/>
    <w:basedOn w:val="TableNormal"/>
    <w:uiPriority w:val="39"/>
    <w:rsid w:val="004E2188"/>
    <w:rPr>
      <w:rFonts w:eastAsiaTheme="minorEastAsia"/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188"/>
    <w:rPr>
      <w:color w:val="0563C1" w:themeColor="hyperlink"/>
      <w:u w:val="single"/>
    </w:rPr>
  </w:style>
  <w:style w:type="paragraph" w:customStyle="1" w:styleId="bab3">
    <w:name w:val="bab 3"/>
    <w:basedOn w:val="Heading3"/>
    <w:next w:val="Heading3"/>
    <w:link w:val="bab3Char"/>
    <w:qFormat/>
    <w:rsid w:val="004E2188"/>
    <w:pPr>
      <w:ind w:left="720"/>
    </w:pPr>
    <w:rPr>
      <w:b w:val="0"/>
      <w:bCs w:val="0"/>
    </w:rPr>
  </w:style>
  <w:style w:type="character" w:customStyle="1" w:styleId="bab3Char">
    <w:name w:val="bab 3 Char"/>
    <w:basedOn w:val="Heading3Char"/>
    <w:link w:val="bab3"/>
    <w:rsid w:val="004E2188"/>
    <w:rPr>
      <w:rFonts w:ascii="Times New Roman" w:eastAsiaTheme="minorEastAsia" w:hAnsi="Times New Roman" w:cs="Times New Roman"/>
      <w:b w:val="0"/>
      <w:b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enahukum.ub.ac.id/index.php/arena/article/viewFile/268/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kas.dpr.go.id/puslit/files/info_singkat/info%20singkat-vi-19-i-p3di-oktober-2014-54.pdf" TargetMode="External"/><Relationship Id="rId5" Type="http://schemas.openxmlformats.org/officeDocument/2006/relationships/hyperlink" Target="https://eprints.umm.ac.id/43000/3/BAB%20I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2631</Words>
  <Characters>15001</Characters>
  <Application>Microsoft Office Word</Application>
  <DocSecurity>0</DocSecurity>
  <Lines>125</Lines>
  <Paragraphs>35</Paragraphs>
  <ScaleCrop>false</ScaleCrop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 Megawati</dc:creator>
  <cp:keywords/>
  <dc:description/>
  <cp:lastModifiedBy>Yola Megawati</cp:lastModifiedBy>
  <cp:revision>1</cp:revision>
  <dcterms:created xsi:type="dcterms:W3CDTF">2022-11-04T19:07:00Z</dcterms:created>
  <dcterms:modified xsi:type="dcterms:W3CDTF">2022-11-04T19:07:00Z</dcterms:modified>
</cp:coreProperties>
</file>