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8"/>
        <w:spacing w:after="0" w:line="276" w:lineRule="auto"/>
        <w:ind w:left="0"/>
        <w:jc w:val="center"/>
        <w:rPr>
          <w:rFonts w:ascii="Times New Roman" w:hAnsi="Times New Roman" w:cs="Times New Roman"/>
          <w:b/>
          <w:bCs/>
          <w:color w:val="000000" w:themeColor="text1"/>
          <w:sz w:val="28"/>
          <w:szCs w:val="28"/>
          <w:lang w:val="zh-CN"/>
          <w14:textFill>
            <w14:solidFill>
              <w14:schemeClr w14:val="tx1"/>
            </w14:solidFill>
          </w14:textFill>
        </w:rPr>
      </w:pPr>
      <w:r>
        <w:rPr>
          <w:rFonts w:ascii="Times New Roman" w:hAnsi="Times New Roman" w:cs="Times New Roman"/>
          <w:b/>
          <w:bCs/>
          <w:color w:val="000000" w:themeColor="text1"/>
          <w:sz w:val="28"/>
          <w:szCs w:val="28"/>
          <w:lang w:val="zh-CN"/>
          <w14:textFill>
            <w14:solidFill>
              <w14:schemeClr w14:val="tx1"/>
            </w14:solidFill>
          </w14:textFill>
        </w:rPr>
        <w:t>STRATEGI IMPLEMENTASI KEBIJAKAN PELARANGAN MINUMAN</w:t>
      </w:r>
      <w:r>
        <w:rPr>
          <w:rFonts w:ascii="Times New Roman" w:hAnsi="Times New Roman" w:cs="Times New Roman"/>
          <w:b/>
          <w:bCs/>
          <w:color w:val="000000" w:themeColor="text1"/>
          <w:sz w:val="28"/>
          <w:szCs w:val="28"/>
          <w14:textFill>
            <w14:solidFill>
              <w14:schemeClr w14:val="tx1"/>
            </w14:solidFill>
          </w14:textFill>
        </w:rPr>
        <w:t xml:space="preserve"> </w:t>
      </w:r>
      <w:r>
        <w:rPr>
          <w:rFonts w:ascii="Times New Roman" w:hAnsi="Times New Roman" w:cs="Times New Roman"/>
          <w:b/>
          <w:bCs/>
          <w:color w:val="000000" w:themeColor="text1"/>
          <w:sz w:val="28"/>
          <w:szCs w:val="28"/>
          <w:lang w:val="zh-CN"/>
          <w14:textFill>
            <w14:solidFill>
              <w14:schemeClr w14:val="tx1"/>
            </w14:solidFill>
          </w14:textFill>
        </w:rPr>
        <w:t>BERALKOHOL</w:t>
      </w:r>
    </w:p>
    <w:p>
      <w:pPr>
        <w:pStyle w:val="8"/>
        <w:spacing w:after="0" w:line="276" w:lineRule="auto"/>
        <w:ind w:left="0"/>
        <w:jc w:val="center"/>
        <w:rPr>
          <w:rFonts w:ascii="Times New Roman" w:hAnsi="Times New Roman" w:cs="Times New Roman"/>
          <w:b/>
          <w:bCs/>
          <w:color w:val="000000" w:themeColor="text1"/>
          <w:sz w:val="28"/>
          <w:szCs w:val="28"/>
          <w:lang w:val="zh-CN"/>
          <w14:textFill>
            <w14:solidFill>
              <w14:schemeClr w14:val="tx1"/>
            </w14:solidFill>
          </w14:textFill>
        </w:rPr>
      </w:pPr>
      <w:r>
        <w:rPr>
          <w:rFonts w:ascii="Times New Roman" w:hAnsi="Times New Roman" w:cs="Times New Roman"/>
          <w:b/>
          <w:bCs/>
          <w:color w:val="000000" w:themeColor="text1"/>
          <w:sz w:val="28"/>
          <w:szCs w:val="28"/>
          <w:lang w:val="zh-CN"/>
          <w14:textFill>
            <w14:solidFill>
              <w14:schemeClr w14:val="tx1"/>
            </w14:solidFill>
          </w14:textFill>
        </w:rPr>
        <w:t>DI KABUPATEN INDRAMAYU</w:t>
      </w:r>
    </w:p>
    <w:p>
      <w:pPr>
        <w:pStyle w:val="8"/>
        <w:spacing w:after="0" w:line="240" w:lineRule="auto"/>
        <w:jc w:val="center"/>
        <w:rPr>
          <w:rFonts w:ascii="Times New Roman" w:hAnsi="Times New Roman" w:cs="Times New Roman"/>
          <w:b/>
          <w:bCs/>
          <w:color w:val="000000" w:themeColor="text1"/>
          <w:sz w:val="28"/>
          <w:szCs w:val="28"/>
          <w:lang w:val="zh-CN"/>
          <w14:textFill>
            <w14:solidFill>
              <w14:schemeClr w14:val="tx1"/>
            </w14:solidFill>
          </w14:textFill>
        </w:rPr>
      </w:pPr>
    </w:p>
    <w:p>
      <w:pPr>
        <w:pStyle w:val="8"/>
        <w:spacing w:after="0" w:line="480" w:lineRule="auto"/>
        <w:ind w:left="0"/>
        <w:jc w:val="center"/>
        <w:rPr>
          <w:rFonts w:ascii="Times New Roman" w:hAnsi="Times New Roman" w:cs="Times New Roman"/>
          <w:b/>
          <w:bCs/>
          <w:color w:val="000000" w:themeColor="text1"/>
          <w:sz w:val="28"/>
          <w:szCs w:val="28"/>
          <w:lang w:val="zh-CN"/>
          <w14:textFill>
            <w14:solidFill>
              <w14:schemeClr w14:val="tx1"/>
            </w14:solidFill>
          </w14:textFill>
        </w:rPr>
      </w:pPr>
      <w:r>
        <w:rPr>
          <w:rFonts w:hint="default" w:ascii="Times New Roman" w:hAnsi="Times New Roman" w:cs="Times New Roman"/>
          <w:b/>
          <w:bCs/>
          <w:color w:val="000000" w:themeColor="text1"/>
          <w:sz w:val="28"/>
          <w:szCs w:val="28"/>
          <w:lang w:val="en-US"/>
          <w14:textFill>
            <w14:solidFill>
              <w14:schemeClr w14:val="tx1"/>
            </w14:solidFill>
          </w14:textFill>
        </w:rPr>
        <w:t xml:space="preserve">ARTIKEL </w:t>
      </w:r>
      <w:r>
        <w:rPr>
          <w:rFonts w:ascii="Times New Roman" w:hAnsi="Times New Roman" w:cs="Times New Roman"/>
          <w:b/>
          <w:bCs/>
          <w:color w:val="000000" w:themeColor="text1"/>
          <w:sz w:val="28"/>
          <w:szCs w:val="28"/>
          <w:lang w:val="zh-CN"/>
          <w14:textFill>
            <w14:solidFill>
              <w14:schemeClr w14:val="tx1"/>
            </w14:solidFill>
          </w14:textFill>
        </w:rPr>
        <w:t>DISERTASI</w:t>
      </w:r>
    </w:p>
    <w:p>
      <w:pPr>
        <w:pStyle w:val="8"/>
        <w:spacing w:after="0" w:line="360" w:lineRule="auto"/>
        <w:ind w:left="0"/>
        <w:jc w:val="center"/>
        <w:rPr>
          <w:rFonts w:ascii="Times New Roman" w:hAnsi="Times New Roman" w:cs="Times New Roman"/>
          <w:b/>
          <w:bCs/>
          <w:color w:val="000000" w:themeColor="text1"/>
          <w:sz w:val="24"/>
          <w:szCs w:val="24"/>
          <w:lang w:val="zh-CN"/>
          <w14:textFill>
            <w14:solidFill>
              <w14:schemeClr w14:val="tx1"/>
            </w14:solidFill>
          </w14:textFill>
        </w:rPr>
      </w:pPr>
      <w:r>
        <w:rPr>
          <w:rFonts w:ascii="Times New Roman" w:hAnsi="Times New Roman" w:cs="Times New Roman"/>
          <w:b/>
          <w:bCs/>
          <w:color w:val="000000" w:themeColor="text1"/>
          <w:sz w:val="24"/>
          <w:szCs w:val="24"/>
          <w:lang w:val="zh-CN"/>
          <w14:textFill>
            <w14:solidFill>
              <w14:schemeClr w14:val="tx1"/>
            </w14:solidFill>
          </w14:textFill>
        </w:rPr>
        <w:t xml:space="preserve">Disusun Dalam Rangka Memenuhi Syarat Guna Mengikuti </w:t>
      </w:r>
    </w:p>
    <w:p>
      <w:pPr>
        <w:pStyle w:val="8"/>
        <w:spacing w:after="0" w:line="360" w:lineRule="auto"/>
        <w:ind w:left="0"/>
        <w:jc w:val="center"/>
        <w:rPr>
          <w:rFonts w:ascii="Times New Roman" w:hAnsi="Times New Roman" w:cs="Times New Roman"/>
          <w:b/>
          <w:bCs/>
          <w:color w:val="000000" w:themeColor="text1"/>
          <w:sz w:val="24"/>
          <w:szCs w:val="24"/>
          <w:lang w:val="zh-CN"/>
          <w14:textFill>
            <w14:solidFill>
              <w14:schemeClr w14:val="tx1"/>
            </w14:solidFill>
          </w14:textFill>
        </w:rPr>
      </w:pPr>
      <w:r>
        <w:rPr>
          <w:rFonts w:ascii="Times New Roman" w:hAnsi="Times New Roman" w:cs="Times New Roman"/>
          <w:b/>
          <w:bCs/>
          <w:color w:val="000000" w:themeColor="text1"/>
          <w:sz w:val="24"/>
          <w:szCs w:val="24"/>
          <w:lang w:val="zh-CN"/>
          <w14:textFill>
            <w14:solidFill>
              <w14:schemeClr w14:val="tx1"/>
            </w14:solidFill>
          </w14:textFill>
        </w:rPr>
        <w:t xml:space="preserve">Seminar Tertutup Disertasi Program Doktor Ilmu Sosial </w:t>
      </w:r>
    </w:p>
    <w:p>
      <w:pPr>
        <w:pStyle w:val="8"/>
        <w:spacing w:after="0" w:line="360" w:lineRule="auto"/>
        <w:ind w:left="0"/>
        <w:jc w:val="center"/>
        <w:rPr>
          <w:rFonts w:ascii="Times New Roman" w:hAnsi="Times New Roman" w:cs="Times New Roman"/>
          <w:b/>
          <w:bCs/>
          <w:color w:val="000000" w:themeColor="text1"/>
          <w:sz w:val="24"/>
          <w:szCs w:val="24"/>
          <w:lang w:val="zh-CN"/>
          <w14:textFill>
            <w14:solidFill>
              <w14:schemeClr w14:val="tx1"/>
            </w14:solidFill>
          </w14:textFill>
        </w:rPr>
      </w:pPr>
      <w:r>
        <w:rPr>
          <w:rFonts w:ascii="Times New Roman" w:hAnsi="Times New Roman" w:cs="Times New Roman"/>
          <w:b/>
          <w:bCs/>
          <w:color w:val="000000" w:themeColor="text1"/>
          <w:sz w:val="24"/>
          <w:szCs w:val="24"/>
          <w:lang w:val="zh-CN"/>
          <w14:textFill>
            <w14:solidFill>
              <w14:schemeClr w14:val="tx1"/>
            </w14:solidFill>
          </w14:textFill>
        </w:rPr>
        <w:t>Bidang Kajian Ilmu Administrasi Publik</w:t>
      </w:r>
    </w:p>
    <w:p>
      <w:pPr>
        <w:pStyle w:val="8"/>
        <w:spacing w:after="0" w:line="480" w:lineRule="auto"/>
        <w:ind w:left="0"/>
        <w:jc w:val="center"/>
        <w:rPr>
          <w:rFonts w:ascii="Times New Roman" w:hAnsi="Times New Roman" w:cs="Times New Roman"/>
          <w:b/>
          <w:bCs/>
          <w:color w:val="000000" w:themeColor="text1"/>
          <w:sz w:val="24"/>
          <w:szCs w:val="24"/>
          <w:lang w:val="zh-CN"/>
          <w14:textFill>
            <w14:solidFill>
              <w14:schemeClr w14:val="tx1"/>
            </w14:solidFill>
          </w14:textFill>
        </w:rPr>
      </w:pPr>
      <w:r>
        <w:rPr>
          <w:rFonts w:ascii="Times New Roman" w:hAnsi="Times New Roman" w:cs="Times New Roman"/>
          <w:b/>
          <w:bCs/>
          <w:color w:val="000000" w:themeColor="text1"/>
          <w:sz w:val="24"/>
          <w:szCs w:val="24"/>
          <w:lang w:val="zh-CN"/>
          <w14:textFill>
            <w14:solidFill>
              <w14:schemeClr w14:val="tx1"/>
            </w14:solidFill>
          </w14:textFill>
        </w:rPr>
        <w:t>Pascasarjana Universitas Pasundan</w:t>
      </w:r>
    </w:p>
    <w:p>
      <w:pPr>
        <w:pStyle w:val="8"/>
        <w:spacing w:after="0" w:line="240" w:lineRule="auto"/>
        <w:ind w:left="0"/>
        <w:jc w:val="center"/>
        <w:rPr>
          <w:rFonts w:ascii="Times New Roman" w:hAnsi="Times New Roman" w:cs="Times New Roman"/>
          <w:b/>
          <w:bCs/>
          <w:color w:val="000000" w:themeColor="text1"/>
          <w:sz w:val="28"/>
          <w:szCs w:val="28"/>
          <w:lang w:val="id-ID"/>
          <w14:textFill>
            <w14:solidFill>
              <w14:schemeClr w14:val="tx1"/>
            </w14:solidFill>
          </w14:textFill>
        </w:rPr>
      </w:pPr>
    </w:p>
    <w:p>
      <w:pPr>
        <w:pStyle w:val="8"/>
        <w:spacing w:after="0" w:line="240" w:lineRule="auto"/>
        <w:ind w:left="0"/>
        <w:jc w:val="center"/>
        <w:rPr>
          <w:rFonts w:ascii="Times New Roman" w:hAnsi="Times New Roman" w:cs="Times New Roman"/>
          <w:b/>
          <w:bCs/>
          <w:color w:val="000000" w:themeColor="text1"/>
          <w:sz w:val="28"/>
          <w:szCs w:val="28"/>
          <w:lang w:val="zh-CN"/>
          <w14:textFill>
            <w14:solidFill>
              <w14:schemeClr w14:val="tx1"/>
            </w14:solidFill>
          </w14:textFill>
        </w:rPr>
      </w:pPr>
      <w:r>
        <w:rPr>
          <w:rFonts w:ascii="Times New Roman" w:hAnsi="Times New Roman" w:cs="Times New Roman"/>
          <w:b/>
          <w:bCs/>
          <w:color w:val="000000" w:themeColor="text1"/>
          <w:sz w:val="28"/>
          <w:szCs w:val="28"/>
          <w:lang w:val="zh-CN"/>
          <w14:textFill>
            <w14:solidFill>
              <w14:schemeClr w14:val="tx1"/>
            </w14:solidFill>
          </w14:textFill>
        </w:rPr>
        <w:t>Oleh:</w:t>
      </w:r>
    </w:p>
    <w:p>
      <w:pPr>
        <w:pStyle w:val="8"/>
        <w:spacing w:after="0" w:line="240" w:lineRule="auto"/>
        <w:ind w:left="0"/>
        <w:jc w:val="center"/>
        <w:rPr>
          <w:rFonts w:ascii="Times New Roman" w:hAnsi="Times New Roman" w:cs="Times New Roman"/>
          <w:b/>
          <w:bCs/>
          <w:color w:val="000000" w:themeColor="text1"/>
          <w:sz w:val="28"/>
          <w:szCs w:val="28"/>
          <w:lang w:val="zh-CN"/>
          <w14:textFill>
            <w14:solidFill>
              <w14:schemeClr w14:val="tx1"/>
            </w14:solidFill>
          </w14:textFill>
        </w:rPr>
      </w:pPr>
      <w:r>
        <w:rPr>
          <w:rFonts w:ascii="Times New Roman" w:hAnsi="Times New Roman" w:cs="Times New Roman"/>
          <w:b/>
          <w:bCs/>
          <w:color w:val="000000" w:themeColor="text1"/>
          <w:sz w:val="28"/>
          <w:szCs w:val="28"/>
          <w:lang w:val="zh-CN"/>
          <w14:textFill>
            <w14:solidFill>
              <w14:schemeClr w14:val="tx1"/>
            </w14:solidFill>
          </w14:textFill>
        </w:rPr>
        <w:t>Dedy Suhendi</w:t>
      </w:r>
    </w:p>
    <w:p>
      <w:pPr>
        <w:pStyle w:val="8"/>
        <w:spacing w:after="0" w:line="480" w:lineRule="auto"/>
        <w:ind w:left="0"/>
        <w:jc w:val="center"/>
        <w:rPr>
          <w:rFonts w:ascii="Times New Roman" w:hAnsi="Times New Roman" w:cs="Times New Roman"/>
          <w:b/>
          <w:bCs/>
          <w:color w:val="000000" w:themeColor="text1"/>
          <w:sz w:val="28"/>
          <w:szCs w:val="28"/>
          <w:lang w:val="zh-CN"/>
          <w14:textFill>
            <w14:solidFill>
              <w14:schemeClr w14:val="tx1"/>
            </w14:solidFill>
          </w14:textFill>
        </w:rPr>
      </w:pPr>
      <w:r>
        <w:rPr>
          <w:rFonts w:ascii="Times New Roman" w:hAnsi="Times New Roman" w:cs="Times New Roman"/>
          <w:b/>
          <w:bCs/>
          <w:color w:val="000000" w:themeColor="text1"/>
          <w:sz w:val="28"/>
          <w:szCs w:val="28"/>
          <w:lang w:val="zh-CN"/>
          <w14:textFill>
            <w14:solidFill>
              <w14:schemeClr w14:val="tx1"/>
            </w14:solidFill>
          </w14:textFill>
        </w:rPr>
        <w:t>189020029</w:t>
      </w:r>
    </w:p>
    <w:p>
      <w:pPr>
        <w:pStyle w:val="8"/>
        <w:spacing w:after="0" w:line="480" w:lineRule="auto"/>
        <w:ind w:left="0"/>
        <w:jc w:val="center"/>
        <w:rPr>
          <w:rFonts w:ascii="Times New Roman" w:hAnsi="Times New Roman" w:cs="Times New Roman"/>
          <w:b/>
          <w:bCs/>
          <w:sz w:val="28"/>
          <w:szCs w:val="28"/>
          <w:lang w:val="zh-CN"/>
        </w:rPr>
      </w:pPr>
    </w:p>
    <w:p>
      <w:pPr>
        <w:pStyle w:val="8"/>
        <w:spacing w:after="0" w:line="480" w:lineRule="auto"/>
        <w:ind w:left="0"/>
        <w:jc w:val="center"/>
        <w:rPr>
          <w:rFonts w:ascii="Times New Roman" w:hAnsi="Times New Roman" w:cs="Times New Roman"/>
          <w:b/>
          <w:bCs/>
          <w:sz w:val="28"/>
          <w:szCs w:val="28"/>
          <w:lang w:val="zh-CN"/>
        </w:rPr>
      </w:pPr>
      <w:r>
        <w:rPr>
          <w:rFonts w:ascii="Times New Roman" w:hAnsi="Times New Roman" w:cs="Times New Roman"/>
          <w:sz w:val="20"/>
          <w:szCs w:val="20"/>
        </w:rPr>
        <w:drawing>
          <wp:inline distT="0" distB="0" distL="0" distR="0">
            <wp:extent cx="1912620" cy="1951355"/>
            <wp:effectExtent l="0" t="0" r="0" b="0"/>
            <wp:docPr id="1" name="Picture 1" descr="Logo Baru Unpas – Program Studi Teknik Indust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Baru Unpas – Program Studi Teknik Industri"/>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923587" cy="1962844"/>
                    </a:xfrm>
                    <a:prstGeom prst="rect">
                      <a:avLst/>
                    </a:prstGeom>
                    <a:noFill/>
                    <a:ln>
                      <a:noFill/>
                    </a:ln>
                  </pic:spPr>
                </pic:pic>
              </a:graphicData>
            </a:graphic>
          </wp:inline>
        </w:drawing>
      </w:r>
    </w:p>
    <w:p>
      <w:pPr>
        <w:spacing w:after="0"/>
        <w:rPr>
          <w:rFonts w:ascii="Times New Roman" w:hAnsi="Times New Roman" w:cs="Times New Roman"/>
          <w:sz w:val="20"/>
          <w:szCs w:val="20"/>
          <w:lang w:val="id-ID"/>
        </w:rPr>
      </w:pPr>
    </w:p>
    <w:p>
      <w:pPr>
        <w:spacing w:after="0"/>
        <w:rPr>
          <w:rFonts w:ascii="Times New Roman" w:hAnsi="Times New Roman" w:cs="Times New Roman"/>
          <w:sz w:val="20"/>
          <w:szCs w:val="20"/>
          <w:lang w:val="id-ID"/>
        </w:rPr>
      </w:pPr>
    </w:p>
    <w:p>
      <w:pPr>
        <w:spacing w:after="0" w:line="276" w:lineRule="auto"/>
        <w:jc w:val="center"/>
        <w:rPr>
          <w:rFonts w:ascii="Times New Roman" w:hAnsi="Times New Roman" w:cs="Times New Roman"/>
          <w:b/>
          <w:bCs/>
          <w:sz w:val="28"/>
          <w:szCs w:val="28"/>
        </w:rPr>
      </w:pPr>
      <w:r>
        <w:rPr>
          <w:rFonts w:ascii="Times New Roman" w:hAnsi="Times New Roman" w:cs="Times New Roman"/>
          <w:b/>
          <w:bCs/>
          <w:sz w:val="28"/>
          <w:szCs w:val="28"/>
        </w:rPr>
        <w:t>PROGRAM DOKTOR ILMU SOSIAL</w:t>
      </w:r>
    </w:p>
    <w:p>
      <w:pPr>
        <w:spacing w:after="0" w:line="276" w:lineRule="auto"/>
        <w:jc w:val="center"/>
        <w:rPr>
          <w:rFonts w:ascii="Times New Roman" w:hAnsi="Times New Roman" w:cs="Times New Roman"/>
          <w:b/>
          <w:bCs/>
          <w:sz w:val="28"/>
          <w:szCs w:val="28"/>
        </w:rPr>
      </w:pPr>
      <w:r>
        <w:rPr>
          <w:rFonts w:ascii="Times New Roman" w:hAnsi="Times New Roman" w:cs="Times New Roman"/>
          <w:b/>
          <w:bCs/>
          <w:sz w:val="28"/>
          <w:szCs w:val="28"/>
        </w:rPr>
        <w:t>BIDANG KAJIAN ILMU ADMINISTRASI PUBLIK</w:t>
      </w:r>
    </w:p>
    <w:p>
      <w:pPr>
        <w:spacing w:after="0" w:line="276" w:lineRule="auto"/>
        <w:jc w:val="center"/>
        <w:rPr>
          <w:rFonts w:ascii="Times New Roman" w:hAnsi="Times New Roman" w:cs="Times New Roman"/>
          <w:b/>
          <w:bCs/>
          <w:sz w:val="28"/>
          <w:szCs w:val="28"/>
        </w:rPr>
      </w:pPr>
      <w:r>
        <w:rPr>
          <w:rFonts w:ascii="Times New Roman" w:hAnsi="Times New Roman" w:cs="Times New Roman"/>
          <w:b/>
          <w:bCs/>
          <w:sz w:val="28"/>
          <w:szCs w:val="28"/>
        </w:rPr>
        <w:t>PROGAM PASCASARJANA</w:t>
      </w:r>
    </w:p>
    <w:p>
      <w:pPr>
        <w:spacing w:after="0" w:line="276" w:lineRule="auto"/>
        <w:jc w:val="center"/>
        <w:rPr>
          <w:rFonts w:ascii="Times New Roman" w:hAnsi="Times New Roman" w:cs="Times New Roman"/>
          <w:b/>
          <w:bCs/>
          <w:sz w:val="28"/>
          <w:szCs w:val="28"/>
        </w:rPr>
      </w:pPr>
      <w:r>
        <w:rPr>
          <w:rFonts w:ascii="Times New Roman" w:hAnsi="Times New Roman" w:cs="Times New Roman"/>
          <w:b/>
          <w:bCs/>
          <w:sz w:val="28"/>
          <w:szCs w:val="28"/>
        </w:rPr>
        <w:t>UNIVERSITAS PASUNDAN</w:t>
      </w:r>
    </w:p>
    <w:p>
      <w:pPr>
        <w:spacing w:after="0" w:line="276" w:lineRule="auto"/>
        <w:jc w:val="center"/>
        <w:rPr>
          <w:rFonts w:ascii="Times New Roman" w:hAnsi="Times New Roman" w:cs="Times New Roman"/>
          <w:b/>
          <w:bCs/>
          <w:sz w:val="28"/>
          <w:szCs w:val="28"/>
        </w:rPr>
      </w:pPr>
      <w:r>
        <w:rPr>
          <w:rFonts w:ascii="Times New Roman" w:hAnsi="Times New Roman" w:cs="Times New Roman"/>
          <w:b/>
          <w:bCs/>
          <w:sz w:val="28"/>
          <w:szCs w:val="28"/>
        </w:rPr>
        <w:t>BANDUNG</w:t>
      </w:r>
    </w:p>
    <w:p>
      <w:pPr>
        <w:spacing w:after="0"/>
        <w:jc w:val="center"/>
        <w:rPr>
          <w:rFonts w:ascii="Times New Roman" w:hAnsi="Times New Roman" w:cs="Times New Roman"/>
          <w:b/>
          <w:bCs/>
          <w:sz w:val="28"/>
          <w:szCs w:val="28"/>
        </w:rPr>
      </w:pPr>
      <w:r>
        <w:rPr>
          <w:rFonts w:ascii="Times New Roman" w:hAnsi="Times New Roman" w:cs="Times New Roman"/>
          <w:b/>
          <w:bCs/>
          <w:sz w:val="28"/>
          <w:szCs w:val="28"/>
        </w:rPr>
        <w:t>2022</w:t>
      </w:r>
    </w:p>
    <w:p>
      <w:pPr>
        <w:spacing w:after="0"/>
        <w:jc w:val="center"/>
        <w:rPr>
          <w:rFonts w:ascii="Times New Roman" w:hAnsi="Times New Roman" w:cs="Times New Roman"/>
          <w:b/>
          <w:bCs/>
          <w:sz w:val="28"/>
          <w:szCs w:val="28"/>
        </w:rPr>
      </w:pPr>
    </w:p>
    <w:p>
      <w:pPr>
        <w:spacing w:after="0"/>
        <w:jc w:val="center"/>
        <w:rPr>
          <w:rFonts w:ascii="Times New Roman" w:hAnsi="Times New Roman" w:cs="Times New Roman"/>
          <w:b/>
          <w:bCs/>
          <w:sz w:val="28"/>
          <w:szCs w:val="28"/>
        </w:rPr>
      </w:pPr>
    </w:p>
    <w:p>
      <w:pPr>
        <w:tabs>
          <w:tab w:val="left" w:pos="7560"/>
        </w:tabs>
        <w:spacing w:after="0" w:line="480" w:lineRule="auto"/>
        <w:jc w:val="both"/>
        <w:rPr>
          <w:rFonts w:ascii="Times New Roman" w:hAnsi="Times New Roman" w:cs="Times New Roman"/>
          <w:sz w:val="24"/>
          <w:szCs w:val="24"/>
        </w:rPr>
      </w:pPr>
    </w:p>
    <w:p>
      <w:pPr>
        <w:tabs>
          <w:tab w:val="left" w:pos="7560"/>
        </w:tabs>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ABSTRAK</w:t>
      </w:r>
    </w:p>
    <w:p>
      <w:pPr>
        <w:pBdr>
          <w:top w:val="none" w:color="auto" w:sz="0" w:space="0"/>
          <w:left w:val="none" w:color="auto" w:sz="0" w:space="0"/>
          <w:bottom w:val="none" w:color="auto" w:sz="0" w:space="0"/>
          <w:right w:val="none" w:color="auto" w:sz="0" w:space="0"/>
          <w:between w:val="none" w:color="auto" w:sz="0" w:space="0"/>
        </w:pBdr>
        <w:spacing w:after="0" w:line="240" w:lineRule="auto"/>
        <w:ind w:firstLine="72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Sejak tahun 2005 Pemerintah Kabupaten Indramayu telah menetapkan kebijakan pelarangan peredaran dan penjualan minuman beralkohol dalam bentuk Peraturan Daerah Kabupaten Indramayu Nomor 7 Tahun 2005 sebagaimana telah dirubah oleh Peraturan Daerah Kabupaten Indramayu Nomor 15 Tahun 2006 tentang Perubahan Atas Peraturan Daerah Kabupaten Indramayu Nomor 7 Tahun 2005 tentang Pelarangan Minuman Beralkohol di Kabupaten Indramayu, bahwa pemerintah kabupaten indramayu melarang  memproduksi, mengedarkan, memperdagangkan, meminum, mengoplos, menjamu dan meminum minuman beralkohol tanpa terkecuali dalam wilayah kabupaten indramayu. </w:t>
      </w:r>
      <w:r>
        <w:rPr>
          <w:rFonts w:ascii="Times New Roman" w:hAnsi="Times New Roman" w:eastAsia="Times New Roman" w:cs="Times New Roman"/>
          <w:sz w:val="24"/>
          <w:szCs w:val="24"/>
          <w:lang w:val="zh-CN" w:eastAsia="zh-CN"/>
        </w:rPr>
        <w:t>Implementasi kebijakan pelarangan minuman beralkohol di Kabupaten Indramayu bertujuan untuk menekan bahkan menghilangkan peredaran minuman beralkohol yang pada akhirnya akan menciptakan ketertiban umum dan ketentraman masyarakat.</w:t>
      </w:r>
      <w:r>
        <w:rPr>
          <w:rFonts w:ascii="Times New Roman" w:hAnsi="Times New Roman" w:eastAsia="Times New Roman" w:cs="Times New Roman"/>
          <w:color w:val="000000" w:themeColor="text1"/>
          <w:sz w:val="24"/>
          <w:szCs w:val="24"/>
          <w14:textFill>
            <w14:solidFill>
              <w14:schemeClr w14:val="tx1"/>
            </w14:solidFill>
          </w14:textFill>
        </w:rPr>
        <w:t xml:space="preserve"> Peredaran minuman beralkohol di wilayah Kabupaten Indramayu pada saat ini masih ada dan hampir merata, karena hampir di setiap daerah di wilayah kecamatan indramayu termasuk took-toko dan warung-warung kecil di desa masih menjual minuman beralkohol dimaksud. Kendala tersebut dikarenakan beberapa faktor internal dan faktor ekternal, yaitu masih terbatasnya sumber daya baik sumber daya anggaran maupun sumber daya aparatur, termasuk koordinasi yang dilakukan antar badan pelaksana masih kurang. Kendala lainnya yaitu lingkungan sosial dan budaya dimana hampir setiap pesta rakyat (termasuk pernikahan) tuan hajat menyediakan minuman yang mengandung alkohol, pun juga para nelayan yang akan melaut selalu mengkonsumsi minuman beralkohol dengan alasan agar tubuh hangat. Ditambah dengan Sanksi yang diberikan aparat penegak hukum kepada pelanggar tidak menimbulkan efek jera.</w:t>
      </w:r>
    </w:p>
    <w:p>
      <w:pPr>
        <w:spacing w:after="0" w:line="240" w:lineRule="auto"/>
        <w:ind w:firstLine="720"/>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bCs/>
          <w:color w:val="000000" w:themeColor="text1"/>
          <w:sz w:val="24"/>
          <w:szCs w:val="24"/>
          <w14:textFill>
            <w14:solidFill>
              <w14:schemeClr w14:val="tx1"/>
            </w14:solidFill>
          </w14:textFill>
        </w:rPr>
        <w:t xml:space="preserve">Hasil analisis SWOT menunjukan bahwa posisi strategi bagi implementasi kebijakan pelarangan minuman beralkohol di kabupaten indramayu adalah strategi agresif guna mendukung implementasi kebijakan dimaksud. Posisi tersebut menandakan bahwa pilihan strategi yang tepat adalah dengan menitikberatkan strategi menggunakan kekuatan untuk memanfaatkan peluang. Kekuatan dimaksud adalah adanya kejelasan standar dan sasaran kebijakan serta dukungan dari tokoh masyarakat dan tokoh agama dimana masyarakat Kabupaten Indrmayau mayoritas beragama Islam (99,68%). </w:t>
      </w:r>
    </w:p>
    <w:p>
      <w:pPr>
        <w:spacing w:after="0" w:line="240" w:lineRule="auto"/>
        <w:ind w:firstLine="720"/>
        <w:jc w:val="both"/>
        <w:rPr>
          <w:rFonts w:ascii="Times New Roman" w:hAnsi="Times New Roman" w:eastAsia="Times New Roman" w:cs="Times New Roman"/>
          <w:bCs/>
          <w:color w:val="000000" w:themeColor="text1"/>
          <w:sz w:val="24"/>
          <w:szCs w:val="24"/>
          <w14:textFill>
            <w14:solidFill>
              <w14:schemeClr w14:val="tx1"/>
            </w14:solidFill>
          </w14:textFill>
        </w:rPr>
      </w:pPr>
      <w:r>
        <w:rPr>
          <w:rFonts w:ascii="Times New Roman" w:hAnsi="Times New Roman" w:eastAsia="Times New Roman" w:cs="Times New Roman"/>
          <w:bCs/>
          <w:color w:val="000000" w:themeColor="text1"/>
          <w:sz w:val="24"/>
          <w:szCs w:val="24"/>
          <w14:textFill>
            <w14:solidFill>
              <w14:schemeClr w14:val="tx1"/>
            </w14:solidFill>
          </w14:textFill>
        </w:rPr>
        <w:t xml:space="preserve">Penelitian menghasilkan novelty berupa teridentifikasinya faktor lain yang menentukan keberhasilan implementasi kebijakan dimaksud, yaitu faktor budaya masyarakat dimana beberapa kalangan masyarakat masih terbiasa mengkonsumsi minuman beralkohol pada saat hajatan atau pesta rakyat dan kebiasaan para nelayan yang membawa minuman berlakohol saat melaut dengan alasan untuk menghangatkan tubuh. Faktor lainnya adalah belum tegasnya sanksi yang diberikan oleh Lembaga pengadilan yang tidak menimbulkan efek jera. </w:t>
      </w:r>
    </w:p>
    <w:p>
      <w:pPr>
        <w:spacing w:after="0" w:line="240" w:lineRule="auto"/>
        <w:ind w:firstLine="720"/>
        <w:jc w:val="both"/>
        <w:rPr>
          <w:rFonts w:ascii="Times New Roman" w:hAnsi="Times New Roman" w:eastAsia="Times New Roman" w:cs="Times New Roman"/>
          <w:bCs/>
          <w:color w:val="000000" w:themeColor="text1"/>
          <w:sz w:val="24"/>
          <w:szCs w:val="24"/>
          <w14:textFill>
            <w14:solidFill>
              <w14:schemeClr w14:val="tx1"/>
            </w14:solidFill>
          </w14:textFill>
        </w:rPr>
      </w:pPr>
    </w:p>
    <w:p>
      <w:pPr>
        <w:spacing w:after="0" w:line="240" w:lineRule="auto"/>
        <w:jc w:val="both"/>
        <w:rPr>
          <w:rFonts w:ascii="Times New Roman" w:hAnsi="Times New Roman" w:eastAsia="Times New Roman" w:cs="Times New Roman"/>
          <w:b/>
          <w:bCs w:val="0"/>
          <w:sz w:val="24"/>
          <w:szCs w:val="24"/>
          <w:lang w:val="zh-CN" w:eastAsia="zh-CN"/>
        </w:rPr>
      </w:pPr>
      <w:r>
        <w:rPr>
          <w:rFonts w:ascii="Times New Roman" w:hAnsi="Times New Roman" w:eastAsia="Times New Roman" w:cs="Times New Roman"/>
          <w:b/>
          <w:bCs w:val="0"/>
          <w:color w:val="000000" w:themeColor="text1"/>
          <w:sz w:val="24"/>
          <w:szCs w:val="24"/>
          <w14:textFill>
            <w14:solidFill>
              <w14:schemeClr w14:val="tx1"/>
            </w14:solidFill>
          </w14:textFill>
        </w:rPr>
        <w:t>Kata kunci : Strategi Implementasi Kebijakan</w:t>
      </w:r>
    </w:p>
    <w:p>
      <w:pPr>
        <w:spacing w:after="0" w:line="480" w:lineRule="auto"/>
        <w:jc w:val="center"/>
        <w:rPr>
          <w:rFonts w:ascii="Times New Roman" w:hAnsi="Times New Roman" w:eastAsia="Times New Roman" w:cs="Times New Roman"/>
          <w:b/>
          <w:bCs/>
          <w:sz w:val="24"/>
          <w:szCs w:val="24"/>
          <w:lang w:val="zh-CN" w:eastAsia="zh-CN"/>
        </w:rPr>
      </w:pPr>
    </w:p>
    <w:p>
      <w:pPr>
        <w:spacing w:after="0" w:line="480" w:lineRule="auto"/>
        <w:jc w:val="center"/>
        <w:rPr>
          <w:rFonts w:ascii="Times New Roman" w:hAnsi="Times New Roman" w:eastAsia="Times New Roman" w:cs="Times New Roman"/>
          <w:b/>
          <w:bCs/>
          <w:sz w:val="24"/>
          <w:szCs w:val="24"/>
          <w:lang w:val="zh-CN" w:eastAsia="zh-CN"/>
        </w:rPr>
      </w:pPr>
    </w:p>
    <w:p>
      <w:pPr>
        <w:spacing w:after="0" w:line="240" w:lineRule="auto"/>
        <w:jc w:val="center"/>
        <w:rPr>
          <w:rFonts w:ascii="Times New Roman" w:hAnsi="Times New Roman" w:eastAsia="Times New Roman" w:cs="Times New Roman"/>
          <w:b/>
          <w:bCs/>
          <w:i/>
          <w:iCs/>
          <w:sz w:val="24"/>
          <w:szCs w:val="24"/>
          <w:lang w:val="zh-CN" w:eastAsia="zh-CN"/>
        </w:rPr>
      </w:pPr>
      <w:r>
        <w:rPr>
          <w:rFonts w:ascii="Times New Roman" w:hAnsi="Times New Roman" w:eastAsia="Times New Roman" w:cs="Times New Roman"/>
          <w:b/>
          <w:bCs/>
          <w:i/>
          <w:iCs/>
          <w:sz w:val="24"/>
          <w:szCs w:val="24"/>
          <w:lang w:val="zh-CN" w:eastAsia="zh-CN"/>
        </w:rPr>
        <w:t>ABSTRACT</w:t>
      </w:r>
    </w:p>
    <w:p>
      <w:pPr>
        <w:spacing w:after="0" w:line="240" w:lineRule="auto"/>
        <w:jc w:val="center"/>
        <w:rPr>
          <w:rFonts w:ascii="Times New Roman" w:hAnsi="Times New Roman" w:eastAsia="Times New Roman" w:cs="Times New Roman"/>
          <w:i/>
          <w:iCs/>
          <w:sz w:val="24"/>
          <w:szCs w:val="24"/>
          <w:lang w:val="zh-CN" w:eastAsia="zh-CN"/>
        </w:rPr>
      </w:pPr>
    </w:p>
    <w:p>
      <w:pPr>
        <w:spacing w:after="0" w:line="240" w:lineRule="auto"/>
        <w:ind w:firstLine="720"/>
        <w:jc w:val="both"/>
        <w:rPr>
          <w:rFonts w:ascii="Times New Roman" w:hAnsi="Times New Roman" w:eastAsia="Times New Roman" w:cs="Times New Roman"/>
          <w:i/>
          <w:iCs/>
          <w:sz w:val="24"/>
          <w:szCs w:val="24"/>
          <w:lang w:val="zh-CN" w:eastAsia="zh-CN"/>
        </w:rPr>
      </w:pPr>
      <w:r>
        <w:rPr>
          <w:rFonts w:ascii="Times New Roman" w:hAnsi="Times New Roman" w:eastAsia="Times New Roman" w:cs="Times New Roman"/>
          <w:i/>
          <w:iCs/>
          <w:sz w:val="24"/>
          <w:szCs w:val="24"/>
          <w:lang w:val="zh-CN" w:eastAsia="zh-CN"/>
        </w:rPr>
        <w:t>Since 2005 the Indramayu Regency Government has established a policy of prohibiting the circulation and sale of alcoholic beverages in the form of Indramayu Regency Regional Regulation Number 7 of 2005 as amended by Indramayu Regency's Regional Regulation Number 15 of 2006 concerning Amendments to Indramayu Regency's Regional Regulation Number 7 of 2005 concerning the Prohibition Alcoholic Drinks in Indramayu Regency, that the Indramayu Regency government prohibits producing, distributing, trading, drinking, mixing, entertaining and drinking alcoholic beverages without exception within the Indramayu Regency area. The implementation of the policy on the prohibition of alcoholic beverages in Indramayu Regency aims to suppress and even eliminate the circulation of alcoholic beverages which in turn will create public order and public peace. Circulation of alcoholic beverages in the Indramayu Regency area is still present and almost evenly distributed, because almost every area in the Indramayu sub-district including shops and stalls in the village still sells alcoholic beverages. These constraints are due to several internal and external factors, namely limited resources, both budgetary resources and apparatus resources, including coordination between implementing agencies is still lacking. Another obstacle is the social and cultural environment where almost every party of the people of Tuan Hajat provides drinks containing alcohol, the fishermen who will go to sea always consume alcoholic beverages with the reason that the body is warm. Coupled with the sanctions given by law enforcement officers to violators, it does not have a deterrent effect.</w:t>
      </w:r>
    </w:p>
    <w:p>
      <w:pPr>
        <w:spacing w:after="0" w:line="240" w:lineRule="auto"/>
        <w:ind w:firstLine="720"/>
        <w:jc w:val="both"/>
        <w:rPr>
          <w:rFonts w:ascii="Times New Roman" w:hAnsi="Times New Roman" w:eastAsia="Times New Roman" w:cs="Times New Roman"/>
          <w:i/>
          <w:iCs/>
          <w:sz w:val="24"/>
          <w:szCs w:val="24"/>
          <w:lang w:val="zh-CN" w:eastAsia="zh-CN"/>
        </w:rPr>
      </w:pPr>
      <w:r>
        <w:rPr>
          <w:rFonts w:ascii="Times New Roman" w:hAnsi="Times New Roman" w:eastAsia="Times New Roman" w:cs="Times New Roman"/>
          <w:i/>
          <w:iCs/>
          <w:sz w:val="24"/>
          <w:szCs w:val="24"/>
          <w:lang w:val="zh-CN" w:eastAsia="zh-CN"/>
        </w:rPr>
        <w:t>The results of the SWOT analysis show that the strategic position for the implementation of the policy for the prohibition of alcoholic beverages in Indramayu district is an aggressive strategy to support the implementation of the said policy. This position indicates that the choice of the right strategy is to emphasize the strategy of using strengths to take advantage of opportunities. The strength in question is the clarity of standards and policy targets as well as support from community and religious leaders where the majority of the people of Indramayu Regency are Muslim (99.68%).</w:t>
      </w:r>
    </w:p>
    <w:p>
      <w:pPr>
        <w:spacing w:after="0" w:line="240" w:lineRule="auto"/>
        <w:ind w:firstLine="720"/>
        <w:jc w:val="both"/>
        <w:rPr>
          <w:rFonts w:ascii="Times New Roman" w:hAnsi="Times New Roman" w:eastAsia="Times New Roman" w:cs="Times New Roman"/>
          <w:i/>
          <w:iCs/>
          <w:sz w:val="24"/>
          <w:szCs w:val="24"/>
          <w:lang w:val="zh-CN" w:eastAsia="zh-CN"/>
        </w:rPr>
      </w:pPr>
      <w:r>
        <w:rPr>
          <w:rFonts w:ascii="Times New Roman" w:hAnsi="Times New Roman" w:eastAsia="Times New Roman" w:cs="Times New Roman"/>
          <w:i/>
          <w:iCs/>
          <w:sz w:val="24"/>
          <w:szCs w:val="24"/>
          <w:lang w:val="zh-CN" w:eastAsia="zh-CN"/>
        </w:rPr>
        <w:t>The research resulted in a novelty in the form of identifying other factors that determine the success of the implementation of the policy, namely the cultural factor of the community where some people are still accustomed to consuming alcoholic beverages during celebrations or public parties and the habit of fishermen who bring alcoholic drinks while at sea with reasons to warm the body. Another factor is the lack of firm sanctions imposed by the judiciary which do not create a deterrent effect.</w:t>
      </w:r>
    </w:p>
    <w:p>
      <w:pPr>
        <w:spacing w:after="0" w:line="240" w:lineRule="auto"/>
        <w:jc w:val="both"/>
        <w:rPr>
          <w:rFonts w:ascii="Times New Roman" w:hAnsi="Times New Roman" w:eastAsia="Times New Roman" w:cs="Times New Roman"/>
          <w:i/>
          <w:iCs/>
          <w:sz w:val="24"/>
          <w:szCs w:val="24"/>
          <w:lang w:val="zh-CN" w:eastAsia="zh-CN"/>
        </w:rPr>
      </w:pPr>
    </w:p>
    <w:p>
      <w:pPr>
        <w:spacing w:after="0" w:line="240" w:lineRule="auto"/>
        <w:jc w:val="both"/>
        <w:rPr>
          <w:rFonts w:ascii="Times New Roman" w:hAnsi="Times New Roman" w:eastAsia="Times New Roman" w:cs="Times New Roman"/>
          <w:b/>
          <w:bCs/>
          <w:i/>
          <w:iCs/>
          <w:sz w:val="24"/>
          <w:szCs w:val="24"/>
          <w:lang w:val="zh-CN" w:eastAsia="zh-CN"/>
        </w:rPr>
      </w:pPr>
      <w:r>
        <w:rPr>
          <w:rFonts w:ascii="Times New Roman" w:hAnsi="Times New Roman" w:eastAsia="Times New Roman" w:cs="Times New Roman"/>
          <w:b/>
          <w:bCs/>
          <w:i/>
          <w:iCs/>
          <w:sz w:val="24"/>
          <w:szCs w:val="24"/>
          <w:lang w:val="zh-CN" w:eastAsia="zh-CN"/>
        </w:rPr>
        <w:t>Keywords: Policy Implementation Strategy</w:t>
      </w:r>
    </w:p>
    <w:p>
      <w:pPr>
        <w:spacing w:after="0" w:line="480" w:lineRule="auto"/>
        <w:jc w:val="center"/>
        <w:rPr>
          <w:rFonts w:ascii="Times New Roman" w:hAnsi="Times New Roman" w:eastAsia="Times New Roman" w:cs="Times New Roman"/>
          <w:b/>
          <w:bCs/>
          <w:sz w:val="24"/>
          <w:szCs w:val="24"/>
          <w:lang w:val="zh-CN" w:eastAsia="zh-CN"/>
        </w:rPr>
      </w:pPr>
    </w:p>
    <w:p>
      <w:pPr>
        <w:spacing w:after="0" w:line="480" w:lineRule="auto"/>
        <w:jc w:val="center"/>
        <w:rPr>
          <w:rFonts w:ascii="Times New Roman" w:hAnsi="Times New Roman" w:eastAsia="Times New Roman" w:cs="Times New Roman"/>
          <w:b/>
          <w:bCs/>
          <w:sz w:val="24"/>
          <w:szCs w:val="24"/>
          <w:lang w:val="zh-CN" w:eastAsia="zh-CN"/>
        </w:rPr>
      </w:pPr>
    </w:p>
    <w:p>
      <w:pPr>
        <w:spacing w:after="0" w:line="480" w:lineRule="auto"/>
        <w:jc w:val="center"/>
        <w:rPr>
          <w:rFonts w:ascii="Times New Roman" w:hAnsi="Times New Roman" w:cs="Times New Roman"/>
          <w:b/>
          <w:bCs/>
          <w:sz w:val="24"/>
          <w:szCs w:val="24"/>
          <w:lang w:val="id-ID"/>
        </w:rPr>
      </w:pPr>
      <w:bookmarkStart w:id="0" w:name="_GoBack"/>
      <w:bookmarkEnd w:id="0"/>
      <w:r>
        <w:rPr>
          <w:rFonts w:ascii="Times New Roman" w:hAnsi="Times New Roman" w:cs="Times New Roman"/>
          <w:b/>
          <w:bCs/>
          <w:sz w:val="24"/>
          <w:szCs w:val="24"/>
        </w:rPr>
        <w:t>DAFTAR PUSTAKA</w:t>
      </w:r>
    </w:p>
    <w:p>
      <w:pPr>
        <w:spacing w:after="0" w:line="480" w:lineRule="auto"/>
        <w:jc w:val="center"/>
        <w:rPr>
          <w:rFonts w:ascii="Times New Roman" w:hAnsi="Times New Roman" w:cs="Times New Roman"/>
          <w:b/>
          <w:bCs/>
          <w:sz w:val="24"/>
          <w:szCs w:val="24"/>
          <w:lang w:val="id-ID"/>
        </w:rPr>
      </w:pPr>
    </w:p>
    <w:p>
      <w:p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Chandler, R.C. &amp; J.C. Plano. 1988. The Public Administration Dictionary. Second Edition. Santa Barbara, CA: ABC-CLIO Inc.</w:t>
      </w:r>
    </w:p>
    <w:p>
      <w:p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Dwiyanto Indiahono, S.Sos.,M.Si. Kebijakan Publik: Berbasis Dynamic Policy Analysis, Edisi Ke-2 Revisi. Cetakan I, 2017. Gava Media. Yogyakarta.</w:t>
      </w:r>
    </w:p>
    <w:p>
      <w:p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Edward, G.C., 1980. Implementeing Public Policy. Congressional Quarterly Press.</w:t>
      </w:r>
    </w:p>
    <w:p>
      <w:p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Edwards III, George, C., 1980. Implementing Public Policy. Washington DC: Congressional Quarterly Press.</w:t>
      </w:r>
    </w:p>
    <w:p>
      <w:p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Erwan Agus Purwanto, Ph.D dan Dyah Ratih Sulistyastuti, M.Si. Implementasi Kebijakan Publik: Konsep dan Aplikaisnya di Indonesia. Cetakan II, 2015. Gava Media. Yogyakarta.</w:t>
      </w:r>
    </w:p>
    <w:p>
      <w:p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Grindle, Mirilles, S., 1980. Politics and Implementation in The Third World, Princeton University Press, New Jersey.</w:t>
      </w:r>
    </w:p>
    <w:p>
      <w:p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Hughes, O. 2003. Public Management ang Administration: An Introduction. Third Edition. New York: Palgrave Macmillan.</w:t>
      </w:r>
    </w:p>
    <w:p>
      <w:p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Lexy J. Moleong, Prof., DR. M.A. Metodologi Penelitian Kualitatif. Edisi Revisi. Cetakan ketigapuluhenam, 2017. PT Remaja Rosdakarya. Bandung.</w:t>
      </w:r>
    </w:p>
    <w:p>
      <w:p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Parson, Wayne. 2006-cetakan kedua. Public Policy: Pengantar Teori dan Praktik Analisis Kebijakan. Kencana: Jakarta.</w:t>
      </w:r>
    </w:p>
    <w:p>
      <w:p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Sabatier, P.A. dan D, Mazmanian, 1980. “The Implementation of Public Policy: A Framework og Analisys”. Policy Studies Journal 8 (Special Issue NO.2.)</w:t>
      </w:r>
    </w:p>
    <w:p>
      <w:p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Said Zainal Abifdin, Prop.,Ph.D., MPIA. Kebijakan Publik. Edisi 3. 2016. Salemba Humanika. Jakarta.</w:t>
      </w:r>
    </w:p>
    <w:p>
      <w:p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Subarsono, AG., 2005. Analisis Kebijakan publik: Konsep, Teori dan  Aplikasi: Pluto Press.</w:t>
      </w:r>
    </w:p>
    <w:p>
      <w:p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Yeremias T. Keban, Prof. S.U., MURP, Enam Dimensi Strategis Administrasi Publik: Konsep, Teori dan Isu, Edisi Revisi. Cetakan I, 2019. Gava Media, Yogyakarta.</w:t>
      </w:r>
    </w:p>
    <w:p>
      <w:pPr>
        <w:tabs>
          <w:tab w:val="left" w:pos="567"/>
        </w:tabs>
        <w:spacing w:after="0" w:line="480" w:lineRule="auto"/>
        <w:ind w:left="567" w:hanging="567"/>
        <w:jc w:val="both"/>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 xml:space="preserve">Dewi Setyo Rini, </w:t>
      </w:r>
      <w:r>
        <w:rPr>
          <w:rFonts w:ascii="Times New Roman" w:hAnsi="Times New Roman" w:eastAsia="Times New Roman" w:cs="Times New Roman"/>
          <w:sz w:val="24"/>
          <w:szCs w:val="24"/>
        </w:rPr>
        <w:t>Penelitian ini berjudul Implementasi Peraturan Daerah Kabupaten Bintan Nomor 6 Tahun 2011 Tentang Pengawasan dan Pengendalian Minuman Beralkohol</w:t>
      </w:r>
      <w:r>
        <w:rPr>
          <w:rFonts w:ascii="Times New Roman" w:hAnsi="Times New Roman" w:eastAsia="Times New Roman" w:cs="Times New Roman"/>
          <w:bCs/>
          <w:sz w:val="24"/>
          <w:szCs w:val="24"/>
        </w:rPr>
        <w:t xml:space="preserve"> (Jurnal,2015)</w:t>
      </w:r>
    </w:p>
    <w:p>
      <w:pPr>
        <w:tabs>
          <w:tab w:val="left" w:pos="567"/>
        </w:tabs>
        <w:spacing w:after="0" w:line="480" w:lineRule="auto"/>
        <w:ind w:left="567" w:hanging="567"/>
        <w:jc w:val="both"/>
        <w:rPr>
          <w:rFonts w:ascii="Times New Roman" w:hAnsi="Times New Roman" w:eastAsia="Times New Roman" w:cs="Times New Roman"/>
          <w:bCs/>
          <w:i/>
          <w:sz w:val="24"/>
          <w:szCs w:val="24"/>
        </w:rPr>
      </w:pPr>
      <w:r>
        <w:rPr>
          <w:rFonts w:ascii="Times New Roman" w:hAnsi="Times New Roman" w:eastAsia="Times New Roman" w:cs="Times New Roman"/>
          <w:bCs/>
          <w:sz w:val="24"/>
          <w:szCs w:val="24"/>
        </w:rPr>
        <w:t xml:space="preserve">Gichoya, </w:t>
      </w:r>
      <w:r>
        <w:rPr>
          <w:rFonts w:ascii="Times New Roman" w:hAnsi="Times New Roman" w:eastAsia="Times New Roman" w:cs="Times New Roman"/>
          <w:bCs/>
          <w:i/>
          <w:iCs/>
          <w:sz w:val="24"/>
          <w:szCs w:val="24"/>
        </w:rPr>
        <w:t>I</w:t>
      </w:r>
      <w:r>
        <w:rPr>
          <w:rFonts w:ascii="Times New Roman" w:hAnsi="Times New Roman" w:eastAsia="Times New Roman" w:cs="Times New Roman"/>
          <w:i/>
          <w:sz w:val="24"/>
          <w:szCs w:val="24"/>
        </w:rPr>
        <w:t>nformation And Communication Technologies (ICT) Government to Support Improveents Inproductivity, Management Effectiveness and Ultimately, The Quality of Services Offered to Citizens</w:t>
      </w:r>
      <w:r>
        <w:rPr>
          <w:rFonts w:ascii="Times New Roman" w:hAnsi="Times New Roman" w:eastAsia="Times New Roman" w:cs="Times New Roman"/>
          <w:bCs/>
          <w:sz w:val="24"/>
          <w:szCs w:val="24"/>
        </w:rPr>
        <w:t xml:space="preserve"> (disertasi 2014,)</w:t>
      </w:r>
      <w:r>
        <w:rPr>
          <w:rFonts w:ascii="Times New Roman" w:hAnsi="Times New Roman" w:eastAsia="Times New Roman" w:cs="Times New Roman"/>
          <w:bCs/>
          <w:i/>
          <w:sz w:val="24"/>
          <w:szCs w:val="24"/>
        </w:rPr>
        <w:t xml:space="preserve"> </w:t>
      </w:r>
    </w:p>
    <w:p>
      <w:pPr>
        <w:tabs>
          <w:tab w:val="left" w:pos="567"/>
        </w:tabs>
        <w:spacing w:after="0" w:line="480" w:lineRule="auto"/>
        <w:ind w:left="567" w:hanging="567"/>
        <w:jc w:val="both"/>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 xml:space="preserve">H.S. Maltha, </w:t>
      </w:r>
      <w:r>
        <w:rPr>
          <w:rFonts w:ascii="Times New Roman" w:hAnsi="Times New Roman" w:eastAsia="Times New Roman" w:cs="Times New Roman"/>
          <w:sz w:val="24"/>
          <w:szCs w:val="24"/>
        </w:rPr>
        <w:t>Strategi Peningkatan Profesionalisme Sumber Daya Aparatur Polri Dalam Menangani Cyber Crime Guna memperkokoh Ketahanan Nasional</w:t>
      </w:r>
      <w:r>
        <w:rPr>
          <w:rFonts w:ascii="Times New Roman" w:hAnsi="Times New Roman" w:eastAsia="Times New Roman" w:cs="Times New Roman"/>
          <w:bCs/>
          <w:sz w:val="24"/>
          <w:szCs w:val="24"/>
        </w:rPr>
        <w:t xml:space="preserve"> (disertasi,2018)</w:t>
      </w:r>
    </w:p>
    <w:p>
      <w:pPr>
        <w:tabs>
          <w:tab w:val="left" w:pos="567"/>
        </w:tabs>
        <w:spacing w:after="0" w:line="480" w:lineRule="auto"/>
        <w:ind w:left="567" w:hanging="567"/>
        <w:jc w:val="both"/>
        <w:rPr>
          <w:rFonts w:ascii="Times New Roman" w:hAnsi="Times New Roman" w:eastAsia="Times New Roman" w:cs="Times New Roman"/>
          <w:b/>
          <w:sz w:val="24"/>
          <w:szCs w:val="24"/>
        </w:rPr>
      </w:pPr>
      <w:r>
        <w:rPr>
          <w:rFonts w:ascii="Times New Roman" w:hAnsi="Times New Roman" w:eastAsia="Times New Roman" w:cs="Times New Roman"/>
          <w:bCs/>
          <w:sz w:val="24"/>
          <w:szCs w:val="24"/>
        </w:rPr>
        <w:t xml:space="preserve">Lusi Andriani, Kebijakan Politik Pengendalian dan </w:t>
      </w:r>
      <w:r>
        <w:rPr>
          <w:rFonts w:ascii="Times New Roman" w:hAnsi="Times New Roman" w:eastAsia="Times New Roman" w:cs="Times New Roman"/>
          <w:sz w:val="24"/>
          <w:szCs w:val="24"/>
        </w:rPr>
        <w:t>Pengawasan Minuman Beralkohol Di Jakarta Berdasarkan Peraturan Presiden Nomor 4 Tahun 2013</w:t>
      </w:r>
      <w:r>
        <w:rPr>
          <w:rFonts w:ascii="Times New Roman" w:hAnsi="Times New Roman" w:eastAsia="Times New Roman" w:cs="Times New Roman"/>
          <w:bCs/>
          <w:sz w:val="24"/>
          <w:szCs w:val="24"/>
        </w:rPr>
        <w:t xml:space="preserve"> (Jurnal, 2017) </w:t>
      </w:r>
    </w:p>
    <w:p>
      <w:pPr>
        <w:tabs>
          <w:tab w:val="left" w:pos="567"/>
        </w:tabs>
        <w:spacing w:after="0" w:line="480" w:lineRule="auto"/>
        <w:ind w:left="567" w:hanging="567"/>
        <w:jc w:val="both"/>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Muhammad Fadly, S</w:t>
      </w:r>
      <w:r>
        <w:rPr>
          <w:rFonts w:ascii="Times New Roman" w:hAnsi="Times New Roman" w:eastAsia="Times New Roman" w:cs="Times New Roman"/>
          <w:sz w:val="24"/>
          <w:szCs w:val="24"/>
        </w:rPr>
        <w:t>trategi Pemerintahan Daerah Dalam Pengembangan Kecamatan Sebagai Pusat Pertumbuhan Ekonomi Berbasis One District One Product Di Kabupaten Mukomuko Provinsi Bengkulu</w:t>
      </w:r>
      <w:r>
        <w:rPr>
          <w:rFonts w:ascii="Times New Roman" w:hAnsi="Times New Roman" w:eastAsia="Times New Roman" w:cs="Times New Roman"/>
          <w:bCs/>
          <w:sz w:val="24"/>
          <w:szCs w:val="24"/>
        </w:rPr>
        <w:t xml:space="preserve"> (disertasi,2019)</w:t>
      </w:r>
    </w:p>
    <w:p>
      <w:pPr>
        <w:pBdr>
          <w:top w:val="none" w:color="auto" w:sz="0" w:space="0"/>
          <w:left w:val="none" w:color="auto" w:sz="0" w:space="0"/>
          <w:bottom w:val="none" w:color="auto" w:sz="0" w:space="0"/>
          <w:right w:val="none" w:color="auto" w:sz="0" w:space="0"/>
          <w:between w:val="none" w:color="auto" w:sz="0" w:space="0"/>
        </w:pBdr>
        <w:tabs>
          <w:tab w:val="left" w:pos="567"/>
        </w:tabs>
        <w:spacing w:after="0" w:line="480" w:lineRule="auto"/>
        <w:ind w:left="567" w:hanging="567"/>
        <w:jc w:val="both"/>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Taufiq Rachmat Hidayat, I</w:t>
      </w:r>
      <w:r>
        <w:rPr>
          <w:rFonts w:ascii="Times New Roman" w:hAnsi="Times New Roman" w:eastAsia="Times New Roman" w:cs="Times New Roman"/>
          <w:sz w:val="24"/>
          <w:szCs w:val="24"/>
        </w:rPr>
        <w:t>mplementasi Kebijakan Deteksi Dini Pelayanan Dasar Masyarakat Di Kota Bekasi</w:t>
      </w:r>
      <w:r>
        <w:rPr>
          <w:rFonts w:ascii="Times New Roman" w:hAnsi="Times New Roman" w:eastAsia="Times New Roman" w:cs="Times New Roman"/>
          <w:bCs/>
          <w:sz w:val="24"/>
          <w:szCs w:val="24"/>
        </w:rPr>
        <w:t xml:space="preserve"> (disertasi,2020)</w:t>
      </w:r>
    </w:p>
    <w:p>
      <w:pPr>
        <w:tabs>
          <w:tab w:val="left" w:pos="567"/>
        </w:tabs>
        <w:spacing w:after="0" w:line="480" w:lineRule="auto"/>
        <w:ind w:left="567" w:hanging="567"/>
        <w:jc w:val="both"/>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 xml:space="preserve">Yulianus Dica Ariseno Adi, Widodo Tresno Novianto dan Supanto, </w:t>
      </w:r>
      <w:r>
        <w:rPr>
          <w:rFonts w:ascii="Times New Roman" w:hAnsi="Times New Roman" w:eastAsia="Times New Roman" w:cs="Times New Roman"/>
          <w:sz w:val="24"/>
          <w:szCs w:val="24"/>
        </w:rPr>
        <w:t>Pengendalian Peredaran Minuman Beralkohol Dalam Mencegah Meningkatnya Tindak Kriminal Di Wilayah Hukum Polres Boyolali</w:t>
      </w:r>
      <w:r>
        <w:rPr>
          <w:rFonts w:ascii="Times New Roman" w:hAnsi="Times New Roman" w:eastAsia="Times New Roman" w:cs="Times New Roman"/>
          <w:bCs/>
          <w:sz w:val="24"/>
          <w:szCs w:val="24"/>
        </w:rPr>
        <w:t xml:space="preserve"> (Jurnal, 2019)</w:t>
      </w:r>
    </w:p>
    <w:p>
      <w:pPr>
        <w:tabs>
          <w:tab w:val="left" w:pos="567"/>
        </w:tabs>
        <w:spacing w:after="0" w:line="480" w:lineRule="auto"/>
        <w:ind w:left="567" w:hanging="567"/>
        <w:jc w:val="both"/>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 xml:space="preserve">Zulkifli Said, </w:t>
      </w:r>
      <w:r>
        <w:rPr>
          <w:rFonts w:ascii="Times New Roman" w:hAnsi="Times New Roman" w:eastAsia="Times New Roman" w:cs="Times New Roman"/>
          <w:sz w:val="24"/>
          <w:szCs w:val="24"/>
        </w:rPr>
        <w:t>Implementasi Kebijakan Organisasi dan Tata Kerja Kota Administrasi Di Provinsi DKI Jakarta</w:t>
      </w:r>
      <w:r>
        <w:rPr>
          <w:rFonts w:ascii="Times New Roman" w:hAnsi="Times New Roman" w:eastAsia="Times New Roman" w:cs="Times New Roman"/>
          <w:bCs/>
          <w:sz w:val="24"/>
          <w:szCs w:val="24"/>
        </w:rPr>
        <w:t xml:space="preserve"> (disertasi,2018)</w:t>
      </w:r>
    </w:p>
    <w:p>
      <w:pPr>
        <w:spacing w:after="0" w:line="480" w:lineRule="auto"/>
        <w:ind w:left="567" w:hanging="567"/>
        <w:jc w:val="both"/>
        <w:rPr>
          <w:rFonts w:ascii="Times New Roman" w:hAnsi="Times New Roman" w:cs="Times New Roman"/>
          <w:b/>
          <w:sz w:val="24"/>
          <w:szCs w:val="24"/>
        </w:rPr>
      </w:pPr>
    </w:p>
    <w:p>
      <w:pPr>
        <w:spacing w:after="0" w:line="480" w:lineRule="auto"/>
        <w:ind w:left="567" w:hanging="567"/>
        <w:jc w:val="both"/>
        <w:rPr>
          <w:rFonts w:ascii="Times New Roman" w:hAnsi="Times New Roman" w:cs="Times New Roman"/>
          <w:sz w:val="24"/>
          <w:szCs w:val="24"/>
        </w:rPr>
      </w:pPr>
      <w:r>
        <w:rPr>
          <w:rFonts w:ascii="Times New Roman" w:hAnsi="Times New Roman" w:cs="Times New Roman"/>
          <w:b/>
          <w:sz w:val="24"/>
          <w:szCs w:val="24"/>
        </w:rPr>
        <w:t>Dokumen lain</w:t>
      </w:r>
      <w:r>
        <w:rPr>
          <w:rFonts w:ascii="Times New Roman" w:hAnsi="Times New Roman" w:cs="Times New Roman"/>
          <w:sz w:val="24"/>
          <w:szCs w:val="24"/>
        </w:rPr>
        <w:t xml:space="preserve"> :</w:t>
      </w:r>
    </w:p>
    <w:p>
      <w:pPr>
        <w:spacing w:after="0" w:line="480" w:lineRule="auto"/>
        <w:ind w:left="567" w:hanging="567"/>
        <w:jc w:val="both"/>
        <w:rPr>
          <w:rFonts w:ascii="Times New Roman" w:hAnsi="Times New Roman" w:cs="Times New Roman"/>
          <w:sz w:val="24"/>
          <w:szCs w:val="24"/>
          <w:lang w:val="id-ID"/>
        </w:rPr>
      </w:pPr>
      <w:r>
        <w:rPr>
          <w:rFonts w:ascii="Times New Roman" w:hAnsi="Times New Roman" w:cs="Times New Roman"/>
          <w:sz w:val="24"/>
          <w:szCs w:val="24"/>
        </w:rPr>
        <w:t>Undang-Undang Nomor 8 Tahun 1981 Tentang  Kitab Undang-Undang Hukuam Acara Pidana (KUHAP)</w:t>
      </w:r>
    </w:p>
    <w:p>
      <w:pPr>
        <w:spacing w:after="0" w:line="480" w:lineRule="auto"/>
        <w:ind w:left="567" w:hanging="567"/>
        <w:jc w:val="both"/>
        <w:rPr>
          <w:rFonts w:ascii="Times New Roman" w:hAnsi="Times New Roman" w:cs="Times New Roman"/>
          <w:sz w:val="24"/>
          <w:szCs w:val="24"/>
          <w:lang w:val="id-ID"/>
        </w:rPr>
      </w:pPr>
      <w:r>
        <w:rPr>
          <w:rFonts w:ascii="Times New Roman" w:hAnsi="Times New Roman" w:cs="Times New Roman"/>
          <w:sz w:val="24"/>
          <w:szCs w:val="24"/>
        </w:rPr>
        <w:t xml:space="preserve">Undang-Undang Nomor </w:t>
      </w:r>
      <w:r>
        <w:rPr>
          <w:rFonts w:ascii="Times New Roman" w:hAnsi="Times New Roman" w:cs="Times New Roman"/>
          <w:sz w:val="24"/>
          <w:szCs w:val="24"/>
          <w:lang w:val="id-ID"/>
        </w:rPr>
        <w:t>8</w:t>
      </w:r>
      <w:r>
        <w:rPr>
          <w:rFonts w:ascii="Times New Roman" w:hAnsi="Times New Roman" w:cs="Times New Roman"/>
          <w:sz w:val="24"/>
          <w:szCs w:val="24"/>
        </w:rPr>
        <w:t xml:space="preserve"> Tahun </w:t>
      </w:r>
      <w:r>
        <w:rPr>
          <w:rFonts w:ascii="Times New Roman" w:hAnsi="Times New Roman" w:cs="Times New Roman"/>
          <w:sz w:val="24"/>
          <w:szCs w:val="24"/>
          <w:lang w:val="id-ID"/>
        </w:rPr>
        <w:t>1999</w:t>
      </w:r>
      <w:r>
        <w:rPr>
          <w:rFonts w:ascii="Times New Roman" w:hAnsi="Times New Roman" w:cs="Times New Roman"/>
          <w:sz w:val="24"/>
          <w:szCs w:val="24"/>
        </w:rPr>
        <w:t xml:space="preserve"> tentang</w:t>
      </w:r>
      <w:r>
        <w:rPr>
          <w:rFonts w:ascii="Times New Roman" w:hAnsi="Times New Roman" w:cs="Times New Roman"/>
          <w:sz w:val="24"/>
          <w:szCs w:val="24"/>
          <w:lang w:val="id-ID"/>
        </w:rPr>
        <w:t xml:space="preserve"> Perlindungan Konsumen</w:t>
      </w:r>
    </w:p>
    <w:p>
      <w:p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Undang-Undang Nomor 23 Tahun 2014 tentang Pemerintahan Daerah</w:t>
      </w:r>
    </w:p>
    <w:p>
      <w:p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Peraturan Pemerintah Pengganti Undang Undang Nomor 8 Tahun 1962 tentang Perdagangan Barang-Barang Dalam Pengawasan</w:t>
      </w:r>
    </w:p>
    <w:p>
      <w:p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Peraturan Pemerintah Republik Indonesia Nomor 11 Tahun 1962 Tentang Perdagangan Barang - Barang Dalam Pengawasan</w:t>
      </w:r>
    </w:p>
    <w:p>
      <w:p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Peraturan Pemerintah Nomor 16 Tahun 2018 tentang Satuan Polisi Pamong Praja</w:t>
      </w:r>
    </w:p>
    <w:p>
      <w:p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Peraturan Presiden Republik Indonesia  Nomor 74 Tahun 2013 Tentang Pengendalian dan Pengawasan Minuman Beralkohol sebagai pengganti Keputusan Presiden Nomor 3 Tahun 1997 tentang Pengawasan dan Pengendalian Minuman Beralkohol</w:t>
      </w:r>
    </w:p>
    <w:p>
      <w:p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lang w:val="it-IT"/>
        </w:rPr>
        <w:t>Peraturan Menteri Dalam Negeri Republik Indonesia Nomor 44 Tahun 2010 tentang Ketentraman, Ketertiban dan Perlindungan Masyarakat dalam rangka Penegakan Hak Asasi Manusia.</w:t>
      </w:r>
      <w:r>
        <w:rPr>
          <w:rFonts w:ascii="Times New Roman" w:hAnsi="Times New Roman" w:cs="Times New Roman"/>
          <w:sz w:val="24"/>
          <w:szCs w:val="24"/>
        </w:rPr>
        <w:t xml:space="preserve"> </w:t>
      </w:r>
      <w:r>
        <w:rPr>
          <w:rFonts w:ascii="Times New Roman" w:hAnsi="Times New Roman" w:cs="Times New Roman"/>
          <w:sz w:val="24"/>
          <w:szCs w:val="24"/>
          <w:lang w:val="it-IT"/>
        </w:rPr>
        <w:t xml:space="preserve"> </w:t>
      </w:r>
    </w:p>
    <w:p>
      <w:pPr>
        <w:spacing w:after="0" w:line="480" w:lineRule="auto"/>
        <w:ind w:left="567" w:hanging="567"/>
        <w:jc w:val="both"/>
        <w:rPr>
          <w:rFonts w:ascii="Times New Roman" w:hAnsi="Times New Roman" w:cs="Times New Roman"/>
          <w:sz w:val="24"/>
          <w:szCs w:val="24"/>
          <w:lang w:val="id-ID"/>
        </w:rPr>
      </w:pPr>
      <w:r>
        <w:rPr>
          <w:rFonts w:ascii="Times New Roman" w:hAnsi="Times New Roman" w:cs="Times New Roman"/>
          <w:sz w:val="24"/>
          <w:szCs w:val="24"/>
          <w:lang w:val="it-IT"/>
        </w:rPr>
        <w:t>Peraturan Menteri Dalam Negeri Republik Indonesia Nomor 54 Tahun 2011 tentang Standar Opersional Prosedur Satuan Polisi Pamong Praja.</w:t>
      </w:r>
    </w:p>
    <w:p>
      <w:pPr>
        <w:spacing w:after="0" w:line="480" w:lineRule="auto"/>
        <w:ind w:left="567" w:hanging="567"/>
        <w:jc w:val="both"/>
        <w:rPr>
          <w:rFonts w:ascii="Times New Roman" w:hAnsi="Times New Roman" w:cs="Times New Roman"/>
          <w:sz w:val="24"/>
          <w:szCs w:val="24"/>
          <w:lang w:val="id-ID"/>
        </w:rPr>
      </w:pPr>
      <w:r>
        <w:rPr>
          <w:rFonts w:ascii="Times New Roman" w:hAnsi="Times New Roman" w:cs="Times New Roman"/>
          <w:sz w:val="24"/>
          <w:szCs w:val="24"/>
          <w:lang w:val="it-IT"/>
        </w:rPr>
        <w:t>Peraturan Menteri</w:t>
      </w:r>
      <w:r>
        <w:rPr>
          <w:rFonts w:ascii="Times New Roman" w:hAnsi="Times New Roman" w:cs="Times New Roman"/>
          <w:sz w:val="24"/>
          <w:szCs w:val="24"/>
          <w:lang w:val="id-ID"/>
        </w:rPr>
        <w:t xml:space="preserve"> Pendayagunaan Aparatur Negara dan Reformasi Birokrasi </w:t>
      </w:r>
      <w:r>
        <w:rPr>
          <w:rFonts w:ascii="Times New Roman" w:hAnsi="Times New Roman" w:cs="Times New Roman"/>
          <w:sz w:val="24"/>
          <w:szCs w:val="24"/>
          <w:lang w:val="it-IT"/>
        </w:rPr>
        <w:t>Republik Indonesia Nomor 4 Tahun 201</w:t>
      </w:r>
      <w:r>
        <w:rPr>
          <w:rFonts w:ascii="Times New Roman" w:hAnsi="Times New Roman" w:cs="Times New Roman"/>
          <w:sz w:val="24"/>
          <w:szCs w:val="24"/>
          <w:lang w:val="id-ID"/>
        </w:rPr>
        <w:t>4</w:t>
      </w:r>
      <w:r>
        <w:rPr>
          <w:rFonts w:ascii="Times New Roman" w:hAnsi="Times New Roman" w:cs="Times New Roman"/>
          <w:sz w:val="24"/>
          <w:szCs w:val="24"/>
          <w:lang w:val="it-IT"/>
        </w:rPr>
        <w:t xml:space="preserve"> tentang</w:t>
      </w:r>
      <w:r>
        <w:rPr>
          <w:rFonts w:ascii="Times New Roman" w:hAnsi="Times New Roman" w:cs="Times New Roman"/>
          <w:sz w:val="24"/>
          <w:szCs w:val="24"/>
          <w:lang w:val="id-ID"/>
        </w:rPr>
        <w:t xml:space="preserve"> Jabatan Fungsional </w:t>
      </w:r>
      <w:r>
        <w:rPr>
          <w:rFonts w:ascii="Times New Roman" w:hAnsi="Times New Roman" w:cs="Times New Roman"/>
          <w:sz w:val="24"/>
          <w:szCs w:val="24"/>
        </w:rPr>
        <w:t>Polisi Pamong Praja</w:t>
      </w:r>
      <w:r>
        <w:rPr>
          <w:rFonts w:ascii="Times New Roman" w:hAnsi="Times New Roman" w:cs="Times New Roman"/>
          <w:sz w:val="24"/>
          <w:szCs w:val="24"/>
          <w:lang w:val="id-ID"/>
        </w:rPr>
        <w:t xml:space="preserve"> dan Angka Kreditnya</w:t>
      </w:r>
    </w:p>
    <w:p>
      <w:p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Peraturan Menteri Perdagangan Republik Indonesia Nomor 20/M-Dag/Per/4/2014 tentang Pengendalian dan Pengawasan Terhadap Pengadaan Peredaran dan Penjualan Minuman Beralkohol</w:t>
      </w:r>
    </w:p>
    <w:p>
      <w:p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Peraturan Menteri Perdagangan Republik Indonesia Nomor 25 Tahun 2019 tentang Perubahan Keenam atas Peraturan Menteri Perdagangan Nomor 20/M-DAG/ PER/4/2014 tentang Pengendalian dan Pengawasan Terhadap Pengadaan Peredaran dan Penjualan Minuman Beralkohol</w:t>
      </w:r>
    </w:p>
    <w:p>
      <w:p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Nota Kesepahaman Antara Menteri Dalam Negeri RI dengan Kapolri Nomor: 119/352/SJ dan Nomor: B/3/I/2017 Tentang Penyelenggaraan Keamanan, Ketertiban Umum Dan Ketentraman Masyarakat Serta Pelindungan Masyarakat Di Daerah.</w:t>
      </w:r>
    </w:p>
    <w:p>
      <w:pPr>
        <w:spacing w:after="0" w:line="480" w:lineRule="auto"/>
        <w:ind w:left="567" w:hanging="567"/>
        <w:jc w:val="both"/>
        <w:rPr>
          <w:rFonts w:ascii="Times New Roman" w:hAnsi="Times New Roman" w:cs="Times New Roman"/>
          <w:sz w:val="24"/>
          <w:szCs w:val="24"/>
          <w:lang w:val="id-ID"/>
        </w:rPr>
      </w:pPr>
      <w:r>
        <w:rPr>
          <w:rFonts w:ascii="Times New Roman" w:hAnsi="Times New Roman" w:cs="Times New Roman"/>
          <w:sz w:val="24"/>
          <w:szCs w:val="24"/>
          <w:lang w:val="it-IT"/>
        </w:rPr>
        <w:t>Peraturan Menteri Dalam Negeri Republik Indonesia Nomor</w:t>
      </w:r>
      <w:r>
        <w:rPr>
          <w:rFonts w:ascii="Times New Roman" w:hAnsi="Times New Roman" w:cs="Times New Roman"/>
          <w:sz w:val="24"/>
          <w:szCs w:val="24"/>
        </w:rPr>
        <w:t xml:space="preserve"> </w:t>
      </w:r>
      <w:r>
        <w:rPr>
          <w:rFonts w:ascii="Times New Roman" w:hAnsi="Times New Roman" w:cs="Times New Roman"/>
          <w:sz w:val="24"/>
          <w:szCs w:val="24"/>
          <w:lang w:val="id-ID"/>
        </w:rPr>
        <w:t>3</w:t>
      </w:r>
      <w:r>
        <w:rPr>
          <w:rFonts w:ascii="Times New Roman" w:hAnsi="Times New Roman" w:cs="Times New Roman"/>
          <w:sz w:val="24"/>
          <w:szCs w:val="24"/>
        </w:rPr>
        <w:t xml:space="preserve"> Tahun 20</w:t>
      </w:r>
      <w:r>
        <w:rPr>
          <w:rFonts w:ascii="Times New Roman" w:hAnsi="Times New Roman" w:cs="Times New Roman"/>
          <w:sz w:val="24"/>
          <w:szCs w:val="24"/>
          <w:lang w:val="id-ID"/>
        </w:rPr>
        <w:t>19</w:t>
      </w:r>
      <w:r>
        <w:rPr>
          <w:rFonts w:ascii="Times New Roman" w:hAnsi="Times New Roman" w:cs="Times New Roman"/>
          <w:sz w:val="24"/>
          <w:szCs w:val="24"/>
        </w:rPr>
        <w:t xml:space="preserve"> tentang</w:t>
      </w:r>
      <w:r>
        <w:rPr>
          <w:rFonts w:ascii="Times New Roman" w:hAnsi="Times New Roman" w:cs="Times New Roman"/>
          <w:sz w:val="24"/>
          <w:szCs w:val="24"/>
          <w:lang w:val="it-IT"/>
        </w:rPr>
        <w:t xml:space="preserve"> </w:t>
      </w:r>
      <w:r>
        <w:rPr>
          <w:rFonts w:ascii="Times New Roman" w:hAnsi="Times New Roman" w:cs="Times New Roman"/>
          <w:sz w:val="24"/>
          <w:szCs w:val="24"/>
        </w:rPr>
        <w:t>Penyidik Pegawai Negeri Sipil</w:t>
      </w:r>
    </w:p>
    <w:p>
      <w:pPr>
        <w:spacing w:after="0" w:line="480" w:lineRule="auto"/>
        <w:ind w:left="567" w:hanging="567"/>
        <w:jc w:val="both"/>
        <w:rPr>
          <w:rFonts w:ascii="Times New Roman" w:hAnsi="Times New Roman" w:cs="Times New Roman"/>
          <w:sz w:val="24"/>
          <w:szCs w:val="24"/>
          <w:lang w:val="id-ID"/>
        </w:rPr>
      </w:pPr>
      <w:r>
        <w:rPr>
          <w:rFonts w:ascii="Times New Roman" w:hAnsi="Times New Roman" w:cs="Times New Roman"/>
          <w:sz w:val="24"/>
          <w:szCs w:val="24"/>
          <w:lang w:val="it-IT"/>
        </w:rPr>
        <w:t>Peraturan Menteri Dalam Negeri Republik Indonesia Nomor</w:t>
      </w:r>
      <w:r>
        <w:rPr>
          <w:rFonts w:ascii="Times New Roman" w:hAnsi="Times New Roman" w:cs="Times New Roman"/>
          <w:sz w:val="24"/>
          <w:szCs w:val="24"/>
        </w:rPr>
        <w:t xml:space="preserve"> </w:t>
      </w:r>
      <w:r>
        <w:rPr>
          <w:rFonts w:ascii="Times New Roman" w:hAnsi="Times New Roman" w:cs="Times New Roman"/>
          <w:sz w:val="24"/>
          <w:szCs w:val="24"/>
          <w:lang w:val="id-ID"/>
        </w:rPr>
        <w:t>17</w:t>
      </w:r>
      <w:r>
        <w:rPr>
          <w:rFonts w:ascii="Times New Roman" w:hAnsi="Times New Roman" w:cs="Times New Roman"/>
          <w:sz w:val="24"/>
          <w:szCs w:val="24"/>
        </w:rPr>
        <w:t xml:space="preserve"> Tahun 20</w:t>
      </w:r>
      <w:r>
        <w:rPr>
          <w:rFonts w:ascii="Times New Roman" w:hAnsi="Times New Roman" w:cs="Times New Roman"/>
          <w:sz w:val="24"/>
          <w:szCs w:val="24"/>
          <w:lang w:val="id-ID"/>
        </w:rPr>
        <w:t>19</w:t>
      </w:r>
      <w:r>
        <w:rPr>
          <w:rFonts w:ascii="Times New Roman" w:hAnsi="Times New Roman" w:cs="Times New Roman"/>
          <w:sz w:val="24"/>
          <w:szCs w:val="24"/>
        </w:rPr>
        <w:t xml:space="preserve"> tentang</w:t>
      </w:r>
      <w:r>
        <w:rPr>
          <w:rFonts w:ascii="Times New Roman" w:hAnsi="Times New Roman" w:cs="Times New Roman"/>
          <w:sz w:val="24"/>
          <w:szCs w:val="24"/>
          <w:lang w:val="id-ID"/>
        </w:rPr>
        <w:t xml:space="preserve"> Pemenuhan Hak Pegawai Negeri Sipil, Penyediaan Sarana dan Prasarana minimal, Pembinan Teknis Operasionalk dan Penghargaan</w:t>
      </w:r>
      <w:r>
        <w:rPr>
          <w:rFonts w:ascii="Times New Roman" w:hAnsi="Times New Roman" w:cs="Times New Roman"/>
          <w:sz w:val="24"/>
          <w:szCs w:val="24"/>
        </w:rPr>
        <w:t xml:space="preserve"> Satuan Polisi Pamong Praja</w:t>
      </w:r>
    </w:p>
    <w:p>
      <w:p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lang w:val="it-IT"/>
        </w:rPr>
        <w:t>Peraturan Menteri Dalam Negeri Republik Indonesia Nomor</w:t>
      </w:r>
      <w:r>
        <w:rPr>
          <w:rFonts w:ascii="Times New Roman" w:hAnsi="Times New Roman" w:cs="Times New Roman"/>
          <w:sz w:val="24"/>
          <w:szCs w:val="24"/>
        </w:rPr>
        <w:t xml:space="preserve"> 26 Tahun 2020 tentang Penyelenggaran Ketertiban Umum dan Ketentraman Masyarakat serta Pelindungan Masyarakat.</w:t>
      </w:r>
    </w:p>
    <w:p>
      <w:p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Peraturan Daerah Kabupaten Indramayu Nomor 14 Tahun 2002 Tentang Penyidik Pegawai Negeri Sipil (PPNS)</w:t>
      </w:r>
    </w:p>
    <w:p>
      <w:p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Peraturan Daerah Kabupaten Indramayu Nomor 7 Tahun 2003 Tentang Ketentraman Dan Ketertiban Umum Di Kabupaten Indramayu.</w:t>
      </w:r>
    </w:p>
    <w:p>
      <w:p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Peraturan Daerah Kabupaten Indramayu Nomor 7 Tahun 2005 Tentang Pelarangan Minuman Beralkohol Di Kabupaten Indramayu</w:t>
      </w:r>
    </w:p>
    <w:p>
      <w:p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Peraturan Daerah Kabupaten Indramayu Nomor 15 Tahun 2006 Tentang Perubahan Atas Peraturan Daerah Kabupaten Indramayu Nomor 7 Tahun 2005 Tentang Pelarangan Minuman Beralkohol Di Kabupaten Indramayu</w:t>
      </w:r>
    </w:p>
    <w:p>
      <w:p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Peraturan Daerah Kabupaten Indramayu Nomor 9 Tahun 2016 Tentang Pembentukan Dan Susunan Perangkat Daerah Kabupaten Indramayu</w:t>
      </w:r>
    </w:p>
    <w:p>
      <w:p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Peraturan Bupati Indramayu Nomor 39 Tahun 2016 Tentang Organisasi Dan Tata Kerja Satuan Polisi Pamong Praja Dan Pemadam Kebakaran Kabupaten Indramayu.</w:t>
      </w:r>
    </w:p>
    <w:p>
      <w:pPr>
        <w:spacing w:after="0" w:line="480" w:lineRule="auto"/>
        <w:ind w:left="567" w:hanging="567"/>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bCs/>
          <w:color w:val="000000" w:themeColor="text1"/>
          <w:sz w:val="24"/>
          <w:szCs w:val="24"/>
          <w14:textFill>
            <w14:solidFill>
              <w14:schemeClr w14:val="tx1"/>
            </w14:solidFill>
          </w14:textFill>
        </w:rPr>
        <w:t>Dewi Setyo Rini (2015)</w:t>
      </w:r>
      <w:r>
        <w:rPr>
          <w:rFonts w:ascii="Times New Roman" w:hAnsi="Times New Roman" w:eastAsia="Times New Roman" w:cs="Times New Roman"/>
          <w:color w:val="000000" w:themeColor="text1"/>
          <w:sz w:val="24"/>
          <w:szCs w:val="24"/>
          <w14:textFill>
            <w14:solidFill>
              <w14:schemeClr w14:val="tx1"/>
            </w14:solidFill>
          </w14:textFill>
        </w:rPr>
        <w:t>, Implementasi Peraturan Daerah Kabupaten Bintan Nomor 6 Tahun 2011 Tentang Pengawasan dan Pengendalian Minuman Beralkohol. Tulungagung UIN.</w:t>
      </w:r>
    </w:p>
    <w:p>
      <w:pPr>
        <w:spacing w:after="0" w:line="480" w:lineRule="auto"/>
        <w:ind w:left="567" w:hanging="567"/>
        <w:jc w:val="both"/>
        <w:rPr>
          <w:rFonts w:ascii="Times New Roman" w:hAnsi="Times New Roman" w:eastAsia="Times New Roman" w:cs="Times New Roman"/>
          <w:i/>
          <w:iCs/>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Gichoya (2014), </w:t>
      </w:r>
      <w:r>
        <w:rPr>
          <w:rFonts w:ascii="Times New Roman" w:hAnsi="Times New Roman" w:eastAsia="Times New Roman" w:cs="Times New Roman"/>
          <w:i/>
          <w:iCs/>
          <w:color w:val="000000" w:themeColor="text1"/>
          <w:sz w:val="24"/>
          <w:szCs w:val="24"/>
          <w14:textFill>
            <w14:solidFill>
              <w14:schemeClr w14:val="tx1"/>
            </w14:solidFill>
          </w14:textFill>
        </w:rPr>
        <w:t>Factors Affecting The Succesful Policy Implementation of ICT Projects in Governments, Research School of Informatics.</w:t>
      </w:r>
    </w:p>
    <w:p>
      <w:pPr>
        <w:spacing w:after="0" w:line="480" w:lineRule="auto"/>
        <w:ind w:left="567" w:hanging="567"/>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bCs/>
          <w:color w:val="000000" w:themeColor="text1"/>
          <w:sz w:val="24"/>
          <w:szCs w:val="24"/>
          <w14:textFill>
            <w14:solidFill>
              <w14:schemeClr w14:val="tx1"/>
            </w14:solidFill>
          </w14:textFill>
        </w:rPr>
        <w:t>H.S. Maltha (2018), Strategi Peningkatan Profesionalisme Sumber Daya Aparatur Polri Dalam Menangani Cyber Crime Guna memperkokoh Ketahanan Nasional. Jatinangor IPDN</w:t>
      </w:r>
    </w:p>
    <w:p>
      <w:pPr>
        <w:spacing w:after="0" w:line="480" w:lineRule="auto"/>
        <w:ind w:left="567" w:hanging="567"/>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bCs/>
          <w:color w:val="000000" w:themeColor="text1"/>
          <w:sz w:val="24"/>
          <w:szCs w:val="24"/>
          <w14:textFill>
            <w14:solidFill>
              <w14:schemeClr w14:val="tx1"/>
            </w14:solidFill>
          </w14:textFill>
        </w:rPr>
        <w:t>Lusi Andriani (2017)</w:t>
      </w:r>
      <w:r>
        <w:rPr>
          <w:rFonts w:ascii="Times New Roman" w:hAnsi="Times New Roman" w:eastAsia="Times New Roman" w:cs="Times New Roman"/>
          <w:color w:val="000000" w:themeColor="text1"/>
          <w:sz w:val="24"/>
          <w:szCs w:val="24"/>
          <w14:textFill>
            <w14:solidFill>
              <w14:schemeClr w14:val="tx1"/>
            </w14:solidFill>
          </w14:textFill>
        </w:rPr>
        <w:t>, Kebijakan Politik Pengendalian dan Pengawasan Minuman Beralkohol Di Jakarta Berdasarkan Peraturan Presiden Nomor 4 Tahun 2013. Makassar UNHAS</w:t>
      </w:r>
    </w:p>
    <w:p>
      <w:pPr>
        <w:spacing w:after="0" w:line="480" w:lineRule="auto"/>
        <w:ind w:left="567" w:hanging="567"/>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Taufiq Rachmat Hidayat (2020), Implementasi Kebijakan Deteksi Dini Pelayanan Dasar Masyarakat di Kota Bekasi. Bandung UNPAS.</w:t>
      </w:r>
    </w:p>
    <w:p>
      <w:pPr>
        <w:spacing w:after="0" w:line="480" w:lineRule="auto"/>
        <w:ind w:left="567" w:hanging="567"/>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bCs/>
          <w:color w:val="000000" w:themeColor="text1"/>
          <w:sz w:val="24"/>
          <w:szCs w:val="24"/>
          <w14:textFill>
            <w14:solidFill>
              <w14:schemeClr w14:val="tx1"/>
            </w14:solidFill>
          </w14:textFill>
        </w:rPr>
        <w:t>Yulianus Dica Ariseno Adi, Widodo Tresno Novianto dan Supanto (2019)</w:t>
      </w:r>
      <w:r>
        <w:rPr>
          <w:rFonts w:ascii="Times New Roman" w:hAnsi="Times New Roman" w:eastAsia="Times New Roman" w:cs="Times New Roman"/>
          <w:i/>
          <w:iCs/>
          <w:color w:val="000000" w:themeColor="text1"/>
          <w:sz w:val="24"/>
          <w:szCs w:val="24"/>
          <w14:textFill>
            <w14:solidFill>
              <w14:schemeClr w14:val="tx1"/>
            </w14:solidFill>
          </w14:textFill>
        </w:rPr>
        <w:t xml:space="preserve"> </w:t>
      </w:r>
      <w:r>
        <w:rPr>
          <w:rFonts w:ascii="Times New Roman" w:hAnsi="Times New Roman" w:eastAsia="Times New Roman" w:cs="Times New Roman"/>
          <w:color w:val="000000" w:themeColor="text1"/>
          <w:sz w:val="24"/>
          <w:szCs w:val="24"/>
          <w14:textFill>
            <w14:solidFill>
              <w14:schemeClr w14:val="tx1"/>
            </w14:solidFill>
          </w14:textFill>
        </w:rPr>
        <w:t>Pengendalian Peredaran Minuman Beralkohol Dalam Mencegah Meningkatnya Tindak Kriminal Di Wilayah Hukum Polres Boyolali. Surakarta UNS.</w:t>
      </w:r>
    </w:p>
    <w:p>
      <w:pPr>
        <w:spacing w:after="0" w:line="480" w:lineRule="auto"/>
        <w:ind w:left="567" w:hanging="567"/>
        <w:jc w:val="both"/>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Zulkifli Said (2018), Implementasi Kebijakan Organisasi dan Tata Kerja Kota Administrasi Di Provinsi DKI Jakarta. Jatinangor IPDN.</w:t>
      </w:r>
    </w:p>
    <w:p>
      <w:pPr>
        <w:spacing w:after="0" w:line="480" w:lineRule="auto"/>
        <w:ind w:left="567" w:hanging="567"/>
        <w:jc w:val="both"/>
        <w:rPr>
          <w:rFonts w:ascii="Times New Roman" w:hAnsi="Times New Roman" w:eastAsia="Times New Roman" w:cs="Times New Roman"/>
          <w:i/>
          <w:iCs/>
          <w:color w:val="000000" w:themeColor="text1"/>
          <w:sz w:val="24"/>
          <w:szCs w:val="24"/>
          <w14:textFill>
            <w14:solidFill>
              <w14:schemeClr w14:val="tx1"/>
            </w14:solidFill>
          </w14:textFill>
        </w:rPr>
      </w:pPr>
    </w:p>
    <w:p>
      <w:pPr>
        <w:spacing w:after="0" w:line="480" w:lineRule="auto"/>
        <w:ind w:left="567" w:hanging="567"/>
        <w:jc w:val="both"/>
        <w:rPr>
          <w:rFonts w:ascii="Times New Roman" w:hAnsi="Times New Roman" w:eastAsia="Times New Roman" w:cs="Times New Roman"/>
          <w:bCs/>
          <w:color w:val="000000" w:themeColor="text1"/>
          <w:sz w:val="24"/>
          <w:szCs w:val="24"/>
          <w14:textFill>
            <w14:solidFill>
              <w14:schemeClr w14:val="tx1"/>
            </w14:solidFill>
          </w14:textFill>
        </w:rPr>
      </w:pPr>
    </w:p>
    <w:p>
      <w:pPr>
        <w:pBdr>
          <w:top w:val="none" w:color="auto" w:sz="0" w:space="0"/>
          <w:left w:val="none" w:color="auto" w:sz="0" w:space="0"/>
          <w:bottom w:val="none" w:color="auto" w:sz="0" w:space="0"/>
          <w:right w:val="none" w:color="auto" w:sz="0" w:space="0"/>
          <w:between w:val="none" w:color="auto" w:sz="0" w:space="0"/>
        </w:pBdr>
        <w:tabs>
          <w:tab w:val="left" w:pos="540"/>
        </w:tabs>
        <w:spacing w:after="0" w:line="480" w:lineRule="auto"/>
        <w:jc w:val="both"/>
        <w:rPr>
          <w:rFonts w:ascii="Times New Roman" w:hAnsi="Times New Roman" w:eastAsia="Times New Roman" w:cs="Times New Roman"/>
          <w:color w:val="000000" w:themeColor="text1"/>
          <w:sz w:val="24"/>
          <w:szCs w:val="24"/>
          <w14:textFill>
            <w14:solidFill>
              <w14:schemeClr w14:val="tx1"/>
            </w14:solidFill>
          </w14:textFill>
        </w:rPr>
      </w:pPr>
    </w:p>
    <w:p>
      <w:pPr>
        <w:pBdr>
          <w:top w:val="none" w:color="auto" w:sz="0" w:space="0"/>
          <w:left w:val="none" w:color="auto" w:sz="0" w:space="0"/>
          <w:bottom w:val="none" w:color="auto" w:sz="0" w:space="0"/>
          <w:right w:val="none" w:color="auto" w:sz="0" w:space="0"/>
          <w:between w:val="none" w:color="auto" w:sz="0" w:space="0"/>
        </w:pBdr>
        <w:tabs>
          <w:tab w:val="left" w:pos="540"/>
        </w:tabs>
        <w:spacing w:after="0" w:line="480" w:lineRule="auto"/>
        <w:jc w:val="both"/>
        <w:rPr>
          <w:rFonts w:ascii="Times New Roman" w:hAnsi="Times New Roman" w:eastAsia="Times New Roman" w:cs="Times New Roman"/>
          <w:color w:val="000000" w:themeColor="text1"/>
          <w:sz w:val="24"/>
          <w:szCs w:val="24"/>
          <w14:textFill>
            <w14:solidFill>
              <w14:schemeClr w14:val="tx1"/>
            </w14:solidFill>
          </w14:textFill>
        </w:rPr>
      </w:pPr>
    </w:p>
    <w:p>
      <w:pPr>
        <w:pBdr>
          <w:top w:val="none" w:color="auto" w:sz="0" w:space="0"/>
          <w:left w:val="none" w:color="auto" w:sz="0" w:space="0"/>
          <w:bottom w:val="none" w:color="auto" w:sz="0" w:space="0"/>
          <w:right w:val="none" w:color="auto" w:sz="0" w:space="0"/>
          <w:between w:val="none" w:color="auto" w:sz="0" w:space="0"/>
        </w:pBdr>
        <w:tabs>
          <w:tab w:val="left" w:pos="540"/>
        </w:tabs>
        <w:spacing w:after="0" w:line="480" w:lineRule="auto"/>
        <w:jc w:val="both"/>
        <w:rPr>
          <w:rFonts w:ascii="Times New Roman" w:hAnsi="Times New Roman" w:eastAsia="Times New Roman" w:cs="Times New Roman"/>
          <w:color w:val="000000" w:themeColor="text1"/>
          <w:sz w:val="24"/>
          <w:szCs w:val="24"/>
          <w14:textFill>
            <w14:solidFill>
              <w14:schemeClr w14:val="tx1"/>
            </w14:solidFill>
          </w14:textFill>
        </w:rPr>
      </w:pPr>
    </w:p>
    <w:p>
      <w:pPr>
        <w:spacing w:after="0" w:line="480" w:lineRule="auto"/>
        <w:ind w:left="567" w:hanging="567"/>
        <w:jc w:val="both"/>
        <w:rPr>
          <w:rFonts w:ascii="Times New Roman" w:hAnsi="Times New Roman" w:cs="Times New Roman"/>
          <w:sz w:val="24"/>
          <w:szCs w:val="24"/>
          <w:shd w:val="clear" w:color="auto" w:fill="FFFFFF"/>
        </w:rPr>
      </w:pPr>
    </w:p>
    <w:p>
      <w:pPr>
        <w:spacing w:after="0" w:line="480" w:lineRule="auto"/>
        <w:ind w:left="567" w:hanging="567"/>
        <w:jc w:val="both"/>
        <w:rPr>
          <w:rFonts w:ascii="Times New Roman" w:hAnsi="Times New Roman" w:cs="Times New Roman"/>
          <w:sz w:val="24"/>
          <w:szCs w:val="24"/>
          <w:shd w:val="clear" w:color="auto" w:fill="FFFFFF"/>
        </w:rPr>
      </w:pPr>
    </w:p>
    <w:p>
      <w:pPr>
        <w:spacing w:after="0" w:line="480" w:lineRule="auto"/>
        <w:jc w:val="center"/>
        <w:rPr>
          <w:rFonts w:ascii="Times New Roman" w:hAnsi="Times New Roman" w:cs="Times New Roman"/>
          <w:b/>
          <w:bCs/>
          <w:sz w:val="24"/>
          <w:szCs w:val="24"/>
          <w:lang w:val="id-ID"/>
        </w:rPr>
      </w:pPr>
    </w:p>
    <w:p>
      <w:pPr>
        <w:spacing w:after="0" w:line="480" w:lineRule="auto"/>
        <w:jc w:val="center"/>
        <w:rPr>
          <w:rFonts w:ascii="Times New Roman" w:hAnsi="Times New Roman" w:cs="Times New Roman"/>
          <w:b/>
          <w:bCs/>
          <w:sz w:val="24"/>
          <w:szCs w:val="24"/>
          <w:lang w:val="id-ID"/>
        </w:rPr>
      </w:pPr>
    </w:p>
    <w:p>
      <w:pPr>
        <w:spacing w:after="0" w:line="480" w:lineRule="auto"/>
        <w:jc w:val="center"/>
        <w:rPr>
          <w:rFonts w:ascii="Times New Roman" w:hAnsi="Times New Roman" w:cs="Times New Roman"/>
          <w:b/>
          <w:bCs/>
          <w:sz w:val="24"/>
          <w:szCs w:val="24"/>
          <w:lang w:val="id-ID"/>
        </w:rPr>
      </w:pPr>
    </w:p>
    <w:p>
      <w:pPr>
        <w:spacing w:after="0"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DAFTAR RIWAYAT HIDUP</w:t>
      </w:r>
    </w:p>
    <w:p>
      <w:pPr>
        <w:spacing w:after="0" w:line="480" w:lineRule="auto"/>
        <w:jc w:val="center"/>
        <w:rPr>
          <w:rFonts w:ascii="Times New Roman" w:hAnsi="Times New Roman" w:cs="Times New Roman"/>
          <w:sz w:val="24"/>
          <w:szCs w:val="24"/>
          <w:lang w:val="id-ID"/>
        </w:rPr>
      </w:pPr>
    </w:p>
    <w:p>
      <w:pPr>
        <w:tabs>
          <w:tab w:val="left" w:pos="2977"/>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NAMA</w:t>
      </w:r>
      <w:r>
        <w:rPr>
          <w:rFonts w:ascii="Times New Roman" w:hAnsi="Times New Roman" w:cs="Times New Roman"/>
          <w:sz w:val="24"/>
          <w:szCs w:val="24"/>
          <w:lang w:val="id-ID"/>
        </w:rPr>
        <w:tab/>
      </w:r>
      <w:r>
        <w:rPr>
          <w:rFonts w:ascii="Times New Roman" w:hAnsi="Times New Roman" w:cs="Times New Roman"/>
          <w:sz w:val="24"/>
          <w:szCs w:val="24"/>
          <w:lang w:val="id-ID"/>
        </w:rPr>
        <w:t>: DEDY SUHENDI</w:t>
      </w:r>
    </w:p>
    <w:p>
      <w:pPr>
        <w:tabs>
          <w:tab w:val="left" w:pos="2977"/>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NIP</w:t>
      </w:r>
      <w:r>
        <w:rPr>
          <w:rFonts w:ascii="Times New Roman" w:hAnsi="Times New Roman" w:cs="Times New Roman"/>
          <w:sz w:val="24"/>
          <w:szCs w:val="24"/>
          <w:lang w:val="id-ID"/>
        </w:rPr>
        <w:tab/>
      </w:r>
      <w:r>
        <w:rPr>
          <w:rFonts w:ascii="Times New Roman" w:hAnsi="Times New Roman" w:cs="Times New Roman"/>
          <w:sz w:val="24"/>
          <w:szCs w:val="24"/>
          <w:lang w:val="id-ID"/>
        </w:rPr>
        <w:t>: 197104261991011002</w:t>
      </w:r>
    </w:p>
    <w:p>
      <w:pPr>
        <w:tabs>
          <w:tab w:val="left" w:pos="2977"/>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PANGKAT / GOL</w:t>
      </w:r>
      <w:r>
        <w:rPr>
          <w:rFonts w:ascii="Times New Roman" w:hAnsi="Times New Roman" w:cs="Times New Roman"/>
          <w:sz w:val="24"/>
          <w:szCs w:val="24"/>
          <w:lang w:val="id-ID"/>
        </w:rPr>
        <w:tab/>
      </w:r>
      <w:r>
        <w:rPr>
          <w:rFonts w:ascii="Times New Roman" w:hAnsi="Times New Roman" w:cs="Times New Roman"/>
          <w:sz w:val="24"/>
          <w:szCs w:val="24"/>
          <w:lang w:val="id-ID"/>
        </w:rPr>
        <w:t>: IVb / Pembina Tk.I</w:t>
      </w:r>
    </w:p>
    <w:p>
      <w:pPr>
        <w:tabs>
          <w:tab w:val="left" w:pos="2977"/>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TEMPAT / TGL LAHIR</w:t>
      </w:r>
      <w:r>
        <w:rPr>
          <w:rFonts w:ascii="Times New Roman" w:hAnsi="Times New Roman" w:cs="Times New Roman"/>
          <w:sz w:val="24"/>
          <w:szCs w:val="24"/>
          <w:lang w:val="id-ID"/>
        </w:rPr>
        <w:tab/>
      </w:r>
      <w:r>
        <w:rPr>
          <w:rFonts w:ascii="Times New Roman" w:hAnsi="Times New Roman" w:cs="Times New Roman"/>
          <w:sz w:val="24"/>
          <w:szCs w:val="24"/>
          <w:lang w:val="id-ID"/>
        </w:rPr>
        <w:t>: Bandung / 26 April 1971</w:t>
      </w:r>
    </w:p>
    <w:p>
      <w:pPr>
        <w:tabs>
          <w:tab w:val="left" w:pos="2977"/>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JABATAN</w:t>
      </w:r>
      <w:r>
        <w:rPr>
          <w:rFonts w:ascii="Times New Roman" w:hAnsi="Times New Roman" w:cs="Times New Roman"/>
          <w:sz w:val="24"/>
          <w:szCs w:val="24"/>
          <w:lang w:val="id-ID"/>
        </w:rPr>
        <w:tab/>
      </w:r>
      <w:r>
        <w:rPr>
          <w:rFonts w:ascii="Times New Roman" w:hAnsi="Times New Roman" w:cs="Times New Roman"/>
          <w:sz w:val="24"/>
          <w:szCs w:val="24"/>
          <w:lang w:val="id-ID"/>
        </w:rPr>
        <w:t>: Fungsional Dosen</w:t>
      </w:r>
      <w:r>
        <w:rPr>
          <w:rFonts w:ascii="Times New Roman" w:hAnsi="Times New Roman" w:cs="Times New Roman"/>
          <w:sz w:val="24"/>
          <w:szCs w:val="24"/>
        </w:rPr>
        <w:t xml:space="preserve"> (Lektor)</w:t>
      </w:r>
    </w:p>
    <w:p>
      <w:pPr>
        <w:tabs>
          <w:tab w:val="left" w:pos="2977"/>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rPr>
        <w:t xml:space="preserve">  </w:t>
      </w:r>
      <w:r>
        <w:rPr>
          <w:rFonts w:ascii="Times New Roman" w:hAnsi="Times New Roman" w:cs="Times New Roman"/>
          <w:sz w:val="24"/>
          <w:szCs w:val="24"/>
          <w:lang w:val="id-ID"/>
        </w:rPr>
        <w:t>K</w:t>
      </w:r>
      <w:r>
        <w:rPr>
          <w:rFonts w:ascii="Times New Roman" w:hAnsi="Times New Roman" w:cs="Times New Roman"/>
          <w:sz w:val="24"/>
          <w:szCs w:val="24"/>
        </w:rPr>
        <w:t>a</w:t>
      </w:r>
      <w:r>
        <w:rPr>
          <w:rFonts w:ascii="Times New Roman" w:hAnsi="Times New Roman" w:cs="Times New Roman"/>
          <w:sz w:val="24"/>
          <w:szCs w:val="24"/>
          <w:lang w:val="id-ID"/>
        </w:rPr>
        <w:t xml:space="preserve"> GKM Pascasarjana IPDN</w:t>
      </w:r>
    </w:p>
    <w:p>
      <w:pPr>
        <w:tabs>
          <w:tab w:val="left" w:pos="2977"/>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RIWAYAT JABATAN</w:t>
      </w:r>
      <w:r>
        <w:rPr>
          <w:rFonts w:ascii="Times New Roman" w:hAnsi="Times New Roman" w:cs="Times New Roman"/>
          <w:sz w:val="24"/>
          <w:szCs w:val="24"/>
          <w:lang w:val="id-ID"/>
        </w:rPr>
        <w:tab/>
      </w:r>
      <w:r>
        <w:rPr>
          <w:rFonts w:ascii="Times New Roman" w:hAnsi="Times New Roman" w:cs="Times New Roman"/>
          <w:sz w:val="24"/>
          <w:szCs w:val="24"/>
          <w:lang w:val="id-ID"/>
        </w:rPr>
        <w:t>:</w:t>
      </w:r>
    </w:p>
    <w:p>
      <w:pPr>
        <w:pStyle w:val="8"/>
        <w:numPr>
          <w:ilvl w:val="0"/>
          <w:numId w:val="1"/>
        </w:numPr>
        <w:tabs>
          <w:tab w:val="left" w:pos="2977"/>
        </w:tabs>
        <w:spacing w:after="0" w:line="480" w:lineRule="auto"/>
        <w:ind w:left="540"/>
        <w:jc w:val="both"/>
        <w:rPr>
          <w:rFonts w:ascii="Times New Roman" w:hAnsi="Times New Roman" w:cs="Times New Roman"/>
          <w:sz w:val="24"/>
          <w:szCs w:val="24"/>
          <w:lang w:val="id-ID"/>
        </w:rPr>
      </w:pPr>
      <w:r>
        <w:rPr>
          <w:rFonts w:ascii="Times New Roman" w:hAnsi="Times New Roman" w:cs="Times New Roman"/>
          <w:sz w:val="24"/>
          <w:szCs w:val="24"/>
        </w:rPr>
        <w:t xml:space="preserve">Dosen IPDN Jatinangor </w:t>
      </w:r>
    </w:p>
    <w:p>
      <w:pPr>
        <w:pStyle w:val="8"/>
        <w:numPr>
          <w:ilvl w:val="0"/>
          <w:numId w:val="1"/>
        </w:numPr>
        <w:tabs>
          <w:tab w:val="left" w:pos="2977"/>
        </w:tabs>
        <w:spacing w:after="0" w:line="480" w:lineRule="auto"/>
        <w:ind w:left="540"/>
        <w:jc w:val="both"/>
        <w:rPr>
          <w:rFonts w:ascii="Times New Roman" w:hAnsi="Times New Roman" w:cs="Times New Roman"/>
          <w:sz w:val="24"/>
          <w:szCs w:val="24"/>
          <w:lang w:val="id-ID"/>
        </w:rPr>
      </w:pPr>
      <w:r>
        <w:rPr>
          <w:rFonts w:ascii="Times New Roman" w:hAnsi="Times New Roman" w:cs="Times New Roman"/>
          <w:sz w:val="24"/>
          <w:szCs w:val="24"/>
          <w:lang w:val="id-ID"/>
        </w:rPr>
        <w:t>Kepala Bagian Kepegawaian IPDN Jatinangor</w:t>
      </w:r>
    </w:p>
    <w:p>
      <w:pPr>
        <w:pStyle w:val="8"/>
        <w:numPr>
          <w:ilvl w:val="0"/>
          <w:numId w:val="1"/>
        </w:numPr>
        <w:tabs>
          <w:tab w:val="left" w:pos="2977"/>
        </w:tabs>
        <w:spacing w:after="0" w:line="480" w:lineRule="auto"/>
        <w:ind w:left="54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Kepala Bagian Adm. Akademik Kerjasama IPDN Kampus Kalbar </w:t>
      </w:r>
    </w:p>
    <w:p>
      <w:pPr>
        <w:pStyle w:val="8"/>
        <w:numPr>
          <w:ilvl w:val="0"/>
          <w:numId w:val="1"/>
        </w:numPr>
        <w:tabs>
          <w:tab w:val="left" w:pos="2977"/>
        </w:tabs>
        <w:spacing w:after="0" w:line="480" w:lineRule="auto"/>
        <w:ind w:left="540"/>
        <w:jc w:val="both"/>
        <w:rPr>
          <w:rFonts w:ascii="Times New Roman" w:hAnsi="Times New Roman" w:cs="Times New Roman"/>
          <w:sz w:val="24"/>
          <w:szCs w:val="24"/>
          <w:lang w:val="id-ID"/>
        </w:rPr>
      </w:pPr>
      <w:r>
        <w:rPr>
          <w:rFonts w:ascii="Times New Roman" w:hAnsi="Times New Roman" w:cs="Times New Roman"/>
          <w:sz w:val="24"/>
          <w:szCs w:val="24"/>
          <w:lang w:val="id-ID"/>
        </w:rPr>
        <w:t>Kepala Bagian Adm. Keprajaan IPDN Kampus Kalbar</w:t>
      </w:r>
    </w:p>
    <w:p>
      <w:pPr>
        <w:pStyle w:val="8"/>
        <w:numPr>
          <w:ilvl w:val="0"/>
          <w:numId w:val="1"/>
        </w:numPr>
        <w:tabs>
          <w:tab w:val="left" w:pos="2977"/>
        </w:tabs>
        <w:spacing w:after="0" w:line="480" w:lineRule="auto"/>
        <w:ind w:left="540"/>
        <w:jc w:val="both"/>
        <w:rPr>
          <w:rFonts w:ascii="Times New Roman" w:hAnsi="Times New Roman" w:cs="Times New Roman"/>
          <w:sz w:val="24"/>
          <w:szCs w:val="24"/>
          <w:lang w:val="id-ID"/>
        </w:rPr>
      </w:pPr>
      <w:r>
        <w:rPr>
          <w:rFonts w:ascii="Times New Roman" w:hAnsi="Times New Roman" w:cs="Times New Roman"/>
          <w:sz w:val="24"/>
          <w:szCs w:val="24"/>
          <w:lang w:val="id-ID"/>
        </w:rPr>
        <w:t>Kepala SatpolPP Kab. Indramayu</w:t>
      </w:r>
    </w:p>
    <w:p>
      <w:pPr>
        <w:pStyle w:val="8"/>
        <w:numPr>
          <w:ilvl w:val="0"/>
          <w:numId w:val="1"/>
        </w:numPr>
        <w:tabs>
          <w:tab w:val="left" w:pos="2977"/>
        </w:tabs>
        <w:spacing w:after="0" w:line="480" w:lineRule="auto"/>
        <w:ind w:left="540"/>
        <w:jc w:val="both"/>
        <w:rPr>
          <w:rFonts w:ascii="Times New Roman" w:hAnsi="Times New Roman" w:cs="Times New Roman"/>
          <w:sz w:val="24"/>
          <w:szCs w:val="24"/>
          <w:lang w:val="id-ID"/>
        </w:rPr>
      </w:pPr>
      <w:r>
        <w:rPr>
          <w:rFonts w:ascii="Times New Roman" w:hAnsi="Times New Roman" w:cs="Times New Roman"/>
          <w:sz w:val="24"/>
          <w:szCs w:val="24"/>
          <w:lang w:val="id-ID"/>
        </w:rPr>
        <w:t>Plt. Kadishubkominfo Kab. Indramayu</w:t>
      </w:r>
    </w:p>
    <w:p>
      <w:pPr>
        <w:pStyle w:val="8"/>
        <w:numPr>
          <w:ilvl w:val="0"/>
          <w:numId w:val="1"/>
        </w:numPr>
        <w:tabs>
          <w:tab w:val="left" w:pos="2977"/>
        </w:tabs>
        <w:spacing w:after="0" w:line="480" w:lineRule="auto"/>
        <w:ind w:left="540"/>
        <w:jc w:val="both"/>
        <w:rPr>
          <w:rFonts w:ascii="Times New Roman" w:hAnsi="Times New Roman" w:cs="Times New Roman"/>
          <w:sz w:val="24"/>
          <w:szCs w:val="24"/>
          <w:lang w:val="id-ID"/>
        </w:rPr>
      </w:pPr>
      <w:r>
        <w:rPr>
          <w:rFonts w:ascii="Times New Roman" w:hAnsi="Times New Roman" w:cs="Times New Roman"/>
          <w:sz w:val="24"/>
          <w:szCs w:val="24"/>
        </w:rPr>
        <w:t xml:space="preserve">Kepala Seksi Operasional SatpolPP </w:t>
      </w:r>
    </w:p>
    <w:p>
      <w:pPr>
        <w:pStyle w:val="8"/>
        <w:numPr>
          <w:ilvl w:val="0"/>
          <w:numId w:val="1"/>
        </w:numPr>
        <w:tabs>
          <w:tab w:val="left" w:pos="2977"/>
        </w:tabs>
        <w:spacing w:after="0" w:line="480" w:lineRule="auto"/>
        <w:ind w:left="540"/>
        <w:jc w:val="both"/>
        <w:rPr>
          <w:rFonts w:ascii="Times New Roman" w:hAnsi="Times New Roman" w:cs="Times New Roman"/>
          <w:sz w:val="24"/>
          <w:szCs w:val="24"/>
          <w:lang w:val="id-ID"/>
        </w:rPr>
      </w:pPr>
      <w:r>
        <w:rPr>
          <w:rFonts w:ascii="Times New Roman" w:hAnsi="Times New Roman" w:cs="Times New Roman"/>
          <w:sz w:val="24"/>
          <w:szCs w:val="24"/>
        </w:rPr>
        <w:t>Kepala Subbag Kekayaan dan Keuangan Desa</w:t>
      </w:r>
    </w:p>
    <w:p>
      <w:pPr>
        <w:pStyle w:val="8"/>
        <w:numPr>
          <w:ilvl w:val="0"/>
          <w:numId w:val="1"/>
        </w:numPr>
        <w:tabs>
          <w:tab w:val="left" w:pos="2977"/>
        </w:tabs>
        <w:spacing w:after="0" w:line="480" w:lineRule="auto"/>
        <w:ind w:left="540"/>
        <w:jc w:val="both"/>
        <w:rPr>
          <w:rFonts w:ascii="Times New Roman" w:hAnsi="Times New Roman" w:cs="Times New Roman"/>
          <w:sz w:val="24"/>
          <w:szCs w:val="24"/>
          <w:lang w:val="id-ID"/>
        </w:rPr>
      </w:pPr>
      <w:r>
        <w:rPr>
          <w:rFonts w:ascii="Times New Roman" w:hAnsi="Times New Roman" w:cs="Times New Roman"/>
          <w:sz w:val="24"/>
          <w:szCs w:val="24"/>
        </w:rPr>
        <w:t>Kepala Subbag Pemberdayaan Lembaga Desa</w:t>
      </w:r>
    </w:p>
    <w:p>
      <w:pPr>
        <w:pStyle w:val="8"/>
        <w:numPr>
          <w:ilvl w:val="0"/>
          <w:numId w:val="1"/>
        </w:numPr>
        <w:tabs>
          <w:tab w:val="left" w:pos="2977"/>
        </w:tabs>
        <w:spacing w:after="0" w:line="480" w:lineRule="auto"/>
        <w:ind w:left="540"/>
        <w:jc w:val="both"/>
        <w:rPr>
          <w:rFonts w:ascii="Times New Roman" w:hAnsi="Times New Roman" w:cs="Times New Roman"/>
          <w:sz w:val="24"/>
          <w:szCs w:val="24"/>
          <w:lang w:val="id-ID"/>
        </w:rPr>
      </w:pPr>
      <w:r>
        <w:rPr>
          <w:rFonts w:ascii="Times New Roman" w:hAnsi="Times New Roman" w:cs="Times New Roman"/>
          <w:sz w:val="24"/>
          <w:szCs w:val="24"/>
        </w:rPr>
        <w:t>Ajudan Bupati indramayu</w:t>
      </w:r>
    </w:p>
    <w:p>
      <w:pPr>
        <w:tabs>
          <w:tab w:val="left" w:pos="2977"/>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RIWAYAT PENDIDIKAN</w:t>
      </w:r>
      <w:r>
        <w:rPr>
          <w:rFonts w:ascii="Times New Roman" w:hAnsi="Times New Roman" w:cs="Times New Roman"/>
          <w:sz w:val="24"/>
          <w:szCs w:val="24"/>
          <w:lang w:val="id-ID"/>
        </w:rPr>
        <w:tab/>
      </w:r>
      <w:r>
        <w:rPr>
          <w:rFonts w:ascii="Times New Roman" w:hAnsi="Times New Roman" w:cs="Times New Roman"/>
          <w:sz w:val="24"/>
          <w:szCs w:val="24"/>
          <w:lang w:val="id-ID"/>
        </w:rPr>
        <w:t>:</w:t>
      </w:r>
    </w:p>
    <w:p>
      <w:pPr>
        <w:pStyle w:val="8"/>
        <w:numPr>
          <w:ilvl w:val="0"/>
          <w:numId w:val="2"/>
        </w:numPr>
        <w:tabs>
          <w:tab w:val="left" w:pos="2977"/>
        </w:tabs>
        <w:spacing w:after="0" w:line="480" w:lineRule="auto"/>
        <w:ind w:left="540"/>
        <w:jc w:val="both"/>
        <w:rPr>
          <w:rFonts w:ascii="Times New Roman" w:hAnsi="Times New Roman" w:cs="Times New Roman"/>
          <w:sz w:val="24"/>
          <w:szCs w:val="24"/>
          <w:lang w:val="id-ID"/>
        </w:rPr>
      </w:pPr>
      <w:r>
        <w:rPr>
          <w:rFonts w:ascii="Times New Roman" w:hAnsi="Times New Roman" w:cs="Times New Roman"/>
          <w:sz w:val="24"/>
          <w:szCs w:val="24"/>
          <w:lang w:val="id-ID"/>
        </w:rPr>
        <w:t>UNTAG Cirebon</w:t>
      </w:r>
    </w:p>
    <w:p>
      <w:pPr>
        <w:pStyle w:val="8"/>
        <w:numPr>
          <w:ilvl w:val="0"/>
          <w:numId w:val="2"/>
        </w:numPr>
        <w:tabs>
          <w:tab w:val="left" w:pos="2977"/>
        </w:tabs>
        <w:spacing w:after="0" w:line="480" w:lineRule="auto"/>
        <w:ind w:left="540"/>
        <w:jc w:val="both"/>
        <w:rPr>
          <w:rFonts w:ascii="Times New Roman" w:hAnsi="Times New Roman" w:cs="Times New Roman"/>
          <w:sz w:val="24"/>
          <w:szCs w:val="24"/>
          <w:lang w:val="id-ID"/>
        </w:rPr>
      </w:pPr>
      <w:r>
        <w:rPr>
          <w:rFonts w:ascii="Times New Roman" w:hAnsi="Times New Roman" w:cs="Times New Roman"/>
          <w:sz w:val="24"/>
          <w:szCs w:val="24"/>
          <w:lang w:val="id-ID"/>
        </w:rPr>
        <w:t>UNDIP Semarang</w:t>
      </w:r>
    </w:p>
    <w:p>
      <w:pPr>
        <w:pStyle w:val="8"/>
        <w:numPr>
          <w:ilvl w:val="0"/>
          <w:numId w:val="2"/>
        </w:numPr>
        <w:tabs>
          <w:tab w:val="left" w:pos="2977"/>
        </w:tabs>
        <w:spacing w:after="0" w:line="480" w:lineRule="auto"/>
        <w:ind w:left="540"/>
        <w:jc w:val="both"/>
        <w:rPr>
          <w:rFonts w:ascii="Times New Roman" w:hAnsi="Times New Roman" w:cs="Times New Roman"/>
          <w:sz w:val="24"/>
          <w:szCs w:val="24"/>
          <w:lang w:val="id-ID"/>
        </w:rPr>
      </w:pPr>
      <w:r>
        <w:rPr>
          <w:rFonts w:ascii="Times New Roman" w:hAnsi="Times New Roman" w:cs="Times New Roman"/>
          <w:sz w:val="24"/>
          <w:szCs w:val="24"/>
          <w:lang w:val="id-ID"/>
        </w:rPr>
        <w:t>STPDN Jatinangor</w:t>
      </w:r>
    </w:p>
    <w:p>
      <w:pPr>
        <w:pStyle w:val="8"/>
        <w:numPr>
          <w:ilvl w:val="0"/>
          <w:numId w:val="2"/>
        </w:numPr>
        <w:tabs>
          <w:tab w:val="left" w:pos="2977"/>
        </w:tabs>
        <w:spacing w:after="0" w:line="480" w:lineRule="auto"/>
        <w:ind w:left="540"/>
        <w:jc w:val="both"/>
        <w:rPr>
          <w:rFonts w:ascii="Times New Roman" w:hAnsi="Times New Roman" w:cs="Times New Roman"/>
          <w:sz w:val="24"/>
          <w:szCs w:val="24"/>
          <w:lang w:val="id-ID"/>
        </w:rPr>
      </w:pPr>
      <w:r>
        <w:rPr>
          <w:rFonts w:ascii="Times New Roman" w:hAnsi="Times New Roman" w:cs="Times New Roman"/>
          <w:sz w:val="24"/>
          <w:szCs w:val="24"/>
        </w:rPr>
        <w:t>SMA N 6 Bandung</w:t>
      </w:r>
    </w:p>
    <w:p>
      <w:pPr>
        <w:pStyle w:val="8"/>
        <w:numPr>
          <w:ilvl w:val="0"/>
          <w:numId w:val="2"/>
        </w:numPr>
        <w:tabs>
          <w:tab w:val="left" w:pos="2977"/>
        </w:tabs>
        <w:spacing w:after="0" w:line="480" w:lineRule="auto"/>
        <w:ind w:left="540"/>
        <w:jc w:val="both"/>
        <w:rPr>
          <w:rFonts w:ascii="Times New Roman" w:hAnsi="Times New Roman" w:cs="Times New Roman"/>
          <w:sz w:val="24"/>
          <w:szCs w:val="24"/>
          <w:lang w:val="id-ID"/>
        </w:rPr>
      </w:pPr>
      <w:r>
        <w:rPr>
          <w:rFonts w:ascii="Times New Roman" w:hAnsi="Times New Roman" w:cs="Times New Roman"/>
          <w:sz w:val="24"/>
          <w:szCs w:val="24"/>
        </w:rPr>
        <w:t>SMP Pasundan 6 Bandung</w:t>
      </w:r>
    </w:p>
    <w:p>
      <w:pPr>
        <w:pStyle w:val="8"/>
        <w:numPr>
          <w:ilvl w:val="0"/>
          <w:numId w:val="2"/>
        </w:numPr>
        <w:tabs>
          <w:tab w:val="left" w:pos="2977"/>
        </w:tabs>
        <w:spacing w:after="0" w:line="480" w:lineRule="auto"/>
        <w:ind w:left="540"/>
        <w:jc w:val="both"/>
        <w:rPr>
          <w:rFonts w:ascii="Times New Roman" w:hAnsi="Times New Roman" w:cs="Times New Roman"/>
          <w:sz w:val="24"/>
          <w:szCs w:val="24"/>
          <w:lang w:val="id-ID"/>
        </w:rPr>
      </w:pPr>
      <w:r>
        <w:rPr>
          <w:rFonts w:ascii="Times New Roman" w:hAnsi="Times New Roman" w:cs="Times New Roman"/>
          <w:sz w:val="24"/>
          <w:szCs w:val="24"/>
        </w:rPr>
        <w:t>SD N Sangkuriang 3 Bandung</w:t>
      </w:r>
    </w:p>
    <w:p>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RIWAYAT KEDIKLATAN :</w:t>
      </w:r>
    </w:p>
    <w:p>
      <w:pPr>
        <w:pStyle w:val="8"/>
        <w:numPr>
          <w:ilvl w:val="0"/>
          <w:numId w:val="3"/>
        </w:numPr>
        <w:spacing w:after="0" w:line="480" w:lineRule="auto"/>
        <w:ind w:left="540"/>
        <w:jc w:val="both"/>
        <w:rPr>
          <w:rFonts w:ascii="Times New Roman" w:hAnsi="Times New Roman" w:cs="Times New Roman"/>
          <w:sz w:val="24"/>
          <w:szCs w:val="24"/>
          <w:lang w:val="id-ID"/>
        </w:rPr>
      </w:pPr>
      <w:r>
        <w:rPr>
          <w:rFonts w:ascii="Times New Roman" w:hAnsi="Times New Roman" w:cs="Times New Roman"/>
          <w:sz w:val="24"/>
          <w:szCs w:val="24"/>
          <w:lang w:val="id-ID"/>
        </w:rPr>
        <w:t>Diklatpim II di BPSDM Kemendagri Jakarta</w:t>
      </w:r>
    </w:p>
    <w:p>
      <w:pPr>
        <w:pStyle w:val="8"/>
        <w:numPr>
          <w:ilvl w:val="0"/>
          <w:numId w:val="3"/>
        </w:numPr>
        <w:spacing w:after="0" w:line="480" w:lineRule="auto"/>
        <w:ind w:left="540"/>
        <w:jc w:val="both"/>
        <w:rPr>
          <w:rFonts w:ascii="Times New Roman" w:hAnsi="Times New Roman" w:cs="Times New Roman"/>
          <w:sz w:val="24"/>
          <w:szCs w:val="24"/>
          <w:lang w:val="id-ID"/>
        </w:rPr>
      </w:pPr>
      <w:r>
        <w:rPr>
          <w:rFonts w:ascii="Times New Roman" w:hAnsi="Times New Roman" w:cs="Times New Roman"/>
          <w:sz w:val="24"/>
          <w:szCs w:val="24"/>
          <w:lang w:val="id-ID"/>
        </w:rPr>
        <w:t>TOT SAR Pencarian dan Penyelamatan Akibar Bencana di Wing III Paskhas TNI AU Bandung</w:t>
      </w:r>
    </w:p>
    <w:p>
      <w:pPr>
        <w:pStyle w:val="8"/>
        <w:numPr>
          <w:ilvl w:val="0"/>
          <w:numId w:val="3"/>
        </w:numPr>
        <w:spacing w:after="0" w:line="480" w:lineRule="auto"/>
        <w:ind w:left="540"/>
        <w:jc w:val="both"/>
        <w:rPr>
          <w:rFonts w:ascii="Times New Roman" w:hAnsi="Times New Roman" w:cs="Times New Roman"/>
          <w:sz w:val="24"/>
          <w:szCs w:val="24"/>
          <w:lang w:val="id-ID"/>
        </w:rPr>
      </w:pPr>
      <w:r>
        <w:rPr>
          <w:rFonts w:ascii="Times New Roman" w:hAnsi="Times New Roman" w:cs="Times New Roman"/>
          <w:sz w:val="24"/>
          <w:szCs w:val="24"/>
          <w:lang w:val="id-ID"/>
        </w:rPr>
        <w:t>Diklat Peningkatan Kapasitas Polisi Pamong Praja di Bandung</w:t>
      </w:r>
    </w:p>
    <w:p>
      <w:pPr>
        <w:pStyle w:val="8"/>
        <w:numPr>
          <w:ilvl w:val="0"/>
          <w:numId w:val="3"/>
        </w:numPr>
        <w:spacing w:after="0" w:line="480" w:lineRule="auto"/>
        <w:ind w:left="540"/>
        <w:jc w:val="both"/>
        <w:rPr>
          <w:rFonts w:ascii="Times New Roman" w:hAnsi="Times New Roman" w:cs="Times New Roman"/>
          <w:sz w:val="24"/>
          <w:szCs w:val="24"/>
          <w:lang w:val="id-ID"/>
        </w:rPr>
      </w:pPr>
      <w:r>
        <w:rPr>
          <w:rFonts w:ascii="Times New Roman" w:hAnsi="Times New Roman" w:cs="Times New Roman"/>
          <w:sz w:val="24"/>
          <w:szCs w:val="24"/>
          <w:lang w:val="id-ID"/>
        </w:rPr>
        <w:t>Diklat Pelopor Keselamatan Lalu Lintas di Indramayu</w:t>
      </w:r>
    </w:p>
    <w:p>
      <w:pPr>
        <w:pStyle w:val="8"/>
        <w:numPr>
          <w:ilvl w:val="0"/>
          <w:numId w:val="3"/>
        </w:numPr>
        <w:spacing w:after="0" w:line="480" w:lineRule="auto"/>
        <w:ind w:left="540"/>
        <w:jc w:val="both"/>
        <w:rPr>
          <w:rFonts w:ascii="Times New Roman" w:hAnsi="Times New Roman" w:cs="Times New Roman"/>
          <w:sz w:val="24"/>
          <w:szCs w:val="24"/>
          <w:lang w:val="id-ID"/>
        </w:rPr>
      </w:pPr>
      <w:r>
        <w:rPr>
          <w:rFonts w:ascii="Times New Roman" w:hAnsi="Times New Roman" w:cs="Times New Roman"/>
          <w:sz w:val="24"/>
          <w:szCs w:val="24"/>
        </w:rPr>
        <w:t>Diklat Teknis Pengadaan Barang jasa</w:t>
      </w:r>
    </w:p>
    <w:p>
      <w:pPr>
        <w:pStyle w:val="8"/>
        <w:numPr>
          <w:ilvl w:val="0"/>
          <w:numId w:val="3"/>
        </w:numPr>
        <w:spacing w:after="0" w:line="480" w:lineRule="auto"/>
        <w:ind w:left="540"/>
        <w:jc w:val="both"/>
        <w:rPr>
          <w:rFonts w:ascii="Times New Roman" w:hAnsi="Times New Roman" w:cs="Times New Roman"/>
          <w:sz w:val="24"/>
          <w:szCs w:val="24"/>
          <w:lang w:val="id-ID"/>
        </w:rPr>
      </w:pPr>
      <w:r>
        <w:rPr>
          <w:rFonts w:ascii="Times New Roman" w:hAnsi="Times New Roman" w:cs="Times New Roman"/>
          <w:sz w:val="24"/>
          <w:szCs w:val="24"/>
        </w:rPr>
        <w:t>Diklat Bela Negara</w:t>
      </w:r>
    </w:p>
    <w:p>
      <w:pPr>
        <w:pStyle w:val="8"/>
        <w:numPr>
          <w:ilvl w:val="0"/>
          <w:numId w:val="3"/>
        </w:numPr>
        <w:spacing w:after="0" w:line="480" w:lineRule="auto"/>
        <w:ind w:left="540"/>
        <w:jc w:val="both"/>
        <w:rPr>
          <w:rFonts w:ascii="Times New Roman" w:hAnsi="Times New Roman" w:cs="Times New Roman"/>
          <w:sz w:val="24"/>
          <w:szCs w:val="24"/>
          <w:lang w:val="id-ID"/>
        </w:rPr>
      </w:pPr>
      <w:r>
        <w:rPr>
          <w:rFonts w:ascii="Times New Roman" w:hAnsi="Times New Roman" w:cs="Times New Roman"/>
          <w:sz w:val="24"/>
          <w:szCs w:val="24"/>
        </w:rPr>
        <w:t>Diklat Perkeretaapian Provinsi</w:t>
      </w:r>
    </w:p>
    <w:p>
      <w:pPr>
        <w:spacing w:after="0" w:line="480" w:lineRule="auto"/>
        <w:jc w:val="both"/>
        <w:rPr>
          <w:rFonts w:ascii="Times New Roman" w:hAnsi="Times New Roman" w:cs="Times New Roman"/>
          <w:sz w:val="24"/>
          <w:szCs w:val="24"/>
          <w:lang w:val="id-ID"/>
        </w:rPr>
      </w:pPr>
    </w:p>
    <w:p>
      <w:pPr>
        <w:spacing w:after="0" w:line="480" w:lineRule="auto"/>
        <w:jc w:val="both"/>
        <w:rPr>
          <w:rFonts w:ascii="Times New Roman" w:hAnsi="Times New Roman" w:cs="Times New Roman"/>
          <w:sz w:val="24"/>
          <w:szCs w:val="24"/>
          <w:lang w:val="id-ID"/>
        </w:rPr>
      </w:pPr>
    </w:p>
    <w:p>
      <w:pPr>
        <w:spacing w:after="0" w:line="480" w:lineRule="auto"/>
        <w:jc w:val="both"/>
        <w:rPr>
          <w:rFonts w:ascii="Times New Roman" w:hAnsi="Times New Roman" w:cs="Times New Roman"/>
          <w:sz w:val="24"/>
          <w:szCs w:val="24"/>
          <w:lang w:val="id-ID"/>
        </w:rPr>
      </w:pPr>
    </w:p>
    <w:p>
      <w:pPr>
        <w:spacing w:after="0" w:line="480" w:lineRule="auto"/>
        <w:jc w:val="both"/>
        <w:rPr>
          <w:rFonts w:ascii="Times New Roman" w:hAnsi="Times New Roman" w:cs="Times New Roman"/>
          <w:sz w:val="24"/>
          <w:szCs w:val="24"/>
          <w:lang w:val="id-ID"/>
        </w:rPr>
      </w:pPr>
    </w:p>
    <w:p>
      <w:pPr>
        <w:spacing w:after="0" w:line="480" w:lineRule="auto"/>
        <w:jc w:val="both"/>
        <w:rPr>
          <w:rFonts w:ascii="Times New Roman" w:hAnsi="Times New Roman" w:cs="Times New Roman"/>
          <w:sz w:val="24"/>
          <w:szCs w:val="24"/>
          <w:lang w:val="id-ID"/>
        </w:rPr>
      </w:pPr>
    </w:p>
    <w:p>
      <w:pPr>
        <w:spacing w:after="0" w:line="480" w:lineRule="auto"/>
        <w:jc w:val="both"/>
        <w:rPr>
          <w:rFonts w:ascii="Times New Roman" w:hAnsi="Times New Roman" w:cs="Times New Roman"/>
          <w:sz w:val="24"/>
          <w:szCs w:val="24"/>
          <w:lang w:val="id-ID"/>
        </w:rPr>
      </w:pPr>
    </w:p>
    <w:p>
      <w:pPr>
        <w:spacing w:after="0" w:line="480" w:lineRule="auto"/>
        <w:jc w:val="both"/>
        <w:rPr>
          <w:rFonts w:ascii="Times New Roman" w:hAnsi="Times New Roman" w:cs="Times New Roman"/>
          <w:sz w:val="24"/>
          <w:szCs w:val="24"/>
          <w:lang w:val="id-ID"/>
        </w:rPr>
      </w:pPr>
    </w:p>
    <w:p>
      <w:pPr>
        <w:spacing w:after="0" w:line="480" w:lineRule="auto"/>
        <w:jc w:val="both"/>
        <w:rPr>
          <w:rFonts w:ascii="Times New Roman" w:hAnsi="Times New Roman" w:cs="Times New Roman"/>
          <w:sz w:val="24"/>
          <w:szCs w:val="24"/>
          <w:lang w:val="id-ID"/>
        </w:rPr>
      </w:pPr>
    </w:p>
    <w:p>
      <w:pPr>
        <w:spacing w:after="0" w:line="480" w:lineRule="auto"/>
        <w:jc w:val="both"/>
        <w:rPr>
          <w:rFonts w:ascii="Times New Roman" w:hAnsi="Times New Roman" w:cs="Times New Roman"/>
          <w:sz w:val="24"/>
          <w:szCs w:val="24"/>
          <w:lang w:val="id-ID"/>
        </w:rPr>
      </w:pPr>
    </w:p>
    <w:p>
      <w:pPr>
        <w:spacing w:after="0" w:line="480" w:lineRule="auto"/>
        <w:jc w:val="both"/>
        <w:rPr>
          <w:rFonts w:ascii="Times New Roman" w:hAnsi="Times New Roman" w:cs="Times New Roman"/>
          <w:sz w:val="24"/>
          <w:szCs w:val="24"/>
          <w:lang w:val="id-ID"/>
        </w:rPr>
      </w:pPr>
    </w:p>
    <w:p>
      <w:pPr>
        <w:spacing w:after="0" w:line="480" w:lineRule="auto"/>
        <w:jc w:val="both"/>
        <w:rPr>
          <w:rFonts w:ascii="Times New Roman" w:hAnsi="Times New Roman" w:cs="Times New Roman"/>
          <w:sz w:val="24"/>
          <w:szCs w:val="24"/>
          <w:lang w:val="id-ID"/>
        </w:rPr>
      </w:pPr>
    </w:p>
    <w:p>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Dokumen pendukung (foto) </w:t>
      </w:r>
    </w:p>
    <w:p>
      <w:pPr>
        <w:pStyle w:val="8"/>
        <w:numPr>
          <w:ilvl w:val="0"/>
          <w:numId w:val="4"/>
        </w:numPr>
        <w:spacing w:after="0" w:line="276" w:lineRule="auto"/>
        <w:ind w:left="360"/>
        <w:jc w:val="both"/>
        <w:rPr>
          <w:rFonts w:ascii="Times New Roman" w:hAnsi="Times New Roman" w:cs="Times New Roman"/>
          <w:sz w:val="24"/>
          <w:szCs w:val="24"/>
        </w:rPr>
      </w:pPr>
      <w:r>
        <w:rPr>
          <w:rFonts w:ascii="Times New Roman" w:hAnsi="Times New Roman" w:cs="Times New Roman"/>
          <w:sz w:val="24"/>
          <w:szCs w:val="24"/>
        </w:rPr>
        <w:t>Proses wawancara, fgd dan triangulasi</w:t>
      </w:r>
    </w:p>
    <w:p>
      <w:pPr>
        <w:pStyle w:val="8"/>
        <w:numPr>
          <w:ilvl w:val="0"/>
          <w:numId w:val="4"/>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Proses kegiatan operasi mihol sampai penerapan sanksi</w:t>
      </w:r>
    </w:p>
    <w:p>
      <w:pPr>
        <w:spacing w:after="0" w:line="480" w:lineRule="auto"/>
        <w:jc w:val="both"/>
        <w:rPr>
          <w:rFonts w:ascii="Times New Roman" w:hAnsi="Times New Roman" w:cs="Times New Roman"/>
          <w:sz w:val="24"/>
          <w:szCs w:val="24"/>
        </w:rPr>
      </w:pPr>
      <w:r>
        <w:drawing>
          <wp:inline distT="0" distB="0" distL="0" distR="0">
            <wp:extent cx="2501265" cy="18764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549969" cy="1912879"/>
                    </a:xfrm>
                    <a:prstGeom prst="rect">
                      <a:avLst/>
                    </a:prstGeom>
                    <a:noFill/>
                    <a:ln>
                      <a:noFill/>
                    </a:ln>
                  </pic:spPr>
                </pic:pic>
              </a:graphicData>
            </a:graphic>
          </wp:inline>
        </w:drawing>
      </w:r>
      <w:r>
        <w:rPr>
          <w:rFonts w:ascii="Times New Roman" w:hAnsi="Times New Roman" w:cs="Times New Roman"/>
          <w:sz w:val="24"/>
          <w:szCs w:val="24"/>
        </w:rPr>
        <w:t xml:space="preserve">   </w:t>
      </w:r>
      <w:r>
        <w:drawing>
          <wp:inline distT="0" distB="0" distL="0" distR="0">
            <wp:extent cx="2305685" cy="17297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336520" cy="1752758"/>
                    </a:xfrm>
                    <a:prstGeom prst="rect">
                      <a:avLst/>
                    </a:prstGeom>
                    <a:noFill/>
                    <a:ln>
                      <a:noFill/>
                    </a:ln>
                  </pic:spPr>
                </pic:pic>
              </a:graphicData>
            </a:graphic>
          </wp:inline>
        </w:drawing>
      </w:r>
      <w:r>
        <w:t xml:space="preserve">    </w:t>
      </w:r>
      <w:r>
        <w:drawing>
          <wp:inline distT="0" distB="0" distL="0" distR="0">
            <wp:extent cx="2024380" cy="239331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046805" cy="2419444"/>
                    </a:xfrm>
                    <a:prstGeom prst="rect">
                      <a:avLst/>
                    </a:prstGeom>
                    <a:noFill/>
                    <a:ln>
                      <a:noFill/>
                    </a:ln>
                  </pic:spPr>
                </pic:pic>
              </a:graphicData>
            </a:graphic>
          </wp:inline>
        </w:drawing>
      </w:r>
      <w:r>
        <w:t xml:space="preserve">          </w:t>
      </w:r>
      <w:r>
        <w:drawing>
          <wp:inline distT="0" distB="0" distL="0" distR="0">
            <wp:extent cx="2384425" cy="1788795"/>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397499" cy="1798501"/>
                    </a:xfrm>
                    <a:prstGeom prst="rect">
                      <a:avLst/>
                    </a:prstGeom>
                    <a:noFill/>
                    <a:ln>
                      <a:noFill/>
                    </a:ln>
                  </pic:spPr>
                </pic:pic>
              </a:graphicData>
            </a:graphic>
          </wp:inline>
        </w:drawing>
      </w:r>
    </w:p>
    <w:p>
      <w:pPr>
        <w:spacing w:after="0" w:line="480" w:lineRule="auto"/>
        <w:jc w:val="both"/>
        <w:rPr>
          <w:rFonts w:ascii="Times New Roman" w:hAnsi="Times New Roman" w:cs="Times New Roman"/>
          <w:sz w:val="24"/>
          <w:szCs w:val="24"/>
        </w:rPr>
      </w:pPr>
      <w:r>
        <w:drawing>
          <wp:inline distT="0" distB="0" distL="0" distR="0">
            <wp:extent cx="4873625" cy="2312035"/>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979500" cy="2362078"/>
                    </a:xfrm>
                    <a:prstGeom prst="rect">
                      <a:avLst/>
                    </a:prstGeom>
                    <a:noFill/>
                    <a:ln>
                      <a:noFill/>
                    </a:ln>
                  </pic:spPr>
                </pic:pic>
              </a:graphicData>
            </a:graphic>
          </wp:inline>
        </w:drawing>
      </w:r>
    </w:p>
    <w:p>
      <w:pPr>
        <w:spacing w:after="0" w:line="480" w:lineRule="auto"/>
        <w:jc w:val="both"/>
        <w:rPr>
          <w:rFonts w:ascii="Times New Roman" w:hAnsi="Times New Roman" w:cs="Times New Roman"/>
          <w:sz w:val="24"/>
          <w:szCs w:val="24"/>
        </w:rPr>
      </w:pPr>
      <w:r>
        <w:drawing>
          <wp:inline distT="0" distB="0" distL="0" distR="0">
            <wp:extent cx="2472690" cy="2164715"/>
            <wp:effectExtent l="0" t="0" r="381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490709" cy="2180352"/>
                    </a:xfrm>
                    <a:prstGeom prst="rect">
                      <a:avLst/>
                    </a:prstGeom>
                    <a:noFill/>
                    <a:ln>
                      <a:noFill/>
                    </a:ln>
                  </pic:spPr>
                </pic:pic>
              </a:graphicData>
            </a:graphic>
          </wp:inline>
        </w:drawing>
      </w:r>
      <w:r>
        <w:rPr>
          <w:rFonts w:ascii="Times New Roman" w:hAnsi="Times New Roman" w:cs="Times New Roman"/>
          <w:sz w:val="24"/>
          <w:szCs w:val="24"/>
        </w:rPr>
        <w:t xml:space="preserve">  </w:t>
      </w:r>
      <w:r>
        <w:drawing>
          <wp:inline distT="0" distB="0" distL="0" distR="0">
            <wp:extent cx="2377440" cy="2285365"/>
            <wp:effectExtent l="0" t="0" r="381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402740" cy="2309803"/>
                    </a:xfrm>
                    <a:prstGeom prst="rect">
                      <a:avLst/>
                    </a:prstGeom>
                    <a:noFill/>
                    <a:ln>
                      <a:noFill/>
                    </a:ln>
                  </pic:spPr>
                </pic:pic>
              </a:graphicData>
            </a:graphic>
          </wp:inline>
        </w:drawing>
      </w:r>
    </w:p>
    <w:p>
      <w:pPr>
        <w:spacing w:after="0" w:line="48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2517775" cy="122364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49825" cy="1239413"/>
                    </a:xfrm>
                    <a:prstGeom prst="rect">
                      <a:avLst/>
                    </a:prstGeom>
                  </pic:spPr>
                </pic:pic>
              </a:graphicData>
            </a:graphic>
          </wp:inline>
        </w:drawing>
      </w:r>
      <w:r>
        <w:drawing>
          <wp:inline distT="0" distB="0" distL="0" distR="0">
            <wp:extent cx="2394585" cy="1164590"/>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rot="10800000">
                      <a:off x="0" y="0"/>
                      <a:ext cx="2431239" cy="1182384"/>
                    </a:xfrm>
                    <a:prstGeom prst="rect">
                      <a:avLst/>
                    </a:prstGeom>
                    <a:noFill/>
                    <a:ln>
                      <a:noFill/>
                    </a:ln>
                  </pic:spPr>
                </pic:pic>
              </a:graphicData>
            </a:graphic>
          </wp:inline>
        </w:drawing>
      </w:r>
      <w:r>
        <w:rPr>
          <w:rFonts w:ascii="Times New Roman" w:hAnsi="Times New Roman" w:cs="Times New Roman"/>
          <w:sz w:val="24"/>
          <w:szCs w:val="24"/>
        </w:rPr>
        <w:t xml:space="preserve">  </w:t>
      </w:r>
    </w:p>
    <w:p>
      <w:pPr>
        <w:spacing w:after="0" w:line="480" w:lineRule="auto"/>
        <w:jc w:val="both"/>
        <w:rPr>
          <w:rFonts w:ascii="Times New Roman" w:hAnsi="Times New Roman" w:cs="Times New Roman"/>
          <w:sz w:val="24"/>
          <w:szCs w:val="24"/>
        </w:rPr>
      </w:pPr>
      <w:r>
        <w:drawing>
          <wp:inline distT="0" distB="0" distL="0" distR="0">
            <wp:extent cx="2566035" cy="1247775"/>
            <wp:effectExtent l="0" t="0" r="571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614045" cy="1271288"/>
                    </a:xfrm>
                    <a:prstGeom prst="rect">
                      <a:avLst/>
                    </a:prstGeom>
                    <a:noFill/>
                    <a:ln>
                      <a:noFill/>
                    </a:ln>
                  </pic:spPr>
                </pic:pic>
              </a:graphicData>
            </a:graphic>
          </wp:inline>
        </w:drawing>
      </w:r>
      <w:r>
        <w:rPr>
          <w:rFonts w:ascii="Times New Roman" w:hAnsi="Times New Roman" w:cs="Times New Roman"/>
          <w:sz w:val="24"/>
          <w:szCs w:val="24"/>
        </w:rPr>
        <w:t xml:space="preserve"> </w:t>
      </w:r>
      <w:r>
        <w:drawing>
          <wp:inline distT="0" distB="0" distL="0" distR="0">
            <wp:extent cx="2343150" cy="125539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400497" cy="1285991"/>
                    </a:xfrm>
                    <a:prstGeom prst="rect">
                      <a:avLst/>
                    </a:prstGeom>
                    <a:noFill/>
                    <a:ln>
                      <a:noFill/>
                    </a:ln>
                  </pic:spPr>
                </pic:pic>
              </a:graphicData>
            </a:graphic>
          </wp:inline>
        </w:drawing>
      </w:r>
    </w:p>
    <w:p>
      <w:pPr>
        <w:spacing w:after="0" w:line="480" w:lineRule="auto"/>
        <w:jc w:val="both"/>
        <w:rPr>
          <w:rFonts w:ascii="Times New Roman" w:hAnsi="Times New Roman" w:cs="Times New Roman"/>
          <w:sz w:val="24"/>
          <w:szCs w:val="24"/>
          <w:lang w:val="id-ID"/>
        </w:rPr>
      </w:pPr>
      <w:r>
        <w:drawing>
          <wp:inline distT="0" distB="0" distL="0" distR="0">
            <wp:extent cx="2639695" cy="1837690"/>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723630" cy="1896622"/>
                    </a:xfrm>
                    <a:prstGeom prst="rect">
                      <a:avLst/>
                    </a:prstGeom>
                    <a:noFill/>
                    <a:ln>
                      <a:noFill/>
                    </a:ln>
                  </pic:spPr>
                </pic:pic>
              </a:graphicData>
            </a:graphic>
          </wp:inline>
        </w:drawing>
      </w:r>
      <w:r>
        <w:t xml:space="preserve">  </w:t>
      </w:r>
      <w:r>
        <w:drawing>
          <wp:inline distT="0" distB="0" distL="0" distR="0">
            <wp:extent cx="2313305" cy="17341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362486" cy="1770747"/>
                    </a:xfrm>
                    <a:prstGeom prst="rect">
                      <a:avLst/>
                    </a:prstGeom>
                    <a:noFill/>
                    <a:ln>
                      <a:noFill/>
                    </a:ln>
                  </pic:spPr>
                </pic:pic>
              </a:graphicData>
            </a:graphic>
          </wp:inline>
        </w:drawing>
      </w:r>
      <w:r>
        <w:rPr>
          <w:rFonts w:ascii="Times New Roman" w:hAnsi="Times New Roman" w:cs="Times New Roman"/>
          <w:sz w:val="24"/>
          <w:szCs w:val="24"/>
        </w:rPr>
        <w:t xml:space="preserve"> </w:t>
      </w:r>
      <w:r>
        <w:drawing>
          <wp:inline distT="0" distB="0" distL="0" distR="0">
            <wp:extent cx="2462530" cy="2242185"/>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473391" cy="2251823"/>
                    </a:xfrm>
                    <a:prstGeom prst="rect">
                      <a:avLst/>
                    </a:prstGeom>
                    <a:noFill/>
                    <a:ln>
                      <a:noFill/>
                    </a:ln>
                  </pic:spPr>
                </pic:pic>
              </a:graphicData>
            </a:graphic>
          </wp:inline>
        </w:drawing>
      </w:r>
      <w:r>
        <w:t xml:space="preserve"> </w:t>
      </w:r>
      <w:r>
        <w:drawing>
          <wp:inline distT="0" distB="0" distL="0" distR="0">
            <wp:extent cx="2360930" cy="2150110"/>
            <wp:effectExtent l="0" t="0" r="127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400689" cy="2186239"/>
                    </a:xfrm>
                    <a:prstGeom prst="rect">
                      <a:avLst/>
                    </a:prstGeom>
                    <a:noFill/>
                    <a:ln>
                      <a:noFill/>
                    </a:ln>
                  </pic:spPr>
                </pic:pic>
              </a:graphicData>
            </a:graphic>
          </wp:inline>
        </w:drawing>
      </w:r>
      <w:r>
        <w:rPr>
          <w:rFonts w:ascii="Times New Roman" w:hAnsi="Times New Roman" w:cs="Times New Roman"/>
          <w:sz w:val="24"/>
          <w:szCs w:val="24"/>
        </w:rPr>
        <w:t xml:space="preserve"> </w:t>
      </w:r>
      <w:r>
        <w:drawing>
          <wp:inline distT="0" distB="0" distL="0" distR="0">
            <wp:extent cx="2139315" cy="116078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165961" cy="1175082"/>
                    </a:xfrm>
                    <a:prstGeom prst="rect">
                      <a:avLst/>
                    </a:prstGeom>
                    <a:noFill/>
                    <a:ln>
                      <a:noFill/>
                    </a:ln>
                  </pic:spPr>
                </pic:pic>
              </a:graphicData>
            </a:graphic>
          </wp:inline>
        </w:drawing>
      </w:r>
      <w:r>
        <w:rPr>
          <w:rFonts w:ascii="Times New Roman" w:hAnsi="Times New Roman" w:cs="Times New Roman"/>
          <w:sz w:val="24"/>
          <w:szCs w:val="24"/>
        </w:rPr>
        <w:t xml:space="preserve">     </w:t>
      </w:r>
      <w:r>
        <w:drawing>
          <wp:inline distT="0" distB="0" distL="0" distR="0">
            <wp:extent cx="2706370" cy="12560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752916" cy="1277780"/>
                    </a:xfrm>
                    <a:prstGeom prst="rect">
                      <a:avLst/>
                    </a:prstGeom>
                    <a:noFill/>
                    <a:ln>
                      <a:noFill/>
                    </a:ln>
                  </pic:spPr>
                </pic:pic>
              </a:graphicData>
            </a:graphic>
          </wp:inline>
        </w:drawing>
      </w:r>
    </w:p>
    <w:p>
      <w:pPr>
        <w:spacing w:after="0" w:line="480" w:lineRule="auto"/>
        <w:jc w:val="both"/>
        <w:rPr>
          <w:rFonts w:ascii="Times New Roman" w:hAnsi="Times New Roman" w:cs="Times New Roman"/>
          <w:sz w:val="24"/>
          <w:szCs w:val="24"/>
          <w:lang w:val="id-ID"/>
        </w:rPr>
      </w:pPr>
      <w:r>
        <w:drawing>
          <wp:inline distT="0" distB="0" distL="0" distR="0">
            <wp:extent cx="4810125" cy="36080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842275" cy="3632470"/>
                    </a:xfrm>
                    <a:prstGeom prst="rect">
                      <a:avLst/>
                    </a:prstGeom>
                    <a:noFill/>
                    <a:ln>
                      <a:noFill/>
                    </a:ln>
                  </pic:spPr>
                </pic:pic>
              </a:graphicData>
            </a:graphic>
          </wp:inline>
        </w:drawing>
      </w:r>
    </w:p>
    <w:p>
      <w:pPr>
        <w:spacing w:after="0" w:line="480" w:lineRule="auto"/>
        <w:jc w:val="both"/>
        <w:rPr>
          <w:rFonts w:ascii="Times New Roman" w:hAnsi="Times New Roman" w:cs="Times New Roman"/>
          <w:sz w:val="24"/>
          <w:szCs w:val="24"/>
          <w:lang w:val="id-ID"/>
        </w:rPr>
      </w:pPr>
      <w:r>
        <w:drawing>
          <wp:inline distT="0" distB="0" distL="0" distR="0">
            <wp:extent cx="5039995" cy="3780790"/>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039995" cy="3780790"/>
                    </a:xfrm>
                    <a:prstGeom prst="rect">
                      <a:avLst/>
                    </a:prstGeom>
                    <a:noFill/>
                    <a:ln>
                      <a:noFill/>
                    </a:ln>
                  </pic:spPr>
                </pic:pic>
              </a:graphicData>
            </a:graphic>
          </wp:inline>
        </w:drawing>
      </w:r>
    </w:p>
    <w:sectPr>
      <w:footerReference r:id="rId5" w:type="default"/>
      <w:pgSz w:w="11906" w:h="16838"/>
      <w:pgMar w:top="2016" w:right="1872" w:bottom="1872" w:left="2016" w:header="706" w:footer="706" w:gutter="0"/>
      <w:pgNumType w:fmt="lowerRoman"/>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28673192"/>
      <w:docPartObj>
        <w:docPartGallery w:val="autotext"/>
      </w:docPartObj>
    </w:sdtPr>
    <w:sdtContent>
      <w:p>
        <w:pPr>
          <w:pStyle w:val="5"/>
          <w:jc w:val="center"/>
        </w:pPr>
      </w:p>
    </w:sdtContent>
  </w:sdt>
  <w:p>
    <w:pPr>
      <w:pStyle w:val="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A743D13"/>
    <w:multiLevelType w:val="multilevel"/>
    <w:tmpl w:val="0A743D13"/>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3B0026C9"/>
    <w:multiLevelType w:val="multilevel"/>
    <w:tmpl w:val="3B0026C9"/>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63725D78"/>
    <w:multiLevelType w:val="multilevel"/>
    <w:tmpl w:val="63725D78"/>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70067254"/>
    <w:multiLevelType w:val="multilevel"/>
    <w:tmpl w:val="70067254"/>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0641"/>
    <w:rsid w:val="00021C8E"/>
    <w:rsid w:val="000247F3"/>
    <w:rsid w:val="00044F67"/>
    <w:rsid w:val="00046837"/>
    <w:rsid w:val="00071DF9"/>
    <w:rsid w:val="000A2547"/>
    <w:rsid w:val="000A2826"/>
    <w:rsid w:val="000C1C55"/>
    <w:rsid w:val="000E403F"/>
    <w:rsid w:val="00101470"/>
    <w:rsid w:val="001019A2"/>
    <w:rsid w:val="001456E7"/>
    <w:rsid w:val="001476DD"/>
    <w:rsid w:val="00156141"/>
    <w:rsid w:val="00164B56"/>
    <w:rsid w:val="00173ADE"/>
    <w:rsid w:val="00176F76"/>
    <w:rsid w:val="0018190B"/>
    <w:rsid w:val="00182038"/>
    <w:rsid w:val="001A2635"/>
    <w:rsid w:val="001B4B76"/>
    <w:rsid w:val="001C7FD3"/>
    <w:rsid w:val="0021246D"/>
    <w:rsid w:val="002308F7"/>
    <w:rsid w:val="00260ED1"/>
    <w:rsid w:val="002843EA"/>
    <w:rsid w:val="002A6032"/>
    <w:rsid w:val="002C5BE8"/>
    <w:rsid w:val="002D4E6E"/>
    <w:rsid w:val="002E1884"/>
    <w:rsid w:val="003016AA"/>
    <w:rsid w:val="00305A48"/>
    <w:rsid w:val="00312ECA"/>
    <w:rsid w:val="00325B46"/>
    <w:rsid w:val="0034648E"/>
    <w:rsid w:val="00362A69"/>
    <w:rsid w:val="003742D2"/>
    <w:rsid w:val="00384E84"/>
    <w:rsid w:val="003B658B"/>
    <w:rsid w:val="003C637D"/>
    <w:rsid w:val="003D77D9"/>
    <w:rsid w:val="003E05C8"/>
    <w:rsid w:val="003E2041"/>
    <w:rsid w:val="003E34EF"/>
    <w:rsid w:val="003F0953"/>
    <w:rsid w:val="003F3E74"/>
    <w:rsid w:val="003F5FF0"/>
    <w:rsid w:val="004050FC"/>
    <w:rsid w:val="00407C03"/>
    <w:rsid w:val="00443E40"/>
    <w:rsid w:val="0044414E"/>
    <w:rsid w:val="00466A5C"/>
    <w:rsid w:val="004866B4"/>
    <w:rsid w:val="00497732"/>
    <w:rsid w:val="004B1E7F"/>
    <w:rsid w:val="004B5932"/>
    <w:rsid w:val="004B6ED2"/>
    <w:rsid w:val="004C2CE7"/>
    <w:rsid w:val="004E0942"/>
    <w:rsid w:val="004E0C9D"/>
    <w:rsid w:val="004F6655"/>
    <w:rsid w:val="00505F48"/>
    <w:rsid w:val="005218C7"/>
    <w:rsid w:val="00526004"/>
    <w:rsid w:val="00554CE0"/>
    <w:rsid w:val="00570B10"/>
    <w:rsid w:val="005A7AF8"/>
    <w:rsid w:val="005D2383"/>
    <w:rsid w:val="005D77A3"/>
    <w:rsid w:val="005F1B9A"/>
    <w:rsid w:val="00611D11"/>
    <w:rsid w:val="00635A3B"/>
    <w:rsid w:val="00653FDB"/>
    <w:rsid w:val="00654B15"/>
    <w:rsid w:val="0066039C"/>
    <w:rsid w:val="006617F8"/>
    <w:rsid w:val="006663CE"/>
    <w:rsid w:val="00667B1C"/>
    <w:rsid w:val="00667D8E"/>
    <w:rsid w:val="00675334"/>
    <w:rsid w:val="006D4467"/>
    <w:rsid w:val="006E5260"/>
    <w:rsid w:val="006F74F2"/>
    <w:rsid w:val="00701BCD"/>
    <w:rsid w:val="00704185"/>
    <w:rsid w:val="007341DB"/>
    <w:rsid w:val="00734EA8"/>
    <w:rsid w:val="00787940"/>
    <w:rsid w:val="007955C5"/>
    <w:rsid w:val="007B6033"/>
    <w:rsid w:val="007C3567"/>
    <w:rsid w:val="007F5105"/>
    <w:rsid w:val="008310D0"/>
    <w:rsid w:val="00855416"/>
    <w:rsid w:val="00872574"/>
    <w:rsid w:val="008874A0"/>
    <w:rsid w:val="00887894"/>
    <w:rsid w:val="008A5AB7"/>
    <w:rsid w:val="008B2E90"/>
    <w:rsid w:val="008C13BE"/>
    <w:rsid w:val="008C291E"/>
    <w:rsid w:val="008C361F"/>
    <w:rsid w:val="008C59BD"/>
    <w:rsid w:val="008F66B3"/>
    <w:rsid w:val="008F6DAF"/>
    <w:rsid w:val="00925CE5"/>
    <w:rsid w:val="00932C97"/>
    <w:rsid w:val="00935B3C"/>
    <w:rsid w:val="009467D1"/>
    <w:rsid w:val="00963AE3"/>
    <w:rsid w:val="00974160"/>
    <w:rsid w:val="00984BD2"/>
    <w:rsid w:val="009863C0"/>
    <w:rsid w:val="009916AA"/>
    <w:rsid w:val="00994F71"/>
    <w:rsid w:val="009C4B0E"/>
    <w:rsid w:val="009E7CF6"/>
    <w:rsid w:val="009F14F4"/>
    <w:rsid w:val="00A256AC"/>
    <w:rsid w:val="00A50E9C"/>
    <w:rsid w:val="00A83FCD"/>
    <w:rsid w:val="00AA1C20"/>
    <w:rsid w:val="00AA443C"/>
    <w:rsid w:val="00AB3034"/>
    <w:rsid w:val="00AB50C8"/>
    <w:rsid w:val="00AB5E26"/>
    <w:rsid w:val="00AD2602"/>
    <w:rsid w:val="00AE4E2E"/>
    <w:rsid w:val="00AF5AF8"/>
    <w:rsid w:val="00B02765"/>
    <w:rsid w:val="00B02FED"/>
    <w:rsid w:val="00B21E23"/>
    <w:rsid w:val="00B21EF2"/>
    <w:rsid w:val="00B35B3E"/>
    <w:rsid w:val="00B72618"/>
    <w:rsid w:val="00BD1B3C"/>
    <w:rsid w:val="00BD2C59"/>
    <w:rsid w:val="00BE1CC0"/>
    <w:rsid w:val="00BE4F06"/>
    <w:rsid w:val="00C04948"/>
    <w:rsid w:val="00C1087D"/>
    <w:rsid w:val="00C14FB8"/>
    <w:rsid w:val="00C2035C"/>
    <w:rsid w:val="00C21006"/>
    <w:rsid w:val="00C3182D"/>
    <w:rsid w:val="00C350AF"/>
    <w:rsid w:val="00C43016"/>
    <w:rsid w:val="00C45013"/>
    <w:rsid w:val="00C5331A"/>
    <w:rsid w:val="00C6484E"/>
    <w:rsid w:val="00C9282C"/>
    <w:rsid w:val="00C92C17"/>
    <w:rsid w:val="00CB61C0"/>
    <w:rsid w:val="00CD350F"/>
    <w:rsid w:val="00CF3C34"/>
    <w:rsid w:val="00CF68E8"/>
    <w:rsid w:val="00D413D3"/>
    <w:rsid w:val="00D545A8"/>
    <w:rsid w:val="00D76ECB"/>
    <w:rsid w:val="00D77189"/>
    <w:rsid w:val="00D810C1"/>
    <w:rsid w:val="00D86F79"/>
    <w:rsid w:val="00DA5D5B"/>
    <w:rsid w:val="00DB0641"/>
    <w:rsid w:val="00DB1F61"/>
    <w:rsid w:val="00DD3BC8"/>
    <w:rsid w:val="00DE278F"/>
    <w:rsid w:val="00DE7032"/>
    <w:rsid w:val="00DE7414"/>
    <w:rsid w:val="00DF527D"/>
    <w:rsid w:val="00E108A8"/>
    <w:rsid w:val="00E109BE"/>
    <w:rsid w:val="00E145F8"/>
    <w:rsid w:val="00E2552C"/>
    <w:rsid w:val="00E44A00"/>
    <w:rsid w:val="00E5016E"/>
    <w:rsid w:val="00E52778"/>
    <w:rsid w:val="00E820DB"/>
    <w:rsid w:val="00E90DC3"/>
    <w:rsid w:val="00EA3C35"/>
    <w:rsid w:val="00ED0FE4"/>
    <w:rsid w:val="00EE7B46"/>
    <w:rsid w:val="00F01D3C"/>
    <w:rsid w:val="00F02A4B"/>
    <w:rsid w:val="00F56684"/>
    <w:rsid w:val="00F7088C"/>
    <w:rsid w:val="00F74D2C"/>
    <w:rsid w:val="00F8481F"/>
    <w:rsid w:val="00FB0256"/>
    <w:rsid w:val="00FD08CA"/>
    <w:rsid w:val="00FD3BA5"/>
    <w:rsid w:val="00FE199F"/>
    <w:rsid w:val="00FF0C7E"/>
    <w:rsid w:val="00FF0CA2"/>
    <w:rsid w:val="10A80D81"/>
    <w:rsid w:val="1FB84708"/>
    <w:rsid w:val="6B6970BF"/>
    <w:rsid w:val="7442132B"/>
    <w:rsid w:val="781A3300"/>
    <w:rsid w:val="787B3525"/>
    <w:rsid w:val="7E332B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9"/>
    <w:semiHidden/>
    <w:unhideWhenUsed/>
    <w:qFormat/>
    <w:uiPriority w:val="99"/>
    <w:pPr>
      <w:spacing w:after="0" w:line="240" w:lineRule="auto"/>
    </w:pPr>
    <w:rPr>
      <w:rFonts w:ascii="Tahoma" w:hAnsi="Tahoma" w:cs="Tahoma"/>
      <w:sz w:val="16"/>
      <w:szCs w:val="16"/>
    </w:rPr>
  </w:style>
  <w:style w:type="paragraph" w:styleId="5">
    <w:name w:val="footer"/>
    <w:basedOn w:val="1"/>
    <w:link w:val="12"/>
    <w:unhideWhenUsed/>
    <w:qFormat/>
    <w:uiPriority w:val="99"/>
    <w:pPr>
      <w:tabs>
        <w:tab w:val="center" w:pos="4513"/>
        <w:tab w:val="right" w:pos="9026"/>
      </w:tabs>
      <w:spacing w:after="0" w:line="240" w:lineRule="auto"/>
    </w:pPr>
  </w:style>
  <w:style w:type="paragraph" w:styleId="6">
    <w:name w:val="header"/>
    <w:basedOn w:val="1"/>
    <w:link w:val="11"/>
    <w:unhideWhenUsed/>
    <w:qFormat/>
    <w:uiPriority w:val="99"/>
    <w:pPr>
      <w:tabs>
        <w:tab w:val="center" w:pos="4513"/>
        <w:tab w:val="right" w:pos="9026"/>
      </w:tabs>
      <w:spacing w:after="0" w:line="240" w:lineRule="auto"/>
    </w:pPr>
  </w:style>
  <w:style w:type="character" w:styleId="7">
    <w:name w:val="Hyperlink"/>
    <w:basedOn w:val="2"/>
    <w:unhideWhenUsed/>
    <w:qFormat/>
    <w:uiPriority w:val="99"/>
    <w:rPr>
      <w:color w:val="0000FF"/>
      <w:u w:val="single"/>
    </w:rPr>
  </w:style>
  <w:style w:type="paragraph" w:styleId="8">
    <w:name w:val="List Paragraph"/>
    <w:basedOn w:val="1"/>
    <w:qFormat/>
    <w:uiPriority w:val="34"/>
    <w:pPr>
      <w:ind w:left="720"/>
      <w:contextualSpacing/>
    </w:pPr>
  </w:style>
  <w:style w:type="character" w:customStyle="1" w:styleId="9">
    <w:name w:val="Balloon Text Char"/>
    <w:basedOn w:val="2"/>
    <w:link w:val="4"/>
    <w:semiHidden/>
    <w:qFormat/>
    <w:uiPriority w:val="99"/>
    <w:rPr>
      <w:rFonts w:ascii="Tahoma" w:hAnsi="Tahoma" w:cs="Tahoma"/>
      <w:sz w:val="16"/>
      <w:szCs w:val="16"/>
    </w:rPr>
  </w:style>
  <w:style w:type="character" w:customStyle="1" w:styleId="10">
    <w:name w:val="tmm_fname"/>
    <w:basedOn w:val="2"/>
    <w:qFormat/>
    <w:uiPriority w:val="0"/>
  </w:style>
  <w:style w:type="character" w:customStyle="1" w:styleId="11">
    <w:name w:val="Header Char"/>
    <w:basedOn w:val="2"/>
    <w:link w:val="6"/>
    <w:qFormat/>
    <w:uiPriority w:val="99"/>
  </w:style>
  <w:style w:type="character" w:customStyle="1" w:styleId="12">
    <w:name w:val="Footer Char"/>
    <w:basedOn w:val="2"/>
    <w:link w:val="5"/>
    <w:qFormat/>
    <w:uiPriority w:val="99"/>
  </w:style>
  <w:style w:type="character" w:customStyle="1" w:styleId="13">
    <w:name w:val="Unresolved Mention1"/>
    <w:basedOn w:val="2"/>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27</Pages>
  <Words>4148</Words>
  <Characters>23650</Characters>
  <Lines>197</Lines>
  <Paragraphs>55</Paragraphs>
  <TotalTime>1113</TotalTime>
  <ScaleCrop>false</ScaleCrop>
  <LinksUpToDate>false</LinksUpToDate>
  <CharactersWithSpaces>27743</CharactersWithSpaces>
  <Application>WPS Office_11.2.0.11306_F1E327BC-269C-435d-A152-05C5408002CA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2020-11-22T12:49:00Z</dcterms:created>
  <dc:creator>dedysuhendi71@gmail.com</dc:creator>
  <cp:lastModifiedBy>lusiana 773</cp:lastModifiedBy>
  <cp:lastPrinted>2022-09-07T06:50:00Z</cp:lastPrinted>
  <dcterms:modified xsi:type="dcterms:W3CDTF">2022-09-07T07:06:49Z</dcterms:modified>
  <cp:revision>61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2057-11.2.0.11306</vt:lpwstr>
  </property>
  <property fmtid="{D5CDD505-2E9C-101B-9397-08002B2CF9AE}" pid="3" name="ICV">
    <vt:lpwstr>6976366D764440FFBFDE623A4AB9648B</vt:lpwstr>
  </property>
</Properties>
</file>