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60" w:rsidRDefault="00884460" w:rsidP="008770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A60" w:rsidRDefault="00293A60" w:rsidP="00293A60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Abdulkadir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Muhammad,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Jakarta.    </w:t>
      </w:r>
      <w:r w:rsidRPr="0087709E">
        <w:rPr>
          <w:rFonts w:ascii="Times New Roman" w:hAnsi="Times New Roman" w:cs="Times New Roman"/>
          <w:sz w:val="24"/>
          <w:szCs w:val="24"/>
        </w:rPr>
        <w:tab/>
        <w:t xml:space="preserve">PT. Citra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Aditya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709E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709E">
        <w:rPr>
          <w:rFonts w:ascii="Times New Roman" w:hAnsi="Times New Roman" w:cs="Times New Roman"/>
          <w:sz w:val="24"/>
          <w:szCs w:val="24"/>
        </w:rPr>
        <w:t>86.</w:t>
      </w:r>
      <w:proofErr w:type="gramEnd"/>
    </w:p>
    <w:p w:rsidR="00C27981" w:rsidRDefault="00C27981" w:rsidP="00293A60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981" w:rsidRPr="0087709E" w:rsidRDefault="00C27981" w:rsidP="00C279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Hamzah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Delik-Delik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Delicten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KUHP, (</w:t>
      </w:r>
      <w:proofErr w:type="gramStart"/>
      <w:r w:rsidRPr="0087709E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2010),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 112</w:t>
      </w:r>
    </w:p>
    <w:p w:rsidR="00C27981" w:rsidRDefault="00C27981" w:rsidP="00293A60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A60" w:rsidRDefault="00293A60" w:rsidP="00293A60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Abdulkadir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Muhammad,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</w:t>
      </w:r>
      <w:bookmarkStart w:id="0" w:name="_GoBack"/>
      <w:bookmarkEnd w:id="0"/>
      <w:r w:rsidRPr="0087709E">
        <w:rPr>
          <w:rFonts w:ascii="Times New Roman" w:hAnsi="Times New Roman" w:cs="Times New Roman"/>
          <w:i/>
          <w:sz w:val="24"/>
          <w:szCs w:val="24"/>
        </w:rPr>
        <w:t>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Jakarta.    </w:t>
      </w:r>
      <w:r w:rsidRPr="0087709E">
        <w:rPr>
          <w:rFonts w:ascii="Times New Roman" w:hAnsi="Times New Roman" w:cs="Times New Roman"/>
          <w:sz w:val="24"/>
          <w:szCs w:val="24"/>
        </w:rPr>
        <w:tab/>
        <w:t xml:space="preserve">PT. Citra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Aditya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709E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709E">
        <w:rPr>
          <w:rFonts w:ascii="Times New Roman" w:hAnsi="Times New Roman" w:cs="Times New Roman"/>
          <w:sz w:val="24"/>
          <w:szCs w:val="24"/>
        </w:rPr>
        <w:t>86.</w:t>
      </w:r>
      <w:proofErr w:type="gramEnd"/>
    </w:p>
    <w:p w:rsidR="00884460" w:rsidRDefault="00884460" w:rsidP="00293A60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460" w:rsidRDefault="00884460" w:rsidP="00884460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709E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Sunggono</w:t>
      </w:r>
      <w:proofErr w:type="spellEnd"/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), Jakarta.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PT. Raja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2003,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 27</w:t>
      </w:r>
    </w:p>
    <w:p w:rsidR="00884460" w:rsidRDefault="00884460" w:rsidP="00293A60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981" w:rsidRDefault="00C27981" w:rsidP="00293A60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A60" w:rsidRDefault="00293A60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Chairul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Huda, </w:t>
      </w:r>
      <w:r w:rsidRPr="0087709E">
        <w:rPr>
          <w:rFonts w:ascii="Times New Roman" w:hAnsi="Times New Roman" w:cs="Times New Roman"/>
          <w:i/>
          <w:sz w:val="24"/>
          <w:szCs w:val="24"/>
        </w:rPr>
        <w:t xml:space="preserve">Dari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Tiada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Tanpa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Kesalahan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Menuju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Tiada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Pertanggungjawaban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Tanpa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Kesalahn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. Cet.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. Jakarta. Hlm.68 </w:t>
      </w:r>
    </w:p>
    <w:p w:rsidR="00C27981" w:rsidRDefault="00C27981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3A60" w:rsidRDefault="00293A60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Dwidja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Priyanto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legislatif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Pertanggungjawaban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Korporasi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di Indonesia</w:t>
      </w:r>
      <w:r w:rsidRPr="0087709E">
        <w:rPr>
          <w:rFonts w:ascii="Times New Roman" w:hAnsi="Times New Roman" w:cs="Times New Roman"/>
          <w:sz w:val="24"/>
          <w:szCs w:val="24"/>
        </w:rPr>
        <w:t xml:space="preserve">. 2004.  CV.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Utomo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Bandung.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C27981" w:rsidRDefault="00C27981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981" w:rsidRDefault="00C27981" w:rsidP="00293A60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A60" w:rsidRDefault="00293A60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709E">
        <w:rPr>
          <w:rFonts w:ascii="Times New Roman" w:hAnsi="Times New Roman" w:cs="Times New Roman"/>
          <w:sz w:val="24"/>
          <w:szCs w:val="24"/>
        </w:rPr>
        <w:t>Hanafi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Amrani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Mahrus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Ali,</w:t>
      </w:r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Pertanggungjawaban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Perkembangan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Penerapan</w:t>
      </w:r>
      <w:r w:rsidRPr="0087709E">
        <w:rPr>
          <w:rFonts w:ascii="Times New Roman" w:hAnsi="Times New Roman" w:cs="Times New Roman"/>
          <w:sz w:val="24"/>
          <w:szCs w:val="24"/>
        </w:rPr>
        <w:t>.2015.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Jakarta.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C27981" w:rsidRDefault="00C27981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981" w:rsidRDefault="00C27981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Indrianto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Seno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Korupsi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709E">
        <w:rPr>
          <w:rFonts w:ascii="Times New Roman" w:hAnsi="Times New Roman" w:cs="Times New Roman"/>
          <w:sz w:val="24"/>
          <w:szCs w:val="24"/>
        </w:rPr>
        <w:t xml:space="preserve">2002. Kantor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Pengacara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Oemar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Seno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Jakarta.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 155</w:t>
      </w:r>
    </w:p>
    <w:p w:rsidR="00C27981" w:rsidRDefault="00C27981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460" w:rsidRDefault="00884460" w:rsidP="008844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Komariah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Emong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Supardjadja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Ajaran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Melawan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Indonesia: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Perkembanganya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Yurisprudensi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. 2002. Alumni. Bandung.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 22</w:t>
      </w:r>
    </w:p>
    <w:p w:rsidR="00884460" w:rsidRDefault="00884460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460" w:rsidRDefault="00884460" w:rsidP="008844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709E">
        <w:rPr>
          <w:rFonts w:ascii="Times New Roman" w:hAnsi="Times New Roman" w:cs="Times New Roman"/>
          <w:sz w:val="24"/>
          <w:szCs w:val="24"/>
        </w:rPr>
        <w:t>Lamintang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7709E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8770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1984.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Bandung.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301</w:t>
      </w:r>
    </w:p>
    <w:p w:rsidR="00884460" w:rsidRPr="0087709E" w:rsidRDefault="00884460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981" w:rsidRDefault="00C27981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09E">
        <w:rPr>
          <w:rFonts w:ascii="Times New Roman" w:hAnsi="Times New Roman" w:cs="Times New Roman"/>
          <w:sz w:val="24"/>
          <w:szCs w:val="24"/>
        </w:rPr>
        <w:t xml:space="preserve">Marshall </w:t>
      </w:r>
      <w:proofErr w:type="spellStart"/>
      <w:proofErr w:type="gramStart"/>
      <w:r w:rsidRPr="008770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Andi</w:t>
      </w:r>
      <w:proofErr w:type="spellEnd"/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Hamzah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Asas-asas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. 1994.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. Jakarta.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 89</w:t>
      </w:r>
    </w:p>
    <w:p w:rsidR="00C27981" w:rsidRDefault="00C27981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981" w:rsidRDefault="00C27981" w:rsidP="00C27981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Mabes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Bintara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, (</w:t>
      </w:r>
      <w:proofErr w:type="gramStart"/>
      <w:r w:rsidRPr="0087709E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Mabes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2002),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 132.</w:t>
      </w:r>
    </w:p>
    <w:p w:rsidR="00C27981" w:rsidRPr="0087709E" w:rsidRDefault="00C27981" w:rsidP="00C27981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C27981" w:rsidRDefault="00C27981" w:rsidP="00C27981">
      <w:pPr>
        <w:jc w:val="both"/>
        <w:rPr>
          <w:rFonts w:ascii="Times New Roman" w:hAnsi="Times New Roman" w:cs="Times New Roman"/>
          <w:sz w:val="24"/>
          <w:szCs w:val="24"/>
        </w:rPr>
      </w:pPr>
      <w:r w:rsidRPr="0087709E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Faal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Penyaringan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), (</w:t>
      </w:r>
      <w:proofErr w:type="gramStart"/>
      <w:r w:rsidRPr="0087709E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Pradnya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Paramita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1991),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 74</w:t>
      </w:r>
    </w:p>
    <w:p w:rsidR="00C27981" w:rsidRPr="0087709E" w:rsidRDefault="00C27981" w:rsidP="00C27981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W.Kusumah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, Alumni,</w:t>
      </w:r>
    </w:p>
    <w:p w:rsidR="00C27981" w:rsidRPr="0087709E" w:rsidRDefault="00C27981" w:rsidP="00C27981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87709E">
        <w:rPr>
          <w:rFonts w:ascii="Times New Roman" w:hAnsi="Times New Roman" w:cs="Times New Roman"/>
          <w:sz w:val="24"/>
          <w:szCs w:val="24"/>
        </w:rPr>
        <w:t xml:space="preserve">Bandung, 1981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53-54</w:t>
      </w:r>
    </w:p>
    <w:p w:rsidR="00C27981" w:rsidRDefault="00C27981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3A60" w:rsidRDefault="00293A60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Moeljatno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Asas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asas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Pidana</w:t>
      </w:r>
      <w:r w:rsidRPr="0087709E">
        <w:rPr>
          <w:rFonts w:ascii="Times New Roman" w:hAnsi="Times New Roman" w:cs="Times New Roman"/>
          <w:sz w:val="24"/>
          <w:szCs w:val="24"/>
        </w:rPr>
        <w:t xml:space="preserve">.2008.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Cipta</w:t>
      </w:r>
      <w:proofErr w:type="spellEnd"/>
      <w:proofErr w:type="gramStart"/>
      <w:r w:rsidRPr="0087709E">
        <w:rPr>
          <w:rFonts w:ascii="Times New Roman" w:hAnsi="Times New Roman" w:cs="Times New Roman"/>
          <w:sz w:val="24"/>
          <w:szCs w:val="24"/>
        </w:rPr>
        <w:t>,  Cet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Kedelapan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. Jakarta.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 59</w:t>
      </w:r>
    </w:p>
    <w:p w:rsidR="00C27981" w:rsidRDefault="00C27981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981" w:rsidRDefault="00C27981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Moeljatno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Asas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asas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Pidana</w:t>
      </w:r>
      <w:r w:rsidRPr="0087709E">
        <w:rPr>
          <w:rFonts w:ascii="Times New Roman" w:hAnsi="Times New Roman" w:cs="Times New Roman"/>
          <w:sz w:val="24"/>
          <w:szCs w:val="24"/>
        </w:rPr>
        <w:t xml:space="preserve">.2008.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Cipta</w:t>
      </w:r>
      <w:proofErr w:type="spellEnd"/>
      <w:proofErr w:type="gramStart"/>
      <w:r w:rsidRPr="0087709E">
        <w:rPr>
          <w:rFonts w:ascii="Times New Roman" w:hAnsi="Times New Roman" w:cs="Times New Roman"/>
          <w:sz w:val="24"/>
          <w:szCs w:val="24"/>
        </w:rPr>
        <w:t>,  Cet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Kedelapan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. Jakarta.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 59</w:t>
      </w:r>
    </w:p>
    <w:p w:rsidR="00C27981" w:rsidRPr="0087709E" w:rsidRDefault="00C27981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Moeljatno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Asas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asas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Pidana</w:t>
      </w:r>
      <w:r w:rsidRPr="0087709E">
        <w:rPr>
          <w:rFonts w:ascii="Times New Roman" w:hAnsi="Times New Roman" w:cs="Times New Roman"/>
          <w:sz w:val="24"/>
          <w:szCs w:val="24"/>
        </w:rPr>
        <w:t xml:space="preserve">.2008.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Cipta</w:t>
      </w:r>
      <w:proofErr w:type="spellEnd"/>
      <w:proofErr w:type="gramStart"/>
      <w:r w:rsidRPr="0087709E">
        <w:rPr>
          <w:rFonts w:ascii="Times New Roman" w:hAnsi="Times New Roman" w:cs="Times New Roman"/>
          <w:sz w:val="24"/>
          <w:szCs w:val="24"/>
        </w:rPr>
        <w:t>,  Cet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Kedelapan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. Jakarta.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 61</w:t>
      </w:r>
    </w:p>
    <w:p w:rsidR="00C27981" w:rsidRDefault="00C27981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3A60" w:rsidRDefault="00293A60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709E">
        <w:rPr>
          <w:rFonts w:ascii="Times New Roman" w:hAnsi="Times New Roman" w:cs="Times New Roman"/>
          <w:sz w:val="24"/>
          <w:szCs w:val="24"/>
        </w:rPr>
        <w:t>Moeljatno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Perbuatan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Pertanggungjawaban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1983.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Jakarta.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175</w:t>
      </w:r>
    </w:p>
    <w:p w:rsidR="0010617D" w:rsidRDefault="0010617D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Pr="0087709E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W.Kusumah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, Alumni,</w:t>
      </w:r>
    </w:p>
    <w:p w:rsidR="0010617D" w:rsidRPr="0087709E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87709E">
        <w:rPr>
          <w:rFonts w:ascii="Times New Roman" w:hAnsi="Times New Roman" w:cs="Times New Roman"/>
          <w:sz w:val="24"/>
          <w:szCs w:val="24"/>
        </w:rPr>
        <w:t xml:space="preserve">Bandung, 1981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53-54</w:t>
      </w:r>
    </w:p>
    <w:p w:rsidR="0010617D" w:rsidRDefault="0010617D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981" w:rsidRDefault="0010617D" w:rsidP="0088446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Rasjidi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L., 1990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7709E">
        <w:rPr>
          <w:rFonts w:ascii="Times New Roman" w:hAnsi="Times New Roman" w:cs="Times New Roman"/>
          <w:sz w:val="24"/>
          <w:szCs w:val="24"/>
        </w:rPr>
        <w:t>Cet</w:t>
      </w:r>
      <w:proofErr w:type="spellEnd"/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5, Bandun</w:t>
      </w:r>
      <w:r w:rsidR="00884460">
        <w:rPr>
          <w:rFonts w:ascii="Times New Roman" w:hAnsi="Times New Roman" w:cs="Times New Roman"/>
          <w:sz w:val="24"/>
          <w:szCs w:val="24"/>
        </w:rPr>
        <w:t xml:space="preserve">g: Citra </w:t>
      </w:r>
      <w:proofErr w:type="spellStart"/>
      <w:r w:rsidR="00884460">
        <w:rPr>
          <w:rFonts w:ascii="Times New Roman" w:hAnsi="Times New Roman" w:cs="Times New Roman"/>
          <w:sz w:val="24"/>
          <w:szCs w:val="24"/>
        </w:rPr>
        <w:t>Adiyta</w:t>
      </w:r>
      <w:proofErr w:type="spellEnd"/>
      <w:r w:rsidR="0088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460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="0088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46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884460">
        <w:rPr>
          <w:rFonts w:ascii="Times New Roman" w:hAnsi="Times New Roman" w:cs="Times New Roman"/>
          <w:sz w:val="24"/>
          <w:szCs w:val="24"/>
        </w:rPr>
        <w:t xml:space="preserve"> 10-11</w:t>
      </w:r>
    </w:p>
    <w:p w:rsidR="0010617D" w:rsidRDefault="0010617D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981" w:rsidRPr="0087709E" w:rsidRDefault="00C27981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Roeslan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Saleh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Tindak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Pertanggungjawaban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Dua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pengertian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. 1981.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. Jakarta.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 13</w:t>
      </w:r>
    </w:p>
    <w:p w:rsidR="00C27981" w:rsidRDefault="00C27981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Default="0010617D" w:rsidP="00C27981">
      <w:pPr>
        <w:pStyle w:val="FootnoteTex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09E">
        <w:rPr>
          <w:rFonts w:ascii="Times New Roman" w:hAnsi="Times New Roman" w:cs="Times New Roman"/>
          <w:color w:val="000000"/>
          <w:sz w:val="24"/>
          <w:szCs w:val="24"/>
        </w:rPr>
        <w:t xml:space="preserve">Ronny </w:t>
      </w:r>
      <w:proofErr w:type="spellStart"/>
      <w:r w:rsidRPr="0087709E">
        <w:rPr>
          <w:rFonts w:ascii="Times New Roman" w:hAnsi="Times New Roman" w:cs="Times New Roman"/>
          <w:color w:val="000000"/>
          <w:sz w:val="24"/>
          <w:szCs w:val="24"/>
        </w:rPr>
        <w:t>Hanitijo</w:t>
      </w:r>
      <w:proofErr w:type="spellEnd"/>
      <w:r w:rsidRPr="00877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color w:val="000000"/>
          <w:sz w:val="24"/>
          <w:szCs w:val="24"/>
        </w:rPr>
        <w:t>Soemitro</w:t>
      </w:r>
      <w:proofErr w:type="spellEnd"/>
      <w:r w:rsidRPr="008770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Metodologi</w:t>
      </w:r>
      <w:proofErr w:type="spellEnd"/>
      <w:r w:rsidRPr="008770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Penelitian</w:t>
      </w:r>
      <w:proofErr w:type="spellEnd"/>
      <w:r w:rsidRPr="008770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 w:rsidRPr="008770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Jurimetri</w:t>
      </w:r>
      <w:proofErr w:type="spellEnd"/>
      <w:r w:rsidRPr="0087709E">
        <w:rPr>
          <w:rFonts w:ascii="Times New Roman" w:hAnsi="Times New Roman" w:cs="Times New Roman"/>
          <w:color w:val="000000"/>
          <w:sz w:val="24"/>
          <w:szCs w:val="24"/>
        </w:rPr>
        <w:t xml:space="preserve">, Jakarta. </w:t>
      </w:r>
      <w:proofErr w:type="spellStart"/>
      <w:proofErr w:type="gramStart"/>
      <w:r w:rsidRPr="0087709E">
        <w:rPr>
          <w:rFonts w:ascii="Times New Roman" w:hAnsi="Times New Roman" w:cs="Times New Roman"/>
          <w:color w:val="000000"/>
          <w:sz w:val="24"/>
          <w:szCs w:val="24"/>
        </w:rPr>
        <w:t>Ghalia</w:t>
      </w:r>
      <w:proofErr w:type="spellEnd"/>
      <w:r w:rsidRPr="0087709E">
        <w:rPr>
          <w:rFonts w:ascii="Times New Roman" w:hAnsi="Times New Roman" w:cs="Times New Roman"/>
          <w:color w:val="000000"/>
          <w:sz w:val="24"/>
          <w:szCs w:val="24"/>
        </w:rPr>
        <w:t xml:space="preserve"> Indonesia, 1998, </w:t>
      </w:r>
      <w:proofErr w:type="spellStart"/>
      <w:r w:rsidRPr="0087709E">
        <w:rPr>
          <w:rFonts w:ascii="Times New Roman" w:hAnsi="Times New Roman" w:cs="Times New Roman"/>
          <w:color w:val="000000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7709E">
        <w:rPr>
          <w:rFonts w:ascii="Times New Roman" w:hAnsi="Times New Roman" w:cs="Times New Roman"/>
          <w:color w:val="000000"/>
          <w:sz w:val="24"/>
          <w:szCs w:val="24"/>
        </w:rPr>
        <w:t xml:space="preserve"> 116</w:t>
      </w:r>
    </w:p>
    <w:p w:rsidR="00884460" w:rsidRDefault="00884460" w:rsidP="00C27981">
      <w:pPr>
        <w:pStyle w:val="FootnoteTex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4460" w:rsidRPr="00884460" w:rsidRDefault="00884460" w:rsidP="0088446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Rasjidi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L., 1990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7709E">
        <w:rPr>
          <w:rFonts w:ascii="Times New Roman" w:hAnsi="Times New Roman" w:cs="Times New Roman"/>
          <w:sz w:val="24"/>
          <w:szCs w:val="24"/>
        </w:rPr>
        <w:t>Cet</w:t>
      </w:r>
      <w:proofErr w:type="spellEnd"/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5, Bandun</w:t>
      </w:r>
      <w:r>
        <w:rPr>
          <w:rFonts w:ascii="Times New Roman" w:hAnsi="Times New Roman" w:cs="Times New Roman"/>
          <w:sz w:val="24"/>
          <w:szCs w:val="24"/>
        </w:rPr>
        <w:t xml:space="preserve">g: Citra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Adiyta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10-11</w:t>
      </w:r>
    </w:p>
    <w:p w:rsidR="0010617D" w:rsidRDefault="0010617D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981" w:rsidRDefault="00C27981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709E">
        <w:rPr>
          <w:rFonts w:ascii="Times New Roman" w:hAnsi="Times New Roman" w:cs="Times New Roman"/>
          <w:sz w:val="24"/>
          <w:szCs w:val="24"/>
        </w:rPr>
        <w:t>Sudarto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1986. Alumni. Bandung.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 85</w:t>
      </w:r>
    </w:p>
    <w:p w:rsidR="00884460" w:rsidRPr="0087709E" w:rsidRDefault="00884460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981" w:rsidRDefault="00C27981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09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709E">
        <w:rPr>
          <w:rFonts w:ascii="Times New Roman" w:hAnsi="Times New Roman" w:cs="Times New Roman"/>
          <w:sz w:val="24"/>
          <w:szCs w:val="24"/>
        </w:rPr>
        <w:t>Sudarto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1986. Alumni, Bandung.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77</w:t>
      </w:r>
    </w:p>
    <w:p w:rsidR="00884460" w:rsidRPr="0087709E" w:rsidRDefault="00884460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981" w:rsidRDefault="00C27981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709E">
        <w:rPr>
          <w:rFonts w:ascii="Times New Roman" w:hAnsi="Times New Roman" w:cs="Times New Roman"/>
          <w:sz w:val="24"/>
          <w:szCs w:val="24"/>
        </w:rPr>
        <w:t>Sudarto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Perkembangan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Masyarakat</w:t>
      </w:r>
      <w:r w:rsidRPr="0087709E">
        <w:rPr>
          <w:rFonts w:ascii="Times New Roman" w:hAnsi="Times New Roman" w:cs="Times New Roman"/>
          <w:sz w:val="24"/>
          <w:szCs w:val="24"/>
        </w:rPr>
        <w:t>.1983.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Bandung.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 95</w:t>
      </w:r>
    </w:p>
    <w:p w:rsidR="00C27981" w:rsidRDefault="00C27981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981" w:rsidRDefault="00C27981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709E">
        <w:rPr>
          <w:rFonts w:ascii="Times New Roman" w:hAnsi="Times New Roman" w:cs="Times New Roman"/>
          <w:sz w:val="24"/>
          <w:szCs w:val="24"/>
        </w:rPr>
        <w:t>Sudarto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1981. Alumni. Bandung. Hlm.87</w:t>
      </w:r>
    </w:p>
    <w:p w:rsidR="00C27981" w:rsidRDefault="00C27981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981" w:rsidRDefault="00C27981" w:rsidP="00C27981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&amp; Sri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Mamudji</w:t>
      </w:r>
      <w:proofErr w:type="spellEnd"/>
      <w:proofErr w:type="gramStart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proofErr w:type="gram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Normative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Tinjauan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i/>
          <w:sz w:val="24"/>
          <w:szCs w:val="24"/>
        </w:rPr>
        <w:t>Singkat</w:t>
      </w:r>
      <w:proofErr w:type="spellEnd"/>
      <w:r w:rsidRPr="008770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7709E">
        <w:rPr>
          <w:rFonts w:ascii="Times New Roman" w:hAnsi="Times New Roman" w:cs="Times New Roman"/>
          <w:sz w:val="24"/>
          <w:szCs w:val="24"/>
        </w:rPr>
        <w:t xml:space="preserve"> Jakarta. Raja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1985,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 1.</w:t>
      </w:r>
    </w:p>
    <w:p w:rsidR="00884460" w:rsidRDefault="00884460" w:rsidP="00C27981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Tasrif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S. (ED), 1987.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Rampai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Abardin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Dihimpun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Irwansyah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Program s2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153)</w:t>
      </w:r>
    </w:p>
    <w:p w:rsidR="0010617D" w:rsidRPr="0087709E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Perdata</w:t>
      </w:r>
      <w:proofErr w:type="spellEnd"/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Internet </w:t>
      </w:r>
    </w:p>
    <w:p w:rsidR="00884460" w:rsidRDefault="00884460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Prawira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et al., “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Ilegal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(Black Market),” JCH (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Cendekia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) 6, no. 1 (2020): 124–33, https://doi.org/10.33760/jch.v6i1.287, h. 127.</w:t>
      </w:r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Hamzah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Delik-Delik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Delicten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KUHP, (</w:t>
      </w:r>
      <w:proofErr w:type="gramStart"/>
      <w:r w:rsidRPr="0087709E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2010),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 112</w:t>
      </w:r>
    </w:p>
    <w:p w:rsidR="00884460" w:rsidRDefault="00884460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884460" w:rsidRPr="0087709E" w:rsidRDefault="00884460" w:rsidP="0088446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Dhaniar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Eka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Budiastanti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Internet,”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Cakrawala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8, no. 1 (2017): 22–32, https://doi.org/10.26905/idjch.v8i1.1727, h. 25.</w:t>
      </w:r>
    </w:p>
    <w:p w:rsidR="00884460" w:rsidRDefault="00884460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Pr="0087709E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87709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Gede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Krisna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Wijaya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Nyoman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Satyayudha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Dananjaya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Itikad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Online,”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Kertha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Semaya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: Journal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6, no. 8 (2018): 1–15, https://ojs.unud.ac.id/index.php/kerthasemaya/article/view/37212, h. 9.</w:t>
      </w:r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884460" w:rsidRDefault="00884460" w:rsidP="0088446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884460" w:rsidRDefault="00884460" w:rsidP="0088446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87709E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Usrin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372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”, </w:t>
      </w:r>
      <w:hyperlink r:id="rId5" w:history="1">
        <w:r w:rsidRPr="001A03AF">
          <w:rPr>
            <w:rStyle w:val="Hyperlink"/>
            <w:rFonts w:ascii="Times New Roman" w:hAnsi="Times New Roman" w:cs="Times New Roman"/>
            <w:sz w:val="24"/>
            <w:szCs w:val="24"/>
          </w:rPr>
          <w:t>https://www.academia.edu/28971475/Tindak_Pidana_Penggelapan_Menurut_Pasal_372</w:t>
        </w:r>
      </w:hyperlink>
    </w:p>
    <w:p w:rsidR="00884460" w:rsidRDefault="00884460" w:rsidP="0088446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884460" w:rsidRDefault="00884460" w:rsidP="0088446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Meliala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.” h. 100</w:t>
      </w:r>
    </w:p>
    <w:p w:rsidR="00884460" w:rsidRDefault="00884460" w:rsidP="0088446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884460" w:rsidRPr="0087709E" w:rsidRDefault="00884460" w:rsidP="0088446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884460" w:rsidRPr="0087709E" w:rsidRDefault="00884460" w:rsidP="0088446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Reggiannie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Christy Natalia, “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Online Di Media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,” Law Review XVIII, no. 3 (2019): 72–89, https://doi.org/10.19166/lr.v18i3.1407, h. 79.</w:t>
      </w:r>
    </w:p>
    <w:p w:rsidR="00884460" w:rsidRDefault="00884460" w:rsidP="0088446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884460" w:rsidRDefault="00884460" w:rsidP="0088446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884460" w:rsidRDefault="00884460" w:rsidP="0088446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87709E">
        <w:rPr>
          <w:rFonts w:ascii="Times New Roman" w:hAnsi="Times New Roman" w:cs="Times New Roman"/>
          <w:sz w:val="24"/>
          <w:szCs w:val="24"/>
        </w:rPr>
        <w:t>S Putra, “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Jual-Beli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E Commerce,”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4, no. 1 (2014): 287–308,</w:t>
      </w:r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Pr="0087709E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87709E">
        <w:rPr>
          <w:rFonts w:ascii="Times New Roman" w:hAnsi="Times New Roman" w:cs="Times New Roman"/>
          <w:sz w:val="24"/>
          <w:szCs w:val="24"/>
        </w:rPr>
        <w:t xml:space="preserve">Website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Hukumonline.com, “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”, https</w:t>
      </w:r>
      <w:proofErr w:type="gramStart"/>
      <w:r w:rsidRPr="0087709E">
        <w:rPr>
          <w:rFonts w:ascii="Times New Roman" w:hAnsi="Times New Roman" w:cs="Times New Roman"/>
          <w:sz w:val="24"/>
          <w:szCs w:val="24"/>
        </w:rPr>
        <w:t>:/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/www.hukumonline.com/klinik/detail/ulasan/lt4ceb3048897ea/penggelapan-dan-penipuan/.,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12 September 2019.</w:t>
      </w:r>
    </w:p>
    <w:p w:rsidR="0010617D" w:rsidRPr="0087709E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884460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87709E">
        <w:rPr>
          <w:rFonts w:ascii="Times New Roman" w:hAnsi="Times New Roman" w:cs="Times New Roman"/>
          <w:sz w:val="24"/>
          <w:szCs w:val="24"/>
        </w:rPr>
        <w:t xml:space="preserve">Website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KBBI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Online, “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Tipu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”, https</w:t>
      </w:r>
      <w:proofErr w:type="gramStart"/>
      <w:r w:rsidRPr="0087709E">
        <w:rPr>
          <w:rFonts w:ascii="Times New Roman" w:hAnsi="Times New Roman" w:cs="Times New Roman"/>
          <w:sz w:val="24"/>
          <w:szCs w:val="24"/>
        </w:rPr>
        <w:t>:/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/kbbi.web.id/tipu.,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12 September 2019.</w:t>
      </w:r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Pr="0087709E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87709E">
        <w:rPr>
          <w:rFonts w:ascii="Times New Roman" w:hAnsi="Times New Roman" w:cs="Times New Roman"/>
          <w:sz w:val="24"/>
          <w:szCs w:val="24"/>
        </w:rPr>
        <w:t xml:space="preserve">Website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Hukumonline.com, “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”, https</w:t>
      </w:r>
      <w:proofErr w:type="gramStart"/>
      <w:r w:rsidRPr="0087709E">
        <w:rPr>
          <w:rFonts w:ascii="Times New Roman" w:hAnsi="Times New Roman" w:cs="Times New Roman"/>
          <w:sz w:val="24"/>
          <w:szCs w:val="24"/>
        </w:rPr>
        <w:t>:/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/www.hukumonline.com/klinik/detail/ulasan/lt4ceb3048897ea/penggelapan-dan-penipuan/.,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12 September 2019.</w:t>
      </w:r>
    </w:p>
    <w:p w:rsidR="0010617D" w:rsidRPr="0087709E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87709E">
        <w:rPr>
          <w:rFonts w:ascii="Times New Roman" w:hAnsi="Times New Roman" w:cs="Times New Roman"/>
          <w:sz w:val="24"/>
          <w:szCs w:val="24"/>
        </w:rPr>
        <w:lastRenderedPageBreak/>
        <w:t xml:space="preserve">Website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KBBI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Online, “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Tipu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”, https</w:t>
      </w:r>
      <w:proofErr w:type="gramStart"/>
      <w:r w:rsidRPr="0087709E">
        <w:rPr>
          <w:rFonts w:ascii="Times New Roman" w:hAnsi="Times New Roman" w:cs="Times New Roman"/>
          <w:sz w:val="24"/>
          <w:szCs w:val="24"/>
        </w:rPr>
        <w:t>:/</w:t>
      </w:r>
      <w:proofErr w:type="gramEnd"/>
      <w:r w:rsidRPr="0087709E">
        <w:rPr>
          <w:rFonts w:ascii="Times New Roman" w:hAnsi="Times New Roman" w:cs="Times New Roman"/>
          <w:sz w:val="24"/>
          <w:szCs w:val="24"/>
        </w:rPr>
        <w:t xml:space="preserve">/kbbi.web.id/tipu.,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12 September 2019.</w:t>
      </w:r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Lain-Lain </w:t>
      </w:r>
    </w:p>
    <w:p w:rsidR="00884460" w:rsidRPr="0087709E" w:rsidRDefault="00884460" w:rsidP="0088446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Syamsuddin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Muchtar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Reformulasi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Dalam</w:t>
      </w:r>
      <w:proofErr w:type="spellEnd"/>
    </w:p>
    <w:p w:rsidR="00884460" w:rsidRPr="0087709E" w:rsidRDefault="00884460" w:rsidP="008844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Pembaruan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, 2012 </w:t>
      </w:r>
      <w:proofErr w:type="spellStart"/>
      <w:r w:rsidRPr="0087709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 xml:space="preserve"> 58</w:t>
      </w:r>
    </w:p>
    <w:p w:rsidR="00884460" w:rsidRDefault="00884460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Pr="0087709E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Pr="0087709E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Pr="0087709E" w:rsidRDefault="0010617D" w:rsidP="0010617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Default="0010617D" w:rsidP="00C27981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Default="0010617D" w:rsidP="00C27981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981" w:rsidRPr="0087709E" w:rsidRDefault="00C27981" w:rsidP="00C2798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981" w:rsidRPr="0087709E" w:rsidRDefault="00C27981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3A60" w:rsidRPr="0087709E" w:rsidRDefault="00293A60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3A60" w:rsidRPr="0087709E" w:rsidRDefault="00293A60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3A60" w:rsidRPr="0087709E" w:rsidRDefault="00293A60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3A60" w:rsidRPr="0087709E" w:rsidRDefault="00293A60" w:rsidP="00293A60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A60" w:rsidRPr="0087709E" w:rsidRDefault="00293A60" w:rsidP="00293A60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3A60" w:rsidRPr="0087709E" w:rsidRDefault="00293A60" w:rsidP="00293A60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A60" w:rsidRPr="0087709E" w:rsidRDefault="00293A60" w:rsidP="00293A60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A60" w:rsidRPr="0087709E" w:rsidRDefault="00293A60" w:rsidP="00877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09E" w:rsidRPr="0087709E" w:rsidRDefault="0087709E" w:rsidP="008770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709E" w:rsidRPr="00877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75"/>
    <w:rsid w:val="0010617D"/>
    <w:rsid w:val="00293A60"/>
    <w:rsid w:val="00704AF8"/>
    <w:rsid w:val="0087709E"/>
    <w:rsid w:val="00884460"/>
    <w:rsid w:val="008F59EE"/>
    <w:rsid w:val="00C27981"/>
    <w:rsid w:val="00D83998"/>
    <w:rsid w:val="00DD4C75"/>
    <w:rsid w:val="00FB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D4C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4C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4C7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4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D4C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4C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4C7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4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28971475/Tindak_Pidana_Penggelapan_Menurut_Pasal_3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Yunanto Riyadi</dc:creator>
  <cp:lastModifiedBy>Yunanto Riyadi</cp:lastModifiedBy>
  <cp:revision>2</cp:revision>
  <dcterms:created xsi:type="dcterms:W3CDTF">2022-10-19T08:13:00Z</dcterms:created>
  <dcterms:modified xsi:type="dcterms:W3CDTF">2022-10-19T08:13:00Z</dcterms:modified>
</cp:coreProperties>
</file>