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0AB6" w14:textId="77777777" w:rsidR="00356306" w:rsidRPr="00A15F80" w:rsidRDefault="00356306" w:rsidP="00356306">
      <w:pPr>
        <w:pStyle w:val="Heading1"/>
        <w:numPr>
          <w:ilvl w:val="0"/>
          <w:numId w:val="0"/>
        </w:numPr>
      </w:pPr>
      <w:bookmarkStart w:id="0" w:name="_Toc101820336"/>
      <w:r>
        <w:t>DAFTAR PUSTAKA</w:t>
      </w:r>
      <w:bookmarkEnd w:id="0"/>
    </w:p>
    <w:sdt>
      <w:sdtPr>
        <w:rPr>
          <w:rFonts w:ascii="Times New Roman" w:hAnsi="Times New Roman" w:cs="Times New Roman"/>
          <w:lang w:bidi="en-US"/>
        </w:rPr>
        <w:tag w:val="MENDELEY_BIBLIOGRAPHY"/>
        <w:id w:val="1965385930"/>
        <w:placeholder>
          <w:docPart w:val="018EEDCE67634A0EA72B6E141B4744E1"/>
        </w:placeholder>
      </w:sdtPr>
      <w:sdtContent>
        <w:p w14:paraId="6976C22E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Adirini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P. (2012). Inter-Parliamentary Union (IPU) dan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Lingkungan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Hidup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Jurnal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Politica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Dinamika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Masalah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Politik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Dalam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Negeri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Hubungan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3</w:t>
          </w:r>
          <w:r w:rsidRPr="00D528A7">
            <w:rPr>
              <w:rFonts w:ascii="Times New Roman" w:eastAsia="Times New Roman" w:hAnsi="Times New Roman" w:cs="Times New Roman"/>
            </w:rPr>
            <w:t>(1), 111–134.</w:t>
          </w:r>
        </w:p>
        <w:p w14:paraId="0C04454B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Bateman, T. F. R. S. &amp;c. (n.d.).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NOTES OF A CASE OF MERCURIAL ERETHISM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1AE2F4E9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Bell, L., DiGangi, J., &amp; Weinberg, J. (2014). An NGO Introduction to Mercury Pollution and the Minamata Convention on Mercury.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Ipen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May</w:t>
          </w:r>
          <w:r w:rsidRPr="00D528A7">
            <w:rPr>
              <w:rFonts w:ascii="Times New Roman" w:eastAsia="Times New Roman" w:hAnsi="Times New Roman" w:cs="Times New Roman"/>
            </w:rPr>
            <w:t>, 1–209.</w:t>
          </w:r>
        </w:p>
        <w:p w14:paraId="0FDA5DFF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Buzan, B., &amp; Hansen, L. (2007). International Security: Widening Security. In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SAGE library of international relations</w:t>
          </w:r>
          <w:r w:rsidRPr="00D528A7">
            <w:rPr>
              <w:rFonts w:ascii="Times New Roman" w:eastAsia="Times New Roman" w:hAnsi="Times New Roman" w:cs="Times New Roman"/>
            </w:rPr>
            <w:t xml:space="preserve"> (Vol. 3, Issue III).</w:t>
          </w:r>
        </w:p>
        <w:p w14:paraId="4754C0D3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Carter, N. (2007).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The Politics of the Environment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1976398B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Clarkson, T. W.,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Magos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L. (2008). The Toxicology of Mercury and Its Chemical Compounds.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Http://Dx.Doi.Org/10.1080/10408440600845619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36</w:t>
          </w:r>
          <w:r w:rsidRPr="00D528A7">
            <w:rPr>
              <w:rFonts w:ascii="Times New Roman" w:eastAsia="Times New Roman" w:hAnsi="Times New Roman" w:cs="Times New Roman"/>
            </w:rPr>
            <w:t>(8), 609–662. https://doi.org/10.1080/10408440600845619</w:t>
          </w:r>
        </w:p>
        <w:p w14:paraId="678A49A2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DITJEN PSLB3. (2021).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Direktorat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Jenderal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Pengelolaan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Sampah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,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Limbah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B3</w:t>
          </w:r>
          <w:r w:rsidRPr="00D528A7">
            <w:rPr>
              <w:rFonts w:ascii="Times New Roman" w:eastAsia="Times New Roman" w:hAnsi="Times New Roman" w:cs="Times New Roman"/>
            </w:rPr>
            <w:t>. http://pslb3.menlhk.go.id/read/cop-4-minamata-tentang-merkuri-dari-indonesia-untuk-dunia</w:t>
          </w:r>
        </w:p>
        <w:p w14:paraId="3F37B846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DJATMIKO, A., PURWENDAH, E., &amp; PUDYASTIWI, E. (2019). Benefits of Indonesia Ratification of Minamata Convention on Mercury.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Ijbel.Com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18</w:t>
          </w:r>
          <w:r w:rsidRPr="00D528A7">
            <w:rPr>
              <w:rFonts w:ascii="Times New Roman" w:eastAsia="Times New Roman" w:hAnsi="Times New Roman" w:cs="Times New Roman"/>
            </w:rPr>
            <w:t>(4), 1–6.</w:t>
          </w:r>
        </w:p>
        <w:p w14:paraId="57A528E6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Förstner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U., &amp; Wittmann, G. T. W. (1981).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Metal Pollution in the Aquatic Environment</w:t>
          </w:r>
          <w:r w:rsidRPr="00D528A7">
            <w:rPr>
              <w:rFonts w:ascii="Times New Roman" w:eastAsia="Times New Roman" w:hAnsi="Times New Roman" w:cs="Times New Roman"/>
            </w:rPr>
            <w:t>. Springer Berlin Heidelberg. https://doi.org/10.1007/978-3-642-69385-4</w:t>
          </w:r>
        </w:p>
        <w:p w14:paraId="761EE6B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Frans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Likadja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(1990).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Perkembangan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Hukum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Lingkungan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Kaitannya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dengan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Kepentingan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Indonesia.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Hukum Dan Pembangunan</w:t>
          </w:r>
          <w:r w:rsidRPr="00D528A7">
            <w:rPr>
              <w:rFonts w:ascii="Times New Roman" w:eastAsia="Times New Roman" w:hAnsi="Times New Roman" w:cs="Times New Roman"/>
            </w:rPr>
            <w:t>, 228–239.</w:t>
          </w:r>
        </w:p>
        <w:p w14:paraId="1A867259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Gitya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Abriany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Putri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Kamase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(2018).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Analisis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Ratifikasi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Konvensi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Minamata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dalam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Hubungannya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terhadap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Tambang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Emas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Rakyat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Desa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Sekotong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In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Universitas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Hassanudin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32DD6EB7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Haggard, S., &amp; Simmons, B. A. (1987). Theories of international regimes.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International Organization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41</w:t>
          </w:r>
          <w:r w:rsidRPr="00D528A7">
            <w:rPr>
              <w:rFonts w:ascii="Times New Roman" w:eastAsia="Times New Roman" w:hAnsi="Times New Roman" w:cs="Times New Roman"/>
            </w:rPr>
            <w:t>(3), 491–517. https://doi.org/10.1017/S0020818300027569</w:t>
          </w:r>
        </w:p>
        <w:p w14:paraId="73ED26A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Insiani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Y.,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Pratiwi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F. D.,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Suwaji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S. (2020).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Kebijakan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Pengurangan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Penghapusan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di Indonesia</w:t>
          </w:r>
          <w:r w:rsidRPr="00D528A7">
            <w:rPr>
              <w:rFonts w:ascii="Times New Roman" w:eastAsia="Times New Roman" w:hAnsi="Times New Roman" w:cs="Times New Roman"/>
            </w:rPr>
            <w:t xml:space="preserve">. Global Opportunities for Long-term of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Artisenal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and </w:t>
          </w:r>
          <w:proofErr w:type="gramStart"/>
          <w:r w:rsidRPr="00D528A7">
            <w:rPr>
              <w:rFonts w:ascii="Times New Roman" w:eastAsia="Times New Roman" w:hAnsi="Times New Roman" w:cs="Times New Roman"/>
            </w:rPr>
            <w:t>Small Scale</w:t>
          </w:r>
          <w:proofErr w:type="gramEnd"/>
          <w:r w:rsidRPr="00D528A7">
            <w:rPr>
              <w:rFonts w:ascii="Times New Roman" w:eastAsia="Times New Roman" w:hAnsi="Times New Roman" w:cs="Times New Roman"/>
            </w:rPr>
            <w:t xml:space="preserve"> Gold Mining (ASGM) Sector: Integrated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Spund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Management of Mercury in Indonesia’s ASGM Project (GOLD-ISMIA).</w:t>
          </w:r>
        </w:p>
        <w:p w14:paraId="6BF12CD5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Jalan, M.,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Perdebatan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D.,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Cecep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A., &amp; Bilad, Z. el. (2012).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Konstruktivisme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Hubungan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https://www.neliti.com/publications/131993/konstruktivisme-hubungan-internasional-meretas-jalan-damai-perdebatan-antarparad</w:t>
          </w:r>
        </w:p>
        <w:p w14:paraId="1E51E8EF" w14:textId="77777777" w:rsidR="00356306" w:rsidRDefault="00356306" w:rsidP="00356306">
          <w:pPr>
            <w:autoSpaceDE w:val="0"/>
            <w:autoSpaceDN w:val="0"/>
            <w:spacing w:line="360" w:lineRule="auto"/>
            <w:rPr>
              <w:rFonts w:ascii="Times New Roman" w:eastAsia="Times New Roman" w:hAnsi="Times New Roman" w:cs="Times New Roman"/>
            </w:rPr>
            <w:sectPr w:rsidR="00356306" w:rsidSect="00A31F10">
              <w:headerReference w:type="default" r:id="rId5"/>
              <w:pgSz w:w="11900" w:h="16840" w:code="9"/>
              <w:pgMar w:top="1440" w:right="1440" w:bottom="1440" w:left="1440" w:header="709" w:footer="709" w:gutter="0"/>
              <w:pgNumType w:chapStyle="1"/>
              <w:cols w:space="708"/>
              <w:docGrid w:linePitch="360"/>
            </w:sectPr>
          </w:pPr>
        </w:p>
        <w:p w14:paraId="4761CE8C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lastRenderedPageBreak/>
            <w:t xml:space="preserve">Junita, N. (2013).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Risiko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Keracunan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(Hg) pada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Pekera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Penambangan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Emas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Tanpa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izin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di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Desa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Cisarua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Kecamatan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Nanggung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Kabupaten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Bogor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Tahun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2013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0E3DB3C5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Kemenhukham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(2017).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Hasil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Penyelarasan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Naskah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Akadenik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RUU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tentang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Pengesahan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Minamata Convention on Mercury (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Konvensi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Minamata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Mengenai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>)</w:t>
          </w:r>
          <w:r w:rsidRPr="00D528A7">
            <w:rPr>
              <w:rFonts w:ascii="Times New Roman" w:eastAsia="Times New Roman" w:hAnsi="Times New Roman" w:cs="Times New Roman"/>
            </w:rPr>
            <w:t>. 118. https://www.bphn.go.id/data/documents/na_ruu_ri-minamata.pdf</w:t>
          </w:r>
        </w:p>
        <w:p w14:paraId="7026370C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Peraturan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Menteri Kesehatan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Republik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Indonesia No. 57, (2016).</w:t>
          </w:r>
        </w:p>
        <w:p w14:paraId="051AC731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Krasner, S. D. (1983).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Structural Causes and Regime Consequences: Regimes as Intervening Variables</w:t>
          </w:r>
          <w:r w:rsidRPr="00D528A7">
            <w:rPr>
              <w:rFonts w:ascii="Times New Roman" w:eastAsia="Times New Roman" w:hAnsi="Times New Roman" w:cs="Times New Roman"/>
            </w:rPr>
            <w:t xml:space="preserve"> (Vol. 36, Issue 2). The MIT Press.</w:t>
          </w:r>
        </w:p>
        <w:p w14:paraId="6F5851C7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Kusumaatmadja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M.,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Agoes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E. (2003).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Pengantar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Hukum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2A463B3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Levy, M. A., Young, O. R.,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Zürn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M. (1995). The Study of International Regimes.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European Journal of International Relations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1</w:t>
          </w:r>
          <w:r w:rsidRPr="00D528A7">
            <w:rPr>
              <w:rFonts w:ascii="Times New Roman" w:eastAsia="Times New Roman" w:hAnsi="Times New Roman" w:cs="Times New Roman"/>
            </w:rPr>
            <w:t>(3), 267–330. https://doi.org/10.1177/1354066195001003001</w:t>
          </w:r>
        </w:p>
        <w:p w14:paraId="635AE454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Melissen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J. (2005). The New Public Diplomacy: Soft Power in International Relations. In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Revista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Brasileira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de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Politica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Internacional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PALGRAVE MACMILLAN. https://doi.org/10.1590/s0034-73292008000100003</w:t>
          </w:r>
        </w:p>
        <w:p w14:paraId="30F65690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  <w:i/>
              <w:iCs/>
            </w:rPr>
            <w:t>Minamata Disease Its History and Lessons Chapter 2 The Outbreak and Origins of Minamata Disease</w:t>
          </w:r>
          <w:r w:rsidRPr="00D528A7">
            <w:rPr>
              <w:rFonts w:ascii="Times New Roman" w:eastAsia="Times New Roman" w:hAnsi="Times New Roman" w:cs="Times New Roman"/>
            </w:rPr>
            <w:t>. (2007).</w:t>
          </w:r>
        </w:p>
        <w:p w14:paraId="7563A94D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Nakazawa, K.,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Nagafuchi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O., Kawakami, T., Inoue, T.,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Elvince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R.,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Kanefuji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K., Nur, I.,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Napitupulu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M.,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Basir-Cyio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M., Kinoshita, H.,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Shinozuka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K. (2021). Human health risk assessment of atmospheric mercury inhalation around three artisanal small-scale gold mining areas in Indonesia.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Environmental Science: Atmospheres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1</w:t>
          </w:r>
          <w:r w:rsidRPr="00D528A7">
            <w:rPr>
              <w:rFonts w:ascii="Times New Roman" w:eastAsia="Times New Roman" w:hAnsi="Times New Roman" w:cs="Times New Roman"/>
            </w:rPr>
            <w:t>(6), 423–433. https://doi.org/10.1039/d0ea00019a</w:t>
          </w:r>
        </w:p>
        <w:p w14:paraId="0B62EAC2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PPID |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Kementrian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Lingkungan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Hidup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Kehutanan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(2021).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COP-4 Minamata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Tentang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,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dari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Indonesia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untuk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Dunia</w:t>
          </w:r>
          <w:r w:rsidRPr="00D528A7">
            <w:rPr>
              <w:rFonts w:ascii="Times New Roman" w:eastAsia="Times New Roman" w:hAnsi="Times New Roman" w:cs="Times New Roman"/>
            </w:rPr>
            <w:t>. http://ppid.menlhk.go.id/berita/siaran-pers/6263/cop-4-minamata-tentang-merkuri-dari-indonesia-untuk-dunia</w:t>
          </w:r>
        </w:p>
        <w:p w14:paraId="6CD4CAA6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Pramono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S.,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Purwono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D. A. (2010).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Konstruktivisme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Dalam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Studi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Hubungan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: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Gagasan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Posisi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Teoritik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https://publikasiilmiah.unwahas.ac.id/index.php/SPEKTRUM/article/download/485/607</w:t>
          </w:r>
        </w:p>
        <w:p w14:paraId="3A6F28A8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Puluhulawa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F., &amp; Harun, A. A. (2019).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Policy formalization of Artisanal and Small-Scale Gold Mining (ASGM) post-ratification of Minamata Convention for Sustainability (case study of ASGM Gorontalo)</w:t>
          </w:r>
          <w:r w:rsidRPr="00D528A7">
            <w:rPr>
              <w:rFonts w:ascii="Times New Roman" w:eastAsia="Times New Roman" w:hAnsi="Times New Roman" w:cs="Times New Roman"/>
            </w:rPr>
            <w:t>. https://doi.org/10.1051/e3sconf/201</w:t>
          </w:r>
        </w:p>
        <w:p w14:paraId="557793A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Putranto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T. T. (2011a).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Pencemaran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Logam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Berat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gramStart"/>
          <w:r w:rsidRPr="00D528A7">
            <w:rPr>
              <w:rFonts w:ascii="Times New Roman" w:eastAsia="Times New Roman" w:hAnsi="Times New Roman" w:cs="Times New Roman"/>
              <w:i/>
              <w:iCs/>
            </w:rPr>
            <w:t>( Hg</w:t>
          </w:r>
          <w:proofErr w:type="gram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) pada Air Tanah</w:t>
          </w:r>
          <w:r w:rsidRPr="00D528A7">
            <w:rPr>
              <w:rFonts w:ascii="Times New Roman" w:eastAsia="Times New Roman" w:hAnsi="Times New Roman" w:cs="Times New Roman"/>
            </w:rPr>
            <w:t xml:space="preserve">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32</w:t>
          </w:r>
          <w:r w:rsidRPr="00D528A7">
            <w:rPr>
              <w:rFonts w:ascii="Times New Roman" w:eastAsia="Times New Roman" w:hAnsi="Times New Roman" w:cs="Times New Roman"/>
            </w:rPr>
            <w:t>(January 2011), 62–70.</w:t>
          </w:r>
        </w:p>
        <w:p w14:paraId="6768CA68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lastRenderedPageBreak/>
            <w:t>Putranto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T. T. (2011b).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PENCEMARAN LOGAM BERAT MERKURI (Hg) PADA AIRTANAH</w:t>
          </w:r>
          <w:r w:rsidRPr="00D528A7">
            <w:rPr>
              <w:rFonts w:ascii="Times New Roman" w:eastAsia="Times New Roman" w:hAnsi="Times New Roman" w:cs="Times New Roman"/>
            </w:rPr>
            <w:t xml:space="preserve">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32</w:t>
          </w:r>
          <w:r w:rsidRPr="00D528A7">
            <w:rPr>
              <w:rFonts w:ascii="Times New Roman" w:eastAsia="Times New Roman" w:hAnsi="Times New Roman" w:cs="Times New Roman"/>
            </w:rPr>
            <w:t>. https://www.researchgate.net/publication/277074245</w:t>
          </w:r>
        </w:p>
        <w:p w14:paraId="3A29D5F7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Raco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J. (2018).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Metode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penelitian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kualitatif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: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jenis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,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karakteristik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keunggulannya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https://doi.org/10.31219/osf.io/mfzuj</w:t>
          </w:r>
        </w:p>
        <w:p w14:paraId="72024AEE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Rhee, S.-W. (2015). Control of mercury emissions: policies, technologies, and future trends.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Energy and Emission Control Technologies</w:t>
          </w:r>
          <w:r w:rsidRPr="00D528A7">
            <w:rPr>
              <w:rFonts w:ascii="Times New Roman" w:eastAsia="Times New Roman" w:hAnsi="Times New Roman" w:cs="Times New Roman"/>
            </w:rPr>
            <w:t>, 1. https://doi.org/10.2147/eect.s73403</w:t>
          </w:r>
        </w:p>
        <w:p w14:paraId="5D01835F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Riyanto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(2014).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Limbah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Bahan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Berbahaya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Beracun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(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Limbah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B3)</w:t>
          </w:r>
          <w:r w:rsidRPr="00D528A7">
            <w:rPr>
              <w:rFonts w:ascii="Times New Roman" w:eastAsia="Times New Roman" w:hAnsi="Times New Roman" w:cs="Times New Roman"/>
            </w:rPr>
            <w:t xml:space="preserve">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Deepublish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1E19B78B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Rom, W. N. (2012).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Environmental Policy and Public Health: Air Pollution, Global Climate Change, and Wilderness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5BA315C7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Rome. (n.d.).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FAO Fisheries and Aquaculture Report No. 978 FIPM/R978(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En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>) Report of the JOINT FAO/WHO EXPERT CONSULTATION ON THE RISKS AND BENEFITS OF FISH CONSUMPTION</w:t>
          </w:r>
          <w:r w:rsidRPr="00D528A7">
            <w:rPr>
              <w:rFonts w:ascii="Times New Roman" w:eastAsia="Times New Roman" w:hAnsi="Times New Roman" w:cs="Times New Roman"/>
            </w:rPr>
            <w:t>. Retrieved March 4, 2022, from www.fao.org/icatalog/inter-e.htm</w:t>
          </w:r>
        </w:p>
        <w:p w14:paraId="1A875BAC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Rothenberg, S. E., Windham-Myers, L., &amp; Creswell, J. E. (2014). Rice methylmercury exposure and mitigation: A comprehensive review.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Environmental Research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133</w:t>
          </w:r>
          <w:r w:rsidRPr="00D528A7">
            <w:rPr>
              <w:rFonts w:ascii="Times New Roman" w:eastAsia="Times New Roman" w:hAnsi="Times New Roman" w:cs="Times New Roman"/>
            </w:rPr>
            <w:t>, 407–423. https://doi.org/10.1016/J.ENVRES.2014.03.001</w:t>
          </w:r>
        </w:p>
        <w:p w14:paraId="55D489EF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Sinaga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O.,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Yani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Y. M.,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Siahaan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V. R. (2018).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Diplomasi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Lingkungan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Indonesia: Antara Asa dan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Realita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In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UKI Press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55BC755B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Sixty-Seventh World Health Assembly. (2014).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Public health impacts of exposure to mercury and mercury compounds: the role of WHO and ministries of public health in the implementation of the Minamata Convention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39EF149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Solihin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A. (2019).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Pengaruh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Ratifikasi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Konvensi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Minamata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Terhadap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Darurat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Di Indonesia.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Jom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Fisip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6</w:t>
          </w:r>
          <w:r w:rsidRPr="00D528A7">
            <w:rPr>
              <w:rFonts w:ascii="Times New Roman" w:eastAsia="Times New Roman" w:hAnsi="Times New Roman" w:cs="Times New Roman"/>
            </w:rPr>
            <w:t>, 1–8.</w:t>
          </w:r>
        </w:p>
        <w:p w14:paraId="23F62B0B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Suwardi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S. S.,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Kurnia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I. (2019).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Hukum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Perjanjisan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Internasional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(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Tarmizi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Ed.).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Sinar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Grafika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https://doi.org/10.1002/zaac.201300446</w:t>
          </w:r>
        </w:p>
        <w:p w14:paraId="35DE0955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UNEP. (2017).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First meeting of the Conference of the Parties to the Minamata Convention on Mercury (COP-1) | Minamata Convention on Mercury</w:t>
          </w:r>
          <w:r w:rsidRPr="00D528A7">
            <w:rPr>
              <w:rFonts w:ascii="Times New Roman" w:eastAsia="Times New Roman" w:hAnsi="Times New Roman" w:cs="Times New Roman"/>
            </w:rPr>
            <w:t>. https://www.mercuryconvention.org/en/meetings/cop1</w:t>
          </w:r>
        </w:p>
        <w:p w14:paraId="2218CE88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UNEP. (2019).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MINAMATA CONVENTION ON MERCURY TEXT AND ANNEXES</w:t>
          </w:r>
          <w:r w:rsidRPr="00D528A7">
            <w:rPr>
              <w:rFonts w:ascii="Times New Roman" w:eastAsia="Times New Roman" w:hAnsi="Times New Roman" w:cs="Times New Roman"/>
            </w:rPr>
            <w:t>. www.mercuryconvention.org</w:t>
          </w:r>
        </w:p>
        <w:p w14:paraId="2CB80A47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United Nations Development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Programme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(1994). Human Development Report: New Dimension of Human Security. In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United Nations Development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Programme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2B6F1B96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Waltz, K. N. (2001).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Man, the State, and War: A Theoretical Analysis</w:t>
          </w:r>
          <w:r w:rsidRPr="00D528A7">
            <w:rPr>
              <w:rFonts w:ascii="Times New Roman" w:eastAsia="Times New Roman" w:hAnsi="Times New Roman" w:cs="Times New Roman"/>
            </w:rPr>
            <w:t>. Columbia University Press.</w:t>
          </w:r>
        </w:p>
        <w:p w14:paraId="60822281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Wendt, A. (2006).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Constructivism and International Relations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7B72A6F8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gramStart"/>
          <w:r w:rsidRPr="00D528A7">
            <w:rPr>
              <w:rFonts w:ascii="Times New Roman" w:eastAsia="Times New Roman" w:hAnsi="Times New Roman" w:cs="Times New Roman"/>
            </w:rPr>
            <w:lastRenderedPageBreak/>
            <w:t>WHO.</w:t>
          </w:r>
          <w:proofErr w:type="gramEnd"/>
          <w:r w:rsidRPr="00D528A7">
            <w:rPr>
              <w:rFonts w:ascii="Times New Roman" w:eastAsia="Times New Roman" w:hAnsi="Times New Roman" w:cs="Times New Roman"/>
            </w:rPr>
            <w:t xml:space="preserve"> (2019).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Strategic planning for implementation of the health-related articles of the Minamata Convention on Mercury: results from country workshops</w:t>
          </w:r>
          <w:r w:rsidRPr="00D528A7">
            <w:rPr>
              <w:rFonts w:ascii="Times New Roman" w:eastAsia="Times New Roman" w:hAnsi="Times New Roman" w:cs="Times New Roman"/>
            </w:rPr>
            <w:t>. https://www.who.int/publications/i/item/WHO-CED-PHE-EPE-19.10</w:t>
          </w:r>
        </w:p>
        <w:p w14:paraId="787C7ED0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World Health Organization. (2021).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Mercury and Human Health Educational Course</w:t>
          </w:r>
          <w:r w:rsidRPr="00D528A7">
            <w:rPr>
              <w:rFonts w:ascii="Times New Roman" w:eastAsia="Times New Roman" w:hAnsi="Times New Roman" w:cs="Times New Roman"/>
            </w:rPr>
            <w:t>.</w:t>
          </w:r>
        </w:p>
        <w:p w14:paraId="5B19E22E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World Health Organization Regional Office for Europe. (2017).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Implementation of the Minamata Convention in the health sector: challenges and opportunities Information note</w:t>
          </w:r>
          <w:r w:rsidRPr="00D528A7">
            <w:rPr>
              <w:rFonts w:ascii="Times New Roman" w:eastAsia="Times New Roman" w:hAnsi="Times New Roman" w:cs="Times New Roman"/>
            </w:rPr>
            <w:t>. https://www.euro.who.int/__data/assets/pdf_file/0006/340269/Minamata_WHO_web2.pdf</w:t>
          </w:r>
        </w:p>
        <w:p w14:paraId="0B06D8DA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r w:rsidRPr="00D528A7">
            <w:rPr>
              <w:rFonts w:ascii="Times New Roman" w:eastAsia="Times New Roman" w:hAnsi="Times New Roman" w:cs="Times New Roman"/>
            </w:rPr>
            <w:t xml:space="preserve">Yoshimura, A.,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Suemasu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K., &amp;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Veiga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, M. M. (2021). Estimation of Mercury Losses and Gold Production by Artisanal and Small-Scale Gold Mining (ASGM).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Journal of Sustainable Metallurgy</w:t>
          </w:r>
          <w:r w:rsidRPr="00D528A7">
            <w:rPr>
              <w:rFonts w:ascii="Times New Roman" w:eastAsia="Times New Roman" w:hAnsi="Times New Roman" w:cs="Times New Roman"/>
            </w:rPr>
            <w:t xml:space="preserve">, </w:t>
          </w:r>
          <w:r w:rsidRPr="00D528A7">
            <w:rPr>
              <w:rFonts w:ascii="Times New Roman" w:eastAsia="Times New Roman" w:hAnsi="Times New Roman" w:cs="Times New Roman"/>
              <w:i/>
              <w:iCs/>
            </w:rPr>
            <w:t>7</w:t>
          </w:r>
          <w:r w:rsidRPr="00D528A7">
            <w:rPr>
              <w:rFonts w:ascii="Times New Roman" w:eastAsia="Times New Roman" w:hAnsi="Times New Roman" w:cs="Times New Roman"/>
            </w:rPr>
            <w:t>(3), 1045–1059. https://doi.org/10.1007/s40831-021-00394-8</w:t>
          </w:r>
        </w:p>
        <w:p w14:paraId="20B9EA61" w14:textId="77777777" w:rsidR="00356306" w:rsidRPr="00D528A7" w:rsidRDefault="00356306" w:rsidP="00356306">
          <w:pPr>
            <w:autoSpaceDE w:val="0"/>
            <w:autoSpaceDN w:val="0"/>
            <w:spacing w:line="360" w:lineRule="auto"/>
            <w:ind w:hanging="480"/>
            <w:rPr>
              <w:rFonts w:ascii="Times New Roman" w:eastAsia="Times New Roman" w:hAnsi="Times New Roman" w:cs="Times New Roman"/>
            </w:rPr>
          </w:pPr>
          <w:proofErr w:type="spellStart"/>
          <w:r w:rsidRPr="00D528A7">
            <w:rPr>
              <w:rFonts w:ascii="Times New Roman" w:eastAsia="Times New Roman" w:hAnsi="Times New Roman" w:cs="Times New Roman"/>
            </w:rPr>
            <w:t>Zul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</w:rPr>
            <w:t>Alfian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 xml:space="preserve">. (2008).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Merkuri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: Antara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Manfaat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Efek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Penggunaannya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Bagi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Kesehatan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Manusia</w:t>
          </w:r>
          <w:proofErr w:type="spellEnd"/>
          <w:r w:rsidRPr="00D528A7">
            <w:rPr>
              <w:rFonts w:ascii="Times New Roman" w:eastAsia="Times New Roman" w:hAnsi="Times New Roman" w:cs="Times New Roman"/>
              <w:i/>
              <w:iCs/>
            </w:rPr>
            <w:t xml:space="preserve"> Dan </w:t>
          </w:r>
          <w:proofErr w:type="spellStart"/>
          <w:r w:rsidRPr="00D528A7">
            <w:rPr>
              <w:rFonts w:ascii="Times New Roman" w:eastAsia="Times New Roman" w:hAnsi="Times New Roman" w:cs="Times New Roman"/>
              <w:i/>
              <w:iCs/>
            </w:rPr>
            <w:t>Lingkungannya</w:t>
          </w:r>
          <w:proofErr w:type="spellEnd"/>
          <w:r w:rsidRPr="00D528A7">
            <w:rPr>
              <w:rFonts w:ascii="Times New Roman" w:eastAsia="Times New Roman" w:hAnsi="Times New Roman" w:cs="Times New Roman"/>
            </w:rPr>
            <w:t>. USU E-Repository. https://123dok.com/document/eqod840z-merkuri-manfaat-efek-penggunaannya-kesehatan-manusia-lingkungannya.html</w:t>
          </w:r>
        </w:p>
        <w:p w14:paraId="17615425" w14:textId="77777777" w:rsidR="00356306" w:rsidRPr="00D528A7" w:rsidRDefault="00356306" w:rsidP="00356306">
          <w:pPr>
            <w:spacing w:line="360" w:lineRule="auto"/>
            <w:rPr>
              <w:rFonts w:ascii="Times New Roman" w:hAnsi="Times New Roman" w:cs="Times New Roman"/>
              <w:lang w:bidi="en-US"/>
            </w:rPr>
          </w:pPr>
          <w:r w:rsidRPr="00D528A7">
            <w:rPr>
              <w:rFonts w:ascii="Times New Roman" w:eastAsia="Times New Roman" w:hAnsi="Times New Roman" w:cs="Times New Roman"/>
            </w:rPr>
            <w:t> </w:t>
          </w:r>
        </w:p>
      </w:sdtContent>
    </w:sdt>
    <w:p w14:paraId="0BE5DF2B" w14:textId="77777777" w:rsidR="00356306" w:rsidRPr="009C1F24" w:rsidRDefault="00356306" w:rsidP="00356306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 w:bidi="en-US"/>
        </w:rPr>
      </w:pPr>
    </w:p>
    <w:p w14:paraId="0CAF324A" w14:textId="77777777" w:rsidR="00356306" w:rsidRPr="009C1F24" w:rsidRDefault="00356306" w:rsidP="00356306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 w:bidi="en-US"/>
        </w:rPr>
      </w:pPr>
    </w:p>
    <w:p w14:paraId="3829072B" w14:textId="77777777" w:rsidR="00356306" w:rsidRPr="009C1F24" w:rsidRDefault="00356306" w:rsidP="00356306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 w:bidi="en-US"/>
        </w:rPr>
      </w:pPr>
    </w:p>
    <w:p w14:paraId="2CA70151" w14:textId="77777777" w:rsidR="00D17C1F" w:rsidRDefault="00D17C1F"/>
    <w:sectPr w:rsidR="00D1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BEA3" w14:textId="77777777" w:rsidR="00326BEB" w:rsidRDefault="00356306">
    <w:pPr>
      <w:pStyle w:val="Header"/>
      <w:jc w:val="right"/>
    </w:pPr>
  </w:p>
  <w:p w14:paraId="661227AA" w14:textId="77777777" w:rsidR="00326BEB" w:rsidRDefault="00356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318A"/>
    <w:multiLevelType w:val="multilevel"/>
    <w:tmpl w:val="DD045DF4"/>
    <w:lvl w:ilvl="0">
      <w:start w:val="1"/>
      <w:numFmt w:val="decimal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70" w:hanging="360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70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06"/>
    <w:rsid w:val="00356306"/>
    <w:rsid w:val="00424B2F"/>
    <w:rsid w:val="005D5395"/>
    <w:rsid w:val="00AC2AA8"/>
    <w:rsid w:val="00D17C1F"/>
    <w:rsid w:val="00E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2763"/>
  <w15:chartTrackingRefBased/>
  <w15:docId w15:val="{8AE31826-6895-4AF5-9D57-42A4A28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06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306"/>
    <w:pPr>
      <w:keepNext/>
      <w:keepLines/>
      <w:numPr>
        <w:numId w:val="1"/>
      </w:numPr>
      <w:spacing w:before="48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306"/>
    <w:pPr>
      <w:keepNext/>
      <w:keepLines/>
      <w:numPr>
        <w:ilvl w:val="1"/>
        <w:numId w:val="1"/>
      </w:numPr>
      <w:spacing w:before="40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306"/>
    <w:pPr>
      <w:keepNext/>
      <w:keepLines/>
      <w:numPr>
        <w:ilvl w:val="2"/>
        <w:numId w:val="1"/>
      </w:numPr>
      <w:spacing w:before="160" w:after="120"/>
      <w:ind w:left="1080"/>
      <w:outlineLvl w:val="2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06"/>
    <w:rPr>
      <w:rFonts w:ascii="Times New Roman" w:eastAsiaTheme="majorEastAsia" w:hAnsi="Times New Roman" w:cstheme="majorBidi"/>
      <w:b/>
      <w:bCs/>
      <w:sz w:val="24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56306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6306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6306"/>
    <w:pPr>
      <w:spacing w:after="200" w:line="276" w:lineRule="auto"/>
      <w:ind w:left="720"/>
      <w:contextualSpacing/>
    </w:pPr>
    <w:rPr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56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0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EEDCE67634A0EA72B6E141B47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EB99-8EE2-4599-B431-F9CC095D0DBE}"/>
      </w:docPartPr>
      <w:docPartBody>
        <w:p w:rsidR="00000000" w:rsidRDefault="00A90F5A" w:rsidP="00A90F5A">
          <w:pPr>
            <w:pStyle w:val="018EEDCE67634A0EA72B6E141B4744E1"/>
          </w:pPr>
          <w:r w:rsidRPr="00F572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A90F5A"/>
    <w:rsid w:val="00C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F5A"/>
    <w:rPr>
      <w:color w:val="808080"/>
    </w:rPr>
  </w:style>
  <w:style w:type="paragraph" w:customStyle="1" w:styleId="018EEDCE67634A0EA72B6E141B4744E1">
    <w:name w:val="018EEDCE67634A0EA72B6E141B4744E1"/>
    <w:rsid w:val="00A90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mayang alina</dc:creator>
  <cp:keywords/>
  <dc:description/>
  <cp:lastModifiedBy>mayang alina</cp:lastModifiedBy>
  <cp:revision>1</cp:revision>
  <dcterms:created xsi:type="dcterms:W3CDTF">2022-05-11T05:59:00Z</dcterms:created>
  <dcterms:modified xsi:type="dcterms:W3CDTF">2022-05-11T05:59:00Z</dcterms:modified>
</cp:coreProperties>
</file>