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sz w:val="28"/>
          <w:lang w:val="id-ID"/>
        </w:rPr>
      </w:pPr>
      <w:bookmarkStart w:id="0" w:name="_Toc70533341"/>
      <w:bookmarkStart w:id="10" w:name="_GoBack"/>
      <w:bookmarkEnd w:id="10"/>
      <w:r>
        <w:rPr>
          <w:sz w:val="28"/>
          <w:lang w:val="id-ID"/>
        </w:rPr>
        <w:t>BAB I</w:t>
      </w:r>
      <w:bookmarkEnd w:id="0"/>
      <w:bookmarkStart w:id="1" w:name="_Toc70533342"/>
      <w:bookmarkStart w:id="2" w:name="_Toc66727762"/>
      <w:r>
        <w:rPr>
          <w:sz w:val="28"/>
          <w:lang w:val="id-ID"/>
        </w:rPr>
        <w:t xml:space="preserve"> </w:t>
      </w:r>
    </w:p>
    <w:p>
      <w:pPr>
        <w:pStyle w:val="2"/>
        <w:rPr>
          <w:sz w:val="28"/>
          <w:lang w:val="id-ID"/>
        </w:rPr>
      </w:pPr>
      <w:r>
        <w:rPr>
          <w:sz w:val="28"/>
          <w:lang w:val="id-ID"/>
        </w:rPr>
        <w:t>PENDAHULUAN</w:t>
      </w:r>
      <w:bookmarkEnd w:id="1"/>
      <w:bookmarkEnd w:id="2"/>
    </w:p>
    <w:p>
      <w:pPr>
        <w:rPr>
          <w:rFonts w:ascii="Times New Roman" w:hAnsi="Times New Roman" w:eastAsia="Times New Roman" w:cs="Times New Roman"/>
          <w:sz w:val="24"/>
          <w:szCs w:val="24"/>
          <w:lang w:val="id-ID" w:eastAsia="en-GB"/>
        </w:rPr>
      </w:pPr>
    </w:p>
    <w:p>
      <w:pPr>
        <w:pStyle w:val="4"/>
      </w:pPr>
      <w:bookmarkStart w:id="3" w:name="_Toc70533343"/>
      <w:r>
        <w:t>Latar Belakang</w:t>
      </w:r>
      <w:bookmarkEnd w:id="3"/>
      <w:r>
        <w:t xml:space="preserve"> </w:t>
      </w:r>
    </w:p>
    <w:p>
      <w:pPr>
        <w:spacing w:line="480" w:lineRule="auto"/>
        <w:ind w:firstLine="720"/>
        <w:jc w:val="both"/>
        <w:rPr>
          <w:rFonts w:ascii="Times New Roman" w:hAnsi="Times New Roman" w:eastAsia="Times New Roman" w:cs="Times New Roman"/>
          <w:sz w:val="24"/>
          <w:szCs w:val="24"/>
          <w:lang w:val="id-ID" w:eastAsia="en-GB"/>
        </w:rPr>
      </w:pPr>
      <w:r>
        <w:rPr>
          <w:rFonts w:ascii="Times New Roman" w:hAnsi="Times New Roman" w:eastAsia="Times New Roman" w:cs="Times New Roman"/>
          <w:color w:val="FFFFFF" w:themeColor="background1"/>
          <w:sz w:val="24"/>
          <w:szCs w:val="24"/>
          <w:lang w:val="id-ID" w:eastAsia="en-GB"/>
          <w14:textFill>
            <w14:solidFill>
              <w14:schemeClr w14:val="bg1"/>
            </w14:solidFill>
          </w14:textFill>
        </w:rPr>
        <w:t>A</w:t>
      </w:r>
      <w:r>
        <w:rPr>
          <w:rFonts w:ascii="Times New Roman" w:hAnsi="Times New Roman" w:eastAsia="Times New Roman" w:cs="Times New Roman"/>
          <w:sz w:val="24"/>
          <w:szCs w:val="24"/>
          <w:lang w:val="id-ID" w:eastAsia="en-GB"/>
        </w:rPr>
        <w:t xml:space="preserve">Konflik yang terjadi di negara Suriah disebabkan karena masyarakat Suriah menginginkan perubahan, yang disebabkan karena Presiden Bashar Al-Assad tidak mampu meringankan segala bentuk permasalahan yang terjadi di negara tersebut. Pada  Maret 2011 terjadi perlawanan oleh rakyat yang ingin menumbangkan rezim dengan membuat grafiti bertuliskan As-Shaab Yoreed Eskaat el Nizam, dari kejadian tersebut beberapa orang ditangkap kemudian dipenjara dan disiksa. Karena hal itu akhirnya masyarakat mulai emosi kembali maka dari itu terjadilah demonstrasi yang lebih keras terhadap pemerintah dan pemerintah merespon hal tersebut dengan kekerasan. Dari kejadian itu akhirnya diberitakan media internsional dengan stigma kebrutalan pemerintah terhadap para demonstran. Dengan kejadian ini presiden Bashar Al-Assad turun dari jabatannya di dukung oleh AS, Prancis, Inggris, Uni Eropa dan Kanada. Namun tidak lama pada tahun 2014 pemerintah Assad masih didukung oleh tentara Suriah SAA (Syria Arab Army) mereka adalah kekutan pemerintah Assad dalam menghadapi hal ini </w:t>
      </w:r>
      <w:r>
        <w:rPr>
          <w:rFonts w:ascii="Times New Roman" w:hAnsi="Times New Roman" w:eastAsia="Times New Roman" w:cs="Times New Roman"/>
          <w:sz w:val="24"/>
          <w:szCs w:val="24"/>
          <w:lang w:val="id-ID" w:eastAsia="en-GB"/>
        </w:rPr>
        <w:fldChar w:fldCharType="begin" w:fldLock="1"/>
      </w:r>
      <w:r>
        <w:rPr>
          <w:rFonts w:ascii="Times New Roman" w:hAnsi="Times New Roman" w:eastAsia="Times New Roman" w:cs="Times New Roman"/>
          <w:sz w:val="24"/>
          <w:szCs w:val="24"/>
          <w:lang w:val="id-ID" w:eastAsia="en-GB"/>
        </w:rPr>
        <w:instrText xml:space="preserve">ADDIN CSL_CITATION {"citationItems":[{"id":"ITEM-1","itemData":{"DOI":"10.23969/transborders.v1i2.794","ISSN":"2598-9200","author":[{"dropping-particle":"","family":"Herlambang","given":"Agus","non-dropping-particle":"","parse-names":false,"suffix":""}],"container-title":"TRANSBORDERS: International Relations Journal","id":"ITEM-1","issue":"2","issued":{"date-parts":[["2018"]]},"page":"82-93","title":"Agus Herlambang Mengurai Benang Kusut Konflik di Suriah","type":"article-journal","volume":"1"},"uris":["http://www.mendeley.com/documents/?uuid=379547a7-f6ac-4a5f-83d3-928659133416"]}],"mendeley":{"formattedCitation":"(Herlambang, 2018)","plainTextFormattedCitation":"(Herlambang, 2018)","previouslyFormattedCitation":"(Herlambang, 2018)"},"properties":{"noteIndex":0},"schema":"https://github.com/citation-style-language/schema/raw/master/csl-citation.json"}</w:instrText>
      </w:r>
      <w:r>
        <w:rPr>
          <w:rFonts w:ascii="Times New Roman" w:hAnsi="Times New Roman" w:eastAsia="Times New Roman" w:cs="Times New Roman"/>
          <w:sz w:val="24"/>
          <w:szCs w:val="24"/>
          <w:lang w:val="id-ID" w:eastAsia="en-GB"/>
        </w:rPr>
        <w:fldChar w:fldCharType="separate"/>
      </w:r>
      <w:r>
        <w:rPr>
          <w:rFonts w:ascii="Times New Roman" w:hAnsi="Times New Roman" w:eastAsia="Times New Roman" w:cs="Times New Roman"/>
          <w:sz w:val="24"/>
          <w:szCs w:val="24"/>
          <w:lang w:val="id-ID" w:eastAsia="en-GB"/>
        </w:rPr>
        <w:t>(Herlambang, 2018)</w:t>
      </w:r>
      <w:r>
        <w:rPr>
          <w:rFonts w:ascii="Times New Roman" w:hAnsi="Times New Roman" w:eastAsia="Times New Roman" w:cs="Times New Roman"/>
          <w:sz w:val="24"/>
          <w:szCs w:val="24"/>
          <w:lang w:val="id-ID" w:eastAsia="en-GB"/>
        </w:rPr>
        <w:fldChar w:fldCharType="end"/>
      </w:r>
      <w:r>
        <w:rPr>
          <w:rFonts w:ascii="Times New Roman" w:hAnsi="Times New Roman" w:eastAsia="Times New Roman" w:cs="Times New Roman"/>
          <w:sz w:val="24"/>
          <w:szCs w:val="24"/>
          <w:lang w:val="id-ID" w:eastAsia="en-GB"/>
        </w:rPr>
        <w:t xml:space="preserve">. Akibat konflik tersebut terjadi berlangsung lama menyebabkan para masyarakat mencari tempat perlindungan di negara-negara tetangga Suriah salah satunya Republik Lebanon, berharap akan merasa aman, nyaman dan melakukan aktifitas sebaik mungkin tetapi yang di dapat malah perlakuan yang melanggar Hak Asasi Manusia. </w:t>
      </w:r>
    </w:p>
    <w:p>
      <w:pPr>
        <w:spacing w:line="480" w:lineRule="auto"/>
        <w:ind w:firstLine="720"/>
        <w:jc w:val="both"/>
        <w:rPr>
          <w:rFonts w:ascii="Times New Roman" w:hAnsi="Times New Roman" w:eastAsia="Times New Roman" w:cs="Times New Roman"/>
          <w:sz w:val="24"/>
          <w:szCs w:val="24"/>
          <w:lang w:val="id-ID" w:eastAsia="en-GB"/>
        </w:rPr>
      </w:pPr>
      <w:r>
        <w:rPr>
          <w:rFonts w:ascii="Times New Roman" w:hAnsi="Times New Roman" w:eastAsia="Times New Roman" w:cs="Times New Roman"/>
          <w:sz w:val="24"/>
          <w:szCs w:val="24"/>
          <w:lang w:val="id-ID" w:eastAsia="en-GB"/>
        </w:rPr>
        <w:t>Kekerasan terhadap kaum perempuan masih marak terjadi</w:t>
      </w:r>
      <w:r>
        <w:rPr>
          <w:rFonts w:ascii="Times New Roman" w:hAnsi="Times New Roman" w:eastAsia="Times New Roman" w:cs="Times New Roman"/>
          <w:color w:val="FFFFFF" w:themeColor="background1"/>
          <w:sz w:val="24"/>
          <w:szCs w:val="24"/>
          <w:lang w:val="id-ID" w:eastAsia="en-GB"/>
          <w14:textFill>
            <w14:solidFill>
              <w14:schemeClr w14:val="bg1"/>
            </w14:solidFill>
          </w14:textFill>
        </w:rPr>
        <w:t>-</w:t>
      </w:r>
      <w:r>
        <w:rPr>
          <w:rFonts w:ascii="Times New Roman" w:hAnsi="Times New Roman" w:eastAsia="Times New Roman" w:cs="Times New Roman"/>
          <w:sz w:val="24"/>
          <w:szCs w:val="24"/>
          <w:lang w:val="id-ID" w:eastAsia="en-GB"/>
        </w:rPr>
        <w:t>di</w:t>
      </w:r>
      <w:r>
        <w:rPr>
          <w:rFonts w:ascii="Times New Roman" w:hAnsi="Times New Roman" w:eastAsia="Times New Roman" w:cs="Times New Roman"/>
          <w:color w:val="FFFFFF" w:themeColor="background1"/>
          <w:sz w:val="24"/>
          <w:szCs w:val="24"/>
          <w:lang w:val="id-ID" w:eastAsia="en-GB"/>
          <w14:textFill>
            <w14:solidFill>
              <w14:schemeClr w14:val="bg1"/>
            </w14:solidFill>
          </w14:textFill>
        </w:rPr>
        <w:t>-</w:t>
      </w:r>
      <w:r>
        <w:rPr>
          <w:rFonts w:ascii="Times New Roman" w:hAnsi="Times New Roman" w:eastAsia="Times New Roman" w:cs="Times New Roman"/>
          <w:sz w:val="24"/>
          <w:szCs w:val="24"/>
          <w:lang w:val="id-ID" w:eastAsia="en-GB"/>
        </w:rPr>
        <w:t>berbagai</w:t>
      </w:r>
      <w:r>
        <w:rPr>
          <w:rFonts w:ascii="Times New Roman" w:hAnsi="Times New Roman" w:eastAsia="Times New Roman" w:cs="Times New Roman"/>
          <w:color w:val="FFFFFF" w:themeColor="background1"/>
          <w:sz w:val="24"/>
          <w:szCs w:val="24"/>
          <w:lang w:val="id-ID" w:eastAsia="en-GB"/>
          <w14:textFill>
            <w14:solidFill>
              <w14:schemeClr w14:val="bg1"/>
            </w14:solidFill>
          </w14:textFill>
        </w:rPr>
        <w:t>-</w:t>
      </w:r>
      <w:r>
        <w:rPr>
          <w:rFonts w:ascii="Times New Roman" w:hAnsi="Times New Roman" w:eastAsia="Times New Roman" w:cs="Times New Roman"/>
          <w:sz w:val="24"/>
          <w:szCs w:val="24"/>
          <w:lang w:val="id-ID" w:eastAsia="en-GB"/>
        </w:rPr>
        <w:t>belahan</w:t>
      </w:r>
      <w:r>
        <w:rPr>
          <w:rFonts w:ascii="Times New Roman" w:hAnsi="Times New Roman" w:eastAsia="Times New Roman" w:cs="Times New Roman"/>
          <w:color w:val="FFFFFF" w:themeColor="background1"/>
          <w:sz w:val="24"/>
          <w:szCs w:val="24"/>
          <w:lang w:val="id-ID" w:eastAsia="en-GB"/>
          <w14:textFill>
            <w14:solidFill>
              <w14:schemeClr w14:val="bg1"/>
            </w14:solidFill>
          </w14:textFill>
        </w:rPr>
        <w:t>-</w:t>
      </w:r>
      <w:r>
        <w:rPr>
          <w:rFonts w:ascii="Times New Roman" w:hAnsi="Times New Roman" w:eastAsia="Times New Roman" w:cs="Times New Roman"/>
          <w:sz w:val="24"/>
          <w:szCs w:val="24"/>
          <w:lang w:val="id-ID" w:eastAsia="en-GB"/>
        </w:rPr>
        <w:t>dunia, khususnya sedang terjadi di Republik Lebanon, dalam kondisi konflik yang terjadi di Lebanon banyak sekali memakan</w:t>
      </w:r>
      <w:r>
        <w:rPr>
          <w:rFonts w:ascii="Times New Roman" w:hAnsi="Times New Roman" w:eastAsia="Times New Roman" w:cs="Times New Roman"/>
          <w:color w:val="FFFFFF" w:themeColor="background1"/>
          <w:sz w:val="24"/>
          <w:szCs w:val="24"/>
          <w:lang w:val="id-ID" w:eastAsia="en-GB"/>
          <w14:textFill>
            <w14:solidFill>
              <w14:schemeClr w14:val="bg1"/>
            </w14:solidFill>
          </w14:textFill>
        </w:rPr>
        <w:t>-</w:t>
      </w:r>
      <w:r>
        <w:rPr>
          <w:rFonts w:ascii="Times New Roman" w:hAnsi="Times New Roman" w:eastAsia="Times New Roman" w:cs="Times New Roman"/>
          <w:sz w:val="24"/>
          <w:szCs w:val="24"/>
          <w:lang w:val="id-ID" w:eastAsia="en-GB"/>
        </w:rPr>
        <w:t>korban perempuan. Hal ini merupakan tindakan kriminalitas karena masih banyak perempuan yang tidak mendapatkan hak-hak nya serta perlindungan di situasi dan kondisi tersebut. Dalam hal penanganan kasus</w:t>
      </w:r>
      <w:r>
        <w:rPr>
          <w:rFonts w:ascii="Times New Roman" w:hAnsi="Times New Roman" w:eastAsia="Times New Roman" w:cs="Times New Roman"/>
          <w:color w:val="FFFFFF" w:themeColor="background1"/>
          <w:sz w:val="24"/>
          <w:szCs w:val="24"/>
          <w:lang w:val="id-ID" w:eastAsia="en-GB"/>
          <w14:textFill>
            <w14:solidFill>
              <w14:schemeClr w14:val="bg1"/>
            </w14:solidFill>
          </w14:textFill>
        </w:rPr>
        <w:t>-</w:t>
      </w:r>
      <w:r>
        <w:rPr>
          <w:rFonts w:ascii="Times New Roman" w:hAnsi="Times New Roman" w:eastAsia="Times New Roman" w:cs="Times New Roman"/>
          <w:sz w:val="24"/>
          <w:szCs w:val="24"/>
          <w:lang w:val="id-ID" w:eastAsia="en-GB"/>
        </w:rPr>
        <w:t xml:space="preserve">konflik Suriah ini yang melibatkan peran masyarakat sipil dan aparat pemerintah membutuhkan peran organisasi internasional, hal ini sangat di respon baik oleh Perserikatan Bangsa-Bangsa (PBB) atau United Nation (UN) yaitu United Nations High Commission for Refugees (UNHCR) selaku badan yang khusus menanggulangi atau menggurus pengungsi.. </w:t>
      </w:r>
    </w:p>
    <w:p>
      <w:pPr>
        <w:spacing w:line="480" w:lineRule="auto"/>
        <w:ind w:firstLine="720"/>
        <w:jc w:val="both"/>
        <w:rPr>
          <w:rFonts w:ascii="Times New Roman" w:hAnsi="Times New Roman" w:eastAsia="Times New Roman" w:cs="Times New Roman"/>
          <w:sz w:val="24"/>
          <w:szCs w:val="24"/>
          <w:lang w:val="id-ID" w:eastAsia="en-GB"/>
        </w:rPr>
      </w:pPr>
      <w:r>
        <w:rPr>
          <w:rFonts w:ascii="Times New Roman" w:hAnsi="Times New Roman" w:eastAsia="Times New Roman" w:cs="Times New Roman"/>
          <w:sz w:val="24"/>
          <w:szCs w:val="24"/>
          <w:lang w:val="id-ID" w:eastAsia="en-GB"/>
        </w:rPr>
        <w:t>Ketika situasi konflik memanas adapun pemikiran untuk membuat damai situasi untuk selamanya. Cara untuk mencegah situasi perang yang semakin memanasi konflik Suriah ini, diusahakan membuat lembaga</w:t>
      </w:r>
      <w:r>
        <w:rPr>
          <w:rFonts w:ascii="Times New Roman" w:hAnsi="Times New Roman" w:eastAsia="Times New Roman" w:cs="Times New Roman"/>
          <w:color w:val="FFFFFF" w:themeColor="background1"/>
          <w:sz w:val="24"/>
          <w:szCs w:val="24"/>
          <w:lang w:val="id-ID" w:eastAsia="en-GB"/>
          <w14:textFill>
            <w14:solidFill>
              <w14:schemeClr w14:val="bg1"/>
            </w14:solidFill>
          </w14:textFill>
        </w:rPr>
        <w:t>_</w:t>
      </w:r>
      <w:r>
        <w:rPr>
          <w:rFonts w:ascii="Times New Roman" w:hAnsi="Times New Roman" w:eastAsia="Times New Roman" w:cs="Times New Roman"/>
          <w:sz w:val="24"/>
          <w:szCs w:val="24"/>
          <w:lang w:val="id-ID" w:eastAsia="en-GB"/>
        </w:rPr>
        <w:t>perdamaian bertujuan untuk mempersatukan seluruh bangsa-bangsa tanpa adanya pemaksaan untuk negara masing-masing yang bergabung. Dalam menjaga ketertiban ini diharuskan untuk</w:t>
      </w:r>
      <w:r>
        <w:rPr>
          <w:rFonts w:ascii="Times New Roman" w:hAnsi="Times New Roman" w:eastAsia="Times New Roman" w:cs="Times New Roman"/>
          <w:color w:val="FFFFFF" w:themeColor="background1"/>
          <w:sz w:val="24"/>
          <w:szCs w:val="24"/>
          <w:lang w:val="id-ID" w:eastAsia="en-GB"/>
          <w14:textFill>
            <w14:solidFill>
              <w14:schemeClr w14:val="bg1"/>
            </w14:solidFill>
          </w14:textFill>
        </w:rPr>
        <w:t>_</w:t>
      </w:r>
      <w:r>
        <w:rPr>
          <w:rFonts w:ascii="Times New Roman" w:hAnsi="Times New Roman" w:eastAsia="Times New Roman" w:cs="Times New Roman"/>
          <w:sz w:val="24"/>
          <w:szCs w:val="24"/>
          <w:lang w:val="id-ID" w:eastAsia="en-GB"/>
        </w:rPr>
        <w:t>bersama-sama</w:t>
      </w:r>
      <w:r>
        <w:rPr>
          <w:rFonts w:ascii="Times New Roman" w:hAnsi="Times New Roman" w:eastAsia="Times New Roman" w:cs="Times New Roman"/>
          <w:color w:val="FFFFFF" w:themeColor="background1"/>
          <w:sz w:val="24"/>
          <w:szCs w:val="24"/>
          <w:lang w:val="id-ID" w:eastAsia="en-GB"/>
          <w14:textFill>
            <w14:solidFill>
              <w14:schemeClr w14:val="bg1"/>
            </w14:solidFill>
          </w14:textFill>
        </w:rPr>
        <w:t>_</w:t>
      </w:r>
      <w:r>
        <w:rPr>
          <w:rFonts w:ascii="Times New Roman" w:hAnsi="Times New Roman" w:eastAsia="Times New Roman" w:cs="Times New Roman"/>
          <w:sz w:val="24"/>
          <w:szCs w:val="24"/>
          <w:lang w:val="id-ID" w:eastAsia="en-GB"/>
        </w:rPr>
        <w:t>menjaga dan</w:t>
      </w:r>
      <w:r>
        <w:rPr>
          <w:rFonts w:ascii="Times New Roman" w:hAnsi="Times New Roman" w:eastAsia="Times New Roman" w:cs="Times New Roman"/>
          <w:color w:val="FFFFFF" w:themeColor="background1"/>
          <w:sz w:val="24"/>
          <w:szCs w:val="24"/>
          <w:lang w:val="id-ID" w:eastAsia="en-GB"/>
          <w14:textFill>
            <w14:solidFill>
              <w14:schemeClr w14:val="bg1"/>
            </w14:solidFill>
          </w14:textFill>
        </w:rPr>
        <w:t>_</w:t>
      </w:r>
      <w:r>
        <w:rPr>
          <w:rFonts w:ascii="Times New Roman" w:hAnsi="Times New Roman" w:eastAsia="Times New Roman" w:cs="Times New Roman"/>
          <w:sz w:val="24"/>
          <w:szCs w:val="24"/>
          <w:lang w:val="id-ID" w:eastAsia="en-GB"/>
        </w:rPr>
        <w:t>menjamin</w:t>
      </w:r>
      <w:r>
        <w:rPr>
          <w:rFonts w:ascii="Times New Roman" w:hAnsi="Times New Roman" w:eastAsia="Times New Roman" w:cs="Times New Roman"/>
          <w:color w:val="FFFFFF" w:themeColor="background1"/>
          <w:sz w:val="24"/>
          <w:szCs w:val="24"/>
          <w:lang w:val="id-ID" w:eastAsia="en-GB"/>
          <w14:textFill>
            <w14:solidFill>
              <w14:schemeClr w14:val="bg1"/>
            </w14:solidFill>
          </w14:textFill>
        </w:rPr>
        <w:t>_</w:t>
      </w:r>
      <w:r>
        <w:rPr>
          <w:rFonts w:ascii="Times New Roman" w:hAnsi="Times New Roman" w:eastAsia="Times New Roman" w:cs="Times New Roman"/>
          <w:sz w:val="24"/>
          <w:szCs w:val="24"/>
          <w:lang w:val="id-ID" w:eastAsia="en-GB"/>
        </w:rPr>
        <w:t>keamanan dan</w:t>
      </w:r>
      <w:r>
        <w:rPr>
          <w:rFonts w:ascii="Times New Roman" w:hAnsi="Times New Roman" w:eastAsia="Times New Roman" w:cs="Times New Roman"/>
          <w:color w:val="FFFFFF" w:themeColor="background1"/>
          <w:sz w:val="24"/>
          <w:szCs w:val="24"/>
          <w:lang w:val="id-ID" w:eastAsia="en-GB"/>
          <w14:textFill>
            <w14:solidFill>
              <w14:schemeClr w14:val="bg1"/>
            </w14:solidFill>
          </w14:textFill>
        </w:rPr>
        <w:t>_</w:t>
      </w:r>
      <w:r>
        <w:rPr>
          <w:rFonts w:ascii="Times New Roman" w:hAnsi="Times New Roman" w:eastAsia="Times New Roman" w:cs="Times New Roman"/>
          <w:sz w:val="24"/>
          <w:szCs w:val="24"/>
          <w:lang w:val="id-ID" w:eastAsia="en-GB"/>
        </w:rPr>
        <w:t>ketertiban</w:t>
      </w:r>
      <w:r>
        <w:rPr>
          <w:rFonts w:ascii="Times New Roman" w:hAnsi="Times New Roman" w:eastAsia="Times New Roman" w:cs="Times New Roman"/>
          <w:color w:val="FFFFFF" w:themeColor="background1"/>
          <w:sz w:val="24"/>
          <w:szCs w:val="24"/>
          <w:lang w:val="id-ID" w:eastAsia="en-GB"/>
          <w14:textFill>
            <w14:solidFill>
              <w14:schemeClr w14:val="bg1"/>
            </w14:solidFill>
          </w14:textFill>
        </w:rPr>
        <w:t>_</w:t>
      </w:r>
      <w:r>
        <w:rPr>
          <w:rFonts w:ascii="Times New Roman" w:hAnsi="Times New Roman" w:eastAsia="Times New Roman" w:cs="Times New Roman"/>
          <w:sz w:val="24"/>
          <w:szCs w:val="24"/>
          <w:lang w:val="id-ID" w:eastAsia="en-GB"/>
        </w:rPr>
        <w:t>bersama. Dari ide yang ditemukan itu, maka selesai terjadinya perang dunia I (1914-1919) muncul pertanda ada perjanjian Versailles 1919 melibatkan negara Jerman Raya, Austria, Turki Raya Vs Inggris dan Prancis, yang membentuk League of Nations (LBB). Akan tetapi adanya LBB bertujuan untuk organisasi</w:t>
      </w:r>
      <w:r>
        <w:rPr>
          <w:rFonts w:ascii="Times New Roman" w:hAnsi="Times New Roman" w:eastAsia="Times New Roman" w:cs="Times New Roman"/>
          <w:color w:val="FFFFFF" w:themeColor="background1"/>
          <w:sz w:val="24"/>
          <w:szCs w:val="24"/>
          <w:lang w:val="id-ID" w:eastAsia="en-GB"/>
          <w14:textFill>
            <w14:solidFill>
              <w14:schemeClr w14:val="bg1"/>
            </w14:solidFill>
          </w14:textFill>
        </w:rPr>
        <w:t>_</w:t>
      </w:r>
      <w:r>
        <w:rPr>
          <w:rFonts w:ascii="Times New Roman" w:hAnsi="Times New Roman" w:eastAsia="Times New Roman" w:cs="Times New Roman"/>
          <w:sz w:val="24"/>
          <w:szCs w:val="24"/>
          <w:lang w:val="id-ID" w:eastAsia="en-GB"/>
        </w:rPr>
        <w:t>perdamaian</w:t>
      </w:r>
      <w:r>
        <w:rPr>
          <w:rFonts w:ascii="Times New Roman" w:hAnsi="Times New Roman" w:eastAsia="Times New Roman" w:cs="Times New Roman"/>
          <w:color w:val="FFFFFF" w:themeColor="background1"/>
          <w:sz w:val="24"/>
          <w:szCs w:val="24"/>
          <w:lang w:val="id-ID" w:eastAsia="en-GB"/>
          <w14:textFill>
            <w14:solidFill>
              <w14:schemeClr w14:val="bg1"/>
            </w14:solidFill>
          </w14:textFill>
        </w:rPr>
        <w:t>_</w:t>
      </w:r>
      <w:r>
        <w:rPr>
          <w:rFonts w:ascii="Times New Roman" w:hAnsi="Times New Roman" w:eastAsia="Times New Roman" w:cs="Times New Roman"/>
          <w:sz w:val="24"/>
          <w:szCs w:val="24"/>
          <w:lang w:val="id-ID" w:eastAsia="en-GB"/>
        </w:rPr>
        <w:t>dunia ini tidak memiliki umur panjang dikarenakan setelah 20 tahun ternyata LBB tidak menunjukan adanya sikap serta tindakan yang mengarah kepada negara-negara yang melakukan pelanggaran di piagam itu kemudian dari hal ini LBB tidak bertahan lama, kemudian pada tanggal 1 September 1939 terjadi lagi perang Dunia II yang di tandai dengan penyerangan Jerman atas Polandia, LBB tidak dapat berbuat apa-apa sehingga tujuan terbentuknya LBB tidak lagi tercapai. Sebagai organisasi, LBB di bubarkan (Rudy, 1993).</w:t>
      </w:r>
    </w:p>
    <w:p>
      <w:pPr>
        <w:spacing w:line="480" w:lineRule="auto"/>
        <w:ind w:firstLine="720"/>
        <w:jc w:val="both"/>
        <w:rPr>
          <w:rFonts w:ascii="Times New Roman" w:hAnsi="Times New Roman" w:eastAsia="Times New Roman" w:cs="Times New Roman"/>
          <w:sz w:val="24"/>
          <w:szCs w:val="24"/>
          <w:lang w:val="id-ID" w:eastAsia="en-GB"/>
        </w:rPr>
      </w:pPr>
      <w:r>
        <w:rPr>
          <w:rFonts w:ascii="Times New Roman" w:hAnsi="Times New Roman" w:eastAsia="Times New Roman" w:cs="Times New Roman"/>
          <w:sz w:val="24"/>
          <w:szCs w:val="24"/>
          <w:lang w:val="id-ID" w:eastAsia="en-GB"/>
        </w:rPr>
        <w:tab/>
      </w:r>
      <w:r>
        <w:rPr>
          <w:rFonts w:ascii="Times New Roman" w:hAnsi="Times New Roman" w:eastAsia="Times New Roman" w:cs="Times New Roman"/>
          <w:sz w:val="24"/>
          <w:szCs w:val="24"/>
          <w:lang w:val="id-ID" w:eastAsia="en-GB"/>
        </w:rPr>
        <w:t>Ketika Perang Dunia II sedang terjadi, dua negarawan yang bernama Winston Churchill (Perdana Mentri Inggris) beserta Franklin Delano Roosevelt (Presiden Amerika Serikat) mengadakan pertemuan untuk membicarakan hal khusus untuk meredakan perang. Untuk meredakan situasi yang sedang panas pada Perang Dunia lahirlah sebuah piagam yang menyebutkan sebuah deklarasi tentang hak kebebasan, kemerdekaan dan perdamaian dunia. Kemudian di tanda tanganinya sebuah deklarasi antara negara-negara sekutu (the Inter Alliced Declaration) tanggal 12 Juni 1941 di St. James’s Palace London yang di hadiri oleh para perwakilan dari negara Australia, Kanada, Selandia Baru, Uni Afrika Selatan, Kerajaan Inggris serta pemerintah pelarian atau pengungsi Belgia, Chekoslovakia, Yunani, Luksemburg, Negri Belanda, Norwegia, Polandia, dan Yogoslavia serta turut pula Jendral De Gaulle dari Prancis. Di sebuah deklarasi yang di cetuskan tersebut terdapat hal baru yang muncul dan di beritahu bahwa adanya kehendak bekerja sama antara bangsa-bangsa yang bebas di dunia, di mana semua orang bebas dari ancaman agresi, dapat menikmati sistem ekonomi dan sosial yang damai dan sejahtera, dan mereka akan melakukan kerjasama agar mewujudkan kehidupan yang lebih baik ketika perang ataupun masa damai mereka bekerja sama dengan bangsa-bangsa bebas lainnya (Rudy, 1993).</w:t>
      </w:r>
    </w:p>
    <w:p>
      <w:pPr>
        <w:spacing w:line="480" w:lineRule="auto"/>
        <w:ind w:firstLine="720"/>
        <w:jc w:val="both"/>
        <w:rPr>
          <w:rFonts w:ascii="Times New Roman" w:hAnsi="Times New Roman" w:eastAsia="Times New Roman" w:cs="Times New Roman"/>
          <w:sz w:val="24"/>
          <w:szCs w:val="24"/>
          <w:lang w:val="id-ID" w:eastAsia="en-GB"/>
        </w:rPr>
      </w:pPr>
      <w:r>
        <w:rPr>
          <w:rFonts w:ascii="Times New Roman" w:hAnsi="Times New Roman" w:eastAsia="Times New Roman" w:cs="Times New Roman"/>
          <w:sz w:val="24"/>
          <w:szCs w:val="24"/>
          <w:lang w:val="id-ID" w:eastAsia="en-GB"/>
        </w:rPr>
        <w:tab/>
      </w:r>
      <w:r>
        <w:rPr>
          <w:rFonts w:ascii="Times New Roman" w:hAnsi="Times New Roman" w:eastAsia="Times New Roman" w:cs="Times New Roman"/>
          <w:sz w:val="24"/>
          <w:szCs w:val="24"/>
          <w:lang w:val="id-ID" w:eastAsia="en-GB"/>
        </w:rPr>
        <w:t>Dalam PBB ( Perserikatan Bangsa-Bangsa ) terdapat salah satu Komisariat</w:t>
      </w:r>
      <w:r>
        <w:rPr>
          <w:rFonts w:ascii="Times New Roman" w:hAnsi="Times New Roman" w:eastAsia="Times New Roman" w:cs="Times New Roman"/>
          <w:color w:val="FFFFFF" w:themeColor="background1"/>
          <w:sz w:val="24"/>
          <w:szCs w:val="24"/>
          <w:lang w:val="id-ID" w:eastAsia="en-GB"/>
          <w14:textFill>
            <w14:solidFill>
              <w14:schemeClr w14:val="bg1"/>
            </w14:solidFill>
          </w14:textFill>
        </w:rPr>
        <w:t>_</w:t>
      </w:r>
      <w:r>
        <w:rPr>
          <w:rFonts w:ascii="Times New Roman" w:hAnsi="Times New Roman" w:eastAsia="Times New Roman" w:cs="Times New Roman"/>
          <w:sz w:val="24"/>
          <w:szCs w:val="24"/>
          <w:lang w:val="id-ID" w:eastAsia="en-GB"/>
        </w:rPr>
        <w:t>Tinggi</w:t>
      </w:r>
      <w:r>
        <w:rPr>
          <w:rFonts w:ascii="Times New Roman" w:hAnsi="Times New Roman" w:eastAsia="Times New Roman" w:cs="Times New Roman"/>
          <w:color w:val="FFFFFF" w:themeColor="background1"/>
          <w:sz w:val="24"/>
          <w:szCs w:val="24"/>
          <w:lang w:val="id-ID" w:eastAsia="en-GB"/>
          <w14:textFill>
            <w14:solidFill>
              <w14:schemeClr w14:val="bg1"/>
            </w14:solidFill>
          </w14:textFill>
        </w:rPr>
        <w:t>_</w:t>
      </w:r>
      <w:r>
        <w:rPr>
          <w:rFonts w:ascii="Times New Roman" w:hAnsi="Times New Roman" w:eastAsia="Times New Roman" w:cs="Times New Roman"/>
          <w:sz w:val="24"/>
          <w:szCs w:val="24"/>
          <w:lang w:val="id-ID" w:eastAsia="en-GB"/>
        </w:rPr>
        <w:t>PBB</w:t>
      </w:r>
      <w:r>
        <w:rPr>
          <w:rFonts w:ascii="Times New Roman" w:hAnsi="Times New Roman" w:eastAsia="Times New Roman" w:cs="Times New Roman"/>
          <w:color w:val="FFFFFF" w:themeColor="background1"/>
          <w:sz w:val="24"/>
          <w:szCs w:val="24"/>
          <w:lang w:val="id-ID" w:eastAsia="en-GB"/>
          <w14:textFill>
            <w14:solidFill>
              <w14:schemeClr w14:val="bg1"/>
            </w14:solidFill>
          </w14:textFill>
        </w:rPr>
        <w:t>_</w:t>
      </w:r>
      <w:r>
        <w:rPr>
          <w:rFonts w:ascii="Times New Roman" w:hAnsi="Times New Roman" w:eastAsia="Times New Roman" w:cs="Times New Roman"/>
          <w:sz w:val="24"/>
          <w:szCs w:val="24"/>
          <w:lang w:val="id-ID" w:eastAsia="en-GB"/>
        </w:rPr>
        <w:t>untuk</w:t>
      </w:r>
      <w:r>
        <w:rPr>
          <w:rFonts w:ascii="Times New Roman" w:hAnsi="Times New Roman" w:eastAsia="Times New Roman" w:cs="Times New Roman"/>
          <w:color w:val="FFFFFF" w:themeColor="background1"/>
          <w:sz w:val="24"/>
          <w:szCs w:val="24"/>
          <w:lang w:val="id-ID" w:eastAsia="en-GB"/>
          <w14:textFill>
            <w14:solidFill>
              <w14:schemeClr w14:val="bg1"/>
            </w14:solidFill>
          </w14:textFill>
        </w:rPr>
        <w:t>_</w:t>
      </w:r>
      <w:r>
        <w:rPr>
          <w:rFonts w:ascii="Times New Roman" w:hAnsi="Times New Roman" w:eastAsia="Times New Roman" w:cs="Times New Roman"/>
          <w:sz w:val="24"/>
          <w:szCs w:val="24"/>
          <w:lang w:val="id-ID" w:eastAsia="en-GB"/>
        </w:rPr>
        <w:t>pengungsi</w:t>
      </w:r>
      <w:r>
        <w:rPr>
          <w:rFonts w:ascii="Times New Roman" w:hAnsi="Times New Roman" w:eastAsia="Times New Roman" w:cs="Times New Roman"/>
          <w:color w:val="FFFFFF" w:themeColor="background1"/>
          <w:sz w:val="24"/>
          <w:szCs w:val="24"/>
          <w:lang w:val="id-ID" w:eastAsia="en-GB"/>
          <w14:textFill>
            <w14:solidFill>
              <w14:schemeClr w14:val="bg1"/>
            </w14:solidFill>
          </w14:textFill>
        </w:rPr>
        <w:t>_</w:t>
      </w:r>
      <w:r>
        <w:rPr>
          <w:rFonts w:ascii="Times New Roman" w:hAnsi="Times New Roman" w:eastAsia="Times New Roman" w:cs="Times New Roman"/>
          <w:sz w:val="24"/>
          <w:szCs w:val="24"/>
          <w:lang w:val="id-ID" w:eastAsia="en-GB"/>
        </w:rPr>
        <w:t>yaitu</w:t>
      </w:r>
      <w:r>
        <w:rPr>
          <w:rFonts w:ascii="Times New Roman" w:hAnsi="Times New Roman" w:eastAsia="Times New Roman" w:cs="Times New Roman"/>
          <w:color w:val="FFFFFF" w:themeColor="background1"/>
          <w:sz w:val="24"/>
          <w:szCs w:val="24"/>
          <w:lang w:val="id-ID" w:eastAsia="en-GB"/>
          <w14:textFill>
            <w14:solidFill>
              <w14:schemeClr w14:val="bg1"/>
            </w14:solidFill>
          </w14:textFill>
        </w:rPr>
        <w:t>_</w:t>
      </w:r>
      <w:r>
        <w:rPr>
          <w:rFonts w:ascii="Times New Roman" w:hAnsi="Times New Roman" w:eastAsia="Times New Roman" w:cs="Times New Roman"/>
          <w:sz w:val="24"/>
          <w:szCs w:val="24"/>
          <w:lang w:val="id-ID" w:eastAsia="en-GB"/>
        </w:rPr>
        <w:t>United Nations High Commission for Refugees (UNHCR). UNHCR muncul pada</w:t>
      </w:r>
      <w:r>
        <w:rPr>
          <w:rFonts w:ascii="Times New Roman" w:hAnsi="Times New Roman" w:eastAsia="Times New Roman" w:cs="Times New Roman"/>
          <w:color w:val="FFFFFF" w:themeColor="background1"/>
          <w:sz w:val="24"/>
          <w:szCs w:val="24"/>
          <w:lang w:val="id-ID" w:eastAsia="en-GB"/>
          <w14:textFill>
            <w14:solidFill>
              <w14:schemeClr w14:val="bg1"/>
            </w14:solidFill>
          </w14:textFill>
        </w:rPr>
        <w:t>_</w:t>
      </w:r>
      <w:r>
        <w:rPr>
          <w:rFonts w:ascii="Times New Roman" w:hAnsi="Times New Roman" w:eastAsia="Times New Roman" w:cs="Times New Roman"/>
          <w:sz w:val="24"/>
          <w:szCs w:val="24"/>
          <w:lang w:val="id-ID" w:eastAsia="en-GB"/>
        </w:rPr>
        <w:t>tanggal</w:t>
      </w:r>
      <w:r>
        <w:rPr>
          <w:rFonts w:ascii="Times New Roman" w:hAnsi="Times New Roman" w:eastAsia="Times New Roman" w:cs="Times New Roman"/>
          <w:color w:val="FFFFFF" w:themeColor="background1"/>
          <w:sz w:val="24"/>
          <w:szCs w:val="24"/>
          <w:lang w:val="id-ID" w:eastAsia="en-GB"/>
          <w14:textFill>
            <w14:solidFill>
              <w14:schemeClr w14:val="bg1"/>
            </w14:solidFill>
          </w14:textFill>
        </w:rPr>
        <w:t>_</w:t>
      </w:r>
      <w:r>
        <w:rPr>
          <w:rFonts w:ascii="Times New Roman" w:hAnsi="Times New Roman" w:eastAsia="Times New Roman" w:cs="Times New Roman"/>
          <w:sz w:val="24"/>
          <w:szCs w:val="24"/>
          <w:lang w:val="id-ID" w:eastAsia="en-GB"/>
        </w:rPr>
        <w:t>14</w:t>
      </w:r>
      <w:r>
        <w:rPr>
          <w:rFonts w:ascii="Times New Roman" w:hAnsi="Times New Roman" w:eastAsia="Times New Roman" w:cs="Times New Roman"/>
          <w:color w:val="FFFFFF" w:themeColor="background1"/>
          <w:sz w:val="24"/>
          <w:szCs w:val="24"/>
          <w:lang w:val="id-ID" w:eastAsia="en-GB"/>
          <w14:textFill>
            <w14:solidFill>
              <w14:schemeClr w14:val="bg1"/>
            </w14:solidFill>
          </w14:textFill>
        </w:rPr>
        <w:t>_</w:t>
      </w:r>
      <w:r>
        <w:rPr>
          <w:rFonts w:ascii="Times New Roman" w:hAnsi="Times New Roman" w:eastAsia="Times New Roman" w:cs="Times New Roman"/>
          <w:sz w:val="24"/>
          <w:szCs w:val="24"/>
          <w:lang w:val="id-ID" w:eastAsia="en-GB"/>
        </w:rPr>
        <w:t>Desember</w:t>
      </w:r>
      <w:r>
        <w:rPr>
          <w:rFonts w:ascii="Times New Roman" w:hAnsi="Times New Roman" w:eastAsia="Times New Roman" w:cs="Times New Roman"/>
          <w:color w:val="FFFFFF" w:themeColor="background1"/>
          <w:sz w:val="24"/>
          <w:szCs w:val="24"/>
          <w:lang w:val="id-ID" w:eastAsia="en-GB"/>
          <w14:textFill>
            <w14:solidFill>
              <w14:schemeClr w14:val="bg1"/>
            </w14:solidFill>
          </w14:textFill>
        </w:rPr>
        <w:t>_</w:t>
      </w:r>
      <w:r>
        <w:rPr>
          <w:rFonts w:ascii="Times New Roman" w:hAnsi="Times New Roman" w:eastAsia="Times New Roman" w:cs="Times New Roman"/>
          <w:sz w:val="24"/>
          <w:szCs w:val="24"/>
          <w:lang w:val="id-ID" w:eastAsia="en-GB"/>
        </w:rPr>
        <w:t>1950, memiliki tujuan dalam melindungi</w:t>
      </w:r>
      <w:r>
        <w:rPr>
          <w:rFonts w:ascii="Times New Roman" w:hAnsi="Times New Roman" w:eastAsia="Times New Roman" w:cs="Times New Roman"/>
          <w:color w:val="FFFFFF" w:themeColor="background1"/>
          <w:sz w:val="24"/>
          <w:szCs w:val="24"/>
          <w:lang w:val="id-ID" w:eastAsia="en-GB"/>
          <w14:textFill>
            <w14:solidFill>
              <w14:schemeClr w14:val="bg1"/>
            </w14:solidFill>
          </w14:textFill>
        </w:rPr>
        <w:t>_</w:t>
      </w:r>
      <w:r>
        <w:rPr>
          <w:rFonts w:ascii="Times New Roman" w:hAnsi="Times New Roman" w:eastAsia="Times New Roman" w:cs="Times New Roman"/>
          <w:sz w:val="24"/>
          <w:szCs w:val="24"/>
          <w:lang w:val="id-ID" w:eastAsia="en-GB"/>
        </w:rPr>
        <w:t>dan</w:t>
      </w:r>
      <w:r>
        <w:rPr>
          <w:rFonts w:ascii="Times New Roman" w:hAnsi="Times New Roman" w:eastAsia="Times New Roman" w:cs="Times New Roman"/>
          <w:color w:val="FFFFFF" w:themeColor="background1"/>
          <w:sz w:val="24"/>
          <w:szCs w:val="24"/>
          <w:lang w:val="id-ID" w:eastAsia="en-GB"/>
          <w14:textFill>
            <w14:solidFill>
              <w14:schemeClr w14:val="bg1"/>
            </w14:solidFill>
          </w14:textFill>
        </w:rPr>
        <w:t>_</w:t>
      </w:r>
      <w:r>
        <w:rPr>
          <w:rFonts w:ascii="Times New Roman" w:hAnsi="Times New Roman" w:eastAsia="Times New Roman" w:cs="Times New Roman"/>
          <w:sz w:val="24"/>
          <w:szCs w:val="24"/>
          <w:lang w:val="id-ID" w:eastAsia="en-GB"/>
        </w:rPr>
        <w:t>memberikan</w:t>
      </w:r>
      <w:r>
        <w:rPr>
          <w:rFonts w:ascii="Times New Roman" w:hAnsi="Times New Roman" w:eastAsia="Times New Roman" w:cs="Times New Roman"/>
          <w:color w:val="FFFFFF" w:themeColor="background1"/>
          <w:sz w:val="24"/>
          <w:szCs w:val="24"/>
          <w:lang w:val="id-ID" w:eastAsia="en-GB"/>
          <w14:textFill>
            <w14:solidFill>
              <w14:schemeClr w14:val="bg1"/>
            </w14:solidFill>
          </w14:textFill>
        </w:rPr>
        <w:t>_</w:t>
      </w:r>
      <w:r>
        <w:rPr>
          <w:rFonts w:ascii="Times New Roman" w:hAnsi="Times New Roman" w:eastAsia="Times New Roman" w:cs="Times New Roman"/>
          <w:sz w:val="24"/>
          <w:szCs w:val="24"/>
          <w:lang w:val="id-ID" w:eastAsia="en-GB"/>
        </w:rPr>
        <w:t>bantuan</w:t>
      </w:r>
      <w:r>
        <w:rPr>
          <w:rFonts w:ascii="Times New Roman" w:hAnsi="Times New Roman" w:eastAsia="Times New Roman" w:cs="Times New Roman"/>
          <w:color w:val="FFFFFF" w:themeColor="background1"/>
          <w:sz w:val="24"/>
          <w:szCs w:val="24"/>
          <w:lang w:val="id-ID" w:eastAsia="en-GB"/>
          <w14:textFill>
            <w14:solidFill>
              <w14:schemeClr w14:val="bg1"/>
            </w14:solidFill>
          </w14:textFill>
        </w:rPr>
        <w:t>_</w:t>
      </w:r>
      <w:r>
        <w:rPr>
          <w:rFonts w:ascii="Times New Roman" w:hAnsi="Times New Roman" w:eastAsia="Times New Roman" w:cs="Times New Roman"/>
          <w:sz w:val="24"/>
          <w:szCs w:val="24"/>
          <w:lang w:val="id-ID" w:eastAsia="en-GB"/>
        </w:rPr>
        <w:t>untuk</w:t>
      </w:r>
      <w:r>
        <w:rPr>
          <w:rFonts w:ascii="Times New Roman" w:hAnsi="Times New Roman" w:eastAsia="Times New Roman" w:cs="Times New Roman"/>
          <w:color w:val="FFFFFF" w:themeColor="background1"/>
          <w:sz w:val="24"/>
          <w:szCs w:val="24"/>
          <w:lang w:val="id-ID" w:eastAsia="en-GB"/>
          <w14:textFill>
            <w14:solidFill>
              <w14:schemeClr w14:val="bg1"/>
            </w14:solidFill>
          </w14:textFill>
        </w:rPr>
        <w:t>_</w:t>
      </w:r>
      <w:r>
        <w:rPr>
          <w:rFonts w:ascii="Times New Roman" w:hAnsi="Times New Roman" w:eastAsia="Times New Roman" w:cs="Times New Roman"/>
          <w:sz w:val="24"/>
          <w:szCs w:val="24"/>
          <w:lang w:val="id-ID" w:eastAsia="en-GB"/>
        </w:rPr>
        <w:t>pengungsi</w:t>
      </w:r>
      <w:r>
        <w:rPr>
          <w:rFonts w:ascii="Times New Roman" w:hAnsi="Times New Roman" w:eastAsia="Times New Roman" w:cs="Times New Roman"/>
          <w:color w:val="FFFFFF" w:themeColor="background1"/>
          <w:sz w:val="24"/>
          <w:szCs w:val="24"/>
          <w:lang w:val="id-ID" w:eastAsia="en-GB"/>
          <w14:textFill>
            <w14:solidFill>
              <w14:schemeClr w14:val="bg1"/>
            </w14:solidFill>
          </w14:textFill>
        </w:rPr>
        <w:t>_</w:t>
      </w:r>
      <w:r>
        <w:rPr>
          <w:rFonts w:ascii="Times New Roman" w:hAnsi="Times New Roman" w:eastAsia="Times New Roman" w:cs="Times New Roman"/>
          <w:sz w:val="24"/>
          <w:szCs w:val="24"/>
          <w:lang w:val="id-ID" w:eastAsia="en-GB"/>
        </w:rPr>
        <w:t>berdasarkan permintaan sebuah pemerintahan atau PBB</w:t>
      </w:r>
      <w:r>
        <w:rPr>
          <w:rFonts w:ascii="Times New Roman" w:hAnsi="Times New Roman" w:eastAsia="Times New Roman" w:cs="Times New Roman"/>
          <w:color w:val="FFFFFF" w:themeColor="background1"/>
          <w:sz w:val="24"/>
          <w:szCs w:val="24"/>
          <w:lang w:val="id-ID" w:eastAsia="en-GB"/>
          <w14:textFill>
            <w14:solidFill>
              <w14:schemeClr w14:val="bg1"/>
            </w14:solidFill>
          </w14:textFill>
        </w:rPr>
        <w:t>_</w:t>
      </w:r>
      <w:r>
        <w:rPr>
          <w:rFonts w:ascii="Times New Roman" w:hAnsi="Times New Roman" w:eastAsia="Times New Roman" w:cs="Times New Roman"/>
          <w:sz w:val="24"/>
          <w:szCs w:val="24"/>
          <w:lang w:val="id-ID" w:eastAsia="en-GB"/>
        </w:rPr>
        <w:t>kemudian</w:t>
      </w:r>
      <w:r>
        <w:rPr>
          <w:rFonts w:ascii="Times New Roman" w:hAnsi="Times New Roman" w:eastAsia="Times New Roman" w:cs="Times New Roman"/>
          <w:color w:val="FFFFFF" w:themeColor="background1"/>
          <w:sz w:val="24"/>
          <w:szCs w:val="24"/>
          <w:lang w:val="id-ID" w:eastAsia="en-GB"/>
          <w14:textFill>
            <w14:solidFill>
              <w14:schemeClr w14:val="bg1"/>
            </w14:solidFill>
          </w14:textFill>
        </w:rPr>
        <w:t>_</w:t>
      </w:r>
      <w:r>
        <w:rPr>
          <w:rFonts w:ascii="Times New Roman" w:hAnsi="Times New Roman" w:eastAsia="Times New Roman" w:cs="Times New Roman"/>
          <w:sz w:val="24"/>
          <w:szCs w:val="24"/>
          <w:lang w:val="id-ID" w:eastAsia="en-GB"/>
        </w:rPr>
        <w:t>untuk</w:t>
      </w:r>
      <w:r>
        <w:rPr>
          <w:rFonts w:ascii="Times New Roman" w:hAnsi="Times New Roman" w:eastAsia="Times New Roman" w:cs="Times New Roman"/>
          <w:color w:val="FFFFFF" w:themeColor="background1"/>
          <w:sz w:val="24"/>
          <w:szCs w:val="24"/>
          <w:lang w:val="id-ID" w:eastAsia="en-GB"/>
          <w14:textFill>
            <w14:solidFill>
              <w14:schemeClr w14:val="bg1"/>
            </w14:solidFill>
          </w14:textFill>
        </w:rPr>
        <w:t>_</w:t>
      </w:r>
      <w:r>
        <w:rPr>
          <w:rFonts w:ascii="Times New Roman" w:hAnsi="Times New Roman" w:eastAsia="Times New Roman" w:cs="Times New Roman"/>
          <w:sz w:val="24"/>
          <w:szCs w:val="24"/>
          <w:lang w:val="id-ID" w:eastAsia="en-GB"/>
        </w:rPr>
        <w:t>mendampingi</w:t>
      </w:r>
      <w:r>
        <w:rPr>
          <w:rFonts w:ascii="Times New Roman" w:hAnsi="Times New Roman" w:eastAsia="Times New Roman" w:cs="Times New Roman"/>
          <w:color w:val="FFFFFF" w:themeColor="background1"/>
          <w:sz w:val="24"/>
          <w:szCs w:val="24"/>
          <w:lang w:val="id-ID" w:eastAsia="en-GB"/>
          <w14:textFill>
            <w14:solidFill>
              <w14:schemeClr w14:val="bg1"/>
            </w14:solidFill>
          </w14:textFill>
        </w:rPr>
        <w:t>_</w:t>
      </w:r>
      <w:r>
        <w:rPr>
          <w:rFonts w:ascii="Times New Roman" w:hAnsi="Times New Roman" w:eastAsia="Times New Roman" w:cs="Times New Roman"/>
          <w:sz w:val="24"/>
          <w:szCs w:val="24"/>
          <w:lang w:val="id-ID" w:eastAsia="en-GB"/>
        </w:rPr>
        <w:t xml:space="preserve">para pengungsi tersebut dalam proses pemindahan tempat menetap mereka ke tempat yang baru </w:t>
      </w:r>
      <w:r>
        <w:rPr>
          <w:rFonts w:ascii="Times New Roman" w:hAnsi="Times New Roman" w:eastAsia="Times New Roman" w:cs="Times New Roman"/>
          <w:sz w:val="24"/>
          <w:szCs w:val="24"/>
          <w:lang w:val="id-ID" w:eastAsia="en-GB"/>
        </w:rPr>
        <w:fldChar w:fldCharType="begin" w:fldLock="1"/>
      </w:r>
      <w:r>
        <w:rPr>
          <w:rFonts w:ascii="Times New Roman" w:hAnsi="Times New Roman" w:eastAsia="Times New Roman" w:cs="Times New Roman"/>
          <w:sz w:val="24"/>
          <w:szCs w:val="24"/>
          <w:lang w:val="id-ID" w:eastAsia="en-GB"/>
        </w:rPr>
        <w:instrText xml:space="preserve">ADDIN CSL_CITATION {"citationItems":[{"id":"ITEM-1","itemData":{"ISBN":"9788578110796","ISSN":"1098-6596","PMID":"25246403","abstract":"Executive Summary This report presents the results of research conducted with female refugees living in North Jordan and South Lebanon who are Syrian Nationals (SN) and Palestinian Refugees from Syria (PRS) as well as gender based violence (GBV) case workers who provide services to refugee women and girls who experience GBV. Through focus group discussions, interviews, and clinic-based surveys, we have examined:  the scope of violence perpetrated against women and girl refugees from Syria living in Tyre, Saida, Ajloun, and Jerash;  the intersection of reproductive health and gender based violence;  perceptions of help sources among PRS and SN in these locations; and  support services provided to PRS and SN female refugees who experience GBV Our research forms the basis of our recommendations for service providers, researchers, and donors in these specific areas of Lebanon and Jordan. This report is divided into three main sections. The first section reviews the context which influences women and girls’ experience of GBV in these specific areas of North Jordan and South Lebanon. The second section details the findings of the study as they relate to the scope of violence in public and private spaces, women’s health and access to health services, and women’s help seeking behaviors and experiences with help seeking. Finally, section three includes the conclusions of the research and recommendations for research opportunities to support PRS and Syrian refugee women and girls who experience GBV living in the study areas in North Jordan and South Lebanon. Overall we find that GBV is a significant problem in North Jordan and South Lebanon for refugee women and girls from Syria and frequently restricts their movement, causes them mental and physical distress, and occurs both inside and outside of the home. The most common form of violence reported by participants was emotional violence; however, a large number also reported sexual violence. Among those who reported violence, most indicated that they had been subjected to multiple types of violence (i.e., emotional and physical violence). Women and girls were more likely to discuss physical violence as occurring in the home while harassment, emotional violence, and discrimination were more likely to occur outside of the home. Sexual violence was particularly prevalent and occurred in both public and private spaces. The main perpetrators of sexual violence were husbands, neighbors and owners of the home where …","author":[{"dropping-particle":"","family":"Spencer","given":"R. A.","non-dropping-particle":"","parse-names":false,"suffix":""},{"dropping-particle":"","family":"Usta","given":"J.","non-dropping-particle":"","parse-names":false,"suffix":""},{"dropping-particle":"","family":"Essaid","given":"A.","non-dropping-particle":"","parse-names":false,"suffix":""},{"dropping-particle":"","family":"Shukri","given":"S.","non-dropping-particle":"","parse-names":false,"suffix":""},{"dropping-particle":"","family":"El-Gharaibeh","given":"Y.","non-dropping-particle":"","parse-names":false,"suffix":""},{"dropping-particle":"","family":"Abu-Taleb","given":"H.","non-dropping-particle":"","parse-names":false,"suffix":""},{"dropping-particle":"","family":"Awwad","given":"N.","non-dropping-particle":"","parse-names":false,"suffix":""},{"dropping-particle":"","family":"Nsour","given":"H.","non-dropping-particle":"","parse-names":false,"suffix":""}],"container-title":"Alianza por la Solidaridad, United Nations Population Fund-Lebanon and C. J. Clark","id":"ITEM-1","issue":"2015","issued":{"date-parts":[["2015"]]},"page":"1-50","title":"Gender Based Violence Against Women and Girls Displaced by the Syrian Conflict in South Lebanon and North Jordan: Scope of Violence and Health Correlates","type":"article-journal"},"uris":["http://www.mendeley.com/documents/?uuid=e333f83f-dca3-4bb8-aad4-2f1e9dd43778"]}],"mendeley":{"formattedCitation":"(Spencer et al., 2015)","plainTextFormattedCitation":"(Spencer et al., 2015)","previouslyFormattedCitation":"(Spencer et al., 2015)"},"properties":{"noteIndex":0},"schema":"https://github.com/citation-style-language/schema/raw/master/csl-citation.json"}</w:instrText>
      </w:r>
      <w:r>
        <w:rPr>
          <w:rFonts w:ascii="Times New Roman" w:hAnsi="Times New Roman" w:eastAsia="Times New Roman" w:cs="Times New Roman"/>
          <w:sz w:val="24"/>
          <w:szCs w:val="24"/>
          <w:lang w:val="id-ID" w:eastAsia="en-GB"/>
        </w:rPr>
        <w:fldChar w:fldCharType="separate"/>
      </w:r>
      <w:r>
        <w:rPr>
          <w:rFonts w:ascii="Times New Roman" w:hAnsi="Times New Roman" w:eastAsia="Times New Roman" w:cs="Times New Roman"/>
          <w:sz w:val="24"/>
          <w:szCs w:val="24"/>
          <w:lang w:val="id-ID" w:eastAsia="en-GB"/>
        </w:rPr>
        <w:t>(Spencer et al., 2015)</w:t>
      </w:r>
      <w:r>
        <w:rPr>
          <w:rFonts w:ascii="Times New Roman" w:hAnsi="Times New Roman" w:eastAsia="Times New Roman" w:cs="Times New Roman"/>
          <w:sz w:val="24"/>
          <w:szCs w:val="24"/>
          <w:lang w:val="id-ID" w:eastAsia="en-GB"/>
        </w:rPr>
        <w:fldChar w:fldCharType="end"/>
      </w:r>
      <w:r>
        <w:rPr>
          <w:rFonts w:ascii="Times New Roman" w:hAnsi="Times New Roman" w:eastAsia="Times New Roman" w:cs="Times New Roman"/>
          <w:sz w:val="24"/>
          <w:szCs w:val="24"/>
          <w:lang w:val="id-ID" w:eastAsia="en-GB"/>
        </w:rPr>
        <w:t xml:space="preserve">. </w:t>
      </w:r>
    </w:p>
    <w:p>
      <w:pPr>
        <w:spacing w:line="480" w:lineRule="auto"/>
        <w:ind w:firstLine="720"/>
        <w:jc w:val="both"/>
        <w:rPr>
          <w:rFonts w:ascii="Times New Roman" w:hAnsi="Times New Roman" w:eastAsia="Times New Roman" w:cs="Times New Roman"/>
          <w:sz w:val="24"/>
          <w:szCs w:val="24"/>
          <w:lang w:val="id-ID" w:eastAsia="en-GB"/>
        </w:rPr>
      </w:pPr>
      <w:r>
        <w:rPr>
          <w:rFonts w:ascii="Times New Roman" w:hAnsi="Times New Roman" w:eastAsia="Times New Roman" w:cs="Times New Roman"/>
          <w:sz w:val="24"/>
          <w:szCs w:val="24"/>
          <w:lang w:val="id-ID" w:eastAsia="en-GB"/>
        </w:rPr>
        <w:tab/>
      </w:r>
      <w:r>
        <w:rPr>
          <w:rFonts w:ascii="Times New Roman" w:hAnsi="Times New Roman" w:eastAsia="Times New Roman" w:cs="Times New Roman"/>
          <w:sz w:val="24"/>
          <w:szCs w:val="24"/>
          <w:lang w:val="id-ID" w:eastAsia="en-GB"/>
        </w:rPr>
        <w:t>Dewan Perserikatan Bangsa-Bangsa melakukan diskusi internasional membahas tentang Hak Asasi Manusia (HAM) dalam diskusi tersebut PBB membuat beberapa perjanjian yaitu pertama perjanjian Konvenan Internasional Hak Sipil dan Politik, kedua adanya Konvenan International Hak Ekonomi, Sosial, Budaya (1966), berikut deklarasi Wina (1993) (Budiardjo, 1989).</w:t>
      </w:r>
    </w:p>
    <w:p>
      <w:pPr>
        <w:spacing w:line="480" w:lineRule="auto"/>
        <w:ind w:firstLine="720"/>
        <w:jc w:val="both"/>
        <w:rPr>
          <w:rFonts w:ascii="Times New Roman" w:hAnsi="Times New Roman" w:eastAsia="Times New Roman" w:cs="Times New Roman"/>
          <w:sz w:val="24"/>
          <w:szCs w:val="24"/>
          <w:lang w:val="id-ID" w:eastAsia="en-GB"/>
        </w:rPr>
      </w:pPr>
      <w:r>
        <w:rPr>
          <w:rFonts w:ascii="Times New Roman" w:hAnsi="Times New Roman" w:eastAsia="Times New Roman" w:cs="Times New Roman"/>
          <w:sz w:val="24"/>
          <w:szCs w:val="24"/>
          <w:lang w:val="id-ID" w:eastAsia="en-GB"/>
        </w:rPr>
        <w:tab/>
      </w:r>
      <w:r>
        <w:rPr>
          <w:rFonts w:ascii="Times New Roman" w:hAnsi="Times New Roman" w:eastAsia="Times New Roman" w:cs="Times New Roman"/>
          <w:sz w:val="24"/>
          <w:szCs w:val="24"/>
          <w:lang w:val="id-ID" w:eastAsia="en-GB"/>
        </w:rPr>
        <w:t>Dengan hadirnya deklarasi tentang Hak Asai Manusia (HAM) memiliki dasar untuk seluruh umat manusia di dunia serta bertujuan</w:t>
      </w:r>
      <w:r>
        <w:rPr>
          <w:rFonts w:ascii="Times New Roman" w:hAnsi="Times New Roman" w:eastAsia="Times New Roman" w:cs="Times New Roman"/>
          <w:color w:val="FFFFFF" w:themeColor="background1"/>
          <w:sz w:val="24"/>
          <w:szCs w:val="24"/>
          <w:lang w:val="id-ID" w:eastAsia="en-GB"/>
          <w14:textFill>
            <w14:solidFill>
              <w14:schemeClr w14:val="bg1"/>
            </w14:solidFill>
          </w14:textFill>
        </w:rPr>
        <w:t>_</w:t>
      </w:r>
      <w:r>
        <w:rPr>
          <w:rFonts w:ascii="Times New Roman" w:hAnsi="Times New Roman" w:eastAsia="Times New Roman" w:cs="Times New Roman"/>
          <w:sz w:val="24"/>
          <w:szCs w:val="24"/>
          <w:lang w:val="id-ID" w:eastAsia="en-GB"/>
        </w:rPr>
        <w:t xml:space="preserve">bagi setiap orang dan badan masyrakat akan menginat pernyataan ini bahwa akan berusaha semampu mungkin untuk mengajarkan serta mendidik untuk menjunjung tentang hak-hak dan kebebasan_dengan menggunakan tindakan-tindakan progresif yang bersifat nasional maupun internasional untuk menjamin pengakuan dan pelaksanaannya yang umum dan efektif, baik oleh bangsa-bangsa dari Negara Anggota sendiri maupun oleh bangsa-bangsa dari daerah yang berada di kekuasaan hukum mereka. Dalam studi Hubungan Internasional, Hak Asasi Manusia ( HAM ) disebut prespektif non-tradisional bertujuan mengedepankan keamanan manusia (human security ) atau keamanan untuk masyarakat </w:t>
      </w:r>
      <w:r>
        <w:rPr>
          <w:rFonts w:ascii="Times New Roman" w:hAnsi="Times New Roman" w:eastAsia="Times New Roman" w:cs="Times New Roman"/>
          <w:sz w:val="24"/>
          <w:szCs w:val="24"/>
          <w:lang w:val="id-ID" w:eastAsia="en-GB"/>
        </w:rPr>
        <w:fldChar w:fldCharType="begin" w:fldLock="1"/>
      </w:r>
      <w:r>
        <w:rPr>
          <w:rFonts w:ascii="Times New Roman" w:hAnsi="Times New Roman" w:eastAsia="Times New Roman" w:cs="Times New Roman"/>
          <w:sz w:val="24"/>
          <w:szCs w:val="24"/>
          <w:lang w:val="id-ID" w:eastAsia="en-GB"/>
        </w:rPr>
        <w:instrText xml:space="preserve">ADDIN CSL_CITATION {"citationItems":[{"id":"ITEM-1","itemData":{"author":[{"dropping-particle":"","family":"Budiardjo","given":"Mariam","non-dropping-particle":"","parse-names":false,"suffix":""}],"id":"ITEM-1","issued":{"date-parts":[["1989"]]},"publisher":"Gramedia","publisher-place":"Jakarta","title":"Dasar-Dasar Ilmu Politik","type":"book"},"uris":["http://www.mendeley.com/documents/?uuid=31b6f9f5-e25d-46b3-a5ed-93645eba63dd"]}],"mendeley":{"formattedCitation":"(Budiardjo, 1989)","plainTextFormattedCitation":"(Budiardjo, 1989)","previouslyFormattedCitation":"(Budiardjo, 1989)"},"properties":{"noteIndex":0},"schema":"https://github.com/citation-style-language/schema/raw/master/csl-citation.json"}</w:instrText>
      </w:r>
      <w:r>
        <w:rPr>
          <w:rFonts w:ascii="Times New Roman" w:hAnsi="Times New Roman" w:eastAsia="Times New Roman" w:cs="Times New Roman"/>
          <w:sz w:val="24"/>
          <w:szCs w:val="24"/>
          <w:lang w:val="id-ID" w:eastAsia="en-GB"/>
        </w:rPr>
        <w:fldChar w:fldCharType="separate"/>
      </w:r>
      <w:r>
        <w:rPr>
          <w:rFonts w:ascii="Times New Roman" w:hAnsi="Times New Roman" w:eastAsia="Times New Roman" w:cs="Times New Roman"/>
          <w:sz w:val="24"/>
          <w:szCs w:val="24"/>
          <w:lang w:val="id-ID" w:eastAsia="en-GB"/>
        </w:rPr>
        <w:t>(Budiardjo, 1989)</w:t>
      </w:r>
      <w:r>
        <w:rPr>
          <w:rFonts w:ascii="Times New Roman" w:hAnsi="Times New Roman" w:eastAsia="Times New Roman" w:cs="Times New Roman"/>
          <w:sz w:val="24"/>
          <w:szCs w:val="24"/>
          <w:lang w:val="id-ID" w:eastAsia="en-GB"/>
        </w:rPr>
        <w:fldChar w:fldCharType="end"/>
      </w:r>
      <w:r>
        <w:rPr>
          <w:rFonts w:ascii="Times New Roman" w:hAnsi="Times New Roman" w:eastAsia="Times New Roman" w:cs="Times New Roman"/>
          <w:sz w:val="24"/>
          <w:szCs w:val="24"/>
          <w:lang w:val="id-ID" w:eastAsia="en-GB"/>
        </w:rPr>
        <w:t xml:space="preserve">. </w:t>
      </w:r>
    </w:p>
    <w:p>
      <w:pPr>
        <w:spacing w:line="480" w:lineRule="auto"/>
        <w:ind w:firstLine="720"/>
        <w:jc w:val="both"/>
        <w:rPr>
          <w:rFonts w:ascii="Times New Roman" w:hAnsi="Times New Roman" w:eastAsia="Times New Roman" w:cs="Times New Roman"/>
          <w:sz w:val="24"/>
          <w:szCs w:val="24"/>
          <w:lang w:val="id-ID" w:eastAsia="en-GB"/>
        </w:rPr>
      </w:pPr>
      <w:r>
        <w:rPr>
          <w:rFonts w:ascii="Times New Roman" w:hAnsi="Times New Roman" w:eastAsia="Times New Roman" w:cs="Times New Roman"/>
          <w:sz w:val="24"/>
          <w:szCs w:val="24"/>
          <w:lang w:val="id-ID" w:eastAsia="en-GB"/>
        </w:rPr>
        <w:t>Hak Asasi Manusia (HAM) adalah norma-norma yang bersifat politis yang pada umumnya terkait dengan bagaimana orang seharusnya di perlakukan oleh negara dan institusi-institusinya (Nickel, 1987).</w:t>
      </w:r>
    </w:p>
    <w:p>
      <w:pPr>
        <w:spacing w:line="480" w:lineRule="auto"/>
        <w:ind w:firstLine="720"/>
        <w:jc w:val="both"/>
        <w:rPr>
          <w:rFonts w:ascii="Times New Roman" w:hAnsi="Times New Roman" w:eastAsia="Times New Roman" w:cs="Times New Roman"/>
          <w:sz w:val="24"/>
          <w:szCs w:val="24"/>
          <w:lang w:val="id-ID" w:eastAsia="en-GB"/>
        </w:rPr>
      </w:pPr>
      <w:r>
        <w:rPr>
          <w:rFonts w:ascii="Times New Roman" w:hAnsi="Times New Roman" w:eastAsia="Times New Roman" w:cs="Times New Roman"/>
          <w:sz w:val="24"/>
          <w:szCs w:val="24"/>
          <w:lang w:val="id-ID" w:eastAsia="en-GB"/>
        </w:rPr>
        <w:t xml:space="preserve">Dengan munculnya Hukum Internasional Hak Asasi Manusia yang diawali dengan resminya Deklarasi Universal HAM PBB (DUHAM PBB) yang terdiri dari Konvensi Internasional Penghapusan Segala Bentuk Diskriminasi Rasial, Konvensi Internasional Tentang Hak-Hak Anak, Konvensi Diskriminasi Terhadap Perempuan, dan lain-lain </w:t>
      </w:r>
      <w:r>
        <w:rPr>
          <w:rFonts w:ascii="Times New Roman" w:hAnsi="Times New Roman" w:eastAsia="Times New Roman" w:cs="Times New Roman"/>
          <w:sz w:val="24"/>
          <w:szCs w:val="24"/>
          <w:lang w:val="id-ID" w:eastAsia="en-GB"/>
        </w:rPr>
        <w:fldChar w:fldCharType="begin" w:fldLock="1"/>
      </w:r>
      <w:r>
        <w:rPr>
          <w:rFonts w:ascii="Times New Roman" w:hAnsi="Times New Roman" w:eastAsia="Times New Roman" w:cs="Times New Roman"/>
          <w:sz w:val="24"/>
          <w:szCs w:val="24"/>
          <w:lang w:val="id-ID" w:eastAsia="en-GB"/>
        </w:rPr>
        <w:instrText xml:space="preserve">ADDIN CSL_CITATION {"citationItems":[{"id":"ITEM-1","itemData":{"author":[{"dropping-particle":"","family":"Budiardjo","given":"Mariam","non-dropping-particle":"","parse-names":false,"suffix":""}],"id":"ITEM-1","issued":{"date-parts":[["1989"]]},"publisher":"Gramedia","publisher-place":"Jakarta","title":"Dasar-Dasar Ilmu Politik","type":"book"},"uris":["http://www.mendeley.com/documents/?uuid=31b6f9f5-e25d-46b3-a5ed-93645eba63dd"]}],"mendeley":{"formattedCitation":"(Budiardjo, 1989)","plainTextFormattedCitation":"(Budiardjo, 1989)","previouslyFormattedCitation":"(Budiardjo, 1989)"},"properties":{"noteIndex":0},"schema":"https://github.com/citation-style-language/schema/raw/master/csl-citation.json"}</w:instrText>
      </w:r>
      <w:r>
        <w:rPr>
          <w:rFonts w:ascii="Times New Roman" w:hAnsi="Times New Roman" w:eastAsia="Times New Roman" w:cs="Times New Roman"/>
          <w:sz w:val="24"/>
          <w:szCs w:val="24"/>
          <w:lang w:val="id-ID" w:eastAsia="en-GB"/>
        </w:rPr>
        <w:fldChar w:fldCharType="separate"/>
      </w:r>
      <w:r>
        <w:rPr>
          <w:rFonts w:ascii="Times New Roman" w:hAnsi="Times New Roman" w:eastAsia="Times New Roman" w:cs="Times New Roman"/>
          <w:sz w:val="24"/>
          <w:szCs w:val="24"/>
          <w:lang w:val="id-ID" w:eastAsia="en-GB"/>
        </w:rPr>
        <w:t>(Budiardjo, 1989)</w:t>
      </w:r>
      <w:r>
        <w:rPr>
          <w:rFonts w:ascii="Times New Roman" w:hAnsi="Times New Roman" w:eastAsia="Times New Roman" w:cs="Times New Roman"/>
          <w:sz w:val="24"/>
          <w:szCs w:val="24"/>
          <w:lang w:val="id-ID" w:eastAsia="en-GB"/>
        </w:rPr>
        <w:fldChar w:fldCharType="end"/>
      </w:r>
      <w:r>
        <w:rPr>
          <w:rFonts w:ascii="Times New Roman" w:hAnsi="Times New Roman" w:eastAsia="Times New Roman" w:cs="Times New Roman"/>
          <w:sz w:val="24"/>
          <w:szCs w:val="24"/>
          <w:lang w:val="id-ID" w:eastAsia="en-GB"/>
        </w:rPr>
        <w:t>.</w:t>
      </w:r>
    </w:p>
    <w:p>
      <w:pPr>
        <w:spacing w:line="480" w:lineRule="auto"/>
        <w:ind w:firstLine="720"/>
        <w:jc w:val="both"/>
        <w:rPr>
          <w:rFonts w:ascii="Times New Roman" w:hAnsi="Times New Roman" w:eastAsia="Times New Roman" w:cs="Times New Roman"/>
          <w:sz w:val="24"/>
          <w:szCs w:val="24"/>
          <w:lang w:val="id-ID" w:eastAsia="en-GB"/>
        </w:rPr>
      </w:pPr>
      <w:r>
        <w:rPr>
          <w:rFonts w:ascii="Times New Roman" w:hAnsi="Times New Roman" w:eastAsia="Times New Roman" w:cs="Times New Roman"/>
          <w:sz w:val="24"/>
          <w:szCs w:val="24"/>
          <w:lang w:val="id-ID" w:eastAsia="en-GB"/>
        </w:rPr>
        <w:t>Hak Asasi Manusia (HAM) pada masa sekarang sudah menjadi isu internasional yang sangat di pandang, jika suatu negara terbukti melakukan</w:t>
      </w:r>
      <w:r>
        <w:rPr>
          <w:rFonts w:ascii="Times New Roman" w:hAnsi="Times New Roman" w:eastAsia="Times New Roman" w:cs="Times New Roman"/>
          <w:color w:val="FFFFFF" w:themeColor="background1"/>
          <w:sz w:val="24"/>
          <w:szCs w:val="24"/>
          <w:lang w:val="id-ID" w:eastAsia="en-GB"/>
          <w14:textFill>
            <w14:solidFill>
              <w14:schemeClr w14:val="bg1"/>
            </w14:solidFill>
          </w14:textFill>
        </w:rPr>
        <w:t>-</w:t>
      </w:r>
      <w:r>
        <w:rPr>
          <w:rFonts w:ascii="Times New Roman" w:hAnsi="Times New Roman" w:eastAsia="Times New Roman" w:cs="Times New Roman"/>
          <w:sz w:val="24"/>
          <w:szCs w:val="24"/>
          <w:lang w:val="id-ID" w:eastAsia="en-GB"/>
        </w:rPr>
        <w:t>pelanggaran</w:t>
      </w:r>
      <w:r>
        <w:rPr>
          <w:rFonts w:ascii="Times New Roman" w:hAnsi="Times New Roman" w:eastAsia="Times New Roman" w:cs="Times New Roman"/>
          <w:color w:val="FFFFFF" w:themeColor="background1"/>
          <w:sz w:val="24"/>
          <w:szCs w:val="24"/>
          <w:lang w:val="id-ID" w:eastAsia="en-GB"/>
          <w14:textFill>
            <w14:solidFill>
              <w14:schemeClr w14:val="bg1"/>
            </w14:solidFill>
          </w14:textFill>
        </w:rPr>
        <w:t>-</w:t>
      </w:r>
      <w:r>
        <w:rPr>
          <w:rFonts w:ascii="Times New Roman" w:hAnsi="Times New Roman" w:eastAsia="Times New Roman" w:cs="Times New Roman"/>
          <w:sz w:val="24"/>
          <w:szCs w:val="24"/>
          <w:lang w:val="id-ID" w:eastAsia="en-GB"/>
        </w:rPr>
        <w:t>Hak</w:t>
      </w:r>
      <w:r>
        <w:rPr>
          <w:rFonts w:ascii="Times New Roman" w:hAnsi="Times New Roman" w:eastAsia="Times New Roman" w:cs="Times New Roman"/>
          <w:color w:val="FFFFFF" w:themeColor="background1"/>
          <w:sz w:val="24"/>
          <w:szCs w:val="24"/>
          <w:lang w:val="id-ID" w:eastAsia="en-GB"/>
          <w14:textFill>
            <w14:solidFill>
              <w14:schemeClr w14:val="bg1"/>
            </w14:solidFill>
          </w14:textFill>
        </w:rPr>
        <w:t>-</w:t>
      </w:r>
      <w:r>
        <w:rPr>
          <w:rFonts w:ascii="Times New Roman" w:hAnsi="Times New Roman" w:eastAsia="Times New Roman" w:cs="Times New Roman"/>
          <w:sz w:val="24"/>
          <w:szCs w:val="24"/>
          <w:lang w:val="id-ID" w:eastAsia="en-GB"/>
        </w:rPr>
        <w:t>Asasi</w:t>
      </w:r>
      <w:r>
        <w:rPr>
          <w:rFonts w:ascii="Times New Roman" w:hAnsi="Times New Roman" w:eastAsia="Times New Roman" w:cs="Times New Roman"/>
          <w:color w:val="FFFFFF" w:themeColor="background1"/>
          <w:sz w:val="24"/>
          <w:szCs w:val="24"/>
          <w:lang w:val="id-ID" w:eastAsia="en-GB"/>
          <w14:textFill>
            <w14:solidFill>
              <w14:schemeClr w14:val="bg1"/>
            </w14:solidFill>
          </w14:textFill>
        </w:rPr>
        <w:t>-</w:t>
      </w:r>
      <w:r>
        <w:rPr>
          <w:rFonts w:ascii="Times New Roman" w:hAnsi="Times New Roman" w:eastAsia="Times New Roman" w:cs="Times New Roman"/>
          <w:sz w:val="24"/>
          <w:szCs w:val="24"/>
          <w:lang w:val="id-ID" w:eastAsia="en-GB"/>
        </w:rPr>
        <w:t>Manusia, tidak menegakkan hukum HAM dengan baik akan dipandang menjadi hal yang buruk di pandangan masyarakat internasional. Apalagi isu tentang HAM yang terjadi ini melibatkan lebih dari satu negara. Pada masa ini, globalisasi memandang HAM harus di tegakan berdasarkan nilai-nilai dasar HAM yang bersifat universal. Hak Asasi Manusia muncul tidak hanya disebabkan oleh pengaruh politik dan hukum, tetapi juga dipengaruhi dari agama dan budaya. Isu</w:t>
      </w:r>
      <w:r>
        <w:rPr>
          <w:rFonts w:ascii="Times New Roman" w:hAnsi="Times New Roman" w:eastAsia="Times New Roman" w:cs="Times New Roman"/>
          <w:color w:val="FFFFFF" w:themeColor="background1"/>
          <w:sz w:val="24"/>
          <w:szCs w:val="24"/>
          <w:lang w:val="id-ID" w:eastAsia="en-GB"/>
          <w14:textFill>
            <w14:solidFill>
              <w14:schemeClr w14:val="bg1"/>
            </w14:solidFill>
          </w14:textFill>
        </w:rPr>
        <w:t>_</w:t>
      </w:r>
      <w:r>
        <w:rPr>
          <w:rFonts w:ascii="Times New Roman" w:hAnsi="Times New Roman" w:eastAsia="Times New Roman" w:cs="Times New Roman"/>
          <w:sz w:val="24"/>
          <w:szCs w:val="24"/>
          <w:lang w:val="id-ID" w:eastAsia="en-GB"/>
        </w:rPr>
        <w:t>keamanan</w:t>
      </w:r>
      <w:r>
        <w:rPr>
          <w:rFonts w:ascii="Times New Roman" w:hAnsi="Times New Roman" w:eastAsia="Times New Roman" w:cs="Times New Roman"/>
          <w:color w:val="FFFFFF" w:themeColor="background1"/>
          <w:sz w:val="24"/>
          <w:szCs w:val="24"/>
          <w:lang w:val="id-ID" w:eastAsia="en-GB"/>
          <w14:textFill>
            <w14:solidFill>
              <w14:schemeClr w14:val="bg1"/>
            </w14:solidFill>
          </w14:textFill>
        </w:rPr>
        <w:t>_</w:t>
      </w:r>
      <w:r>
        <w:rPr>
          <w:rFonts w:ascii="Times New Roman" w:hAnsi="Times New Roman" w:eastAsia="Times New Roman" w:cs="Times New Roman"/>
          <w:sz w:val="24"/>
          <w:szCs w:val="24"/>
          <w:lang w:val="id-ID" w:eastAsia="en-GB"/>
        </w:rPr>
        <w:t>yang sekarang telah</w:t>
      </w:r>
      <w:r>
        <w:rPr>
          <w:rFonts w:ascii="Times New Roman" w:hAnsi="Times New Roman" w:eastAsia="Times New Roman" w:cs="Times New Roman"/>
          <w:color w:val="FFFFFF" w:themeColor="background1"/>
          <w:sz w:val="24"/>
          <w:szCs w:val="24"/>
          <w:lang w:val="id-ID" w:eastAsia="en-GB"/>
          <w14:textFill>
            <w14:solidFill>
              <w14:schemeClr w14:val="bg1"/>
            </w14:solidFill>
          </w14:textFill>
        </w:rPr>
        <w:t>_</w:t>
      </w:r>
      <w:r>
        <w:rPr>
          <w:rFonts w:ascii="Times New Roman" w:hAnsi="Times New Roman" w:eastAsia="Times New Roman" w:cs="Times New Roman"/>
          <w:sz w:val="24"/>
          <w:szCs w:val="24"/>
          <w:lang w:val="id-ID" w:eastAsia="en-GB"/>
        </w:rPr>
        <w:t>meluas disebabkan karena adanya</w:t>
      </w:r>
      <w:r>
        <w:rPr>
          <w:rFonts w:ascii="Times New Roman" w:hAnsi="Times New Roman" w:eastAsia="Times New Roman" w:cs="Times New Roman"/>
          <w:color w:val="FFFFFF" w:themeColor="background1"/>
          <w:sz w:val="24"/>
          <w:szCs w:val="24"/>
          <w:lang w:val="id-ID" w:eastAsia="en-GB"/>
          <w14:textFill>
            <w14:solidFill>
              <w14:schemeClr w14:val="bg1"/>
            </w14:solidFill>
          </w14:textFill>
        </w:rPr>
        <w:t>_</w:t>
      </w:r>
      <w:r>
        <w:rPr>
          <w:rFonts w:ascii="Times New Roman" w:hAnsi="Times New Roman" w:eastAsia="Times New Roman" w:cs="Times New Roman"/>
          <w:sz w:val="24"/>
          <w:szCs w:val="24"/>
          <w:lang w:val="id-ID" w:eastAsia="en-GB"/>
        </w:rPr>
        <w:t>berbagai</w:t>
      </w:r>
      <w:r>
        <w:rPr>
          <w:rFonts w:ascii="Times New Roman" w:hAnsi="Times New Roman" w:eastAsia="Times New Roman" w:cs="Times New Roman"/>
          <w:color w:val="FFFFFF" w:themeColor="background1"/>
          <w:sz w:val="24"/>
          <w:szCs w:val="24"/>
          <w:lang w:val="id-ID" w:eastAsia="en-GB"/>
          <w14:textFill>
            <w14:solidFill>
              <w14:schemeClr w14:val="bg1"/>
            </w14:solidFill>
          </w14:textFill>
        </w:rPr>
        <w:t>_</w:t>
      </w:r>
      <w:r>
        <w:rPr>
          <w:rFonts w:ascii="Times New Roman" w:hAnsi="Times New Roman" w:eastAsia="Times New Roman" w:cs="Times New Roman"/>
          <w:sz w:val="24"/>
          <w:szCs w:val="24"/>
          <w:lang w:val="id-ID" w:eastAsia="en-GB"/>
        </w:rPr>
        <w:t xml:space="preserve">konflik yang terjadi di belahan dunia seperti halnya konflik etnis. Konflik etnis yang dapat menjadi perhatian dunia ialah ketika konflik berpotensi ke arah genosida, adanya keterlibatan negara atau kelompok masyarakat di negara lain, dan implikasi konflik etnis di tingkat regional </w:t>
      </w:r>
      <w:r>
        <w:rPr>
          <w:rFonts w:ascii="Times New Roman" w:hAnsi="Times New Roman" w:eastAsia="Times New Roman" w:cs="Times New Roman"/>
          <w:sz w:val="24"/>
          <w:szCs w:val="24"/>
          <w:lang w:val="id-ID" w:eastAsia="en-GB"/>
        </w:rPr>
        <w:fldChar w:fldCharType="begin" w:fldLock="1"/>
      </w:r>
      <w:r>
        <w:rPr>
          <w:rFonts w:ascii="Times New Roman" w:hAnsi="Times New Roman" w:eastAsia="Times New Roman" w:cs="Times New Roman"/>
          <w:sz w:val="24"/>
          <w:szCs w:val="24"/>
          <w:lang w:val="id-ID" w:eastAsia="en-GB"/>
        </w:rPr>
        <w:instrText xml:space="preserve">ADDIN CSL_CITATION {"citationItems":[{"id":"ITEM-1","itemData":{"author":[{"dropping-particle":"","family":"Winarno","given":"Budi","non-dropping-particle":"","parse-names":false,"suffix":""}],"id":"ITEM-1","issued":{"date-parts":[["2002"]]},"publisher":"Media Pressindo","publisher-place":"Yogyakarta","title":"Teori dan Proses Kebijakan Publik","type":"book"},"locator":"257","uris":["http://www.mendeley.com/documents/?uuid=f6211b38-a27b-453d-84fb-70617487129e"]}],"mendeley":{"formattedCitation":"(Winarno, 2002, p. 257)","plainTextFormattedCitation":"(Winarno, 2002, p. 257)","previouslyFormattedCitation":"(Winarno, 2002, p. 257)"},"properties":{"noteIndex":0},"schema":"https://github.com/citation-style-language/schema/raw/master/csl-citation.json"}</w:instrText>
      </w:r>
      <w:r>
        <w:rPr>
          <w:rFonts w:ascii="Times New Roman" w:hAnsi="Times New Roman" w:eastAsia="Times New Roman" w:cs="Times New Roman"/>
          <w:sz w:val="24"/>
          <w:szCs w:val="24"/>
          <w:lang w:val="id-ID" w:eastAsia="en-GB"/>
        </w:rPr>
        <w:fldChar w:fldCharType="separate"/>
      </w:r>
      <w:r>
        <w:rPr>
          <w:rFonts w:ascii="Times New Roman" w:hAnsi="Times New Roman" w:eastAsia="Times New Roman" w:cs="Times New Roman"/>
          <w:sz w:val="24"/>
          <w:szCs w:val="24"/>
          <w:lang w:val="id-ID" w:eastAsia="en-GB"/>
        </w:rPr>
        <w:t>(Winarno, 2002, p. 257)</w:t>
      </w:r>
      <w:r>
        <w:rPr>
          <w:rFonts w:ascii="Times New Roman" w:hAnsi="Times New Roman" w:eastAsia="Times New Roman" w:cs="Times New Roman"/>
          <w:sz w:val="24"/>
          <w:szCs w:val="24"/>
          <w:lang w:val="id-ID" w:eastAsia="en-GB"/>
        </w:rPr>
        <w:fldChar w:fldCharType="end"/>
      </w:r>
      <w:r>
        <w:rPr>
          <w:rFonts w:ascii="Times New Roman" w:hAnsi="Times New Roman" w:eastAsia="Times New Roman" w:cs="Times New Roman"/>
          <w:sz w:val="24"/>
          <w:szCs w:val="24"/>
          <w:lang w:val="id-ID" w:eastAsia="en-GB"/>
        </w:rPr>
        <w:t xml:space="preserve">. </w:t>
      </w:r>
    </w:p>
    <w:p>
      <w:pPr>
        <w:spacing w:line="480" w:lineRule="auto"/>
        <w:ind w:firstLine="720"/>
        <w:jc w:val="both"/>
        <w:rPr>
          <w:rFonts w:ascii="Times New Roman" w:hAnsi="Times New Roman" w:eastAsia="Times New Roman" w:cs="Times New Roman"/>
          <w:sz w:val="24"/>
          <w:szCs w:val="24"/>
          <w:lang w:val="id-ID" w:eastAsia="en-GB"/>
        </w:rPr>
      </w:pPr>
      <w:r>
        <w:rPr>
          <w:rFonts w:ascii="Times New Roman" w:hAnsi="Times New Roman" w:eastAsia="Times New Roman" w:cs="Times New Roman"/>
          <w:sz w:val="24"/>
          <w:szCs w:val="24"/>
          <w:lang w:val="id-ID" w:eastAsia="en-GB"/>
        </w:rPr>
        <w:t xml:space="preserve">Konflik yang terjadi di Lebanon melibatkan banyaknya korban jiwa, adanya korban yang mengalami luka-luka dan kehilangan tempat tinggalnya hal ini memicu terjadinya penumpukan pengungsi yang bermigrasi ke negara tetangga untuk mendapatkan perlindungan, rasa aman, dan kehidupan yang layak. Berawal perang yang melibatkan sesama Suriah ( perang saudara ) yang terjadi Maret 2011 yang menyebabkan korban lebih dari 1,5 juta jiwa membentuk adanya para pengungsi Suriah, para pengungsi ini melarikan diri ke negara di sekitaran Suriah yaitu Lebanon sehingga para pengungsi ini memenuhi Lebanon hingga satu perempat populasi dari penduduk asli Lebanon. Akibat perang ini, Lebanon juga memiliki populasi pengungsi per kapita terbesar di dunia </w:t>
      </w:r>
      <w:r>
        <w:rPr>
          <w:rFonts w:ascii="Times New Roman" w:hAnsi="Times New Roman" w:eastAsia="Times New Roman" w:cs="Times New Roman"/>
          <w:sz w:val="24"/>
          <w:szCs w:val="24"/>
          <w:lang w:val="id-ID" w:eastAsia="en-GB"/>
        </w:rPr>
        <w:fldChar w:fldCharType="begin" w:fldLock="1"/>
      </w:r>
      <w:r>
        <w:rPr>
          <w:rFonts w:ascii="Times New Roman" w:hAnsi="Times New Roman" w:eastAsia="Times New Roman" w:cs="Times New Roman"/>
          <w:sz w:val="24"/>
          <w:szCs w:val="24"/>
          <w:lang w:val="id-ID" w:eastAsia="en-GB"/>
        </w:rPr>
        <w:instrText xml:space="preserve">ADDIN CSL_CITATION {"citationItems":[{"id":"ITEM-1","itemData":{"DOI":"10.1016/j.rhm.2016.04.008","ISSN":"14609576","PMID":"27578336","abstract":"Since the uprising in Syria in March 2011, over 4.3 million Syrians have fled to neighboring countries. Over a million have sought refuge in Lebanon, constituting almost a quarter of the Lebanese population and becoming the largest refugee population per capita in the world. With inequitable health coverage being a longstanding problem in Lebanon, Syrian refugee women's health, and specifically their sexual and reproductive health, is disproportionately affected. An increase in gender-based violence and early marriage, a lack of access to emergency obstetric care, limited access to contraception, forced cesarean sections, and high cost of healthcare services, all contribute to poor sexual and reproductive health. In this commentary, we conceptualize violence against Syrian refugee women using the ecological model, exploring the intersections of discrimination based on ethnicity, gender, and socioeconomic status, while critiquing interventions that focus solely on the intrapersonal level and ignore the role of microsystemic, exosystemic, and macrosystemic factors of negative influence. These social determinants of health supersede the individual realm of health behavior, and hinder women in taking decisions about their sexual and reproductive health.","author":[{"dropping-particle":"","family":"Yasmine","given":"Rola","non-dropping-particle":"","parse-names":false,"suffix":""},{"dropping-particle":"","family":"Moughalian","given":"Catherine","non-dropping-particle":"","parse-names":false,"suffix":""}],"container-title":"Reproductive Health Matters","id":"ITEM-1","issue":"47","issued":{"date-parts":[["2016"]]},"page":"27-35","publisher":"Elsevier Inc.","title":"Systemic violence against Syrian refugee women and the myth of effective intrapersonal interventions","type":"article-journal","volume":"24"},"uris":["http://www.mendeley.com/documents/?uuid=da56dced-57fd-4b59-8cf9-532a53b4ba71"]}],"mendeley":{"formattedCitation":"(Yasmine &amp; Moughalian, 2016)","plainTextFormattedCitation":"(Yasmine &amp; Moughalian, 2016)","previouslyFormattedCitation":"(Yasmine &amp; Moughalian, 2016)"},"properties":{"noteIndex":0},"schema":"https://github.com/citation-style-language/schema/raw/master/csl-citation.json"}</w:instrText>
      </w:r>
      <w:r>
        <w:rPr>
          <w:rFonts w:ascii="Times New Roman" w:hAnsi="Times New Roman" w:eastAsia="Times New Roman" w:cs="Times New Roman"/>
          <w:sz w:val="24"/>
          <w:szCs w:val="24"/>
          <w:lang w:val="id-ID" w:eastAsia="en-GB"/>
        </w:rPr>
        <w:fldChar w:fldCharType="separate"/>
      </w:r>
      <w:r>
        <w:rPr>
          <w:rFonts w:ascii="Times New Roman" w:hAnsi="Times New Roman" w:eastAsia="Times New Roman" w:cs="Times New Roman"/>
          <w:sz w:val="24"/>
          <w:szCs w:val="24"/>
          <w:lang w:val="id-ID" w:eastAsia="en-GB"/>
        </w:rPr>
        <w:t>(Yasmine &amp; Moughalian, 2016)</w:t>
      </w:r>
      <w:r>
        <w:rPr>
          <w:rFonts w:ascii="Times New Roman" w:hAnsi="Times New Roman" w:eastAsia="Times New Roman" w:cs="Times New Roman"/>
          <w:sz w:val="24"/>
          <w:szCs w:val="24"/>
          <w:lang w:val="id-ID" w:eastAsia="en-GB"/>
        </w:rPr>
        <w:fldChar w:fldCharType="end"/>
      </w:r>
      <w:r>
        <w:rPr>
          <w:rFonts w:ascii="Times New Roman" w:hAnsi="Times New Roman" w:eastAsia="Times New Roman" w:cs="Times New Roman"/>
          <w:sz w:val="24"/>
          <w:szCs w:val="24"/>
          <w:lang w:val="id-ID" w:eastAsia="en-GB"/>
        </w:rPr>
        <w:t>.</w:t>
      </w:r>
    </w:p>
    <w:p>
      <w:pPr>
        <w:spacing w:line="480" w:lineRule="auto"/>
        <w:ind w:firstLine="720"/>
        <w:jc w:val="both"/>
        <w:rPr>
          <w:rFonts w:ascii="Times New Roman" w:hAnsi="Times New Roman" w:eastAsia="Times New Roman" w:cs="Times New Roman"/>
          <w:sz w:val="24"/>
          <w:szCs w:val="24"/>
          <w:lang w:val="id-ID" w:eastAsia="en-GB"/>
        </w:rPr>
      </w:pPr>
      <w:r>
        <w:rPr>
          <w:rFonts w:ascii="Times New Roman" w:hAnsi="Times New Roman" w:eastAsia="Times New Roman" w:cs="Times New Roman"/>
          <w:sz w:val="24"/>
          <w:szCs w:val="24"/>
          <w:lang w:val="id-ID" w:eastAsia="en-GB"/>
        </w:rPr>
        <w:t xml:space="preserve">Grafik status pengungsi yang dimililki UNHCR menggambarkan banyaknya pengungsi Suriah yang memasuki Lebaon dimulai pada tahun 2012 sampai 2021 sekarang, diawali tahun 2012 yang membuat banyaknya pengungsi Suriah masuk ke Lebanon menyebabkan pihak pemerintah Lebanon tidak sanggup menampung jumlahnya selalu naik dari 36.000 hingga 150.000 ( bulan agustus - desember 2012 ) kemudian pada bulan Mei 2013 semakin bertambah menjadi 463.000 hingga oktober 2014 melesat naik sejumlah 1.151. Namun, angka-angka ini hanya perkiraan, mengingat pengungsi lain takut mendaftar kepada pemerintah Lebanon yang dianggap pro-Assad </w:t>
      </w:r>
      <w:r>
        <w:rPr>
          <w:rFonts w:ascii="Times New Roman" w:hAnsi="Times New Roman" w:eastAsia="Times New Roman" w:cs="Times New Roman"/>
          <w:sz w:val="24"/>
          <w:szCs w:val="24"/>
          <w:lang w:val="id-ID" w:eastAsia="en-GB"/>
        </w:rPr>
        <w:fldChar w:fldCharType="begin" w:fldLock="1"/>
      </w:r>
      <w:r>
        <w:rPr>
          <w:rFonts w:ascii="Times New Roman" w:hAnsi="Times New Roman" w:eastAsia="Times New Roman" w:cs="Times New Roman"/>
          <w:sz w:val="24"/>
          <w:szCs w:val="24"/>
          <w:lang w:val="id-ID" w:eastAsia="en-GB"/>
        </w:rPr>
        <w:instrText xml:space="preserve">ADDIN CSL_CITATION {"citationItems":[{"id":"ITEM-1","itemData":{"URL":"https://www.jstor.org/stable/26351322?seq=2#metadata_info_tab_contents","accessed":{"date-parts":[["2021","1","7"]]},"author":[{"dropping-particle":"","family":"Chantal Azzam","given":"","non-dropping-particle":"","parse-names":false,"suffix":""}],"container-title":"International Centre for Political Violence and Terrorism Research","id":"ITEM-1","issued":{"date-parts":[["2015"]]},"page":"71-74","title":"Lebanon on JSTOR","type":"webpage"},"uris":["http://www.mendeley.com/documents/?uuid=e78480ee-3f37-341c-80b2-abab82be11aa"]}],"mendeley":{"formattedCitation":"(Chantal Azzam, 2015)","plainTextFormattedCitation":"(Chantal Azzam, 2015)","previouslyFormattedCitation":"(Chantal Azzam, 2015)"},"properties":{"noteIndex":0},"schema":"https://github.com/citation-style-language/schema/raw/master/csl-citation.json"}</w:instrText>
      </w:r>
      <w:r>
        <w:rPr>
          <w:rFonts w:ascii="Times New Roman" w:hAnsi="Times New Roman" w:eastAsia="Times New Roman" w:cs="Times New Roman"/>
          <w:sz w:val="24"/>
          <w:szCs w:val="24"/>
          <w:lang w:val="id-ID" w:eastAsia="en-GB"/>
        </w:rPr>
        <w:fldChar w:fldCharType="separate"/>
      </w:r>
      <w:r>
        <w:rPr>
          <w:rFonts w:ascii="Times New Roman" w:hAnsi="Times New Roman" w:eastAsia="Times New Roman" w:cs="Times New Roman"/>
          <w:sz w:val="24"/>
          <w:szCs w:val="24"/>
          <w:lang w:val="id-ID" w:eastAsia="en-GB"/>
        </w:rPr>
        <w:t>(Chantal Azzam, 2015)</w:t>
      </w:r>
      <w:r>
        <w:rPr>
          <w:rFonts w:ascii="Times New Roman" w:hAnsi="Times New Roman" w:eastAsia="Times New Roman" w:cs="Times New Roman"/>
          <w:sz w:val="24"/>
          <w:szCs w:val="24"/>
          <w:lang w:val="id-ID" w:eastAsia="en-GB"/>
        </w:rPr>
        <w:fldChar w:fldCharType="end"/>
      </w:r>
      <w:r>
        <w:rPr>
          <w:rFonts w:ascii="Times New Roman" w:hAnsi="Times New Roman" w:eastAsia="Times New Roman" w:cs="Times New Roman"/>
          <w:sz w:val="24"/>
          <w:szCs w:val="24"/>
          <w:lang w:val="id-ID" w:eastAsia="en-GB"/>
        </w:rPr>
        <w:t xml:space="preserve">. Hal ini menjadikan para pengungsi khususnya kaum perempuan Suriah memilih meninggalkan Lebanon, bertujuan agar mendapatkan perlindungan dan menghindari konflik. </w:t>
      </w:r>
    </w:p>
    <w:p>
      <w:pPr>
        <w:spacing w:line="480" w:lineRule="auto"/>
        <w:ind w:firstLine="720"/>
        <w:jc w:val="both"/>
        <w:rPr>
          <w:rFonts w:ascii="Times New Roman" w:hAnsi="Times New Roman" w:eastAsia="Times New Roman" w:cs="Times New Roman"/>
          <w:sz w:val="24"/>
          <w:szCs w:val="24"/>
          <w:lang w:val="id-ID" w:eastAsia="en-GB"/>
        </w:rPr>
      </w:pPr>
      <w:r>
        <w:rPr>
          <w:rFonts w:ascii="Times New Roman" w:hAnsi="Times New Roman" w:eastAsia="Times New Roman" w:cs="Times New Roman"/>
          <w:sz w:val="24"/>
          <w:szCs w:val="24"/>
          <w:lang w:val="id-ID" w:eastAsia="en-GB"/>
        </w:rPr>
        <w:t xml:space="preserve">Konflik Lebanon menyebabkan terjadinya pelanggaran Hak Asasi Manusia (HAM) yang sangat prihatin. Para pangungsi perempuan yang sangat membutuhkan perlindungan malah di perlakukan seperti tidak manusiawi, yaitu dengan timbulnya pernikahan dini hal ini dikarenakan adanya kesulitan ekonomi yang di rasakan ketika perang, harta benda habis, tempat tinggal tidak ada, krisis semakin meningkat dan juga untuk bertahan hidup mereka semakin putus asa. Dengan meningkatnya pernikahan dini yang di alami para pengungsi Suriah di wliayah konlfik Lebanon, di dominasi anak-anak yang berusia 13-14 tahun yang mulai memasuki remaja, mereka di paksakan untuk menikah. Dalam peninjauan menunjukkan, ternyata keberadaan para pengungsi di Lebanon pada awal 2019 mengalami kehidupan yang menyedihkan karna para gadis yang berusia 15 sampai 19 tahun 27% pengungsi Suriah telah menikah dan dari hasil ini menunjukan bahwa akan semakin mengalami krisis ekonomi hingga sekarang. </w:t>
      </w:r>
      <w:r>
        <w:rPr>
          <w:rFonts w:ascii="Times New Roman" w:hAnsi="Times New Roman" w:eastAsia="Times New Roman" w:cs="Times New Roman"/>
          <w:sz w:val="24"/>
          <w:szCs w:val="24"/>
          <w:lang w:val="id-ID" w:eastAsia="en-GB"/>
        </w:rPr>
        <w:fldChar w:fldCharType="begin" w:fldLock="1"/>
      </w:r>
      <w:r>
        <w:rPr>
          <w:rFonts w:ascii="Times New Roman" w:hAnsi="Times New Roman" w:eastAsia="Times New Roman" w:cs="Times New Roman"/>
          <w:sz w:val="24"/>
          <w:szCs w:val="24"/>
          <w:lang w:val="id-ID" w:eastAsia="en-GB"/>
        </w:rPr>
        <w:instrText xml:space="preserve">ADDIN CSL_CITATION {"citationItems":[{"id":"ITEM-1","itemData":{"author":[{"dropping-particle":"","family":"Mabruroh","given":"","non-dropping-particle":"","parse-names":false,"suffix":""}],"id":"ITEM-1","issued":{"date-parts":[["2020"]]},"title":"Impitan Ekonomi, Pengungsi Suriah Paksa Anak 13 Tahun Nikah","type":"report"},"uris":["http://www.mendeley.com/documents/?uuid=ce6fb252-6af4-471e-b718-a053865d46f4"]}],"mendeley":{"formattedCitation":"(Mabruroh, 2020)","plainTextFormattedCitation":"(Mabruroh, 2020)","previouslyFormattedCitation":"(Mabruroh, 2020)"},"properties":{"noteIndex":0},"schema":"https://github.com/citation-style-language/schema/raw/master/csl-citation.json"}</w:instrText>
      </w:r>
      <w:r>
        <w:rPr>
          <w:rFonts w:ascii="Times New Roman" w:hAnsi="Times New Roman" w:eastAsia="Times New Roman" w:cs="Times New Roman"/>
          <w:sz w:val="24"/>
          <w:szCs w:val="24"/>
          <w:lang w:val="id-ID" w:eastAsia="en-GB"/>
        </w:rPr>
        <w:fldChar w:fldCharType="separate"/>
      </w:r>
      <w:r>
        <w:rPr>
          <w:rFonts w:ascii="Times New Roman" w:hAnsi="Times New Roman" w:eastAsia="Times New Roman" w:cs="Times New Roman"/>
          <w:sz w:val="24"/>
          <w:szCs w:val="24"/>
          <w:lang w:val="id-ID" w:eastAsia="en-GB"/>
        </w:rPr>
        <w:t>(Mabruroh, 2020)</w:t>
      </w:r>
      <w:r>
        <w:rPr>
          <w:rFonts w:ascii="Times New Roman" w:hAnsi="Times New Roman" w:eastAsia="Times New Roman" w:cs="Times New Roman"/>
          <w:sz w:val="24"/>
          <w:szCs w:val="24"/>
          <w:lang w:val="id-ID" w:eastAsia="en-GB"/>
        </w:rPr>
        <w:fldChar w:fldCharType="end"/>
      </w:r>
      <w:r>
        <w:rPr>
          <w:rFonts w:ascii="Times New Roman" w:hAnsi="Times New Roman" w:eastAsia="Times New Roman" w:cs="Times New Roman"/>
          <w:sz w:val="24"/>
          <w:szCs w:val="24"/>
          <w:lang w:val="id-ID" w:eastAsia="en-GB"/>
        </w:rPr>
        <w:t xml:space="preserve">. </w:t>
      </w:r>
    </w:p>
    <w:p>
      <w:pPr>
        <w:spacing w:line="480" w:lineRule="auto"/>
        <w:ind w:firstLine="720"/>
        <w:jc w:val="both"/>
        <w:rPr>
          <w:rFonts w:ascii="Times New Roman" w:hAnsi="Times New Roman" w:eastAsia="Times New Roman" w:cs="Times New Roman"/>
          <w:sz w:val="24"/>
          <w:szCs w:val="24"/>
          <w:lang w:val="id-ID" w:eastAsia="en-GB"/>
        </w:rPr>
      </w:pPr>
      <w:r>
        <w:rPr>
          <w:rFonts w:ascii="Times New Roman" w:hAnsi="Times New Roman" w:eastAsia="Times New Roman" w:cs="Times New Roman"/>
          <w:sz w:val="24"/>
          <w:szCs w:val="24"/>
          <w:lang w:val="id-ID" w:eastAsia="en-GB"/>
        </w:rPr>
        <w:t xml:space="preserve">Meningkatnya kasus pernikahan dini di daerah tersebut, para relawan memutuskan untuk bertugas melindungi para korban dengan membuat kesepakatan mengadakan kampanye yang menyuarakan bahwa pernikahan dilakukan di atas umur 18 tahun, para relawan lebih memilih fokus dalam menjalani kampanye dari pada membuat peraturan undang-undang hal ini dikarenakan agar semua orang sadar dengan melakukan pernikahan dini malah akan membuat masa depan kurang baik, serta terjadinya pebudakan. Kerugian yang dialami bagi para korban khusunya anak-anak di bawah umur akan membuat dirinya terkucilkan serta memiliki keterbatasan untuk menunjukan ekspresi dan pemenuhan kebutuhan Hak apalahi anak-anak remaja perempuan yang sudah menikah akan merasa dirinya tak berdaya. Meraka tidak akan memiliiki hak-hak kesehatan dan pendidikan. Bagi anak-anak yang melakukan pernikahan dibawah umur mereka tidak memilki persiapan secara fisik maupun emosional untuk menanggung tanggung jawab sebagai seorang ibu bagi anak-anak dan istri untuk suaminya. Pada kasus ini para perempuan remaja yang menikah dini akan lebih rantan mengalami tertular HIV / AIDS, membahayakan kehamilan dan janinnya, serta adanya KDRT. Hal ini terjadi karena kesiapan diri mereka dalam mengetahui cara mentasi permasalahan serta pencegahan karna kurangnya pendidikan serta kesulitan ekonomi. </w:t>
      </w:r>
      <w:r>
        <w:rPr>
          <w:rFonts w:ascii="Times New Roman" w:hAnsi="Times New Roman" w:eastAsia="Times New Roman" w:cs="Times New Roman"/>
          <w:sz w:val="24"/>
          <w:szCs w:val="24"/>
          <w:lang w:val="id-ID" w:eastAsia="en-GB"/>
        </w:rPr>
        <w:fldChar w:fldCharType="begin" w:fldLock="1"/>
      </w:r>
      <w:r>
        <w:rPr>
          <w:rFonts w:ascii="Times New Roman" w:hAnsi="Times New Roman" w:eastAsia="Times New Roman" w:cs="Times New Roman"/>
          <w:sz w:val="24"/>
          <w:szCs w:val="24"/>
          <w:lang w:val="id-ID" w:eastAsia="en-GB"/>
        </w:rPr>
        <w:instrText xml:space="preserve">ADDIN CSL_CITATION {"citationItems":[{"id":"ITEM-1","itemData":{"id":"ITEM-1","issued":{"date-parts":[["2017"]]},"title":"Girls Not Brides, n.d. What Is the Impact of Child Marriage?","type":"report"},"uris":["http://www.mendeley.com/documents/?uuid=873635fd-a2ea-455f-b712-5a0ac089dad3"]}],"mendeley":{"formattedCitation":"(&lt;i&gt;Girls Not Brides, n.d. What Is the Impact of Child Marriage?&lt;/i&gt;, 2017)","plainTextFormattedCitation":"(Girls Not Brides, n.d. What Is the Impact of Child Marriage?, 2017)","previouslyFormattedCitation":"(&lt;i&gt;Girls Not Brides, n.d. What Is the Impact of Child Marriage?&lt;/i&gt;, 2017)"},"properties":{"noteIndex":0},"schema":"https://github.com/citation-style-language/schema/raw/master/csl-citation.json"}</w:instrText>
      </w:r>
      <w:r>
        <w:rPr>
          <w:rFonts w:ascii="Times New Roman" w:hAnsi="Times New Roman" w:eastAsia="Times New Roman" w:cs="Times New Roman"/>
          <w:sz w:val="24"/>
          <w:szCs w:val="24"/>
          <w:lang w:val="id-ID" w:eastAsia="en-GB"/>
        </w:rPr>
        <w:fldChar w:fldCharType="separate"/>
      </w:r>
      <w:r>
        <w:rPr>
          <w:rFonts w:ascii="Times New Roman" w:hAnsi="Times New Roman" w:eastAsia="Times New Roman" w:cs="Times New Roman"/>
          <w:sz w:val="24"/>
          <w:szCs w:val="24"/>
          <w:lang w:val="id-ID" w:eastAsia="en-GB"/>
        </w:rPr>
        <w:t>(</w:t>
      </w:r>
      <w:r>
        <w:rPr>
          <w:rFonts w:ascii="Times New Roman" w:hAnsi="Times New Roman" w:eastAsia="Times New Roman" w:cs="Times New Roman"/>
          <w:i/>
          <w:sz w:val="24"/>
          <w:szCs w:val="24"/>
          <w:lang w:val="id-ID" w:eastAsia="en-GB"/>
        </w:rPr>
        <w:t>Girls Not Brides, n.d. What Is the Impact of Child Marriage?</w:t>
      </w:r>
      <w:r>
        <w:rPr>
          <w:rFonts w:ascii="Times New Roman" w:hAnsi="Times New Roman" w:eastAsia="Times New Roman" w:cs="Times New Roman"/>
          <w:sz w:val="24"/>
          <w:szCs w:val="24"/>
          <w:lang w:val="id-ID" w:eastAsia="en-GB"/>
        </w:rPr>
        <w:t>, 2017)</w:t>
      </w:r>
      <w:r>
        <w:rPr>
          <w:rFonts w:ascii="Times New Roman" w:hAnsi="Times New Roman" w:eastAsia="Times New Roman" w:cs="Times New Roman"/>
          <w:sz w:val="24"/>
          <w:szCs w:val="24"/>
          <w:lang w:val="id-ID" w:eastAsia="en-GB"/>
        </w:rPr>
        <w:fldChar w:fldCharType="end"/>
      </w:r>
      <w:r>
        <w:rPr>
          <w:rFonts w:ascii="Times New Roman" w:hAnsi="Times New Roman" w:eastAsia="Times New Roman" w:cs="Times New Roman"/>
          <w:sz w:val="24"/>
          <w:szCs w:val="24"/>
          <w:lang w:val="id-ID" w:eastAsia="en-GB"/>
        </w:rPr>
        <w:t>.</w:t>
      </w:r>
    </w:p>
    <w:p>
      <w:pPr>
        <w:spacing w:line="480" w:lineRule="auto"/>
        <w:ind w:firstLine="720"/>
        <w:jc w:val="both"/>
        <w:rPr>
          <w:rFonts w:ascii="Times New Roman" w:hAnsi="Times New Roman" w:eastAsia="Times New Roman" w:cs="Times New Roman"/>
          <w:sz w:val="24"/>
          <w:szCs w:val="24"/>
          <w:lang w:val="id-ID" w:eastAsia="en-GB"/>
        </w:rPr>
      </w:pPr>
      <w:r>
        <w:rPr>
          <w:rFonts w:ascii="Times New Roman" w:hAnsi="Times New Roman" w:eastAsia="Times New Roman" w:cs="Times New Roman"/>
          <w:sz w:val="24"/>
          <w:szCs w:val="24"/>
          <w:lang w:val="id-ID" w:eastAsia="en-GB"/>
        </w:rPr>
        <w:t xml:space="preserve">Pelanggaran HAM yang terjadi di wilayah Lebaon memakan korban perempuan baik anak-anak perempuan, dewasa maupun lansia hal ini membuat para kaum perempuan menjadi korban eksploitasi termasuk kekerasan seksual, hal ini terjadi dikarenakan menurunnya tingkat bantuan tingkat internasional yang diberikan kepada para pengungsi, hubungannya tingkat penurunan pemberian bantuan terhadap pelecehan perempuan karena mereka bekerja untuk memenuhi kebutuhan hidup, sewa tempat tinggal dengan biaya yang sangat tinggi, kesulitan memperbaharui izin tinggal yang menyebabkan mereka menjadi pengungsi ilegal sehingga para atasan maupun aparat negara yang memanfaatkan kekuasaan mereka untuk dapat dengan mudah melakukan pelecehan seksual terhadap kaum perempuan. </w:t>
      </w:r>
      <w:r>
        <w:rPr>
          <w:rFonts w:ascii="Times New Roman" w:hAnsi="Times New Roman" w:eastAsia="Times New Roman" w:cs="Times New Roman"/>
          <w:color w:val="000000" w:themeColor="text1"/>
          <w:sz w:val="24"/>
          <w:szCs w:val="24"/>
          <w:lang w:val="id-ID" w:eastAsia="en-GB"/>
          <w14:textFill>
            <w14:solidFill>
              <w14:schemeClr w14:val="tx1"/>
            </w14:solidFill>
          </w14:textFill>
        </w:rPr>
        <w:t>(</w:t>
      </w:r>
      <w:r>
        <w:rPr>
          <w:rFonts w:ascii="Times New Roman" w:hAnsi="Times New Roman" w:eastAsia="Times New Roman" w:cs="Times New Roman"/>
          <w:color w:val="000000" w:themeColor="text1"/>
          <w:sz w:val="24"/>
          <w:szCs w:val="24"/>
          <w:shd w:val="clear" w:color="auto" w:fill="FFFFFF"/>
          <w:lang w:val="en-GB" w:eastAsia="en-GB"/>
          <w14:textFill>
            <w14:solidFill>
              <w14:schemeClr w14:val="tx1"/>
            </w14:solidFill>
          </w14:textFill>
        </w:rPr>
        <w:t>United Nations Fund for Population Activities</w:t>
      </w:r>
      <w:r>
        <w:rPr>
          <w:rFonts w:ascii="Times New Roman" w:hAnsi="Times New Roman" w:eastAsia="Times New Roman" w:cs="Times New Roman"/>
          <w:color w:val="000000" w:themeColor="text1"/>
          <w:sz w:val="24"/>
          <w:szCs w:val="24"/>
          <w:lang w:val="id-ID" w:eastAsia="en-GB"/>
          <w14:textFill>
            <w14:solidFill>
              <w14:schemeClr w14:val="tx1"/>
            </w14:solidFill>
          </w14:textFill>
        </w:rPr>
        <w:t>)</w:t>
      </w:r>
      <w:r>
        <w:rPr>
          <w:rFonts w:ascii="Times New Roman" w:hAnsi="Times New Roman" w:eastAsia="Times New Roman" w:cs="Times New Roman"/>
          <w:sz w:val="24"/>
          <w:szCs w:val="24"/>
          <w:lang w:val="id-ID" w:eastAsia="en-GB"/>
        </w:rPr>
        <w:t xml:space="preserve"> UNFPA mengatakan bahwa sebagian perempuan dan anak perempuan dari Suriah mengalami sikap atau prilaku eksploitasi secara seksual yang dilakukan oleh para relawan dan aparat yang memberikan bantuan di wilayah konflik selama mereka tinggal di camp yang disediakan untuk tempat tinggal sementara. Para relawan dan aparat yang menyimpan segala jenis bantuan membuat para pengungsi untuk bersikap barter (tukar-menukar) jika pengungsi ingin mendapatkan bantuan kemanusiaan mereka harus melayani para penyalur ini, dari hal tersebut sangat disayangkan bahwa para pengungsi perempuan mengalami pelcehan</w:t>
      </w:r>
      <w:r>
        <w:rPr>
          <w:rFonts w:ascii="Times New Roman" w:hAnsi="Times New Roman" w:eastAsia="Times New Roman" w:cs="Times New Roman"/>
          <w:color w:val="FFFFFF" w:themeColor="background1"/>
          <w:sz w:val="24"/>
          <w:szCs w:val="24"/>
          <w:lang w:val="id-ID" w:eastAsia="en-GB"/>
          <w14:textFill>
            <w14:solidFill>
              <w14:schemeClr w14:val="bg1"/>
            </w14:solidFill>
          </w14:textFill>
        </w:rPr>
        <w:t>_</w:t>
      </w:r>
      <w:r>
        <w:rPr>
          <w:rFonts w:ascii="Times New Roman" w:hAnsi="Times New Roman" w:eastAsia="Times New Roman" w:cs="Times New Roman"/>
          <w:sz w:val="24"/>
          <w:szCs w:val="24"/>
          <w:lang w:val="id-ID" w:eastAsia="en-GB"/>
        </w:rPr>
        <w:t>kekerasan</w:t>
      </w:r>
      <w:r>
        <w:rPr>
          <w:rFonts w:ascii="Times New Roman" w:hAnsi="Times New Roman" w:eastAsia="Times New Roman" w:cs="Times New Roman"/>
          <w:color w:val="FFFFFF" w:themeColor="background1"/>
          <w:sz w:val="24"/>
          <w:szCs w:val="24"/>
          <w:lang w:val="id-ID" w:eastAsia="en-GB"/>
          <w14:textFill>
            <w14:solidFill>
              <w14:schemeClr w14:val="bg1"/>
            </w14:solidFill>
          </w14:textFill>
        </w:rPr>
        <w:t>_</w:t>
      </w:r>
      <w:r>
        <w:rPr>
          <w:rFonts w:ascii="Times New Roman" w:hAnsi="Times New Roman" w:eastAsia="Times New Roman" w:cs="Times New Roman"/>
          <w:sz w:val="24"/>
          <w:szCs w:val="24"/>
          <w:lang w:val="id-ID" w:eastAsia="en-GB"/>
        </w:rPr>
        <w:t xml:space="preserve">konflik dan juga mengalami segala jenis kekerasan tidak adanya rasa aman dan perlindungan selalu di pojokkan oleh semua pihak. Dari permasalahan eksploitasi pengungsi itu kebanyakan dilakukan oleh para penduduk asli Lebanon yang memberikan penawran untuk bantuan kemanusiaan dengan menyewakan hunian mereka. Tidak saja terjadi di dunia internasional, beberapa hasil penelitian menunjukkan bahwa eksploitasi terhadap perempuan kini hadir dalam wajah baru, melalui media massa </w:t>
      </w:r>
      <w:r>
        <w:rPr>
          <w:rFonts w:ascii="Times New Roman" w:hAnsi="Times New Roman" w:eastAsia="Times New Roman" w:cs="Times New Roman"/>
          <w:sz w:val="24"/>
          <w:szCs w:val="24"/>
          <w:lang w:val="id-ID" w:eastAsia="en-GB"/>
        </w:rPr>
        <w:fldChar w:fldCharType="begin" w:fldLock="1"/>
      </w:r>
      <w:r>
        <w:rPr>
          <w:rFonts w:ascii="Times New Roman" w:hAnsi="Times New Roman" w:eastAsia="Times New Roman" w:cs="Times New Roman"/>
          <w:sz w:val="24"/>
          <w:szCs w:val="24"/>
          <w:lang w:val="id-ID" w:eastAsia="en-GB"/>
        </w:rPr>
        <w:instrText xml:space="preserve">ADDIN CSL_CITATION {"citationItems":[{"id":"ITEM-1","itemData":{"DOI":"http://dx.doi.org/10.36418/syntax-literate.v5i11.1768","ISBN":"9789896540821","author":[{"dropping-particle":"","family":"Zahirah","given":"Gulia Ichikaya Mitzy dan Silfanny","non-dropping-particle":"","parse-names":false,"suffix":""}],"id":"ITEM-1","issue":"1","issued":{"date-parts":[["2020"]]},"page":"1-9","title":"FEMINIMISME RADIKAL DAN EKSPLOITASI PEREMPUAN SURIAH SEBAGAI OBJEK SEKSUAL TERKAIT IMBALAN BANTUAN KEMANUSIAAN","type":"article-journal","volume":"2507"},"uris":["http://www.mendeley.com/documents/?uuid=1c527151-a4ea-46b8-97f1-5ce9ed5ea3c5"]}],"mendeley":{"formattedCitation":"(Zahirah, 2020)","plainTextFormattedCitation":"(Zahirah, 2020)","previouslyFormattedCitation":"(Zahirah, 2020)"},"properties":{"noteIndex":0},"schema":"https://github.com/citation-style-language/schema/raw/master/csl-citation.json"}</w:instrText>
      </w:r>
      <w:r>
        <w:rPr>
          <w:rFonts w:ascii="Times New Roman" w:hAnsi="Times New Roman" w:eastAsia="Times New Roman" w:cs="Times New Roman"/>
          <w:sz w:val="24"/>
          <w:szCs w:val="24"/>
          <w:lang w:val="id-ID" w:eastAsia="en-GB"/>
        </w:rPr>
        <w:fldChar w:fldCharType="separate"/>
      </w:r>
      <w:r>
        <w:rPr>
          <w:rFonts w:ascii="Times New Roman" w:hAnsi="Times New Roman" w:eastAsia="Times New Roman" w:cs="Times New Roman"/>
          <w:sz w:val="24"/>
          <w:szCs w:val="24"/>
          <w:lang w:val="id-ID" w:eastAsia="en-GB"/>
        </w:rPr>
        <w:t>(Zahirah, 2020)</w:t>
      </w:r>
      <w:r>
        <w:rPr>
          <w:rFonts w:ascii="Times New Roman" w:hAnsi="Times New Roman" w:eastAsia="Times New Roman" w:cs="Times New Roman"/>
          <w:sz w:val="24"/>
          <w:szCs w:val="24"/>
          <w:lang w:val="id-ID" w:eastAsia="en-GB"/>
        </w:rPr>
        <w:fldChar w:fldCharType="end"/>
      </w:r>
      <w:r>
        <w:rPr>
          <w:rFonts w:ascii="Times New Roman" w:hAnsi="Times New Roman" w:eastAsia="Times New Roman" w:cs="Times New Roman"/>
          <w:sz w:val="24"/>
          <w:szCs w:val="24"/>
          <w:lang w:val="id-ID" w:eastAsia="en-GB"/>
        </w:rPr>
        <w:t xml:space="preserve">. Terdapat adnya setengah dari pengungsi perempuan baik remaja maupun dewasa yang dipaksakan untuk melakukan hubungan seksual, selain itu mereka mengalami kekerasan fisik hingga dibuat tak berdaya, adanya pembiusan yang dilakukan juga dalam kejadian ini </w:t>
      </w:r>
      <w:r>
        <w:rPr>
          <w:rFonts w:ascii="Times New Roman" w:hAnsi="Times New Roman" w:eastAsia="Times New Roman" w:cs="Times New Roman"/>
          <w:sz w:val="24"/>
          <w:szCs w:val="24"/>
          <w:lang w:val="id-ID" w:eastAsia="en-GB"/>
        </w:rPr>
        <w:fldChar w:fldCharType="begin" w:fldLock="1"/>
      </w:r>
      <w:r>
        <w:rPr>
          <w:rFonts w:ascii="Times New Roman" w:hAnsi="Times New Roman" w:eastAsia="Times New Roman" w:cs="Times New Roman"/>
          <w:sz w:val="24"/>
          <w:szCs w:val="24"/>
          <w:lang w:val="id-ID" w:eastAsia="en-GB"/>
        </w:rPr>
        <w:instrText xml:space="preserve">ADDIN CSL_CITATION {"citationItems":[{"id":"ITEM-1","itemData":{"author":[{"dropping-particle":"","family":"Bali","given":"Metro","non-dropping-particle":"","parse-names":false,"suffix":""}],"id":"ITEM-1","issued":{"date-parts":[["2019"]]},"title":"Satu dari 16 perempuan mengalami seks pertama kali karena diperkosa","type":"report"},"uris":["http://www.mendeley.com/documents/?uuid=a0f66d25-c445-4b49-a1af-0806aa7fb63e"]}],"mendeley":{"formattedCitation":"(Bali, 2019)","plainTextFormattedCitation":"(Bali, 2019)","previouslyFormattedCitation":"(Bali, 2019)"},"properties":{"noteIndex":0},"schema":"https://github.com/citation-style-language/schema/raw/master/csl-citation.json"}</w:instrText>
      </w:r>
      <w:r>
        <w:rPr>
          <w:rFonts w:ascii="Times New Roman" w:hAnsi="Times New Roman" w:eastAsia="Times New Roman" w:cs="Times New Roman"/>
          <w:sz w:val="24"/>
          <w:szCs w:val="24"/>
          <w:lang w:val="id-ID" w:eastAsia="en-GB"/>
        </w:rPr>
        <w:fldChar w:fldCharType="separate"/>
      </w:r>
      <w:r>
        <w:rPr>
          <w:rFonts w:ascii="Times New Roman" w:hAnsi="Times New Roman" w:eastAsia="Times New Roman" w:cs="Times New Roman"/>
          <w:sz w:val="24"/>
          <w:szCs w:val="24"/>
          <w:lang w:val="id-ID" w:eastAsia="en-GB"/>
        </w:rPr>
        <w:t>(Bali, 2019)</w:t>
      </w:r>
      <w:r>
        <w:rPr>
          <w:rFonts w:ascii="Times New Roman" w:hAnsi="Times New Roman" w:eastAsia="Times New Roman" w:cs="Times New Roman"/>
          <w:sz w:val="24"/>
          <w:szCs w:val="24"/>
          <w:lang w:val="id-ID" w:eastAsia="en-GB"/>
        </w:rPr>
        <w:fldChar w:fldCharType="end"/>
      </w:r>
      <w:r>
        <w:rPr>
          <w:rFonts w:ascii="Times New Roman" w:hAnsi="Times New Roman" w:eastAsia="Times New Roman" w:cs="Times New Roman"/>
          <w:sz w:val="24"/>
          <w:szCs w:val="24"/>
          <w:lang w:val="id-ID" w:eastAsia="en-GB"/>
        </w:rPr>
        <w:t>.</w:t>
      </w:r>
    </w:p>
    <w:p>
      <w:pPr>
        <w:spacing w:line="480" w:lineRule="auto"/>
        <w:ind w:firstLine="720"/>
        <w:jc w:val="both"/>
        <w:rPr>
          <w:rFonts w:ascii="Times New Roman" w:hAnsi="Times New Roman" w:eastAsia="Times New Roman" w:cs="Times New Roman"/>
          <w:sz w:val="24"/>
          <w:szCs w:val="24"/>
          <w:lang w:val="id-ID" w:eastAsia="en-GB"/>
        </w:rPr>
      </w:pPr>
      <w:r>
        <w:rPr>
          <w:rFonts w:ascii="Times New Roman" w:hAnsi="Times New Roman" w:eastAsia="Times New Roman" w:cs="Times New Roman"/>
          <w:sz w:val="24"/>
          <w:szCs w:val="24"/>
          <w:lang w:val="id-ID" w:eastAsia="en-GB"/>
        </w:rPr>
        <w:t xml:space="preserve">Hak Asasi Manusia, akan di dasari oleh kebebasan, untuk memunculkan terbentuknya sebuah Hak kebebasan di suatu negara maka harus ada sifat aktif untuk dilindungi maksudnya dengan timbulnya sifat kebebasan yang positif menjadikan individu tersebut partisipatif, mandiri, berani sehingga dapat mengontrol diri sendiri. Dengan adanya dasar hak kebebasan ini dapat mencegah terjadinya segala rangkaian yang terjadi dikarenakan pihak yang semena-mena memperlakukan individu lainnya menjadi korban dan menindas yang lemah. Hal ini sangat perlu di bentuk dan di tumbuhkan bagi para pengungsi kaum perempuan Suriah di Lebanon. Dengan mengadalkan kerjasama pihak UNCHR, relawan, serta organisasi internasioinal lainnya diharapkan dapat mengurangi kepedihan yang di rasakan para korban. </w:t>
      </w:r>
    </w:p>
    <w:p>
      <w:pPr>
        <w:spacing w:line="480" w:lineRule="auto"/>
        <w:ind w:firstLine="720"/>
        <w:jc w:val="both"/>
        <w:rPr>
          <w:rFonts w:ascii="Times New Roman" w:hAnsi="Times New Roman" w:eastAsia="Times New Roman" w:cs="Times New Roman"/>
          <w:sz w:val="24"/>
          <w:szCs w:val="24"/>
          <w:lang w:val="id-ID" w:eastAsia="en-GB"/>
        </w:rPr>
      </w:pPr>
      <w:r>
        <w:rPr>
          <w:rFonts w:ascii="Times New Roman" w:hAnsi="Times New Roman" w:eastAsia="Times New Roman" w:cs="Times New Roman"/>
          <w:sz w:val="24"/>
          <w:szCs w:val="24"/>
          <w:lang w:val="id-ID" w:eastAsia="en-GB"/>
        </w:rPr>
        <w:t xml:space="preserve">Berdasarkan pejelasan yang sudah di paparkan di atas, maka dengan ini penulis akan meneliti, mempelajari, serta mencermati fenomena tersebut untuk penelitian skripsi yang berjudul : </w:t>
      </w:r>
      <w:r>
        <w:rPr>
          <w:rFonts w:ascii="Times New Roman" w:hAnsi="Times New Roman" w:eastAsia="Times New Roman" w:cs="Times New Roman"/>
          <w:b/>
          <w:sz w:val="24"/>
          <w:szCs w:val="24"/>
          <w:lang w:val="id-ID" w:eastAsia="en-GB"/>
        </w:rPr>
        <w:t xml:space="preserve">“ PERAN </w:t>
      </w:r>
      <w:r>
        <w:rPr>
          <w:rFonts w:ascii="Times New Roman" w:hAnsi="Times New Roman" w:eastAsia="Times New Roman" w:cs="Times New Roman"/>
          <w:b/>
          <w:i/>
          <w:sz w:val="24"/>
          <w:szCs w:val="24"/>
          <w:lang w:val="id-ID" w:eastAsia="en-GB"/>
        </w:rPr>
        <w:t>UNITED NATIONS HIGH COMMISSIONER FOR REFUGEE</w:t>
      </w:r>
      <w:r>
        <w:rPr>
          <w:rFonts w:ascii="Times New Roman" w:hAnsi="Times New Roman" w:eastAsia="Times New Roman" w:cs="Times New Roman"/>
          <w:b/>
          <w:sz w:val="24"/>
          <w:szCs w:val="24"/>
          <w:lang w:val="id-ID" w:eastAsia="en-GB"/>
        </w:rPr>
        <w:t xml:space="preserve"> (UNHCR) DALAM MENANGGULANGI KORBAN DISKRIMINASI PENGUNGSI “KAUM PEREMPUAN” KONFLIK SURIAH DI LEBANON “</w:t>
      </w:r>
      <w:r>
        <w:rPr>
          <w:rFonts w:ascii="Times New Roman" w:hAnsi="Times New Roman" w:eastAsia="Times New Roman" w:cs="Times New Roman"/>
          <w:sz w:val="24"/>
          <w:szCs w:val="24"/>
          <w:lang w:val="id-ID" w:eastAsia="en-GB"/>
        </w:rPr>
        <w:t xml:space="preserve"> </w:t>
      </w:r>
    </w:p>
    <w:p>
      <w:pPr>
        <w:pStyle w:val="3"/>
        <w:numPr>
          <w:ilvl w:val="1"/>
          <w:numId w:val="1"/>
        </w:numPr>
        <w:ind w:left="360" w:hanging="360"/>
      </w:pPr>
      <w:bookmarkStart w:id="4" w:name="_Toc70533344"/>
      <w:r>
        <w:rPr>
          <w:lang w:val="id-ID"/>
        </w:rPr>
        <w:t>Identifikasi Masalah</w:t>
      </w:r>
      <w:bookmarkEnd w:id="4"/>
    </w:p>
    <w:p>
      <w:pPr>
        <w:pStyle w:val="7"/>
        <w:spacing w:line="480" w:lineRule="auto"/>
        <w:ind w:left="360" w:firstLine="360"/>
        <w:jc w:val="both"/>
        <w:rPr>
          <w:lang w:val="id-ID"/>
        </w:rPr>
      </w:pPr>
      <w:r>
        <w:rPr>
          <w:lang w:val="id-ID"/>
        </w:rPr>
        <w:t>Permasalahan penelitian yang penulis ajukan ini dapat diidentifikasi permasalahannya sebagai berikut :</w:t>
      </w:r>
    </w:p>
    <w:p>
      <w:pPr>
        <w:pStyle w:val="7"/>
        <w:numPr>
          <w:ilvl w:val="0"/>
          <w:numId w:val="2"/>
        </w:numPr>
        <w:spacing w:line="480" w:lineRule="auto"/>
        <w:jc w:val="both"/>
        <w:rPr>
          <w:lang w:val="id-ID"/>
        </w:rPr>
      </w:pPr>
      <w:r>
        <w:rPr>
          <w:lang w:val="id-ID"/>
        </w:rPr>
        <w:t>Bagaimana diskriminasi pengungsi kaum perempuan pada konflik Suriah di Lebanon ?</w:t>
      </w:r>
    </w:p>
    <w:p>
      <w:pPr>
        <w:pStyle w:val="7"/>
        <w:numPr>
          <w:ilvl w:val="0"/>
          <w:numId w:val="2"/>
        </w:numPr>
        <w:spacing w:line="480" w:lineRule="auto"/>
        <w:jc w:val="both"/>
        <w:rPr>
          <w:lang w:val="id-ID"/>
        </w:rPr>
      </w:pPr>
      <w:r>
        <w:rPr>
          <w:lang w:val="id-ID"/>
        </w:rPr>
        <w:t xml:space="preserve">Bagaimana tindakan UNHCR dalam menanggulangi korban akibat konflik di Lebanon ?  </w:t>
      </w:r>
    </w:p>
    <w:p>
      <w:pPr>
        <w:pStyle w:val="7"/>
        <w:numPr>
          <w:ilvl w:val="0"/>
          <w:numId w:val="2"/>
        </w:numPr>
        <w:spacing w:line="480" w:lineRule="auto"/>
        <w:jc w:val="both"/>
        <w:rPr>
          <w:lang w:val="id-ID"/>
        </w:rPr>
      </w:pPr>
      <w:r>
        <w:rPr>
          <w:lang w:val="id-ID"/>
        </w:rPr>
        <w:t>Bagaimana realisasi program UNHCR dalam penanggulangan diskriminasi pengungsi kaum perempuan akibat konflik Suriah di Lebanon ?</w:t>
      </w:r>
    </w:p>
    <w:p>
      <w:pPr>
        <w:pStyle w:val="4"/>
        <w:numPr>
          <w:ilvl w:val="2"/>
          <w:numId w:val="3"/>
        </w:numPr>
        <w:ind w:left="1440" w:hanging="720"/>
      </w:pPr>
      <w:bookmarkStart w:id="5" w:name="_Toc70533345"/>
      <w:r>
        <w:t>Pembatasan Masalah</w:t>
      </w:r>
      <w:bookmarkEnd w:id="5"/>
      <w:r>
        <w:t xml:space="preserve"> </w:t>
      </w:r>
    </w:p>
    <w:p>
      <w:pPr>
        <w:spacing w:line="480" w:lineRule="auto"/>
        <w:ind w:left="698" w:firstLine="578"/>
        <w:jc w:val="both"/>
        <w:rPr>
          <w:rFonts w:ascii="Times New Roman" w:hAnsi="Times New Roman" w:eastAsia="Times New Roman" w:cs="Times New Roman"/>
          <w:sz w:val="24"/>
          <w:szCs w:val="24"/>
          <w:lang w:val="id-ID" w:eastAsia="en-GB"/>
        </w:rPr>
      </w:pPr>
      <w:r>
        <w:rPr>
          <w:rFonts w:ascii="Times New Roman" w:hAnsi="Times New Roman" w:eastAsia="Times New Roman" w:cs="Times New Roman"/>
          <w:sz w:val="24"/>
          <w:szCs w:val="24"/>
          <w:lang w:val="id-ID" w:eastAsia="en-GB"/>
        </w:rPr>
        <w:t>Pembatasan masalah yang akan dibahas penulis mengacu pada bentuk Proses penanggulangan kaum perempuan korban konflik Suriah di Lebanon.</w:t>
      </w:r>
    </w:p>
    <w:p>
      <w:pPr>
        <w:pStyle w:val="4"/>
        <w:numPr>
          <w:ilvl w:val="2"/>
          <w:numId w:val="3"/>
        </w:numPr>
        <w:ind w:left="1440" w:hanging="720"/>
      </w:pPr>
      <w:bookmarkStart w:id="6" w:name="_Toc70533346"/>
      <w:r>
        <w:t>Perumusan Masalah</w:t>
      </w:r>
      <w:bookmarkEnd w:id="6"/>
      <w:r>
        <w:t xml:space="preserve"> </w:t>
      </w:r>
    </w:p>
    <w:p>
      <w:pPr>
        <w:spacing w:line="480" w:lineRule="auto"/>
        <w:ind w:left="698" w:firstLine="578"/>
        <w:jc w:val="both"/>
        <w:rPr>
          <w:rFonts w:ascii="Times New Roman" w:hAnsi="Times New Roman" w:eastAsia="Times New Roman" w:cs="Times New Roman"/>
          <w:sz w:val="24"/>
          <w:szCs w:val="24"/>
          <w:lang w:val="id-ID" w:eastAsia="en-GB"/>
        </w:rPr>
      </w:pPr>
      <w:r>
        <w:rPr>
          <w:rFonts w:ascii="Times New Roman" w:hAnsi="Times New Roman" w:eastAsia="Times New Roman" w:cs="Times New Roman"/>
          <w:sz w:val="24"/>
          <w:szCs w:val="24"/>
          <w:lang w:val="id-ID" w:eastAsia="en-GB"/>
        </w:rPr>
        <w:t>Perumusan masalah diajukan untuk memudahkan penganalisisan mengenai permasalahan yang di dasarkan pada identifikasi masalah dan pembatasan masalah. Berdasarkan identifikasi masalah, untuk memudahkan penulis dalam melakukan pembahasan, penulis merumuskan masalah sebagai berikut :</w:t>
      </w:r>
    </w:p>
    <w:p>
      <w:pPr>
        <w:pStyle w:val="7"/>
        <w:spacing w:line="480" w:lineRule="auto"/>
        <w:ind w:left="1080"/>
        <w:jc w:val="both"/>
        <w:rPr>
          <w:lang w:val="id-ID"/>
        </w:rPr>
      </w:pPr>
      <w:r>
        <w:rPr>
          <w:lang w:val="id-ID"/>
        </w:rPr>
        <w:t>“ Bagaimana proses tindakan dalam menaggulangi kaum perempuan korban konflik Suriah melalui realisasi program UNHCR di Lebanon ? “</w:t>
      </w:r>
    </w:p>
    <w:p>
      <w:pPr>
        <w:pStyle w:val="3"/>
        <w:numPr>
          <w:ilvl w:val="1"/>
          <w:numId w:val="1"/>
        </w:numPr>
        <w:ind w:left="360" w:hanging="360"/>
      </w:pPr>
      <w:bookmarkStart w:id="7" w:name="_Toc70533347"/>
      <w:r>
        <w:rPr>
          <w:lang w:val="id-ID"/>
        </w:rPr>
        <w:t>Tujuan dan Kegunaan Penelitian</w:t>
      </w:r>
      <w:bookmarkEnd w:id="7"/>
    </w:p>
    <w:p>
      <w:pPr>
        <w:pStyle w:val="4"/>
        <w:numPr>
          <w:ilvl w:val="2"/>
          <w:numId w:val="4"/>
        </w:numPr>
        <w:ind w:left="1440" w:hanging="720"/>
      </w:pPr>
      <w:bookmarkStart w:id="8" w:name="_Toc70533348"/>
      <w:r>
        <w:t>Tujuan Penelitian</w:t>
      </w:r>
      <w:bookmarkEnd w:id="8"/>
      <w:r>
        <w:t xml:space="preserve"> </w:t>
      </w:r>
    </w:p>
    <w:p>
      <w:pPr>
        <w:spacing w:line="480" w:lineRule="auto"/>
        <w:ind w:left="720" w:firstLine="556"/>
        <w:jc w:val="both"/>
        <w:rPr>
          <w:rFonts w:ascii="Times New Roman" w:hAnsi="Times New Roman" w:eastAsia="Times New Roman" w:cs="Times New Roman"/>
          <w:b/>
          <w:sz w:val="24"/>
          <w:szCs w:val="24"/>
          <w:lang w:val="id-ID" w:eastAsia="en-GB"/>
        </w:rPr>
      </w:pPr>
      <w:r>
        <w:rPr>
          <w:rFonts w:ascii="Times New Roman" w:hAnsi="Times New Roman" w:eastAsia="Times New Roman" w:cs="Times New Roman"/>
          <w:sz w:val="24"/>
          <w:szCs w:val="24"/>
          <w:lang w:val="id-ID" w:eastAsia="en-GB"/>
        </w:rPr>
        <w:t>Berdasarkan identifikasi masalah yang sudah di paparkan, penulis memiliki beberapa tujuan yang akan dicapai dalam tulisan ini. Tujuan dari penelitian ini, yaitu :</w:t>
      </w:r>
    </w:p>
    <w:p>
      <w:pPr>
        <w:pStyle w:val="7"/>
        <w:numPr>
          <w:ilvl w:val="0"/>
          <w:numId w:val="5"/>
        </w:numPr>
        <w:spacing w:line="480" w:lineRule="auto"/>
        <w:jc w:val="both"/>
        <w:rPr>
          <w:lang w:val="id-ID"/>
        </w:rPr>
      </w:pPr>
      <w:r>
        <w:rPr>
          <w:lang w:val="id-ID"/>
        </w:rPr>
        <w:t>Untuk mengetahui bagaimana bentuk diskriminasi perempuan yang terjadi kepada pengungsi Suriah di Lebanon;</w:t>
      </w:r>
    </w:p>
    <w:p>
      <w:pPr>
        <w:pStyle w:val="7"/>
        <w:numPr>
          <w:ilvl w:val="0"/>
          <w:numId w:val="5"/>
        </w:numPr>
        <w:spacing w:line="480" w:lineRule="auto"/>
        <w:jc w:val="both"/>
        <w:rPr>
          <w:lang w:val="id-ID"/>
        </w:rPr>
      </w:pPr>
      <w:r>
        <w:rPr>
          <w:lang w:val="id-ID"/>
        </w:rPr>
        <w:t>Untuk mengetahui cara penanggulangan untuk korban konflik yang di lakukan (</w:t>
      </w:r>
      <w:r>
        <w:rPr>
          <w:i/>
          <w:lang w:val="id-ID"/>
        </w:rPr>
        <w:t>United Nations High Commissioner for Refugees</w:t>
      </w:r>
      <w:r>
        <w:rPr>
          <w:lang w:val="id-ID"/>
        </w:rPr>
        <w:t>) UNHCR kepada pengungsi kaum perempuan Suriah di Lebanon;</w:t>
      </w:r>
    </w:p>
    <w:p>
      <w:pPr>
        <w:pStyle w:val="7"/>
        <w:numPr>
          <w:ilvl w:val="0"/>
          <w:numId w:val="5"/>
        </w:numPr>
        <w:spacing w:line="480" w:lineRule="auto"/>
        <w:jc w:val="both"/>
        <w:rPr>
          <w:lang w:val="id-ID"/>
        </w:rPr>
      </w:pPr>
      <w:r>
        <w:rPr>
          <w:lang w:val="id-ID"/>
        </w:rPr>
        <w:t>Untuk mengetahui realisasi program apa saja yang dilakukan oleh (</w:t>
      </w:r>
      <w:r>
        <w:rPr>
          <w:i/>
          <w:lang w:val="id-ID"/>
        </w:rPr>
        <w:t>United Nations High Commissioner for Refugees</w:t>
      </w:r>
      <w:r>
        <w:rPr>
          <w:lang w:val="id-ID"/>
        </w:rPr>
        <w:t>) UNHCR dalam menganggulangi prilaku diskriiminatif kepada kaum perempuan Suriah di Lebanon.</w:t>
      </w:r>
    </w:p>
    <w:p>
      <w:pPr>
        <w:pStyle w:val="4"/>
        <w:numPr>
          <w:ilvl w:val="2"/>
          <w:numId w:val="4"/>
        </w:numPr>
        <w:ind w:left="1440" w:hanging="720"/>
      </w:pPr>
      <w:bookmarkStart w:id="9" w:name="_Toc70533349"/>
      <w:r>
        <w:rPr>
          <w:lang w:val="id-ID"/>
        </w:rPr>
        <w:t>Kegunaan</w:t>
      </w:r>
      <w:r>
        <w:t xml:space="preserve"> Penelitian</w:t>
      </w:r>
      <w:bookmarkEnd w:id="9"/>
      <w:r>
        <w:t xml:space="preserve"> </w:t>
      </w:r>
    </w:p>
    <w:p>
      <w:pPr>
        <w:pStyle w:val="7"/>
        <w:spacing w:line="480" w:lineRule="auto"/>
        <w:ind w:left="1418"/>
        <w:jc w:val="both"/>
        <w:rPr>
          <w:lang w:val="id-ID"/>
        </w:rPr>
      </w:pPr>
      <w:r>
        <w:rPr>
          <w:lang w:val="id-ID"/>
        </w:rPr>
        <w:t>Adapun kegunaan dari penelitian ini adalah sebagai berikut :</w:t>
      </w:r>
    </w:p>
    <w:p>
      <w:pPr>
        <w:pStyle w:val="7"/>
        <w:numPr>
          <w:ilvl w:val="0"/>
          <w:numId w:val="6"/>
        </w:numPr>
        <w:spacing w:line="480" w:lineRule="auto"/>
        <w:jc w:val="both"/>
        <w:rPr>
          <w:lang w:val="id-ID"/>
        </w:rPr>
      </w:pPr>
      <w:r>
        <w:rPr>
          <w:lang w:val="id-ID"/>
        </w:rPr>
        <w:t>Untuk memenuhi syarat akademik dalam menempuh ujian strata-1 (S1) pada jurusan Hubungan Internasional Fakultas Ilmu Sosial dan Ilmu Politik Univeritas Pasundan;</w:t>
      </w:r>
    </w:p>
    <w:p>
      <w:pPr>
        <w:pStyle w:val="7"/>
        <w:numPr>
          <w:ilvl w:val="0"/>
          <w:numId w:val="6"/>
        </w:numPr>
        <w:spacing w:line="480" w:lineRule="auto"/>
        <w:jc w:val="both"/>
        <w:rPr>
          <w:lang w:val="id-ID"/>
        </w:rPr>
      </w:pPr>
      <w:r>
        <w:rPr>
          <w:lang w:val="id-ID"/>
        </w:rPr>
        <w:t>Secara teoritis dalam penelitian untuk menambah wawasan tentang peran lakukan</w:t>
      </w:r>
      <w:r>
        <w:t xml:space="preserve"> </w:t>
      </w:r>
      <w:r>
        <w:rPr>
          <w:lang w:val="id-ID"/>
        </w:rPr>
        <w:t>(</w:t>
      </w:r>
      <w:r>
        <w:rPr>
          <w:i/>
          <w:lang w:val="id-ID"/>
        </w:rPr>
        <w:t>United Nations High Commissioner for Refugees</w:t>
      </w:r>
      <w:r>
        <w:rPr>
          <w:lang w:val="id-ID"/>
        </w:rPr>
        <w:t>) UNHCR dan relawan yang membantu dalam menangani keberadaan korban kekerasan pengungsi kaum perempuan Suriah di Lebanon;</w:t>
      </w:r>
    </w:p>
    <w:p>
      <w:pPr>
        <w:pStyle w:val="7"/>
        <w:numPr>
          <w:ilvl w:val="0"/>
          <w:numId w:val="6"/>
        </w:numPr>
        <w:spacing w:line="480" w:lineRule="auto"/>
        <w:jc w:val="both"/>
        <w:rPr>
          <w:lang w:val="id-ID"/>
        </w:rPr>
      </w:pPr>
      <w:r>
        <w:rPr>
          <w:lang w:val="id-ID"/>
        </w:rPr>
        <w:t>Memberikan manfaat baik secara akademik maupun aplikatif bagi masyarakat dan akademisi pada umumnya dan bagi penulis pada khususnya; dan</w:t>
      </w:r>
    </w:p>
    <w:p>
      <w:pPr>
        <w:pStyle w:val="7"/>
        <w:numPr>
          <w:ilvl w:val="0"/>
          <w:numId w:val="6"/>
        </w:numPr>
        <w:spacing w:line="480" w:lineRule="auto"/>
        <w:jc w:val="both"/>
        <w:rPr>
          <w:lang w:val="id-ID"/>
        </w:rPr>
      </w:pPr>
      <w:r>
        <w:rPr>
          <w:lang w:val="id-ID"/>
        </w:rPr>
        <w:t xml:space="preserve">Hasil penelitian ini diharapkan dapat menjadi pemacu pemikiran untuk para peneliti lainnya yang ingin meneliti lebih lanjut dan membutuhkan refernsi tambahan mengenai pengungsi kaum perempuan Suriah di Lebanon. </w:t>
      </w: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FB70591"/>
    <w:multiLevelType w:val="multilevel"/>
    <w:tmpl w:val="0FB70591"/>
    <w:lvl w:ilvl="0" w:tentative="0">
      <w:start w:val="1"/>
      <w:numFmt w:val="lowerLetter"/>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1">
    <w:nsid w:val="175A1A3E"/>
    <w:multiLevelType w:val="multilevel"/>
    <w:tmpl w:val="175A1A3E"/>
    <w:lvl w:ilvl="0" w:tentative="0">
      <w:start w:val="1"/>
      <w:numFmt w:val="decimal"/>
      <w:lvlText w:val="%1."/>
      <w:lvlJc w:val="left"/>
      <w:pPr>
        <w:ind w:left="1080" w:hanging="360"/>
      </w:pPr>
      <w:rPr>
        <w:rFonts w:hint="default"/>
      </w:rPr>
    </w:lvl>
    <w:lvl w:ilvl="1" w:tentative="0">
      <w:start w:val="1"/>
      <w:numFmt w:val="decimal"/>
      <w:isLgl/>
      <w:lvlText w:val="%1.%2"/>
      <w:lvlJc w:val="left"/>
      <w:pPr>
        <w:ind w:left="1080" w:hanging="360"/>
      </w:pPr>
      <w:rPr>
        <w:rFonts w:hint="default"/>
      </w:rPr>
    </w:lvl>
    <w:lvl w:ilvl="2" w:tentative="0">
      <w:start w:val="1"/>
      <w:numFmt w:val="decimal"/>
      <w:isLgl/>
      <w:lvlText w:val="%1.3.%3"/>
      <w:lvlJc w:val="left"/>
      <w:pPr>
        <w:ind w:left="1440" w:hanging="720"/>
      </w:pPr>
      <w:rPr>
        <w:rFonts w:hint="default"/>
      </w:rPr>
    </w:lvl>
    <w:lvl w:ilvl="3" w:tentative="0">
      <w:start w:val="1"/>
      <w:numFmt w:val="decimal"/>
      <w:isLgl/>
      <w:lvlText w:val="%1.%2.%3.%4"/>
      <w:lvlJc w:val="left"/>
      <w:pPr>
        <w:ind w:left="1440" w:hanging="720"/>
      </w:pPr>
      <w:rPr>
        <w:rFonts w:hint="default"/>
      </w:rPr>
    </w:lvl>
    <w:lvl w:ilvl="4" w:tentative="0">
      <w:start w:val="1"/>
      <w:numFmt w:val="decimal"/>
      <w:isLgl/>
      <w:lvlText w:val="%1.%2.%3.%4.%5"/>
      <w:lvlJc w:val="left"/>
      <w:pPr>
        <w:ind w:left="1800" w:hanging="1080"/>
      </w:pPr>
      <w:rPr>
        <w:rFonts w:hint="default"/>
      </w:rPr>
    </w:lvl>
    <w:lvl w:ilvl="5" w:tentative="0">
      <w:start w:val="1"/>
      <w:numFmt w:val="decimal"/>
      <w:isLgl/>
      <w:lvlText w:val="%1.%2.%3.%4.%5.%6"/>
      <w:lvlJc w:val="left"/>
      <w:pPr>
        <w:ind w:left="1800" w:hanging="1080"/>
      </w:pPr>
      <w:rPr>
        <w:rFonts w:hint="default"/>
      </w:rPr>
    </w:lvl>
    <w:lvl w:ilvl="6" w:tentative="0">
      <w:start w:val="1"/>
      <w:numFmt w:val="decimal"/>
      <w:isLgl/>
      <w:lvlText w:val="%1.%2.%3.%4.%5.%6.%7"/>
      <w:lvlJc w:val="left"/>
      <w:pPr>
        <w:ind w:left="2160" w:hanging="1440"/>
      </w:pPr>
      <w:rPr>
        <w:rFonts w:hint="default"/>
      </w:rPr>
    </w:lvl>
    <w:lvl w:ilvl="7" w:tentative="0">
      <w:start w:val="1"/>
      <w:numFmt w:val="decimal"/>
      <w:isLgl/>
      <w:lvlText w:val="%1.%2.%3.%4.%5.%6.%7.%8"/>
      <w:lvlJc w:val="left"/>
      <w:pPr>
        <w:ind w:left="2160" w:hanging="1440"/>
      </w:pPr>
      <w:rPr>
        <w:rFonts w:hint="default"/>
      </w:rPr>
    </w:lvl>
    <w:lvl w:ilvl="8" w:tentative="0">
      <w:start w:val="1"/>
      <w:numFmt w:val="decimal"/>
      <w:isLgl/>
      <w:lvlText w:val="%1.%2.%3.%4.%5.%6.%7.%8.%9"/>
      <w:lvlJc w:val="left"/>
      <w:pPr>
        <w:ind w:left="2520" w:hanging="1800"/>
      </w:pPr>
      <w:rPr>
        <w:rFonts w:hint="default"/>
      </w:rPr>
    </w:lvl>
  </w:abstractNum>
  <w:abstractNum w:abstractNumId="2">
    <w:nsid w:val="1E7A6F7C"/>
    <w:multiLevelType w:val="multilevel"/>
    <w:tmpl w:val="1E7A6F7C"/>
    <w:lvl w:ilvl="0" w:tentative="0">
      <w:start w:val="1"/>
      <w:numFmt w:val="decimal"/>
      <w:lvlText w:val="%1."/>
      <w:lvlJc w:val="left"/>
      <w:pPr>
        <w:ind w:left="1080" w:hanging="360"/>
      </w:pPr>
      <w:rPr>
        <w:rFonts w:hint="default"/>
      </w:rPr>
    </w:lvl>
    <w:lvl w:ilvl="1" w:tentative="0">
      <w:start w:val="1"/>
      <w:numFmt w:val="decimal"/>
      <w:isLgl/>
      <w:lvlText w:val="%1.%2"/>
      <w:lvlJc w:val="left"/>
      <w:pPr>
        <w:ind w:left="1080" w:hanging="360"/>
      </w:pPr>
      <w:rPr>
        <w:rFonts w:hint="default"/>
      </w:rPr>
    </w:lvl>
    <w:lvl w:ilvl="2" w:tentative="0">
      <w:start w:val="1"/>
      <w:numFmt w:val="decimal"/>
      <w:isLgl/>
      <w:lvlText w:val="%1.%2.%3"/>
      <w:lvlJc w:val="left"/>
      <w:pPr>
        <w:ind w:left="1440" w:hanging="720"/>
      </w:pPr>
      <w:rPr>
        <w:rFonts w:hint="default"/>
      </w:rPr>
    </w:lvl>
    <w:lvl w:ilvl="3" w:tentative="0">
      <w:start w:val="1"/>
      <w:numFmt w:val="decimal"/>
      <w:isLgl/>
      <w:lvlText w:val="%1.%2.%3.%4"/>
      <w:lvlJc w:val="left"/>
      <w:pPr>
        <w:ind w:left="1440" w:hanging="720"/>
      </w:pPr>
      <w:rPr>
        <w:rFonts w:hint="default"/>
      </w:rPr>
    </w:lvl>
    <w:lvl w:ilvl="4" w:tentative="0">
      <w:start w:val="1"/>
      <w:numFmt w:val="decimal"/>
      <w:isLgl/>
      <w:lvlText w:val="%1.%2.%3.%4.%5"/>
      <w:lvlJc w:val="left"/>
      <w:pPr>
        <w:ind w:left="1800" w:hanging="1080"/>
      </w:pPr>
      <w:rPr>
        <w:rFonts w:hint="default"/>
      </w:rPr>
    </w:lvl>
    <w:lvl w:ilvl="5" w:tentative="0">
      <w:start w:val="1"/>
      <w:numFmt w:val="decimal"/>
      <w:isLgl/>
      <w:lvlText w:val="%1.%2.%3.%4.%5.%6"/>
      <w:lvlJc w:val="left"/>
      <w:pPr>
        <w:ind w:left="1800" w:hanging="1080"/>
      </w:pPr>
      <w:rPr>
        <w:rFonts w:hint="default"/>
      </w:rPr>
    </w:lvl>
    <w:lvl w:ilvl="6" w:tentative="0">
      <w:start w:val="1"/>
      <w:numFmt w:val="decimal"/>
      <w:isLgl/>
      <w:lvlText w:val="%1.%2.%3.%4.%5.%6.%7"/>
      <w:lvlJc w:val="left"/>
      <w:pPr>
        <w:ind w:left="2160" w:hanging="1440"/>
      </w:pPr>
      <w:rPr>
        <w:rFonts w:hint="default"/>
      </w:rPr>
    </w:lvl>
    <w:lvl w:ilvl="7" w:tentative="0">
      <w:start w:val="1"/>
      <w:numFmt w:val="decimal"/>
      <w:isLgl/>
      <w:lvlText w:val="%1.%2.%3.%4.%5.%6.%7.%8"/>
      <w:lvlJc w:val="left"/>
      <w:pPr>
        <w:ind w:left="2160" w:hanging="1440"/>
      </w:pPr>
      <w:rPr>
        <w:rFonts w:hint="default"/>
      </w:rPr>
    </w:lvl>
    <w:lvl w:ilvl="8" w:tentative="0">
      <w:start w:val="1"/>
      <w:numFmt w:val="decimal"/>
      <w:isLgl/>
      <w:lvlText w:val="%1.%2.%3.%4.%5.%6.%7.%8.%9"/>
      <w:lvlJc w:val="left"/>
      <w:pPr>
        <w:ind w:left="2520" w:hanging="1800"/>
      </w:pPr>
      <w:rPr>
        <w:rFonts w:hint="default"/>
      </w:rPr>
    </w:lvl>
  </w:abstractNum>
  <w:abstractNum w:abstractNumId="3">
    <w:nsid w:val="518E75EB"/>
    <w:multiLevelType w:val="multilevel"/>
    <w:tmpl w:val="518E75EB"/>
    <w:lvl w:ilvl="0" w:tentative="0">
      <w:start w:val="1"/>
      <w:numFmt w:val="lowerLetter"/>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4">
    <w:nsid w:val="7014109D"/>
    <w:multiLevelType w:val="multilevel"/>
    <w:tmpl w:val="7014109D"/>
    <w:lvl w:ilvl="0" w:tentative="0">
      <w:start w:val="1"/>
      <w:numFmt w:val="decimal"/>
      <w:lvlText w:val="%1."/>
      <w:lvlJc w:val="left"/>
      <w:pPr>
        <w:ind w:left="1080" w:hanging="360"/>
      </w:pPr>
      <w:rPr>
        <w:rFonts w:hint="default"/>
      </w:rPr>
    </w:lvl>
    <w:lvl w:ilvl="1" w:tentative="0">
      <w:start w:val="1"/>
      <w:numFmt w:val="decimal"/>
      <w:isLgl/>
      <w:lvlText w:val="%1.%2"/>
      <w:lvlJc w:val="left"/>
      <w:pPr>
        <w:ind w:left="1080" w:hanging="360"/>
      </w:pPr>
      <w:rPr>
        <w:rFonts w:hint="default"/>
      </w:rPr>
    </w:lvl>
    <w:lvl w:ilvl="2" w:tentative="0">
      <w:start w:val="1"/>
      <w:numFmt w:val="decimal"/>
      <w:isLgl/>
      <w:lvlText w:val="%1.2.%3"/>
      <w:lvlJc w:val="left"/>
      <w:pPr>
        <w:ind w:left="1440" w:hanging="720"/>
      </w:pPr>
      <w:rPr>
        <w:rFonts w:hint="default"/>
      </w:rPr>
    </w:lvl>
    <w:lvl w:ilvl="3" w:tentative="0">
      <w:start w:val="1"/>
      <w:numFmt w:val="decimal"/>
      <w:isLgl/>
      <w:lvlText w:val="%1.%2.%3.%4"/>
      <w:lvlJc w:val="left"/>
      <w:pPr>
        <w:ind w:left="1440" w:hanging="720"/>
      </w:pPr>
      <w:rPr>
        <w:rFonts w:hint="default"/>
      </w:rPr>
    </w:lvl>
    <w:lvl w:ilvl="4" w:tentative="0">
      <w:start w:val="1"/>
      <w:numFmt w:val="decimal"/>
      <w:isLgl/>
      <w:lvlText w:val="%1.%2.%3.%4.%5"/>
      <w:lvlJc w:val="left"/>
      <w:pPr>
        <w:ind w:left="1800" w:hanging="1080"/>
      </w:pPr>
      <w:rPr>
        <w:rFonts w:hint="default"/>
      </w:rPr>
    </w:lvl>
    <w:lvl w:ilvl="5" w:tentative="0">
      <w:start w:val="1"/>
      <w:numFmt w:val="decimal"/>
      <w:isLgl/>
      <w:lvlText w:val="%1.%2.%3.%4.%5.%6"/>
      <w:lvlJc w:val="left"/>
      <w:pPr>
        <w:ind w:left="1800" w:hanging="1080"/>
      </w:pPr>
      <w:rPr>
        <w:rFonts w:hint="default"/>
      </w:rPr>
    </w:lvl>
    <w:lvl w:ilvl="6" w:tentative="0">
      <w:start w:val="1"/>
      <w:numFmt w:val="decimal"/>
      <w:isLgl/>
      <w:lvlText w:val="%1.%2.%3.%4.%5.%6.%7"/>
      <w:lvlJc w:val="left"/>
      <w:pPr>
        <w:ind w:left="2160" w:hanging="1440"/>
      </w:pPr>
      <w:rPr>
        <w:rFonts w:hint="default"/>
      </w:rPr>
    </w:lvl>
    <w:lvl w:ilvl="7" w:tentative="0">
      <w:start w:val="1"/>
      <w:numFmt w:val="decimal"/>
      <w:isLgl/>
      <w:lvlText w:val="%1.%2.%3.%4.%5.%6.%7.%8"/>
      <w:lvlJc w:val="left"/>
      <w:pPr>
        <w:ind w:left="2160" w:hanging="1440"/>
      </w:pPr>
      <w:rPr>
        <w:rFonts w:hint="default"/>
      </w:rPr>
    </w:lvl>
    <w:lvl w:ilvl="8" w:tentative="0">
      <w:start w:val="1"/>
      <w:numFmt w:val="decimal"/>
      <w:isLgl/>
      <w:lvlText w:val="%1.%2.%3.%4.%5.%6.%7.%8.%9"/>
      <w:lvlJc w:val="left"/>
      <w:pPr>
        <w:ind w:left="2520" w:hanging="1800"/>
      </w:pPr>
      <w:rPr>
        <w:rFonts w:hint="default"/>
      </w:rPr>
    </w:lvl>
  </w:abstractNum>
  <w:abstractNum w:abstractNumId="5">
    <w:nsid w:val="793F3767"/>
    <w:multiLevelType w:val="multilevel"/>
    <w:tmpl w:val="793F3767"/>
    <w:lvl w:ilvl="0" w:tentative="0">
      <w:start w:val="1"/>
      <w:numFmt w:val="decimal"/>
      <w:lvlText w:val="%1"/>
      <w:lvlJc w:val="left"/>
      <w:pPr>
        <w:ind w:left="360" w:hanging="360"/>
      </w:pPr>
      <w:rPr>
        <w:rFonts w:hint="default"/>
      </w:rPr>
    </w:lvl>
    <w:lvl w:ilvl="1" w:tentative="0">
      <w:start w:val="1"/>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6A545A"/>
    <w:rsid w:val="396A54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next w:val="1"/>
    <w:qFormat/>
    <w:uiPriority w:val="0"/>
    <w:pPr>
      <w:keepNext/>
      <w:keepLines/>
      <w:spacing w:before="240" w:line="480" w:lineRule="auto"/>
      <w:jc w:val="center"/>
      <w:outlineLvl w:val="0"/>
    </w:pPr>
    <w:rPr>
      <w:rFonts w:ascii="Times New Roman" w:hAnsi="Times New Roman" w:eastAsiaTheme="majorEastAsia" w:cstheme="majorBidi"/>
      <w:b/>
      <w:color w:val="000000" w:themeColor="text1"/>
      <w:sz w:val="24"/>
      <w:szCs w:val="32"/>
      <w:lang w:val="en-GB" w:eastAsia="en-GB" w:bidi="ar-SA"/>
      <w14:textFill>
        <w14:solidFill>
          <w14:schemeClr w14:val="tx1"/>
        </w14:solidFill>
      </w14:textFill>
    </w:rPr>
  </w:style>
  <w:style w:type="paragraph" w:styleId="3">
    <w:name w:val="heading 2"/>
    <w:next w:val="1"/>
    <w:unhideWhenUsed/>
    <w:qFormat/>
    <w:uiPriority w:val="0"/>
    <w:pPr>
      <w:keepNext/>
      <w:keepLines/>
      <w:spacing w:before="40" w:line="480" w:lineRule="auto"/>
      <w:outlineLvl w:val="1"/>
    </w:pPr>
    <w:rPr>
      <w:rFonts w:ascii="Times New Roman" w:hAnsi="Times New Roman" w:eastAsiaTheme="majorEastAsia" w:cstheme="majorBidi"/>
      <w:b/>
      <w:color w:val="000000" w:themeColor="text1"/>
      <w:sz w:val="24"/>
      <w:szCs w:val="26"/>
      <w:lang w:val="en-GB" w:eastAsia="en-GB" w:bidi="ar-SA"/>
      <w14:textFill>
        <w14:solidFill>
          <w14:schemeClr w14:val="tx1"/>
        </w14:solidFill>
      </w14:textFill>
    </w:rPr>
  </w:style>
  <w:style w:type="paragraph" w:styleId="4">
    <w:name w:val="heading 3"/>
    <w:next w:val="1"/>
    <w:unhideWhenUsed/>
    <w:qFormat/>
    <w:uiPriority w:val="0"/>
    <w:pPr>
      <w:keepNext/>
      <w:keepLines/>
      <w:spacing w:before="40" w:line="480" w:lineRule="auto"/>
      <w:outlineLvl w:val="2"/>
    </w:pPr>
    <w:rPr>
      <w:rFonts w:ascii="Times New Roman" w:hAnsi="Times New Roman" w:eastAsiaTheme="majorEastAsia" w:cstheme="majorBidi"/>
      <w:b/>
      <w:color w:val="000000" w:themeColor="text1"/>
      <w:sz w:val="24"/>
      <w:szCs w:val="24"/>
      <w:lang w:val="en-GB" w:eastAsia="en-GB" w:bidi="ar-SA"/>
      <w14:textFill>
        <w14:solidFill>
          <w14:schemeClr w14:val="tx1"/>
        </w14:solidFill>
      </w14:textFill>
    </w:rPr>
  </w:style>
  <w:style w:type="character" w:default="1" w:styleId="5">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7">
    <w:name w:val="List Paragraph"/>
    <w:qFormat/>
    <w:uiPriority w:val="34"/>
    <w:pPr>
      <w:ind w:left="720"/>
      <w:contextualSpacing/>
    </w:pPr>
    <w:rPr>
      <w:rFonts w:ascii="Times New Roman" w:hAnsi="Times New Roman" w:eastAsia="Times New Roman" w:cs="Times New Roman"/>
      <w:sz w:val="24"/>
      <w:szCs w:val="24"/>
      <w:lang w:val="en-GB" w:eastAsia="en-GB"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2022-02-23T03:09:00Z</dcterms:created>
  <dc:creator>user</dc:creator>
  <cp:lastModifiedBy>user</cp:lastModifiedBy>
  <dcterms:modified xsi:type="dcterms:W3CDTF">2022-02-23T03:21:30Z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1033-11.2.0.10463</vt:lpwstr>
  </property>
  <property fmtid="{D5CDD505-2E9C-101B-9397-08002B2CF9AE}" pid="3" name="ICV">
    <vt:lpwstr>BD51465DE6FF4A90BDA681970341F5AD</vt:lpwstr>
  </property>
</Properties>
</file>