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09" w:rsidRPr="009060CF" w:rsidRDefault="00851A09" w:rsidP="00851A0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B</w:t>
      </w:r>
      <w:r w:rsidRPr="009060CF">
        <w:rPr>
          <w:rFonts w:ascii="Times New Roman" w:hAnsi="Times New Roman" w:cs="Times New Roman"/>
          <w:b/>
          <w:color w:val="000000" w:themeColor="text1"/>
          <w:sz w:val="24"/>
          <w:szCs w:val="24"/>
        </w:rPr>
        <w:t>AB I</w:t>
      </w:r>
    </w:p>
    <w:p w:rsidR="00851A09" w:rsidRPr="009060CF" w:rsidRDefault="00851A09" w:rsidP="00851A09">
      <w:pPr>
        <w:jc w:val="center"/>
        <w:rPr>
          <w:rFonts w:ascii="Times New Roman" w:hAnsi="Times New Roman" w:cs="Times New Roman"/>
          <w:b/>
          <w:color w:val="000000" w:themeColor="text1"/>
          <w:sz w:val="24"/>
          <w:szCs w:val="24"/>
        </w:rPr>
      </w:pPr>
      <w:r w:rsidRPr="009060CF">
        <w:rPr>
          <w:rFonts w:ascii="Times New Roman" w:hAnsi="Times New Roman" w:cs="Times New Roman"/>
          <w:b/>
          <w:color w:val="000000" w:themeColor="text1"/>
          <w:sz w:val="24"/>
          <w:szCs w:val="24"/>
        </w:rPr>
        <w:t>PENDAHULUAN</w:t>
      </w:r>
    </w:p>
    <w:p w:rsidR="00851A09" w:rsidRPr="009060CF" w:rsidRDefault="00851A09" w:rsidP="00851A09">
      <w:pPr>
        <w:rPr>
          <w:rFonts w:ascii="Times New Roman" w:hAnsi="Times New Roman" w:cs="Times New Roman"/>
          <w:color w:val="000000" w:themeColor="text1"/>
          <w:sz w:val="24"/>
          <w:szCs w:val="24"/>
        </w:rPr>
      </w:pPr>
    </w:p>
    <w:p w:rsidR="006866D5" w:rsidRPr="006866D5" w:rsidRDefault="00851A09" w:rsidP="006866D5">
      <w:pPr>
        <w:pStyle w:val="ListParagraph"/>
        <w:numPr>
          <w:ilvl w:val="2"/>
          <w:numId w:val="7"/>
        </w:numPr>
        <w:rPr>
          <w:rFonts w:ascii="Times New Roman" w:hAnsi="Times New Roman" w:cs="Times New Roman"/>
          <w:b/>
          <w:color w:val="000000" w:themeColor="text1"/>
          <w:sz w:val="24"/>
          <w:szCs w:val="24"/>
        </w:rPr>
      </w:pPr>
      <w:r w:rsidRPr="009060CF">
        <w:rPr>
          <w:rFonts w:ascii="Times New Roman" w:hAnsi="Times New Roman" w:cs="Times New Roman"/>
          <w:b/>
          <w:color w:val="000000" w:themeColor="text1"/>
          <w:sz w:val="24"/>
          <w:szCs w:val="24"/>
        </w:rPr>
        <w:t>Latar Belakang Penelitian</w:t>
      </w:r>
    </w:p>
    <w:p w:rsidR="006866D5" w:rsidRDefault="00601796" w:rsidP="006F597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Di era globalisasi ini, persaingan usaha semakin ketat. Persaingan tersebut berdampak terhadap p</w:t>
      </w:r>
      <w:r w:rsidR="005E61A3">
        <w:rPr>
          <w:rFonts w:ascii="Times New Roman" w:hAnsi="Times New Roman" w:cs="Times New Roman"/>
          <w:sz w:val="24"/>
          <w:szCs w:val="24"/>
          <w:lang w:val="en-US"/>
        </w:rPr>
        <w:t>erkembangan</w:t>
      </w:r>
      <w:r w:rsidR="006866D5" w:rsidRPr="006866D5">
        <w:rPr>
          <w:rFonts w:ascii="Times New Roman" w:hAnsi="Times New Roman" w:cs="Times New Roman"/>
          <w:sz w:val="24"/>
          <w:szCs w:val="24"/>
          <w:lang w:val="en-US"/>
        </w:rPr>
        <w:t xml:space="preserve"> perekonomian </w:t>
      </w:r>
      <w:r>
        <w:rPr>
          <w:rFonts w:ascii="Times New Roman" w:hAnsi="Times New Roman" w:cs="Times New Roman"/>
          <w:sz w:val="24"/>
          <w:szCs w:val="24"/>
          <w:lang w:val="en-US"/>
        </w:rPr>
        <w:t xml:space="preserve">nasional maupun internasional. </w:t>
      </w:r>
      <w:r w:rsidR="00286D22">
        <w:rPr>
          <w:rFonts w:ascii="Times New Roman" w:hAnsi="Times New Roman" w:cs="Times New Roman"/>
          <w:sz w:val="24"/>
          <w:szCs w:val="24"/>
          <w:lang w:val="en-US"/>
        </w:rPr>
        <w:t>Kondisi</w:t>
      </w:r>
      <w:r w:rsidR="005E61A3">
        <w:rPr>
          <w:rFonts w:ascii="Times New Roman" w:hAnsi="Times New Roman" w:cs="Times New Roman"/>
          <w:sz w:val="24"/>
          <w:szCs w:val="24"/>
          <w:lang w:val="en-US"/>
        </w:rPr>
        <w:t xml:space="preserve"> perekonomian global yang kadang tidak stabil berdampak pada </w:t>
      </w:r>
      <w:r w:rsidR="006866D5" w:rsidRPr="006866D5">
        <w:rPr>
          <w:rFonts w:ascii="Times New Roman" w:hAnsi="Times New Roman" w:cs="Times New Roman"/>
          <w:sz w:val="24"/>
          <w:szCs w:val="24"/>
          <w:lang w:val="en-US"/>
        </w:rPr>
        <w:t xml:space="preserve"> kesulitan terhadap </w:t>
      </w:r>
      <w:r w:rsidR="00286D22">
        <w:rPr>
          <w:rFonts w:ascii="Times New Roman" w:hAnsi="Times New Roman" w:cs="Times New Roman"/>
          <w:sz w:val="24"/>
          <w:szCs w:val="24"/>
          <w:lang w:val="en-US"/>
        </w:rPr>
        <w:t xml:space="preserve">perkembangan </w:t>
      </w:r>
      <w:r w:rsidR="006866D5" w:rsidRPr="006866D5">
        <w:rPr>
          <w:rFonts w:ascii="Times New Roman" w:hAnsi="Times New Roman" w:cs="Times New Roman"/>
          <w:sz w:val="24"/>
          <w:szCs w:val="24"/>
          <w:lang w:val="en-US"/>
        </w:rPr>
        <w:t xml:space="preserve">perekonomian nasional terutama kemampuan dunia usaha dalam mengembangkan usahanya dan untuk mempertahankan kelangsungan kegiatan usahanya. Kondisi perekonomian di Indonesia yang </w:t>
      </w:r>
      <w:r w:rsidR="00286D22">
        <w:rPr>
          <w:rFonts w:ascii="Times New Roman" w:hAnsi="Times New Roman" w:cs="Times New Roman"/>
          <w:sz w:val="24"/>
          <w:szCs w:val="24"/>
          <w:lang w:val="en-US"/>
        </w:rPr>
        <w:t>s</w:t>
      </w:r>
      <w:r w:rsidR="0088589C">
        <w:rPr>
          <w:rFonts w:ascii="Times New Roman" w:hAnsi="Times New Roman" w:cs="Times New Roman"/>
          <w:sz w:val="24"/>
          <w:szCs w:val="24"/>
          <w:lang w:val="en-US"/>
        </w:rPr>
        <w:t>ering tidak stabil</w:t>
      </w:r>
      <w:r w:rsidR="006866D5" w:rsidRPr="006866D5">
        <w:rPr>
          <w:rFonts w:ascii="Times New Roman" w:hAnsi="Times New Roman" w:cs="Times New Roman"/>
          <w:sz w:val="24"/>
          <w:szCs w:val="24"/>
          <w:lang w:val="en-US"/>
        </w:rPr>
        <w:t xml:space="preserve"> mengakibatkan tingginya risiko suatu perusahaan untuk mengalami </w:t>
      </w:r>
      <w:r w:rsidR="00317407" w:rsidRPr="00317407">
        <w:rPr>
          <w:rFonts w:ascii="Times New Roman" w:hAnsi="Times New Roman" w:cs="Times New Roman"/>
          <w:i/>
          <w:sz w:val="24"/>
          <w:szCs w:val="24"/>
          <w:lang w:val="en-US"/>
        </w:rPr>
        <w:t>financial distress</w:t>
      </w:r>
      <w:r w:rsidR="006866D5" w:rsidRPr="006866D5">
        <w:rPr>
          <w:rFonts w:ascii="Times New Roman" w:hAnsi="Times New Roman" w:cs="Times New Roman"/>
          <w:sz w:val="24"/>
          <w:szCs w:val="24"/>
          <w:lang w:val="en-US"/>
        </w:rPr>
        <w:t xml:space="preserve"> atau bahkan kepailitan. </w:t>
      </w:r>
    </w:p>
    <w:p w:rsidR="006866D5" w:rsidRPr="006866D5" w:rsidRDefault="00317407" w:rsidP="006866D5">
      <w:pPr>
        <w:pStyle w:val="ListParagraph"/>
        <w:ind w:left="0" w:firstLine="720"/>
        <w:rPr>
          <w:rFonts w:ascii="Times New Roman" w:hAnsi="Times New Roman" w:cs="Times New Roman"/>
          <w:sz w:val="24"/>
          <w:szCs w:val="24"/>
          <w:lang w:val="en-US"/>
        </w:rPr>
      </w:pPr>
      <w:r>
        <w:rPr>
          <w:rFonts w:ascii="Times New Roman" w:hAnsi="Times New Roman" w:cs="Times New Roman"/>
          <w:i/>
          <w:sz w:val="24"/>
          <w:szCs w:val="24"/>
          <w:lang w:val="en-US"/>
        </w:rPr>
        <w:t>F</w:t>
      </w:r>
      <w:r w:rsidRPr="00317407">
        <w:rPr>
          <w:rFonts w:ascii="Times New Roman" w:hAnsi="Times New Roman" w:cs="Times New Roman"/>
          <w:i/>
          <w:sz w:val="24"/>
          <w:szCs w:val="24"/>
          <w:lang w:val="en-US"/>
        </w:rPr>
        <w:t>inancial distress</w:t>
      </w:r>
      <w:r w:rsidRPr="006866D5">
        <w:rPr>
          <w:rFonts w:ascii="Times New Roman" w:hAnsi="Times New Roman" w:cs="Times New Roman"/>
          <w:sz w:val="24"/>
          <w:szCs w:val="24"/>
          <w:lang w:val="en-US"/>
        </w:rPr>
        <w:t xml:space="preserve"> </w:t>
      </w:r>
      <w:r>
        <w:rPr>
          <w:rFonts w:ascii="Times New Roman" w:hAnsi="Times New Roman" w:cs="Times New Roman"/>
          <w:sz w:val="24"/>
          <w:szCs w:val="24"/>
          <w:lang w:val="en-US"/>
        </w:rPr>
        <w:t>atau kepailitan dapat terjadi karena perusahaan mengalami masalah keuangan yang dibiarkan berlarut-larut. Hal tersebut juga dapat terjadi karena k</w:t>
      </w:r>
      <w:r w:rsidR="0088589C">
        <w:rPr>
          <w:rFonts w:ascii="Times New Roman" w:hAnsi="Times New Roman" w:cs="Times New Roman"/>
          <w:sz w:val="24"/>
          <w:szCs w:val="24"/>
          <w:lang w:val="en-US"/>
        </w:rPr>
        <w:t>etidakmampuan</w:t>
      </w:r>
      <w:r w:rsidR="006866D5" w:rsidRPr="006866D5">
        <w:rPr>
          <w:rFonts w:ascii="Times New Roman" w:hAnsi="Times New Roman" w:cs="Times New Roman"/>
          <w:sz w:val="24"/>
          <w:szCs w:val="24"/>
          <w:lang w:val="en-US"/>
        </w:rPr>
        <w:t xml:space="preserve"> </w:t>
      </w:r>
      <w:r>
        <w:rPr>
          <w:rFonts w:ascii="Times New Roman" w:hAnsi="Times New Roman" w:cs="Times New Roman"/>
          <w:sz w:val="24"/>
          <w:szCs w:val="24"/>
          <w:lang w:val="en-US"/>
        </w:rPr>
        <w:t>manajemen dalam memp</w:t>
      </w:r>
      <w:r w:rsidR="006866D5" w:rsidRPr="006866D5">
        <w:rPr>
          <w:rFonts w:ascii="Times New Roman" w:hAnsi="Times New Roman" w:cs="Times New Roman"/>
          <w:sz w:val="24"/>
          <w:szCs w:val="24"/>
          <w:lang w:val="en-US"/>
        </w:rPr>
        <w:t xml:space="preserve">rediksi </w:t>
      </w:r>
      <w:r>
        <w:rPr>
          <w:rFonts w:ascii="Times New Roman" w:hAnsi="Times New Roman" w:cs="Times New Roman"/>
          <w:sz w:val="24"/>
          <w:szCs w:val="24"/>
          <w:lang w:val="en-US"/>
        </w:rPr>
        <w:t>kebangkruta</w:t>
      </w:r>
      <w:r w:rsidR="007F07C0">
        <w:rPr>
          <w:rFonts w:ascii="Times New Roman" w:hAnsi="Times New Roman" w:cs="Times New Roman"/>
          <w:sz w:val="24"/>
          <w:szCs w:val="24"/>
          <w:lang w:val="en-US"/>
        </w:rPr>
        <w:t>n</w:t>
      </w:r>
      <w:r w:rsidR="006866D5" w:rsidRPr="006866D5">
        <w:rPr>
          <w:rFonts w:ascii="Times New Roman" w:hAnsi="Times New Roman" w:cs="Times New Roman"/>
          <w:sz w:val="24"/>
          <w:szCs w:val="24"/>
          <w:lang w:val="en-US"/>
        </w:rPr>
        <w:t>. Oleh karena itu, pentingnya suatu model prediksi ke</w:t>
      </w:r>
      <w:r>
        <w:rPr>
          <w:rFonts w:ascii="Times New Roman" w:hAnsi="Times New Roman" w:cs="Times New Roman"/>
          <w:sz w:val="24"/>
          <w:szCs w:val="24"/>
          <w:lang w:val="en-US"/>
        </w:rPr>
        <w:t>bangkruta</w:t>
      </w:r>
      <w:r w:rsidR="006866D5" w:rsidRPr="006866D5">
        <w:rPr>
          <w:rFonts w:ascii="Times New Roman" w:hAnsi="Times New Roman" w:cs="Times New Roman"/>
          <w:sz w:val="24"/>
          <w:szCs w:val="24"/>
          <w:lang w:val="en-US"/>
        </w:rPr>
        <w:t>n suatu perusahaan menjadi hal yang sangat dibutuhkan oleh berbagai pihak seperti pemegang saham, investor, bank (sebagai pemberi kredit), pemerintah, karyawan, masyarakat dan manajemen.</w:t>
      </w:r>
    </w:p>
    <w:p w:rsidR="00FA45EE" w:rsidRDefault="00AA639E" w:rsidP="00FA45EE">
      <w:pPr>
        <w:ind w:left="90" w:firstLine="630"/>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 xml:space="preserve">Fenomena bangkrutnya Enron pada tahun 2001 mengingatkan bahwa pentingnya prediksi </w:t>
      </w:r>
      <w:r w:rsidRPr="00AA639E">
        <w:rPr>
          <w:rFonts w:ascii="Times New Roman" w:eastAsia="Times New Roman" w:hAnsi="Times New Roman" w:cs="Times New Roman"/>
          <w:i/>
          <w:color w:val="000000"/>
          <w:sz w:val="24"/>
          <w:lang w:val="en-US"/>
        </w:rPr>
        <w:t>financial distress</w:t>
      </w:r>
      <w:r>
        <w:rPr>
          <w:rFonts w:ascii="Times New Roman" w:eastAsia="Times New Roman" w:hAnsi="Times New Roman" w:cs="Times New Roman"/>
          <w:color w:val="000000"/>
          <w:sz w:val="24"/>
          <w:lang w:val="en-US"/>
        </w:rPr>
        <w:t xml:space="preserve"> pada suatu perusahaan. Enron adalah </w:t>
      </w:r>
      <w:r w:rsidRPr="00AA639E">
        <w:rPr>
          <w:rFonts w:ascii="Times New Roman" w:eastAsia="Times New Roman" w:hAnsi="Times New Roman" w:cs="Times New Roman"/>
          <w:color w:val="000000"/>
          <w:sz w:val="24"/>
          <w:lang w:val="en-US"/>
        </w:rPr>
        <w:t>sebuah perusahaan raksasa ke -7 da</w:t>
      </w:r>
      <w:r>
        <w:rPr>
          <w:rFonts w:ascii="Times New Roman" w:eastAsia="Times New Roman" w:hAnsi="Times New Roman" w:cs="Times New Roman"/>
          <w:color w:val="000000"/>
          <w:sz w:val="24"/>
          <w:lang w:val="en-US"/>
        </w:rPr>
        <w:t xml:space="preserve">lam ukuran nilai pasar </w:t>
      </w:r>
      <w:r w:rsidRPr="00AA639E">
        <w:rPr>
          <w:rFonts w:ascii="Times New Roman" w:eastAsia="Times New Roman" w:hAnsi="Times New Roman" w:cs="Times New Roman"/>
          <w:color w:val="000000"/>
          <w:sz w:val="24"/>
          <w:lang w:val="en-US"/>
        </w:rPr>
        <w:t>terbesar di bidang energi dan perdagangan energi. Mencatat pertumbuhan penjualan</w:t>
      </w:r>
      <w:r>
        <w:rPr>
          <w:rFonts w:ascii="Times New Roman" w:eastAsia="Times New Roman" w:hAnsi="Times New Roman" w:cs="Times New Roman"/>
          <w:color w:val="000000"/>
          <w:sz w:val="24"/>
          <w:lang w:val="en-US"/>
        </w:rPr>
        <w:t xml:space="preserve"> </w:t>
      </w:r>
      <w:r w:rsidRPr="00AA639E">
        <w:rPr>
          <w:rFonts w:ascii="Times New Roman" w:eastAsia="Times New Roman" w:hAnsi="Times New Roman" w:cs="Times New Roman"/>
          <w:color w:val="000000"/>
          <w:sz w:val="24"/>
          <w:lang w:val="en-US"/>
        </w:rPr>
        <w:t xml:space="preserve">dari USD 31 </w:t>
      </w:r>
      <w:r w:rsidRPr="00AA639E">
        <w:rPr>
          <w:rFonts w:ascii="Times New Roman" w:eastAsia="Times New Roman" w:hAnsi="Times New Roman" w:cs="Times New Roman"/>
          <w:color w:val="000000"/>
          <w:sz w:val="24"/>
          <w:lang w:val="en-US"/>
        </w:rPr>
        <w:lastRenderedPageBreak/>
        <w:t>miliar dari tahun 1988 meningkat jadi USD 100 miliar pada tahun 2000.</w:t>
      </w:r>
      <w:r>
        <w:rPr>
          <w:rFonts w:ascii="Times New Roman" w:eastAsia="Times New Roman" w:hAnsi="Times New Roman" w:cs="Times New Roman"/>
          <w:color w:val="000000"/>
          <w:sz w:val="24"/>
          <w:lang w:val="en-US"/>
        </w:rPr>
        <w:t xml:space="preserve"> </w:t>
      </w:r>
      <w:r w:rsidR="007F07C0" w:rsidRPr="007F07C0">
        <w:rPr>
          <w:rFonts w:ascii="Times New Roman" w:eastAsia="Times New Roman" w:hAnsi="Times New Roman" w:cs="Times New Roman"/>
          <w:color w:val="000000"/>
          <w:sz w:val="24"/>
          <w:lang w:val="en-US"/>
        </w:rPr>
        <w:t>Operasinya di Eropa melaporkan kebangkrutannya pada 30 November 2001, dan dua hari kemudian, pada 2 Desember 2001</w:t>
      </w:r>
      <w:r w:rsidR="007F07C0">
        <w:rPr>
          <w:rFonts w:ascii="Times New Roman" w:eastAsia="Times New Roman" w:hAnsi="Times New Roman" w:cs="Times New Roman"/>
          <w:color w:val="000000"/>
          <w:sz w:val="24"/>
          <w:lang w:val="en-US"/>
        </w:rPr>
        <w:t xml:space="preserve">di </w:t>
      </w:r>
      <w:r w:rsidR="007F07C0" w:rsidRPr="007F07C0">
        <w:rPr>
          <w:rFonts w:ascii="Times New Roman" w:eastAsia="Times New Roman" w:hAnsi="Times New Roman" w:cs="Times New Roman"/>
          <w:color w:val="000000"/>
          <w:sz w:val="24"/>
          <w:lang w:val="en-US"/>
        </w:rPr>
        <w:t xml:space="preserve">Amerika. Saat itu, kasus </w:t>
      </w:r>
      <w:r w:rsidR="00F0252D">
        <w:rPr>
          <w:rFonts w:ascii="Times New Roman" w:eastAsia="Times New Roman" w:hAnsi="Times New Roman" w:cs="Times New Roman"/>
          <w:color w:val="000000"/>
          <w:sz w:val="24"/>
          <w:lang w:val="en-US"/>
        </w:rPr>
        <w:t>Enron</w:t>
      </w:r>
      <w:r w:rsidR="007F07C0" w:rsidRPr="007F07C0">
        <w:rPr>
          <w:rFonts w:ascii="Times New Roman" w:eastAsia="Times New Roman" w:hAnsi="Times New Roman" w:cs="Times New Roman"/>
          <w:color w:val="000000"/>
          <w:sz w:val="24"/>
          <w:lang w:val="en-US"/>
        </w:rPr>
        <w:t xml:space="preserve"> merupakan kebangkrutan terbesar dalam sejarah AS dan menyebabkan 4.000 pegawai kehilangan pekerjaan mereka, yang lebih mengejutkan lagi, kebangkrutan ini disebabkan oleh kesalahan fatal dalam sistem akuntan mereka. </w:t>
      </w:r>
    </w:p>
    <w:p w:rsidR="00FA45EE" w:rsidRPr="0027518C" w:rsidRDefault="00FA45EE" w:rsidP="00FA45EE">
      <w:pPr>
        <w:ind w:left="90" w:firstLine="630"/>
        <w:rPr>
          <w:rFonts w:ascii="Times New Roman" w:hAnsi="Times New Roman" w:cs="Times New Roman"/>
          <w:sz w:val="24"/>
          <w:szCs w:val="24"/>
        </w:rPr>
      </w:pPr>
      <w:r w:rsidRPr="0027518C">
        <w:rPr>
          <w:rFonts w:ascii="Times New Roman" w:hAnsi="Times New Roman" w:cs="Times New Roman"/>
          <w:sz w:val="24"/>
          <w:szCs w:val="24"/>
        </w:rPr>
        <w:t>Selama tujuh tahun terakhir, Enron melebih-lebihkan laba bersih dan menutup-tutupi utang mereka</w:t>
      </w:r>
      <w:r>
        <w:rPr>
          <w:rFonts w:ascii="Times New Roman" w:hAnsi="Times New Roman" w:cs="Times New Roman"/>
          <w:sz w:val="24"/>
          <w:szCs w:val="24"/>
          <w:lang w:val="en-US"/>
        </w:rPr>
        <w:t xml:space="preserve">. </w:t>
      </w:r>
      <w:r w:rsidRPr="0027518C">
        <w:rPr>
          <w:rFonts w:ascii="Times New Roman" w:hAnsi="Times New Roman" w:cs="Times New Roman"/>
          <w:sz w:val="24"/>
          <w:szCs w:val="24"/>
        </w:rPr>
        <w:t>Auditor independen, Andersen (yang dahulu dikenal sebagai Arthur Andersen), dituding ikut berperan dalam "menyusun" pembukuan kreatif Enron</w:t>
      </w:r>
      <w:r>
        <w:rPr>
          <w:rFonts w:ascii="Times New Roman" w:hAnsi="Times New Roman" w:cs="Times New Roman"/>
          <w:sz w:val="24"/>
          <w:szCs w:val="24"/>
          <w:lang w:val="en-US"/>
        </w:rPr>
        <w:t xml:space="preserve">. </w:t>
      </w:r>
      <w:r w:rsidRPr="0027518C">
        <w:rPr>
          <w:rFonts w:ascii="Times New Roman" w:hAnsi="Times New Roman" w:cs="Times New Roman"/>
          <w:sz w:val="24"/>
          <w:szCs w:val="24"/>
        </w:rPr>
        <w:t xml:space="preserve">Kejatuhan Enron bermula dari dibukanya </w:t>
      </w:r>
      <w:r w:rsidRPr="0027518C">
        <w:rPr>
          <w:rFonts w:ascii="Times New Roman" w:hAnsi="Times New Roman" w:cs="Times New Roman"/>
          <w:i/>
          <w:sz w:val="24"/>
          <w:szCs w:val="24"/>
        </w:rPr>
        <w:t>partnership-partnership</w:t>
      </w:r>
      <w:r w:rsidRPr="0027518C">
        <w:rPr>
          <w:rFonts w:ascii="Times New Roman" w:hAnsi="Times New Roman" w:cs="Times New Roman"/>
          <w:sz w:val="24"/>
          <w:szCs w:val="24"/>
        </w:rPr>
        <w:t xml:space="preserve"> yang bertujuan untuk menambah keuntungan pada Enron.</w:t>
      </w:r>
      <w:r w:rsidRPr="00FA45EE">
        <w:rPr>
          <w:rFonts w:ascii="Times New Roman" w:hAnsi="Times New Roman" w:cs="Times New Roman"/>
          <w:sz w:val="24"/>
          <w:szCs w:val="24"/>
        </w:rPr>
        <w:t xml:space="preserve"> </w:t>
      </w:r>
      <w:r w:rsidRPr="0027518C">
        <w:rPr>
          <w:rFonts w:ascii="Times New Roman" w:hAnsi="Times New Roman" w:cs="Times New Roman"/>
          <w:sz w:val="24"/>
          <w:szCs w:val="24"/>
        </w:rPr>
        <w:t xml:space="preserve">Enron tidak pernah mengungkapkan operasi dari </w:t>
      </w:r>
      <w:r w:rsidRPr="0027518C">
        <w:rPr>
          <w:rFonts w:ascii="Times New Roman" w:hAnsi="Times New Roman" w:cs="Times New Roman"/>
          <w:i/>
          <w:sz w:val="24"/>
          <w:szCs w:val="24"/>
        </w:rPr>
        <w:t>partnership-partnership</w:t>
      </w:r>
      <w:r w:rsidRPr="0027518C">
        <w:rPr>
          <w:rFonts w:ascii="Times New Roman" w:hAnsi="Times New Roman" w:cs="Times New Roman"/>
          <w:sz w:val="24"/>
          <w:szCs w:val="24"/>
        </w:rPr>
        <w:t xml:space="preserve"> tersebut dalam laporan keuangan yang ditujukan kepada pemegang saham dan </w:t>
      </w:r>
      <w:r w:rsidRPr="0027518C">
        <w:rPr>
          <w:rFonts w:ascii="Times New Roman" w:hAnsi="Times New Roman" w:cs="Times New Roman"/>
          <w:i/>
          <w:sz w:val="24"/>
          <w:szCs w:val="24"/>
        </w:rPr>
        <w:t>Security Exchange Commission</w:t>
      </w:r>
      <w:r w:rsidRPr="0027518C">
        <w:rPr>
          <w:rFonts w:ascii="Times New Roman" w:hAnsi="Times New Roman" w:cs="Times New Roman"/>
          <w:sz w:val="24"/>
          <w:szCs w:val="24"/>
        </w:rPr>
        <w:t xml:space="preserve"> (SEC), badan tertinggi pengawasan perusahaan publik di Amerika. Lebih jauh lagi, Enron bahkan memindahkan utang-utang sebesar 690 juta dolar AS yang ditimbulkan induk perusahaan ke </w:t>
      </w:r>
      <w:r w:rsidRPr="0027518C">
        <w:rPr>
          <w:rFonts w:ascii="Times New Roman" w:hAnsi="Times New Roman" w:cs="Times New Roman"/>
          <w:i/>
          <w:sz w:val="24"/>
          <w:szCs w:val="24"/>
        </w:rPr>
        <w:t>partnership-partnership</w:t>
      </w:r>
      <w:r w:rsidRPr="0027518C">
        <w:rPr>
          <w:rFonts w:ascii="Times New Roman" w:hAnsi="Times New Roman" w:cs="Times New Roman"/>
          <w:sz w:val="24"/>
          <w:szCs w:val="24"/>
        </w:rPr>
        <w:t xml:space="preserve"> tersebut. Akibatnya, laporan keuangan dari induk perusahaan terlihat sangat atraktif, menyebabkan harga saham Enron melonjak menjadi 90 dolar AS pada bulan Februari 2001. </w:t>
      </w:r>
    </w:p>
    <w:p w:rsidR="00AA639E" w:rsidRPr="00FA45EE" w:rsidRDefault="00FA45EE" w:rsidP="00FA45EE">
      <w:pPr>
        <w:pStyle w:val="ListParagraph"/>
        <w:ind w:left="90" w:firstLine="720"/>
        <w:rPr>
          <w:rFonts w:ascii="Times New Roman" w:hAnsi="Times New Roman" w:cs="Times New Roman"/>
          <w:b/>
          <w:color w:val="000000" w:themeColor="text1"/>
          <w:sz w:val="24"/>
          <w:szCs w:val="24"/>
          <w:lang w:val="en-US"/>
        </w:rPr>
      </w:pPr>
      <w:r w:rsidRPr="0027518C">
        <w:rPr>
          <w:rFonts w:ascii="Times New Roman" w:hAnsi="Times New Roman" w:cs="Times New Roman"/>
          <w:sz w:val="24"/>
          <w:szCs w:val="24"/>
        </w:rPr>
        <w:t xml:space="preserve">Perhitungan menunjukkan bahwa dalam kurun waktu tersebut, Enron telah melebih-lebihkan laba mereka sebanyak 650 juta dolar AS. Bulan September 2001, pemerintah AS mulai mencium adanya ketidakberesan dalam laporan pembukuan Enron. Satu bulan kemudian, Enron mengumumkan </w:t>
      </w:r>
      <w:r w:rsidRPr="0027518C">
        <w:rPr>
          <w:rFonts w:ascii="Times New Roman" w:hAnsi="Times New Roman" w:cs="Times New Roman"/>
          <w:sz w:val="24"/>
          <w:szCs w:val="24"/>
        </w:rPr>
        <w:lastRenderedPageBreak/>
        <w:t>kerugian sebesar 600 juta dolar AS dan nilai aset Enron menyusut 1,2 triliun dolar AS. Pada laporan keuangan yang sama diakui, bahwa selama tujuh tahun terakhir, Enron selalu melebih-lebihkan laba bersih mereka. Akibat laporan mengejutkan ini, nilai saham Enron mulai anjlok dan saat Enron mengumumkan b</w:t>
      </w:r>
      <w:r w:rsidR="003D545E">
        <w:rPr>
          <w:rFonts w:ascii="Times New Roman" w:hAnsi="Times New Roman" w:cs="Times New Roman"/>
          <w:sz w:val="24"/>
          <w:szCs w:val="24"/>
        </w:rPr>
        <w:t>ahwa perusahaan harus gulung ti</w:t>
      </w:r>
      <w:r w:rsidRPr="0027518C">
        <w:rPr>
          <w:rFonts w:ascii="Times New Roman" w:hAnsi="Times New Roman" w:cs="Times New Roman"/>
          <w:sz w:val="24"/>
          <w:szCs w:val="24"/>
        </w:rPr>
        <w:t>kar, 2 Desember 2001, harga saham Enron hanya 26 sen.</w:t>
      </w:r>
    </w:p>
    <w:p w:rsidR="00620011" w:rsidRDefault="007C5990" w:rsidP="00FA2C7A">
      <w:pPr>
        <w:ind w:firstLine="774"/>
        <w:textAlignment w:val="baseline"/>
        <w:rPr>
          <w:rFonts w:ascii="Times New Roman" w:eastAsia="Times New Roman" w:hAnsi="Times New Roman" w:cs="Times New Roman"/>
          <w:color w:val="000000"/>
          <w:sz w:val="24"/>
          <w:lang w:val="en-US"/>
        </w:rPr>
      </w:pPr>
      <w:r>
        <w:rPr>
          <w:rFonts w:ascii="Times New Roman" w:eastAsia="Times New Roman" w:hAnsi="Times New Roman" w:cs="Times New Roman"/>
          <w:color w:val="000000"/>
          <w:sz w:val="24"/>
          <w:lang w:val="en-US"/>
        </w:rPr>
        <w:t>Fenomena di Indonesia mengenai pentingnya prediksi kebangkrutan salah satunya k</w:t>
      </w:r>
      <w:r w:rsidR="009C3CD7">
        <w:rPr>
          <w:rFonts w:ascii="Times New Roman" w:eastAsia="Times New Roman" w:hAnsi="Times New Roman" w:cs="Times New Roman"/>
          <w:color w:val="000000"/>
          <w:sz w:val="24"/>
          <w:lang w:val="en-US"/>
        </w:rPr>
        <w:t xml:space="preserve">asus di bidang perbankan </w:t>
      </w:r>
      <w:r w:rsidR="00FA2C7A">
        <w:rPr>
          <w:rFonts w:ascii="Times New Roman" w:eastAsia="Times New Roman" w:hAnsi="Times New Roman" w:cs="Times New Roman"/>
          <w:color w:val="000000"/>
          <w:sz w:val="24"/>
          <w:lang w:val="en-US"/>
        </w:rPr>
        <w:t>yaitu k</w:t>
      </w:r>
      <w:r w:rsidR="009C3CD7" w:rsidRPr="009C3CD7">
        <w:rPr>
          <w:rFonts w:ascii="Times New Roman" w:eastAsia="Times New Roman" w:hAnsi="Times New Roman" w:cs="Times New Roman"/>
          <w:color w:val="000000"/>
          <w:sz w:val="24"/>
          <w:lang w:val="en-US"/>
        </w:rPr>
        <w:t xml:space="preserve">asus Bank Century yang </w:t>
      </w:r>
      <w:r>
        <w:rPr>
          <w:rFonts w:ascii="Times New Roman" w:eastAsia="Times New Roman" w:hAnsi="Times New Roman" w:cs="Times New Roman"/>
          <w:color w:val="000000"/>
          <w:sz w:val="24"/>
          <w:lang w:val="en-US"/>
        </w:rPr>
        <w:t xml:space="preserve">tiba-tiba dinyatakan pailit </w:t>
      </w:r>
      <w:r w:rsidR="009C3CD7" w:rsidRPr="009C3CD7">
        <w:rPr>
          <w:rFonts w:ascii="Times New Roman" w:eastAsia="Times New Roman" w:hAnsi="Times New Roman" w:cs="Times New Roman"/>
          <w:color w:val="000000"/>
          <w:sz w:val="24"/>
          <w:lang w:val="en-US"/>
        </w:rPr>
        <w:t xml:space="preserve">beberapa </w:t>
      </w:r>
      <w:r w:rsidR="004B295B">
        <w:rPr>
          <w:rFonts w:ascii="Times New Roman" w:eastAsia="Times New Roman" w:hAnsi="Times New Roman" w:cs="Times New Roman"/>
          <w:color w:val="000000"/>
          <w:sz w:val="24"/>
          <w:lang w:val="en-US"/>
        </w:rPr>
        <w:t>tahun</w:t>
      </w:r>
      <w:r w:rsidR="009C3CD7" w:rsidRPr="009C3CD7">
        <w:rPr>
          <w:rFonts w:ascii="Times New Roman" w:eastAsia="Times New Roman" w:hAnsi="Times New Roman" w:cs="Times New Roman"/>
          <w:color w:val="000000"/>
          <w:sz w:val="24"/>
          <w:lang w:val="en-US"/>
        </w:rPr>
        <w:t xml:space="preserve"> yang lalu</w:t>
      </w:r>
      <w:r w:rsidR="00FA2C7A">
        <w:rPr>
          <w:rFonts w:ascii="Times New Roman" w:eastAsia="Times New Roman" w:hAnsi="Times New Roman" w:cs="Times New Roman"/>
          <w:color w:val="000000"/>
          <w:sz w:val="24"/>
          <w:lang w:val="en-US"/>
        </w:rPr>
        <w:t xml:space="preserve">. </w:t>
      </w:r>
      <w:r w:rsidR="00FA2C7A" w:rsidRPr="00FA2C7A">
        <w:rPr>
          <w:rFonts w:ascii="Times New Roman" w:eastAsia="Times New Roman" w:hAnsi="Times New Roman" w:cs="Times New Roman"/>
          <w:color w:val="000000"/>
          <w:sz w:val="24"/>
          <w:lang w:val="en-US"/>
        </w:rPr>
        <w:t>Kasus Bank Century merupakan kasus yang terhangat di Indonesia yang banyak m</w:t>
      </w:r>
      <w:r w:rsidR="00FA2C7A">
        <w:rPr>
          <w:rFonts w:ascii="Times New Roman" w:eastAsia="Times New Roman" w:hAnsi="Times New Roman" w:cs="Times New Roman"/>
          <w:color w:val="000000"/>
          <w:sz w:val="24"/>
          <w:lang w:val="en-US"/>
        </w:rPr>
        <w:t>enyeret para pejabat. Awal mula</w:t>
      </w:r>
      <w:r w:rsidR="00FA2C7A" w:rsidRPr="00FA2C7A">
        <w:rPr>
          <w:rFonts w:ascii="Times New Roman" w:eastAsia="Times New Roman" w:hAnsi="Times New Roman" w:cs="Times New Roman"/>
          <w:color w:val="000000"/>
          <w:sz w:val="24"/>
          <w:lang w:val="en-US"/>
        </w:rPr>
        <w:t xml:space="preserve"> terjadinya kasus Bank Century adalah Bank Century mengalami</w:t>
      </w:r>
      <w:r w:rsidR="00FA2C7A">
        <w:rPr>
          <w:rFonts w:ascii="Times New Roman" w:eastAsia="Times New Roman" w:hAnsi="Times New Roman" w:cs="Times New Roman"/>
          <w:color w:val="000000"/>
          <w:sz w:val="24"/>
          <w:lang w:val="en-US"/>
        </w:rPr>
        <w:t xml:space="preserve"> kalah kliring pada tanggal 1</w:t>
      </w:r>
      <w:r w:rsidR="00620011">
        <w:rPr>
          <w:rFonts w:ascii="Times New Roman" w:eastAsia="Times New Roman" w:hAnsi="Times New Roman" w:cs="Times New Roman"/>
          <w:color w:val="000000"/>
          <w:sz w:val="24"/>
          <w:lang w:val="en-US"/>
        </w:rPr>
        <w:t>3</w:t>
      </w:r>
      <w:r w:rsidR="00FA2C7A">
        <w:rPr>
          <w:rFonts w:ascii="Times New Roman" w:eastAsia="Times New Roman" w:hAnsi="Times New Roman" w:cs="Times New Roman"/>
          <w:color w:val="000000"/>
          <w:sz w:val="24"/>
          <w:lang w:val="en-US"/>
        </w:rPr>
        <w:t xml:space="preserve"> </w:t>
      </w:r>
      <w:r w:rsidR="00FA2C7A" w:rsidRPr="00FA2C7A">
        <w:rPr>
          <w:rFonts w:ascii="Times New Roman" w:eastAsia="Times New Roman" w:hAnsi="Times New Roman" w:cs="Times New Roman"/>
          <w:color w:val="000000"/>
          <w:sz w:val="24"/>
          <w:lang w:val="en-US"/>
        </w:rPr>
        <w:t>November 2008</w:t>
      </w:r>
      <w:r w:rsidR="004B295B">
        <w:rPr>
          <w:rFonts w:ascii="Times New Roman" w:eastAsia="Times New Roman" w:hAnsi="Times New Roman" w:cs="Times New Roman"/>
          <w:color w:val="000000"/>
          <w:sz w:val="24"/>
          <w:lang w:val="en-US"/>
        </w:rPr>
        <w:t xml:space="preserve">, </w:t>
      </w:r>
      <w:r>
        <w:rPr>
          <w:rFonts w:ascii="Times New Roman" w:eastAsia="Times New Roman" w:hAnsi="Times New Roman" w:cs="Times New Roman"/>
          <w:color w:val="000000"/>
          <w:sz w:val="24"/>
          <w:lang w:val="en-US"/>
        </w:rPr>
        <w:t xml:space="preserve">lalu Bank Century secara tiba-tiba dinyatakan pailit karena tidak mempu memenuhi kewajiban kliringnya kepada Bank Indonesia. Saham BCIC </w:t>
      </w:r>
      <w:r w:rsidR="00620011">
        <w:rPr>
          <w:rFonts w:ascii="Times New Roman" w:eastAsia="Times New Roman" w:hAnsi="Times New Roman" w:cs="Times New Roman"/>
          <w:color w:val="000000"/>
          <w:sz w:val="24"/>
          <w:lang w:val="en-US"/>
        </w:rPr>
        <w:t xml:space="preserve">kemudian </w:t>
      </w:r>
      <w:r w:rsidR="006831F3">
        <w:rPr>
          <w:rFonts w:ascii="Times New Roman" w:eastAsia="Times New Roman" w:hAnsi="Times New Roman" w:cs="Times New Roman"/>
          <w:color w:val="000000"/>
          <w:sz w:val="24"/>
          <w:lang w:val="en-US"/>
        </w:rPr>
        <w:t>di</w:t>
      </w:r>
      <w:r w:rsidR="006831F3" w:rsidRPr="006831F3">
        <w:rPr>
          <w:rFonts w:ascii="Times New Roman" w:eastAsia="Times New Roman" w:hAnsi="Times New Roman" w:cs="Times New Roman"/>
          <w:i/>
          <w:color w:val="000000"/>
          <w:sz w:val="24"/>
          <w:lang w:val="en-US"/>
        </w:rPr>
        <w:t>suspend</w:t>
      </w:r>
      <w:r w:rsidR="00620011">
        <w:rPr>
          <w:rFonts w:ascii="Times New Roman" w:eastAsia="Times New Roman" w:hAnsi="Times New Roman" w:cs="Times New Roman"/>
          <w:color w:val="000000"/>
          <w:sz w:val="24"/>
          <w:lang w:val="en-US"/>
        </w:rPr>
        <w:t xml:space="preserve"> </w:t>
      </w:r>
      <w:r w:rsidR="006831F3">
        <w:rPr>
          <w:rFonts w:ascii="Times New Roman" w:eastAsia="Times New Roman" w:hAnsi="Times New Roman" w:cs="Times New Roman"/>
          <w:color w:val="000000"/>
          <w:sz w:val="24"/>
          <w:lang w:val="en-US"/>
        </w:rPr>
        <w:t xml:space="preserve">oleh </w:t>
      </w:r>
      <w:r w:rsidR="00620011">
        <w:rPr>
          <w:rFonts w:ascii="Times New Roman" w:eastAsia="Times New Roman" w:hAnsi="Times New Roman" w:cs="Times New Roman"/>
          <w:color w:val="000000"/>
          <w:sz w:val="24"/>
          <w:lang w:val="en-US"/>
        </w:rPr>
        <w:t>Bursa</w:t>
      </w:r>
      <w:r w:rsidR="006831F3">
        <w:rPr>
          <w:rFonts w:ascii="Times New Roman" w:eastAsia="Times New Roman" w:hAnsi="Times New Roman" w:cs="Times New Roman"/>
          <w:color w:val="000000"/>
          <w:sz w:val="24"/>
          <w:lang w:val="en-US"/>
        </w:rPr>
        <w:t>. Pada tanggal 24 November 2008 BCIC kemudian di</w:t>
      </w:r>
      <w:r w:rsidR="006831F3" w:rsidRPr="006831F3">
        <w:rPr>
          <w:rFonts w:ascii="Times New Roman" w:eastAsia="Times New Roman" w:hAnsi="Times New Roman" w:cs="Times New Roman"/>
          <w:i/>
          <w:color w:val="000000"/>
          <w:sz w:val="24"/>
          <w:lang w:val="en-US"/>
        </w:rPr>
        <w:t>takeover</w:t>
      </w:r>
      <w:r w:rsidR="006831F3">
        <w:rPr>
          <w:rFonts w:ascii="Times New Roman" w:eastAsia="Times New Roman" w:hAnsi="Times New Roman" w:cs="Times New Roman"/>
          <w:color w:val="000000"/>
          <w:sz w:val="24"/>
          <w:lang w:val="en-US"/>
        </w:rPr>
        <w:t xml:space="preserve"> oleh pemerintah melalui LPS. Suntikan dana LPS guna penyelamatan Bank Century mencapai Rp 6,762 triliun. Total suntikan dana yang sangat besar tersebut menjadi pertanyaan di sejumlah masyarakat. Ada dugaan, 14 November 2008 ketika Bank Indonesia mengucurkan fasilitas pendanaan jangka pendek senilai Rp 689.4 miliar kepada Bank Century yang likuiditasnya sedang ambruk, dana tersebut </w:t>
      </w:r>
      <w:r w:rsidR="00F0252D">
        <w:rPr>
          <w:rFonts w:ascii="Times New Roman" w:eastAsia="Times New Roman" w:hAnsi="Times New Roman" w:cs="Times New Roman"/>
          <w:color w:val="000000"/>
          <w:sz w:val="24"/>
          <w:lang w:val="en-US"/>
        </w:rPr>
        <w:t>j</w:t>
      </w:r>
      <w:r w:rsidR="006831F3">
        <w:rPr>
          <w:rFonts w:ascii="Times New Roman" w:eastAsia="Times New Roman" w:hAnsi="Times New Roman" w:cs="Times New Roman"/>
          <w:color w:val="000000"/>
          <w:sz w:val="24"/>
          <w:lang w:val="en-US"/>
        </w:rPr>
        <w:t>ustru mengalir ke seju</w:t>
      </w:r>
      <w:r>
        <w:rPr>
          <w:rFonts w:ascii="Times New Roman" w:eastAsia="Times New Roman" w:hAnsi="Times New Roman" w:cs="Times New Roman"/>
          <w:color w:val="000000"/>
          <w:sz w:val="24"/>
          <w:lang w:val="en-US"/>
        </w:rPr>
        <w:t>m</w:t>
      </w:r>
      <w:r w:rsidR="006831F3">
        <w:rPr>
          <w:rFonts w:ascii="Times New Roman" w:eastAsia="Times New Roman" w:hAnsi="Times New Roman" w:cs="Times New Roman"/>
          <w:color w:val="000000"/>
          <w:sz w:val="24"/>
          <w:lang w:val="en-US"/>
        </w:rPr>
        <w:t xml:space="preserve">lah rekening yang berkaitan dengan keluarga Tantular. Hal lain yang patut dicermati adalah pengucuran dana Century diduga terkait pemilu 2009. Ada semacam </w:t>
      </w:r>
      <w:r w:rsidR="006831F3">
        <w:rPr>
          <w:rFonts w:ascii="Times New Roman" w:eastAsia="Times New Roman" w:hAnsi="Times New Roman" w:cs="Times New Roman"/>
          <w:color w:val="000000"/>
          <w:sz w:val="24"/>
          <w:lang w:val="en-US"/>
        </w:rPr>
        <w:lastRenderedPageBreak/>
        <w:t>konspirasi di antara pejaba</w:t>
      </w:r>
      <w:r w:rsidR="00F0252D">
        <w:rPr>
          <w:rFonts w:ascii="Times New Roman" w:eastAsia="Times New Roman" w:hAnsi="Times New Roman" w:cs="Times New Roman"/>
          <w:color w:val="000000"/>
          <w:sz w:val="24"/>
          <w:lang w:val="en-US"/>
        </w:rPr>
        <w:t>t</w:t>
      </w:r>
      <w:r w:rsidR="006831F3">
        <w:rPr>
          <w:rFonts w:ascii="Times New Roman" w:eastAsia="Times New Roman" w:hAnsi="Times New Roman" w:cs="Times New Roman"/>
          <w:color w:val="000000"/>
          <w:sz w:val="24"/>
          <w:lang w:val="en-US"/>
        </w:rPr>
        <w:t xml:space="preserve"> pemerintahan untuk memanfaatkan dana talangan Bank Century untuk belanja politik. </w:t>
      </w:r>
    </w:p>
    <w:p w:rsidR="003A6683" w:rsidRDefault="003A6683" w:rsidP="007C5990">
      <w:pPr>
        <w:pStyle w:val="Default"/>
        <w:spacing w:line="480" w:lineRule="auto"/>
        <w:ind w:firstLine="720"/>
        <w:jc w:val="both"/>
        <w:rPr>
          <w:color w:val="000000" w:themeColor="text1"/>
        </w:rPr>
      </w:pPr>
      <w:r>
        <w:rPr>
          <w:color w:val="000000" w:themeColor="text1"/>
        </w:rPr>
        <w:t xml:space="preserve">Berdasarkan penelitian sebelumnya, faktor-faktor prediksi </w:t>
      </w:r>
      <w:r w:rsidRPr="00323DFC">
        <w:rPr>
          <w:i/>
          <w:color w:val="000000" w:themeColor="text1"/>
        </w:rPr>
        <w:t>financial distress</w:t>
      </w:r>
      <w:r>
        <w:rPr>
          <w:color w:val="000000" w:themeColor="text1"/>
        </w:rPr>
        <w:t xml:space="preserve"> adalah sebagai berikut :</w:t>
      </w:r>
    </w:p>
    <w:p w:rsidR="003A6683" w:rsidRDefault="003A6683" w:rsidP="003A6683">
      <w:pPr>
        <w:pStyle w:val="Default"/>
        <w:numPr>
          <w:ilvl w:val="0"/>
          <w:numId w:val="57"/>
        </w:numPr>
        <w:spacing w:line="480" w:lineRule="auto"/>
        <w:ind w:left="1134"/>
        <w:jc w:val="both"/>
        <w:rPr>
          <w:color w:val="000000" w:themeColor="text1"/>
        </w:rPr>
      </w:pPr>
      <w:r>
        <w:rPr>
          <w:color w:val="000000" w:themeColor="text1"/>
        </w:rPr>
        <w:t xml:space="preserve">Almilia dan Kristiajadi (2003) mengatakan bahwa </w:t>
      </w:r>
      <w:r w:rsidRPr="00323DFC">
        <w:rPr>
          <w:i/>
          <w:color w:val="000000" w:themeColor="text1"/>
        </w:rPr>
        <w:t>Current Ratio</w:t>
      </w:r>
      <w:r w:rsidR="00F0252D">
        <w:rPr>
          <w:color w:val="000000" w:themeColor="text1"/>
        </w:rPr>
        <w:t xml:space="preserve"> (CA/CL)</w:t>
      </w:r>
      <w:r>
        <w:rPr>
          <w:color w:val="000000" w:themeColor="text1"/>
        </w:rPr>
        <w:t xml:space="preserve">, </w:t>
      </w:r>
      <w:r w:rsidRPr="00323DFC">
        <w:rPr>
          <w:i/>
          <w:color w:val="000000" w:themeColor="text1"/>
        </w:rPr>
        <w:t>Net Profit Margin</w:t>
      </w:r>
      <w:r>
        <w:rPr>
          <w:color w:val="000000" w:themeColor="text1"/>
        </w:rPr>
        <w:t xml:space="preserve"> (NI/Sales), </w:t>
      </w:r>
      <w:r w:rsidRPr="00323DFC">
        <w:rPr>
          <w:i/>
          <w:color w:val="000000" w:themeColor="text1"/>
        </w:rPr>
        <w:t>Growth Net Income</w:t>
      </w:r>
      <w:r>
        <w:rPr>
          <w:color w:val="000000" w:themeColor="text1"/>
        </w:rPr>
        <w:t xml:space="preserve"> (GROWTHNI/TA), </w:t>
      </w:r>
      <w:r w:rsidR="009E2E7D">
        <w:rPr>
          <w:color w:val="000000" w:themeColor="text1"/>
        </w:rPr>
        <w:t xml:space="preserve">dan </w:t>
      </w:r>
      <w:r w:rsidR="009E2E7D" w:rsidRPr="009E2E7D">
        <w:rPr>
          <w:i/>
          <w:color w:val="000000" w:themeColor="text1"/>
        </w:rPr>
        <w:t>Financial</w:t>
      </w:r>
      <w:r w:rsidR="009E2E7D">
        <w:rPr>
          <w:color w:val="000000" w:themeColor="text1"/>
        </w:rPr>
        <w:t xml:space="preserve"> </w:t>
      </w:r>
      <w:r w:rsidRPr="00323DFC">
        <w:rPr>
          <w:i/>
          <w:color w:val="000000" w:themeColor="text1"/>
        </w:rPr>
        <w:t>Leverage</w:t>
      </w:r>
      <w:r>
        <w:rPr>
          <w:color w:val="000000" w:themeColor="text1"/>
        </w:rPr>
        <w:t xml:space="preserve"> (CL/TA) signifikan untuk mengukur prediksi </w:t>
      </w:r>
      <w:r w:rsidRPr="00323DFC">
        <w:rPr>
          <w:i/>
          <w:color w:val="000000" w:themeColor="text1"/>
        </w:rPr>
        <w:t>financial distress</w:t>
      </w:r>
    </w:p>
    <w:p w:rsidR="003A6683" w:rsidRDefault="003A6683" w:rsidP="003A6683">
      <w:pPr>
        <w:pStyle w:val="Default"/>
        <w:numPr>
          <w:ilvl w:val="0"/>
          <w:numId w:val="57"/>
        </w:numPr>
        <w:spacing w:line="480" w:lineRule="auto"/>
        <w:ind w:left="1134"/>
        <w:jc w:val="both"/>
        <w:rPr>
          <w:color w:val="000000" w:themeColor="text1"/>
        </w:rPr>
      </w:pPr>
      <w:r>
        <w:rPr>
          <w:color w:val="000000" w:themeColor="text1"/>
        </w:rPr>
        <w:t>Almili</w:t>
      </w:r>
      <w:r w:rsidR="00F0252D">
        <w:rPr>
          <w:color w:val="000000" w:themeColor="text1"/>
        </w:rPr>
        <w:t>a (2006) mengatakan bahwa TL/TA</w:t>
      </w:r>
      <w:r>
        <w:rPr>
          <w:color w:val="000000" w:themeColor="text1"/>
        </w:rPr>
        <w:t xml:space="preserve">, CA/TA, CFFO/TA, CFFO/CL, NFA/TA, CFFO/TS, CFFO/TL, signifikan untuk mengukur prediksi </w:t>
      </w:r>
      <w:r w:rsidRPr="00323DFC">
        <w:rPr>
          <w:i/>
          <w:color w:val="000000" w:themeColor="text1"/>
        </w:rPr>
        <w:t>financial distress</w:t>
      </w:r>
    </w:p>
    <w:p w:rsidR="003A6683" w:rsidRDefault="003A6683" w:rsidP="003A6683">
      <w:pPr>
        <w:pStyle w:val="Default"/>
        <w:numPr>
          <w:ilvl w:val="0"/>
          <w:numId w:val="57"/>
        </w:numPr>
        <w:spacing w:line="480" w:lineRule="auto"/>
        <w:ind w:left="1134"/>
        <w:jc w:val="both"/>
        <w:rPr>
          <w:color w:val="000000" w:themeColor="text1"/>
        </w:rPr>
      </w:pPr>
      <w:r>
        <w:rPr>
          <w:color w:val="000000" w:themeColor="text1"/>
        </w:rPr>
        <w:t xml:space="preserve">Wahyu dan Dody (2009) rasio yang dapat digunakan untuk mengukur prediksi </w:t>
      </w:r>
      <w:r w:rsidRPr="00323DFC">
        <w:rPr>
          <w:i/>
          <w:color w:val="000000" w:themeColor="text1"/>
        </w:rPr>
        <w:t>financial distress</w:t>
      </w:r>
      <w:r>
        <w:rPr>
          <w:color w:val="000000" w:themeColor="text1"/>
        </w:rPr>
        <w:t xml:space="preserve"> diantaranya </w:t>
      </w:r>
      <w:r w:rsidRPr="00323DFC">
        <w:rPr>
          <w:i/>
          <w:color w:val="000000" w:themeColor="text1"/>
        </w:rPr>
        <w:t>Quick Ratio</w:t>
      </w:r>
      <w:r>
        <w:rPr>
          <w:color w:val="000000" w:themeColor="text1"/>
        </w:rPr>
        <w:t xml:space="preserve"> (CA-INV/CL) dan Profitabilitas yang diukur dengan ROA (NI/TA), sedangkan rasio yang tidak berpengaruh terhadap prediksi </w:t>
      </w:r>
      <w:r w:rsidRPr="00323DFC">
        <w:rPr>
          <w:i/>
          <w:color w:val="000000" w:themeColor="text1"/>
        </w:rPr>
        <w:t>financial distress</w:t>
      </w:r>
      <w:r>
        <w:rPr>
          <w:color w:val="000000" w:themeColor="text1"/>
        </w:rPr>
        <w:t xml:space="preserve"> diantaranya </w:t>
      </w:r>
      <w:r w:rsidRPr="00323DFC">
        <w:rPr>
          <w:i/>
          <w:color w:val="000000" w:themeColor="text1"/>
        </w:rPr>
        <w:t>Current Ratio</w:t>
      </w:r>
      <w:r>
        <w:rPr>
          <w:color w:val="000000" w:themeColor="text1"/>
        </w:rPr>
        <w:t xml:space="preserve"> (CA/CL), </w:t>
      </w:r>
      <w:r w:rsidRPr="00323DFC">
        <w:rPr>
          <w:i/>
          <w:color w:val="000000" w:themeColor="text1"/>
        </w:rPr>
        <w:t>Cash Ratio</w:t>
      </w:r>
      <w:r>
        <w:rPr>
          <w:color w:val="000000" w:themeColor="text1"/>
        </w:rPr>
        <w:t xml:space="preserve"> (CA-INV-TR/CL), dan </w:t>
      </w:r>
      <w:r w:rsidRPr="00323DFC">
        <w:rPr>
          <w:i/>
          <w:color w:val="000000" w:themeColor="text1"/>
        </w:rPr>
        <w:t>Growth</w:t>
      </w:r>
      <w:r>
        <w:rPr>
          <w:color w:val="000000" w:themeColor="text1"/>
        </w:rPr>
        <w:t xml:space="preserve"> (GROWTHNI/TA), </w:t>
      </w:r>
      <w:r w:rsidRPr="00323DFC">
        <w:rPr>
          <w:i/>
          <w:color w:val="000000" w:themeColor="text1"/>
        </w:rPr>
        <w:t>Debt Ratio</w:t>
      </w:r>
      <w:r>
        <w:rPr>
          <w:color w:val="000000" w:themeColor="text1"/>
        </w:rPr>
        <w:t xml:space="preserve"> (TL/TA).</w:t>
      </w:r>
    </w:p>
    <w:p w:rsidR="003A6683" w:rsidRPr="00537BAA" w:rsidRDefault="003A6683" w:rsidP="003A6683">
      <w:pPr>
        <w:pStyle w:val="Default"/>
        <w:numPr>
          <w:ilvl w:val="0"/>
          <w:numId w:val="57"/>
        </w:numPr>
        <w:spacing w:line="480" w:lineRule="auto"/>
        <w:ind w:left="1134"/>
        <w:jc w:val="both"/>
        <w:rPr>
          <w:color w:val="000000" w:themeColor="text1"/>
        </w:rPr>
      </w:pPr>
      <w:r w:rsidRPr="009060CF">
        <w:rPr>
          <w:color w:val="000000" w:themeColor="text1"/>
        </w:rPr>
        <w:t>Christanty Amazia (2010)</w:t>
      </w:r>
      <w:r>
        <w:rPr>
          <w:color w:val="000000" w:themeColor="text1"/>
        </w:rPr>
        <w:t xml:space="preserve"> rasio yang signifikan dalam menentukan prediksi </w:t>
      </w:r>
      <w:r w:rsidRPr="00323DFC">
        <w:rPr>
          <w:i/>
          <w:color w:val="000000" w:themeColor="text1"/>
        </w:rPr>
        <w:t>financial distress</w:t>
      </w:r>
      <w:r>
        <w:rPr>
          <w:color w:val="000000" w:themeColor="text1"/>
        </w:rPr>
        <w:t xml:space="preserve"> diantaranya </w:t>
      </w:r>
      <w:r w:rsidRPr="00323DFC">
        <w:rPr>
          <w:i/>
          <w:color w:val="000000" w:themeColor="text1"/>
        </w:rPr>
        <w:t>Net Profit Margin</w:t>
      </w:r>
      <w:r>
        <w:rPr>
          <w:color w:val="000000" w:themeColor="text1"/>
        </w:rPr>
        <w:t xml:space="preserve"> (NI/S)</w:t>
      </w:r>
      <w:r w:rsidRPr="009060CF">
        <w:rPr>
          <w:color w:val="000000" w:themeColor="text1"/>
        </w:rPr>
        <w:t xml:space="preserve">, </w:t>
      </w:r>
      <w:r>
        <w:rPr>
          <w:color w:val="000000" w:themeColor="text1"/>
        </w:rPr>
        <w:t>(CA/TL)</w:t>
      </w:r>
      <w:r w:rsidRPr="009060CF">
        <w:rPr>
          <w:color w:val="000000" w:themeColor="text1"/>
        </w:rPr>
        <w:t xml:space="preserve">, </w:t>
      </w:r>
      <w:r>
        <w:rPr>
          <w:color w:val="000000" w:themeColor="text1"/>
        </w:rPr>
        <w:t>(Sales/CA)</w:t>
      </w:r>
      <w:r w:rsidRPr="009060CF">
        <w:rPr>
          <w:color w:val="000000" w:themeColor="text1"/>
        </w:rPr>
        <w:t xml:space="preserve">, </w:t>
      </w:r>
      <w:r>
        <w:rPr>
          <w:color w:val="000000" w:themeColor="text1"/>
        </w:rPr>
        <w:t>ROA (NI/TA), serta (Cash/CL)</w:t>
      </w:r>
    </w:p>
    <w:p w:rsidR="003A6683" w:rsidRDefault="003A6683" w:rsidP="003A6683">
      <w:pPr>
        <w:pStyle w:val="Default"/>
        <w:numPr>
          <w:ilvl w:val="0"/>
          <w:numId w:val="57"/>
        </w:numPr>
        <w:spacing w:line="480" w:lineRule="auto"/>
        <w:ind w:left="1134"/>
        <w:jc w:val="both"/>
        <w:rPr>
          <w:color w:val="000000" w:themeColor="text1"/>
        </w:rPr>
      </w:pPr>
      <w:r>
        <w:rPr>
          <w:color w:val="000000" w:themeColor="text1"/>
        </w:rPr>
        <w:t xml:space="preserve">Ika Yuanita (2010) dalam penelitiannya menyebutkan bahwa rasio keuangan yang dapat digunakan untuk mengukur prediksi </w:t>
      </w:r>
      <w:r w:rsidRPr="00323DFC">
        <w:rPr>
          <w:i/>
          <w:color w:val="000000" w:themeColor="text1"/>
        </w:rPr>
        <w:t xml:space="preserve">financial </w:t>
      </w:r>
      <w:r w:rsidRPr="00323DFC">
        <w:rPr>
          <w:i/>
          <w:color w:val="000000" w:themeColor="text1"/>
        </w:rPr>
        <w:lastRenderedPageBreak/>
        <w:t>distress</w:t>
      </w:r>
      <w:r>
        <w:rPr>
          <w:color w:val="000000" w:themeColor="text1"/>
        </w:rPr>
        <w:t xml:space="preserve"> adalah </w:t>
      </w:r>
      <w:r w:rsidRPr="00323DFC">
        <w:rPr>
          <w:i/>
          <w:color w:val="000000" w:themeColor="text1"/>
        </w:rPr>
        <w:t xml:space="preserve">Current Ratio </w:t>
      </w:r>
      <w:r>
        <w:rPr>
          <w:color w:val="000000" w:themeColor="text1"/>
        </w:rPr>
        <w:t xml:space="preserve">(CA/CL), </w:t>
      </w:r>
      <w:r w:rsidRPr="00323DFC">
        <w:rPr>
          <w:i/>
          <w:color w:val="000000" w:themeColor="text1"/>
        </w:rPr>
        <w:t xml:space="preserve">Net Profit Margin </w:t>
      </w:r>
      <w:r>
        <w:rPr>
          <w:color w:val="000000" w:themeColor="text1"/>
        </w:rPr>
        <w:t xml:space="preserve">(NI/Sales), </w:t>
      </w:r>
      <w:r w:rsidRPr="00323DFC">
        <w:rPr>
          <w:i/>
          <w:color w:val="000000" w:themeColor="text1"/>
        </w:rPr>
        <w:t>Growth</w:t>
      </w:r>
      <w:r>
        <w:rPr>
          <w:color w:val="000000" w:themeColor="text1"/>
        </w:rPr>
        <w:t xml:space="preserve"> (GROWTHNI/TA), </w:t>
      </w:r>
      <w:r w:rsidRPr="00323DFC">
        <w:rPr>
          <w:i/>
          <w:color w:val="000000" w:themeColor="text1"/>
        </w:rPr>
        <w:t>Leverage</w:t>
      </w:r>
      <w:r>
        <w:rPr>
          <w:color w:val="000000" w:themeColor="text1"/>
        </w:rPr>
        <w:t xml:space="preserve"> (CL/TA), dan ROA (NI/TA).</w:t>
      </w:r>
    </w:p>
    <w:p w:rsidR="003A6683" w:rsidRDefault="003A6683" w:rsidP="003A6683">
      <w:pPr>
        <w:pStyle w:val="Default"/>
        <w:numPr>
          <w:ilvl w:val="0"/>
          <w:numId w:val="57"/>
        </w:numPr>
        <w:spacing w:line="480" w:lineRule="auto"/>
        <w:ind w:left="1134"/>
        <w:jc w:val="both"/>
        <w:rPr>
          <w:color w:val="000000" w:themeColor="text1"/>
        </w:rPr>
      </w:pPr>
      <w:r>
        <w:rPr>
          <w:color w:val="000000" w:themeColor="text1"/>
        </w:rPr>
        <w:t>Atika dkk</w:t>
      </w:r>
      <w:r w:rsidR="00F0252D">
        <w:rPr>
          <w:color w:val="000000" w:themeColor="text1"/>
        </w:rPr>
        <w:t>.</w:t>
      </w:r>
      <w:r>
        <w:rPr>
          <w:color w:val="000000" w:themeColor="text1"/>
        </w:rPr>
        <w:t xml:space="preserve"> (2012), rasio yang dapat digunakan untuk mengukur prediksi </w:t>
      </w:r>
      <w:r w:rsidRPr="00323DFC">
        <w:rPr>
          <w:i/>
          <w:color w:val="000000" w:themeColor="text1"/>
        </w:rPr>
        <w:t>financial distress</w:t>
      </w:r>
      <w:r>
        <w:rPr>
          <w:color w:val="000000" w:themeColor="text1"/>
        </w:rPr>
        <w:t xml:space="preserve"> antara lain </w:t>
      </w:r>
      <w:r w:rsidRPr="00323DFC">
        <w:rPr>
          <w:i/>
          <w:color w:val="000000" w:themeColor="text1"/>
        </w:rPr>
        <w:t>Current Ratio</w:t>
      </w:r>
      <w:r>
        <w:rPr>
          <w:color w:val="000000" w:themeColor="text1"/>
        </w:rPr>
        <w:t xml:space="preserve"> (CA/CL), </w:t>
      </w:r>
      <w:r w:rsidRPr="00323DFC">
        <w:rPr>
          <w:i/>
          <w:color w:val="000000" w:themeColor="text1"/>
        </w:rPr>
        <w:t>Debt Ratio</w:t>
      </w:r>
      <w:r>
        <w:rPr>
          <w:color w:val="000000" w:themeColor="text1"/>
        </w:rPr>
        <w:t xml:space="preserve"> (TL/TA), dan </w:t>
      </w:r>
      <w:r w:rsidRPr="00323DFC">
        <w:rPr>
          <w:i/>
          <w:color w:val="000000" w:themeColor="text1"/>
        </w:rPr>
        <w:t>Leverage</w:t>
      </w:r>
      <w:r>
        <w:rPr>
          <w:color w:val="000000" w:themeColor="text1"/>
        </w:rPr>
        <w:t xml:space="preserve"> (CL/TA). Sedangkan rasio keuangan yang tidak dapat digunakan untuk prediksi financial distress diantaranya </w:t>
      </w:r>
      <w:r w:rsidRPr="00323DFC">
        <w:rPr>
          <w:i/>
          <w:color w:val="000000" w:themeColor="text1"/>
        </w:rPr>
        <w:t>Net Profit Margin</w:t>
      </w:r>
      <w:r>
        <w:rPr>
          <w:color w:val="000000" w:themeColor="text1"/>
        </w:rPr>
        <w:t xml:space="preserve"> (NI/Sales), </w:t>
      </w:r>
      <w:r w:rsidRPr="00323DFC">
        <w:rPr>
          <w:i/>
          <w:color w:val="000000" w:themeColor="text1"/>
        </w:rPr>
        <w:t>Growth</w:t>
      </w:r>
      <w:r>
        <w:rPr>
          <w:color w:val="000000" w:themeColor="text1"/>
        </w:rPr>
        <w:t xml:space="preserve"> (GROWTHNI/TA), dan </w:t>
      </w:r>
      <w:r w:rsidRPr="00323DFC">
        <w:rPr>
          <w:i/>
          <w:color w:val="000000" w:themeColor="text1"/>
        </w:rPr>
        <w:t>Inventory Turnover</w:t>
      </w:r>
      <w:r>
        <w:rPr>
          <w:color w:val="000000" w:themeColor="text1"/>
        </w:rPr>
        <w:t>.</w:t>
      </w:r>
    </w:p>
    <w:p w:rsidR="003A6683" w:rsidRDefault="003A6683" w:rsidP="003A6683">
      <w:pPr>
        <w:pStyle w:val="Default"/>
        <w:numPr>
          <w:ilvl w:val="0"/>
          <w:numId w:val="57"/>
        </w:numPr>
        <w:spacing w:line="480" w:lineRule="auto"/>
        <w:ind w:left="1134"/>
        <w:jc w:val="both"/>
        <w:rPr>
          <w:color w:val="000000" w:themeColor="text1"/>
        </w:rPr>
      </w:pPr>
      <w:r>
        <w:rPr>
          <w:color w:val="000000" w:themeColor="text1"/>
        </w:rPr>
        <w:t>Syahidul dkk</w:t>
      </w:r>
      <w:r w:rsidR="003B3CA1">
        <w:rPr>
          <w:color w:val="000000" w:themeColor="text1"/>
        </w:rPr>
        <w:t>.</w:t>
      </w:r>
      <w:r>
        <w:rPr>
          <w:color w:val="000000" w:themeColor="text1"/>
        </w:rPr>
        <w:t xml:space="preserve"> (2013) menyebutkan bahwa rasio keuangan yang dapat digunakan untuk memprediksi </w:t>
      </w:r>
      <w:r w:rsidRPr="00323DFC">
        <w:rPr>
          <w:i/>
          <w:color w:val="000000" w:themeColor="text1"/>
        </w:rPr>
        <w:t>financial distress</w:t>
      </w:r>
      <w:r>
        <w:rPr>
          <w:color w:val="000000" w:themeColor="text1"/>
        </w:rPr>
        <w:t xml:space="preserve"> adalah </w:t>
      </w:r>
      <w:r w:rsidRPr="00323DFC">
        <w:rPr>
          <w:i/>
          <w:color w:val="000000" w:themeColor="text1"/>
        </w:rPr>
        <w:t>Current Ratio</w:t>
      </w:r>
      <w:r>
        <w:rPr>
          <w:color w:val="000000" w:themeColor="text1"/>
        </w:rPr>
        <w:t xml:space="preserve"> (CA/CL), </w:t>
      </w:r>
      <w:r w:rsidRPr="00323DFC">
        <w:rPr>
          <w:i/>
          <w:color w:val="000000" w:themeColor="text1"/>
        </w:rPr>
        <w:t>Net Profit Margin</w:t>
      </w:r>
      <w:r>
        <w:rPr>
          <w:color w:val="000000" w:themeColor="text1"/>
        </w:rPr>
        <w:t xml:space="preserve"> (NI/Sales), </w:t>
      </w:r>
      <w:r w:rsidRPr="00323DFC">
        <w:rPr>
          <w:i/>
          <w:color w:val="000000" w:themeColor="text1"/>
        </w:rPr>
        <w:t>Debt Ratio</w:t>
      </w:r>
      <w:r>
        <w:rPr>
          <w:color w:val="000000" w:themeColor="text1"/>
        </w:rPr>
        <w:t xml:space="preserve"> (TL/TA) dan ROE ROE (NI/E).</w:t>
      </w:r>
    </w:p>
    <w:p w:rsidR="003A6683" w:rsidRDefault="003A6683" w:rsidP="003A6683">
      <w:pPr>
        <w:pStyle w:val="Default"/>
        <w:numPr>
          <w:ilvl w:val="0"/>
          <w:numId w:val="57"/>
        </w:numPr>
        <w:spacing w:line="480" w:lineRule="auto"/>
        <w:ind w:left="1134"/>
        <w:jc w:val="both"/>
        <w:rPr>
          <w:color w:val="000000" w:themeColor="text1"/>
        </w:rPr>
      </w:pPr>
      <w:r>
        <w:rPr>
          <w:color w:val="000000" w:themeColor="text1"/>
        </w:rPr>
        <w:t>Novita dkk</w:t>
      </w:r>
      <w:r w:rsidR="003B3CA1">
        <w:rPr>
          <w:color w:val="000000" w:themeColor="text1"/>
        </w:rPr>
        <w:t xml:space="preserve">. (2014) </w:t>
      </w:r>
      <w:r>
        <w:rPr>
          <w:color w:val="000000" w:themeColor="text1"/>
        </w:rPr>
        <w:t xml:space="preserve"> menyebutkan bahwa rasio keuangan yang dapat digunakan untuk memprediksi </w:t>
      </w:r>
      <w:r w:rsidRPr="00323DFC">
        <w:rPr>
          <w:i/>
          <w:color w:val="000000" w:themeColor="text1"/>
        </w:rPr>
        <w:t xml:space="preserve">financial distress </w:t>
      </w:r>
      <w:r>
        <w:rPr>
          <w:color w:val="000000" w:themeColor="text1"/>
        </w:rPr>
        <w:t xml:space="preserve">adalah </w:t>
      </w:r>
      <w:r w:rsidRPr="00323DFC">
        <w:rPr>
          <w:i/>
          <w:color w:val="000000" w:themeColor="text1"/>
        </w:rPr>
        <w:t xml:space="preserve">Current Ratio </w:t>
      </w:r>
      <w:r>
        <w:rPr>
          <w:color w:val="000000" w:themeColor="text1"/>
        </w:rPr>
        <w:t xml:space="preserve">(CA/CL), </w:t>
      </w:r>
      <w:r w:rsidRPr="00323DFC">
        <w:rPr>
          <w:i/>
          <w:color w:val="000000" w:themeColor="text1"/>
        </w:rPr>
        <w:t xml:space="preserve">Net Profit Margin </w:t>
      </w:r>
      <w:r>
        <w:rPr>
          <w:color w:val="000000" w:themeColor="text1"/>
        </w:rPr>
        <w:t xml:space="preserve">(NI/Sales), </w:t>
      </w:r>
      <w:r w:rsidR="00F0252D">
        <w:rPr>
          <w:color w:val="000000" w:themeColor="text1"/>
        </w:rPr>
        <w:t xml:space="preserve"> </w:t>
      </w:r>
      <w:r w:rsidR="00E30E46" w:rsidRPr="00E30E46">
        <w:rPr>
          <w:i/>
          <w:color w:val="000000" w:themeColor="text1"/>
        </w:rPr>
        <w:t xml:space="preserve">Financial </w:t>
      </w:r>
      <w:r w:rsidRPr="00E30E46">
        <w:rPr>
          <w:i/>
          <w:color w:val="000000" w:themeColor="text1"/>
        </w:rPr>
        <w:t>L</w:t>
      </w:r>
      <w:r w:rsidRPr="00323DFC">
        <w:rPr>
          <w:i/>
          <w:color w:val="000000" w:themeColor="text1"/>
        </w:rPr>
        <w:t>everage</w:t>
      </w:r>
      <w:r>
        <w:rPr>
          <w:color w:val="000000" w:themeColor="text1"/>
        </w:rPr>
        <w:t xml:space="preserve"> (CL/TA), dan </w:t>
      </w:r>
      <w:r w:rsidRPr="00323DFC">
        <w:rPr>
          <w:i/>
          <w:color w:val="000000" w:themeColor="text1"/>
        </w:rPr>
        <w:t>Sales to Total Assets</w:t>
      </w:r>
      <w:r>
        <w:rPr>
          <w:color w:val="000000" w:themeColor="text1"/>
        </w:rPr>
        <w:t xml:space="preserve"> (S/TA)</w:t>
      </w:r>
    </w:p>
    <w:p w:rsidR="007E34CA" w:rsidRDefault="00F0252D" w:rsidP="003A6683">
      <w:pPr>
        <w:autoSpaceDE w:val="0"/>
        <w:autoSpaceDN w:val="0"/>
        <w:adjustRightInd w:val="0"/>
        <w:ind w:firstLine="720"/>
        <w:rPr>
          <w:rFonts w:ascii="Times New Roman" w:hAnsi="Times New Roman" w:cs="Times New Roman"/>
          <w:sz w:val="24"/>
          <w:szCs w:val="24"/>
          <w:lang w:val="en-US"/>
        </w:rPr>
      </w:pPr>
      <w:r>
        <w:rPr>
          <w:rFonts w:ascii="Times New Roman" w:eastAsia="Times New Roman" w:hAnsi="Times New Roman"/>
          <w:color w:val="000000"/>
          <w:sz w:val="24"/>
          <w:lang w:val="en-US"/>
        </w:rPr>
        <w:t>Penelitian ini merupakan</w:t>
      </w:r>
      <w:r w:rsidR="003A6683">
        <w:rPr>
          <w:rFonts w:ascii="Times New Roman" w:eastAsia="Times New Roman" w:hAnsi="Times New Roman"/>
          <w:color w:val="000000"/>
          <w:sz w:val="24"/>
          <w:lang w:val="en-US"/>
        </w:rPr>
        <w:t xml:space="preserve"> rep</w:t>
      </w:r>
      <w:r w:rsidR="00F40E6E">
        <w:rPr>
          <w:rFonts w:ascii="Times New Roman" w:eastAsia="Times New Roman" w:hAnsi="Times New Roman"/>
          <w:color w:val="000000"/>
          <w:sz w:val="24"/>
          <w:lang w:val="en-US"/>
        </w:rPr>
        <w:t xml:space="preserve">likasi </w:t>
      </w:r>
      <w:r>
        <w:rPr>
          <w:rFonts w:ascii="Times New Roman" w:eastAsia="Times New Roman" w:hAnsi="Times New Roman"/>
          <w:color w:val="000000"/>
          <w:sz w:val="24"/>
          <w:lang w:val="en-US"/>
        </w:rPr>
        <w:t>dari</w:t>
      </w:r>
      <w:r w:rsidR="00F40E6E">
        <w:rPr>
          <w:rFonts w:ascii="Times New Roman" w:eastAsia="Times New Roman" w:hAnsi="Times New Roman"/>
          <w:color w:val="000000"/>
          <w:sz w:val="24"/>
          <w:lang w:val="en-US"/>
        </w:rPr>
        <w:t xml:space="preserve"> penelitian </w:t>
      </w:r>
      <w:r>
        <w:rPr>
          <w:rFonts w:ascii="Times New Roman" w:eastAsia="Times New Roman" w:hAnsi="Times New Roman"/>
          <w:color w:val="000000"/>
          <w:sz w:val="24"/>
          <w:lang w:val="en-US"/>
        </w:rPr>
        <w:t xml:space="preserve">yang dilakukan oleh </w:t>
      </w:r>
      <w:r w:rsidR="00F40E6E">
        <w:rPr>
          <w:rFonts w:ascii="Times New Roman" w:eastAsia="Times New Roman" w:hAnsi="Times New Roman"/>
          <w:color w:val="000000"/>
          <w:spacing w:val="2"/>
          <w:sz w:val="24"/>
          <w:lang w:val="en-US"/>
        </w:rPr>
        <w:t>Luciana Spica Almilia dan Kristijadi (2003)</w:t>
      </w:r>
      <w:r w:rsidR="00604DAA">
        <w:rPr>
          <w:rFonts w:ascii="Times New Roman" w:eastAsia="Times New Roman" w:hAnsi="Times New Roman"/>
          <w:color w:val="000000"/>
          <w:spacing w:val="2"/>
          <w:sz w:val="24"/>
          <w:lang w:val="en-US"/>
        </w:rPr>
        <w:t xml:space="preserve"> dengan judul “</w:t>
      </w:r>
      <w:r w:rsidR="00604DAA" w:rsidRPr="00690600">
        <w:rPr>
          <w:rFonts w:ascii="Times New Roman" w:hAnsi="Times New Roman" w:cs="Times New Roman"/>
          <w:sz w:val="24"/>
          <w:szCs w:val="24"/>
        </w:rPr>
        <w:t xml:space="preserve">Analisis Rasio Keuangan Untuk Memprediksi Kondisi </w:t>
      </w:r>
      <w:r w:rsidR="00604DAA" w:rsidRPr="0011321F">
        <w:rPr>
          <w:rFonts w:ascii="Times New Roman" w:hAnsi="Times New Roman" w:cs="Times New Roman"/>
          <w:i/>
          <w:sz w:val="24"/>
          <w:szCs w:val="24"/>
        </w:rPr>
        <w:t>Financial Distress</w:t>
      </w:r>
      <w:r w:rsidR="00604DAA" w:rsidRPr="00690600">
        <w:rPr>
          <w:rFonts w:ascii="Times New Roman" w:hAnsi="Times New Roman" w:cs="Times New Roman"/>
          <w:sz w:val="24"/>
          <w:szCs w:val="24"/>
        </w:rPr>
        <w:t xml:space="preserve"> Perusahaan Manufaktur Yang Terdaftar Di Bursa Efek Jakarta</w:t>
      </w:r>
      <w:r w:rsidR="00604DAA">
        <w:rPr>
          <w:rFonts w:ascii="Times New Roman" w:hAnsi="Times New Roman" w:cs="Times New Roman"/>
          <w:sz w:val="24"/>
          <w:szCs w:val="24"/>
          <w:lang w:val="en-US"/>
        </w:rPr>
        <w:t>”</w:t>
      </w:r>
      <w:r w:rsidR="00604DAA">
        <w:rPr>
          <w:rFonts w:ascii="Times New Roman" w:eastAsia="Times New Roman" w:hAnsi="Times New Roman"/>
          <w:color w:val="000000"/>
          <w:spacing w:val="2"/>
          <w:sz w:val="24"/>
          <w:lang w:val="en-US"/>
        </w:rPr>
        <w:t xml:space="preserve">. Variabel </w:t>
      </w:r>
      <w:r w:rsidR="003A6683">
        <w:rPr>
          <w:rFonts w:ascii="Times New Roman" w:eastAsia="Times New Roman" w:hAnsi="Times New Roman"/>
          <w:color w:val="000000"/>
          <w:spacing w:val="2"/>
          <w:sz w:val="24"/>
          <w:lang w:val="en-US"/>
        </w:rPr>
        <w:t xml:space="preserve">independen </w:t>
      </w:r>
      <w:r w:rsidR="00604DAA">
        <w:rPr>
          <w:rFonts w:ascii="Times New Roman" w:eastAsia="Times New Roman" w:hAnsi="Times New Roman"/>
          <w:color w:val="000000"/>
          <w:spacing w:val="2"/>
          <w:sz w:val="24"/>
          <w:lang w:val="en-US"/>
        </w:rPr>
        <w:t xml:space="preserve">dalam penelitian tersebut </w:t>
      </w:r>
      <w:r w:rsidR="003A6683">
        <w:rPr>
          <w:rFonts w:ascii="Times New Roman" w:eastAsia="Times New Roman" w:hAnsi="Times New Roman"/>
          <w:color w:val="000000"/>
          <w:spacing w:val="2"/>
          <w:sz w:val="24"/>
          <w:lang w:val="en-US"/>
        </w:rPr>
        <w:t xml:space="preserve">rasio keuangan </w:t>
      </w:r>
      <w:r w:rsidR="00604DAA">
        <w:rPr>
          <w:rFonts w:ascii="Times New Roman" w:eastAsia="Times New Roman" w:hAnsi="Times New Roman"/>
          <w:color w:val="000000"/>
          <w:spacing w:val="2"/>
          <w:sz w:val="24"/>
          <w:lang w:val="en-US"/>
        </w:rPr>
        <w:t xml:space="preserve">yang </w:t>
      </w:r>
      <w:r w:rsidR="003A6683">
        <w:rPr>
          <w:rFonts w:ascii="Times New Roman" w:eastAsia="Times New Roman" w:hAnsi="Times New Roman"/>
          <w:color w:val="000000"/>
          <w:spacing w:val="2"/>
          <w:sz w:val="24"/>
          <w:lang w:val="en-US"/>
        </w:rPr>
        <w:t xml:space="preserve">meliputi </w:t>
      </w:r>
      <w:r w:rsidR="003A6683">
        <w:rPr>
          <w:rFonts w:ascii="Times New Roman" w:eastAsia="Times New Roman" w:hAnsi="Times New Roman"/>
          <w:color w:val="000000"/>
          <w:spacing w:val="1"/>
          <w:sz w:val="24"/>
          <w:lang w:val="en-US"/>
        </w:rPr>
        <w:t xml:space="preserve">Rasio Profit Margin, Likuiditas, Efisiensi Operasi, Profitabilitas, </w:t>
      </w:r>
      <w:r w:rsidR="003A6683" w:rsidRPr="005A2CF8">
        <w:rPr>
          <w:rFonts w:ascii="Times New Roman" w:eastAsia="Times New Roman" w:hAnsi="Times New Roman"/>
          <w:i/>
          <w:color w:val="000000"/>
          <w:spacing w:val="1"/>
          <w:sz w:val="24"/>
          <w:lang w:val="en-US"/>
        </w:rPr>
        <w:t>Financial Leverage</w:t>
      </w:r>
      <w:r w:rsidR="003A6683">
        <w:rPr>
          <w:rFonts w:ascii="Times New Roman" w:eastAsia="Times New Roman" w:hAnsi="Times New Roman"/>
          <w:color w:val="000000"/>
          <w:spacing w:val="1"/>
          <w:sz w:val="24"/>
          <w:lang w:val="en-US"/>
        </w:rPr>
        <w:t xml:space="preserve">, Posisi Kas, dan Pertumbuhan. </w:t>
      </w:r>
      <w:r w:rsidR="003A6683">
        <w:rPr>
          <w:rFonts w:ascii="Times New Roman" w:eastAsia="Times New Roman" w:hAnsi="Times New Roman"/>
          <w:color w:val="000000"/>
          <w:sz w:val="24"/>
          <w:lang w:val="en-US"/>
        </w:rPr>
        <w:t xml:space="preserve">Penelitian ini menggunakan sampel perusahaan manufaktur yang </w:t>
      </w:r>
      <w:r w:rsidR="003A6683">
        <w:rPr>
          <w:rFonts w:ascii="Times New Roman" w:eastAsia="Times New Roman" w:hAnsi="Times New Roman"/>
          <w:color w:val="000000"/>
          <w:sz w:val="24"/>
          <w:lang w:val="en-US"/>
        </w:rPr>
        <w:lastRenderedPageBreak/>
        <w:t xml:space="preserve">mengalami </w:t>
      </w:r>
      <w:r w:rsidR="003A6683" w:rsidRPr="005A2CF8">
        <w:rPr>
          <w:rFonts w:ascii="Times New Roman" w:eastAsia="Times New Roman" w:hAnsi="Times New Roman"/>
          <w:i/>
          <w:color w:val="000000"/>
          <w:sz w:val="24"/>
          <w:lang w:val="en-US"/>
        </w:rPr>
        <w:t>financial distress</w:t>
      </w:r>
      <w:r w:rsidR="003A6683">
        <w:rPr>
          <w:rFonts w:ascii="Times New Roman" w:eastAsia="Times New Roman" w:hAnsi="Times New Roman"/>
          <w:color w:val="000000"/>
          <w:sz w:val="24"/>
          <w:lang w:val="en-US"/>
        </w:rPr>
        <w:t xml:space="preserve"> sebanyak 24 perusahaan dan perusahaan manufaktur yang tidak mengalami </w:t>
      </w:r>
      <w:r w:rsidR="003A6683" w:rsidRPr="005A2CF8">
        <w:rPr>
          <w:rFonts w:ascii="Times New Roman" w:eastAsia="Times New Roman" w:hAnsi="Times New Roman"/>
          <w:i/>
          <w:color w:val="000000"/>
          <w:sz w:val="24"/>
          <w:lang w:val="en-US"/>
        </w:rPr>
        <w:t>financial distress</w:t>
      </w:r>
      <w:r w:rsidR="003A6683">
        <w:rPr>
          <w:rFonts w:ascii="Times New Roman" w:eastAsia="Times New Roman" w:hAnsi="Times New Roman"/>
          <w:color w:val="000000"/>
          <w:sz w:val="24"/>
          <w:lang w:val="en-US"/>
        </w:rPr>
        <w:t xml:space="preserve"> sebanyak 37 perusahaan yang dipilih berdasarkan </w:t>
      </w:r>
      <w:r w:rsidR="003A6683">
        <w:rPr>
          <w:rFonts w:ascii="Times New Roman" w:eastAsia="Times New Roman" w:hAnsi="Times New Roman"/>
          <w:i/>
          <w:color w:val="000000"/>
          <w:sz w:val="24"/>
          <w:lang w:val="en-US"/>
        </w:rPr>
        <w:t>purposive sampling</w:t>
      </w:r>
      <w:r w:rsidR="003A6683">
        <w:rPr>
          <w:rFonts w:ascii="Times New Roman" w:eastAsia="Times New Roman" w:hAnsi="Times New Roman"/>
          <w:color w:val="000000"/>
          <w:sz w:val="24"/>
          <w:lang w:val="en-US"/>
        </w:rPr>
        <w:t xml:space="preserve">. </w:t>
      </w:r>
      <w:r w:rsidR="00604DAA">
        <w:rPr>
          <w:rFonts w:ascii="Times New Roman" w:eastAsia="Times New Roman" w:hAnsi="Times New Roman"/>
          <w:color w:val="000000"/>
          <w:sz w:val="24"/>
          <w:lang w:val="en-US"/>
        </w:rPr>
        <w:t xml:space="preserve">Tahun data yang digunakan dalam penelitian yaitu </w:t>
      </w:r>
      <w:r w:rsidR="007C0080" w:rsidRPr="00690600">
        <w:rPr>
          <w:rFonts w:ascii="Times New Roman" w:hAnsi="Times New Roman" w:cs="Times New Roman"/>
          <w:sz w:val="24"/>
          <w:szCs w:val="24"/>
        </w:rPr>
        <w:t>1998-2001</w:t>
      </w:r>
      <w:r w:rsidR="007C0080">
        <w:rPr>
          <w:rFonts w:ascii="Times New Roman" w:hAnsi="Times New Roman" w:cs="Times New Roman"/>
          <w:sz w:val="24"/>
          <w:szCs w:val="24"/>
          <w:lang w:val="en-US"/>
        </w:rPr>
        <w:t xml:space="preserve">. </w:t>
      </w:r>
    </w:p>
    <w:p w:rsidR="003A6683" w:rsidRPr="005A0939" w:rsidRDefault="007C0080" w:rsidP="003A6683">
      <w:pPr>
        <w:autoSpaceDE w:val="0"/>
        <w:autoSpaceDN w:val="0"/>
        <w:adjustRightInd w:val="0"/>
        <w:ind w:firstLine="720"/>
        <w:rPr>
          <w:rFonts w:ascii="Times New Roman" w:eastAsia="Times New Roman" w:hAnsi="Times New Roman"/>
          <w:color w:val="000000"/>
          <w:sz w:val="24"/>
          <w:lang w:val="en-US"/>
        </w:rPr>
      </w:pPr>
      <w:r>
        <w:rPr>
          <w:rFonts w:ascii="Times New Roman" w:eastAsia="Times New Roman" w:hAnsi="Times New Roman"/>
          <w:color w:val="000000"/>
          <w:sz w:val="24"/>
          <w:lang w:val="en-US"/>
        </w:rPr>
        <w:t xml:space="preserve">Hasil penelitian </w:t>
      </w:r>
      <w:r w:rsidR="003A6683">
        <w:rPr>
          <w:rFonts w:ascii="Times New Roman" w:eastAsia="Times New Roman" w:hAnsi="Times New Roman"/>
          <w:color w:val="000000"/>
          <w:sz w:val="24"/>
          <w:lang w:val="en-US"/>
        </w:rPr>
        <w:t xml:space="preserve"> menunjukkan variabel yang signifikan untuk menentukan apakah suatu perusahaan mengalami </w:t>
      </w:r>
      <w:r w:rsidR="002D2E38" w:rsidRPr="007C0080">
        <w:rPr>
          <w:rFonts w:ascii="Times New Roman" w:eastAsia="Times New Roman" w:hAnsi="Times New Roman"/>
          <w:i/>
          <w:color w:val="000000"/>
          <w:sz w:val="24"/>
          <w:lang w:val="en-US"/>
        </w:rPr>
        <w:t>financial distress</w:t>
      </w:r>
      <w:r w:rsidR="002D2E38">
        <w:rPr>
          <w:rFonts w:ascii="Times New Roman" w:eastAsia="Times New Roman" w:hAnsi="Times New Roman"/>
          <w:color w:val="000000"/>
          <w:sz w:val="24"/>
          <w:lang w:val="en-US"/>
        </w:rPr>
        <w:t xml:space="preserve"> </w:t>
      </w:r>
      <w:r w:rsidR="003A6683">
        <w:rPr>
          <w:rFonts w:ascii="Times New Roman" w:eastAsia="Times New Roman" w:hAnsi="Times New Roman"/>
          <w:color w:val="000000"/>
          <w:sz w:val="24"/>
          <w:lang w:val="en-US"/>
        </w:rPr>
        <w:t xml:space="preserve">atau tidak diantaranya </w:t>
      </w:r>
      <w:r w:rsidR="000D6CE3" w:rsidRPr="009E2E7D">
        <w:rPr>
          <w:rFonts w:ascii="Times New Roman" w:eastAsia="Times New Roman" w:hAnsi="Times New Roman"/>
          <w:i/>
          <w:color w:val="000000"/>
          <w:spacing w:val="2"/>
          <w:sz w:val="24"/>
          <w:lang w:val="en-US"/>
        </w:rPr>
        <w:t>Current Ratio</w:t>
      </w:r>
      <w:r w:rsidR="000D6CE3" w:rsidRPr="009E2E7D">
        <w:rPr>
          <w:rFonts w:ascii="Times New Roman" w:eastAsia="Times New Roman" w:hAnsi="Times New Roman"/>
          <w:color w:val="000000"/>
          <w:spacing w:val="2"/>
          <w:sz w:val="24"/>
          <w:lang w:val="en-US"/>
        </w:rPr>
        <w:t xml:space="preserve"> (CA/CL) , </w:t>
      </w:r>
      <w:r w:rsidR="000D6CE3" w:rsidRPr="009E2E7D">
        <w:rPr>
          <w:rFonts w:ascii="Times New Roman" w:eastAsia="Times New Roman" w:hAnsi="Times New Roman"/>
          <w:i/>
          <w:color w:val="000000"/>
          <w:spacing w:val="2"/>
          <w:sz w:val="24"/>
          <w:lang w:val="en-US"/>
        </w:rPr>
        <w:t>Net Profit Margin</w:t>
      </w:r>
      <w:r w:rsidR="000D6CE3" w:rsidRPr="009E2E7D">
        <w:rPr>
          <w:rFonts w:ascii="Times New Roman" w:eastAsia="Times New Roman" w:hAnsi="Times New Roman"/>
          <w:color w:val="000000"/>
          <w:spacing w:val="2"/>
          <w:sz w:val="24"/>
          <w:lang w:val="en-US"/>
        </w:rPr>
        <w:t xml:space="preserve"> (NI/Sales), </w:t>
      </w:r>
      <w:r w:rsidR="000D6CE3" w:rsidRPr="009E2E7D">
        <w:rPr>
          <w:rFonts w:ascii="Times New Roman" w:eastAsia="Times New Roman" w:hAnsi="Times New Roman"/>
          <w:i/>
          <w:color w:val="000000"/>
          <w:spacing w:val="2"/>
          <w:sz w:val="24"/>
          <w:lang w:val="en-US"/>
        </w:rPr>
        <w:t>Growth Net Income</w:t>
      </w:r>
      <w:r w:rsidR="000D6CE3" w:rsidRPr="009E2E7D">
        <w:rPr>
          <w:rFonts w:ascii="Times New Roman" w:eastAsia="Times New Roman" w:hAnsi="Times New Roman"/>
          <w:color w:val="000000"/>
          <w:spacing w:val="2"/>
          <w:sz w:val="24"/>
          <w:lang w:val="en-US"/>
        </w:rPr>
        <w:t xml:space="preserve"> (GROWTHNI/TA), </w:t>
      </w:r>
      <w:r w:rsidR="000D6CE3" w:rsidRPr="009E2E7D">
        <w:rPr>
          <w:rFonts w:ascii="Times New Roman" w:eastAsia="Times New Roman" w:hAnsi="Times New Roman"/>
          <w:i/>
          <w:color w:val="000000"/>
          <w:spacing w:val="2"/>
          <w:sz w:val="24"/>
          <w:lang w:val="en-US"/>
        </w:rPr>
        <w:t>Financial Leverage</w:t>
      </w:r>
      <w:r w:rsidR="000D6CE3" w:rsidRPr="009E2E7D">
        <w:rPr>
          <w:rFonts w:ascii="Times New Roman" w:eastAsia="Times New Roman" w:hAnsi="Times New Roman"/>
          <w:color w:val="000000"/>
          <w:spacing w:val="2"/>
          <w:sz w:val="24"/>
          <w:lang w:val="en-US"/>
        </w:rPr>
        <w:t xml:space="preserve"> (CL/TA</w:t>
      </w:r>
      <w:r w:rsidR="000D6CE3">
        <w:rPr>
          <w:rFonts w:ascii="Times New Roman" w:eastAsia="Times New Roman" w:hAnsi="Times New Roman"/>
          <w:color w:val="000000"/>
          <w:sz w:val="24"/>
          <w:lang w:val="en-US"/>
        </w:rPr>
        <w:t>)</w:t>
      </w:r>
      <w:r w:rsidR="003A6683">
        <w:rPr>
          <w:rFonts w:ascii="Times New Roman" w:eastAsia="Times New Roman" w:hAnsi="Times New Roman"/>
          <w:color w:val="000000"/>
          <w:sz w:val="24"/>
          <w:lang w:val="en-US"/>
        </w:rPr>
        <w:t xml:space="preserve">. </w:t>
      </w:r>
      <w:r>
        <w:rPr>
          <w:rFonts w:ascii="Times New Roman" w:eastAsia="Times New Roman" w:hAnsi="Times New Roman"/>
          <w:color w:val="000000"/>
          <w:sz w:val="24"/>
          <w:lang w:val="en-US"/>
        </w:rPr>
        <w:t xml:space="preserve">Keterbatasan </w:t>
      </w:r>
      <w:r w:rsidR="000D6CE3">
        <w:rPr>
          <w:rFonts w:ascii="Times New Roman" w:eastAsia="Times New Roman" w:hAnsi="Times New Roman"/>
          <w:color w:val="000000"/>
          <w:sz w:val="24"/>
          <w:lang w:val="en-US"/>
        </w:rPr>
        <w:t xml:space="preserve">dalam </w:t>
      </w:r>
      <w:r>
        <w:rPr>
          <w:rFonts w:ascii="Times New Roman" w:eastAsia="Times New Roman" w:hAnsi="Times New Roman"/>
          <w:color w:val="000000"/>
          <w:sz w:val="24"/>
          <w:lang w:val="en-US"/>
        </w:rPr>
        <w:t>penelitian tersebut bahwa f</w:t>
      </w:r>
      <w:r w:rsidRPr="007C0080">
        <w:rPr>
          <w:rFonts w:ascii="Times New Roman" w:eastAsia="Times New Roman" w:hAnsi="Times New Roman"/>
          <w:color w:val="000000"/>
          <w:sz w:val="24"/>
          <w:lang w:val="en-US"/>
        </w:rPr>
        <w:t>aktor-faktor di</w:t>
      </w:r>
      <w:r w:rsidR="005A0939">
        <w:rPr>
          <w:rFonts w:ascii="Times New Roman" w:eastAsia="Times New Roman" w:hAnsi="Times New Roman"/>
          <w:color w:val="000000"/>
          <w:sz w:val="24"/>
          <w:lang w:val="en-US"/>
        </w:rPr>
        <w:t xml:space="preserve"> </w:t>
      </w:r>
      <w:r w:rsidRPr="007C0080">
        <w:rPr>
          <w:rFonts w:ascii="Times New Roman" w:eastAsia="Times New Roman" w:hAnsi="Times New Roman"/>
          <w:color w:val="000000"/>
          <w:sz w:val="24"/>
          <w:lang w:val="en-US"/>
        </w:rPr>
        <w:t xml:space="preserve">luar rasio keuangan seperti kondisi ekonomi (pertumbuhan ekonomi, tingkat pengangguran, inflasi dan lain-lain) serta parameter politik tidak dapat digunakan dalam penelitian ini karena kesulitan pengukurannya. </w:t>
      </w:r>
      <w:r w:rsidR="00F0252D">
        <w:rPr>
          <w:rFonts w:ascii="Times New Roman" w:eastAsia="Times New Roman" w:hAnsi="Times New Roman"/>
          <w:color w:val="000000"/>
          <w:sz w:val="24"/>
          <w:lang w:val="en-US"/>
        </w:rPr>
        <w:t>Apabila</w:t>
      </w:r>
      <w:r w:rsidRPr="007C0080">
        <w:rPr>
          <w:rFonts w:ascii="Times New Roman" w:eastAsia="Times New Roman" w:hAnsi="Times New Roman"/>
          <w:color w:val="000000"/>
          <w:sz w:val="24"/>
          <w:lang w:val="en-US"/>
        </w:rPr>
        <w:t xml:space="preserve"> </w:t>
      </w:r>
      <w:r w:rsidR="005A0939">
        <w:rPr>
          <w:rFonts w:ascii="Times New Roman" w:eastAsia="Times New Roman" w:hAnsi="Times New Roman"/>
          <w:color w:val="000000"/>
          <w:sz w:val="24"/>
          <w:lang w:val="en-US"/>
        </w:rPr>
        <w:t>faktor-</w:t>
      </w:r>
      <w:r w:rsidRPr="007C0080">
        <w:rPr>
          <w:rFonts w:ascii="Times New Roman" w:eastAsia="Times New Roman" w:hAnsi="Times New Roman"/>
          <w:color w:val="000000"/>
          <w:sz w:val="24"/>
          <w:lang w:val="en-US"/>
        </w:rPr>
        <w:t xml:space="preserve">faktor </w:t>
      </w:r>
      <w:r w:rsidR="000D6CE3">
        <w:rPr>
          <w:rFonts w:ascii="Times New Roman" w:eastAsia="Times New Roman" w:hAnsi="Times New Roman"/>
          <w:color w:val="000000"/>
          <w:sz w:val="24"/>
          <w:lang w:val="en-US"/>
        </w:rPr>
        <w:t>t</w:t>
      </w:r>
      <w:r w:rsidRPr="007C0080">
        <w:rPr>
          <w:rFonts w:ascii="Times New Roman" w:eastAsia="Times New Roman" w:hAnsi="Times New Roman"/>
          <w:color w:val="000000"/>
          <w:sz w:val="24"/>
          <w:lang w:val="en-US"/>
        </w:rPr>
        <w:t xml:space="preserve">ersebut dapat diperoleh dan dapat diukur dengan tepat, maka akan diperoleh tingkat prediksi </w:t>
      </w:r>
      <w:r w:rsidRPr="000D6CE3">
        <w:rPr>
          <w:rFonts w:ascii="Times New Roman" w:eastAsia="Times New Roman" w:hAnsi="Times New Roman"/>
          <w:i/>
          <w:color w:val="000000"/>
          <w:sz w:val="24"/>
          <w:lang w:val="en-US"/>
        </w:rPr>
        <w:t>financial distress</w:t>
      </w:r>
      <w:r w:rsidRPr="007C0080">
        <w:rPr>
          <w:rFonts w:ascii="Times New Roman" w:eastAsia="Times New Roman" w:hAnsi="Times New Roman"/>
          <w:color w:val="000000"/>
          <w:sz w:val="24"/>
          <w:lang w:val="en-US"/>
        </w:rPr>
        <w:t xml:space="preserve"> suatu perusahaan yang lebih akurat.</w:t>
      </w:r>
      <w:r w:rsidR="005A0939">
        <w:rPr>
          <w:rFonts w:ascii="Times New Roman" w:eastAsia="Times New Roman" w:hAnsi="Times New Roman"/>
          <w:color w:val="000000"/>
          <w:sz w:val="24"/>
          <w:lang w:val="en-US"/>
        </w:rPr>
        <w:t xml:space="preserve"> Peneliti juga menyarankan untuk meng</w:t>
      </w:r>
      <w:r w:rsidR="005A0939" w:rsidRPr="00946AD6">
        <w:rPr>
          <w:rFonts w:ascii="Times New Roman" w:hAnsi="Times New Roman" w:cs="Times New Roman"/>
          <w:sz w:val="24"/>
          <w:szCs w:val="24"/>
        </w:rPr>
        <w:t xml:space="preserve">gunakan </w:t>
      </w:r>
      <w:r w:rsidR="005A0939" w:rsidRPr="000D6CE3">
        <w:rPr>
          <w:rFonts w:ascii="Times New Roman" w:hAnsi="Times New Roman" w:cs="Times New Roman"/>
          <w:i/>
          <w:sz w:val="24"/>
          <w:szCs w:val="24"/>
        </w:rPr>
        <w:t>data series</w:t>
      </w:r>
      <w:r w:rsidR="005A0939" w:rsidRPr="00946AD6">
        <w:rPr>
          <w:rFonts w:ascii="Times New Roman" w:hAnsi="Times New Roman" w:cs="Times New Roman"/>
          <w:sz w:val="24"/>
          <w:szCs w:val="24"/>
        </w:rPr>
        <w:t xml:space="preserve"> yang cukup panjang</w:t>
      </w:r>
      <w:r w:rsidR="005A0939">
        <w:rPr>
          <w:rFonts w:ascii="Times New Roman" w:hAnsi="Times New Roman" w:cs="Times New Roman"/>
          <w:sz w:val="24"/>
          <w:szCs w:val="24"/>
          <w:lang w:val="en-US"/>
        </w:rPr>
        <w:t>.</w:t>
      </w:r>
    </w:p>
    <w:p w:rsidR="00F155FD" w:rsidRDefault="007C0080" w:rsidP="00F155FD">
      <w:pPr>
        <w:autoSpaceDE w:val="0"/>
        <w:autoSpaceDN w:val="0"/>
        <w:adjustRightInd w:val="0"/>
        <w:ind w:firstLine="720"/>
        <w:rPr>
          <w:rFonts w:ascii="Times New Roman" w:hAnsi="Times New Roman" w:cs="Times New Roman"/>
          <w:color w:val="000000" w:themeColor="text1"/>
          <w:sz w:val="24"/>
          <w:szCs w:val="24"/>
          <w:lang w:val="en-US"/>
        </w:rPr>
      </w:pPr>
      <w:r>
        <w:rPr>
          <w:rFonts w:ascii="Times New Roman" w:eastAsia="Times New Roman" w:hAnsi="Times New Roman"/>
          <w:color w:val="000000"/>
          <w:spacing w:val="2"/>
          <w:sz w:val="24"/>
          <w:lang w:val="en-US"/>
        </w:rPr>
        <w:t>Adapun pengembangan</w:t>
      </w:r>
      <w:r w:rsidR="00F40E6E">
        <w:rPr>
          <w:rFonts w:ascii="Times New Roman" w:eastAsia="Times New Roman" w:hAnsi="Times New Roman"/>
          <w:color w:val="000000"/>
          <w:spacing w:val="2"/>
          <w:sz w:val="24"/>
          <w:lang w:val="en-US"/>
        </w:rPr>
        <w:t xml:space="preserve"> </w:t>
      </w:r>
      <w:r>
        <w:rPr>
          <w:rFonts w:ascii="Times New Roman" w:eastAsia="Times New Roman" w:hAnsi="Times New Roman"/>
          <w:color w:val="000000"/>
          <w:spacing w:val="2"/>
          <w:sz w:val="24"/>
          <w:lang w:val="en-US"/>
        </w:rPr>
        <w:t>dalam</w:t>
      </w:r>
      <w:r w:rsidR="00F40E6E">
        <w:rPr>
          <w:rFonts w:ascii="Times New Roman" w:eastAsia="Times New Roman" w:hAnsi="Times New Roman"/>
          <w:color w:val="000000"/>
          <w:spacing w:val="2"/>
          <w:sz w:val="24"/>
          <w:lang w:val="en-US"/>
        </w:rPr>
        <w:t xml:space="preserve"> penelitian d</w:t>
      </w:r>
      <w:r w:rsidR="003D545E">
        <w:rPr>
          <w:rFonts w:ascii="Times New Roman" w:eastAsia="Times New Roman" w:hAnsi="Times New Roman"/>
          <w:color w:val="000000"/>
          <w:spacing w:val="2"/>
          <w:sz w:val="24"/>
          <w:lang w:val="en-US"/>
        </w:rPr>
        <w:t xml:space="preserve">engan memilih perusahaan sektor pertambangan </w:t>
      </w:r>
      <w:r w:rsidR="00F40E6E">
        <w:rPr>
          <w:rFonts w:ascii="Times New Roman" w:eastAsia="Times New Roman" w:hAnsi="Times New Roman"/>
          <w:color w:val="000000"/>
          <w:spacing w:val="2"/>
          <w:sz w:val="24"/>
          <w:lang w:val="en-US"/>
        </w:rPr>
        <w:t xml:space="preserve">yang </w:t>
      </w:r>
      <w:r w:rsidR="00F40E6E" w:rsidRPr="009060CF">
        <w:rPr>
          <w:rFonts w:ascii="Times New Roman" w:hAnsi="Times New Roman" w:cs="Times New Roman"/>
          <w:i/>
          <w:color w:val="000000" w:themeColor="text1"/>
          <w:sz w:val="24"/>
          <w:szCs w:val="24"/>
        </w:rPr>
        <w:t>listing</w:t>
      </w:r>
      <w:r w:rsidR="00F40E6E" w:rsidRPr="009060CF">
        <w:rPr>
          <w:rFonts w:ascii="Times New Roman" w:hAnsi="Times New Roman" w:cs="Times New Roman"/>
          <w:color w:val="000000" w:themeColor="text1"/>
          <w:sz w:val="24"/>
          <w:szCs w:val="24"/>
        </w:rPr>
        <w:t xml:space="preserve"> di BEI dan menggunakan laporan keuangan selama </w:t>
      </w:r>
      <w:r w:rsidR="003D545E">
        <w:rPr>
          <w:rFonts w:ascii="Times New Roman" w:hAnsi="Times New Roman" w:cs="Times New Roman"/>
          <w:color w:val="000000" w:themeColor="text1"/>
          <w:sz w:val="24"/>
          <w:szCs w:val="24"/>
          <w:lang w:val="en-US"/>
        </w:rPr>
        <w:t>5</w:t>
      </w:r>
      <w:r w:rsidR="00F40E6E" w:rsidRPr="009060CF">
        <w:rPr>
          <w:rFonts w:ascii="Times New Roman" w:hAnsi="Times New Roman" w:cs="Times New Roman"/>
          <w:color w:val="000000" w:themeColor="text1"/>
          <w:sz w:val="24"/>
          <w:szCs w:val="24"/>
        </w:rPr>
        <w:t xml:space="preserve"> tahun (20</w:t>
      </w:r>
      <w:r w:rsidR="003D545E">
        <w:rPr>
          <w:rFonts w:ascii="Times New Roman" w:hAnsi="Times New Roman" w:cs="Times New Roman"/>
          <w:color w:val="000000" w:themeColor="text1"/>
          <w:sz w:val="24"/>
          <w:szCs w:val="24"/>
          <w:lang w:val="en-US"/>
        </w:rPr>
        <w:t>09</w:t>
      </w:r>
      <w:r w:rsidR="00F40E6E" w:rsidRPr="009060CF">
        <w:rPr>
          <w:rFonts w:ascii="Times New Roman" w:hAnsi="Times New Roman" w:cs="Times New Roman"/>
          <w:color w:val="000000" w:themeColor="text1"/>
          <w:sz w:val="24"/>
          <w:szCs w:val="24"/>
        </w:rPr>
        <w:t xml:space="preserve"> </w:t>
      </w:r>
      <w:r w:rsidR="00F40E6E">
        <w:rPr>
          <w:rFonts w:ascii="Times New Roman" w:hAnsi="Times New Roman" w:cs="Times New Roman"/>
          <w:color w:val="000000" w:themeColor="text1"/>
          <w:sz w:val="24"/>
          <w:szCs w:val="24"/>
          <w:lang w:val="en-US"/>
        </w:rPr>
        <w:t>sampai dengan 2013</w:t>
      </w:r>
      <w:r w:rsidR="00DA0A29">
        <w:rPr>
          <w:rFonts w:ascii="Times New Roman" w:hAnsi="Times New Roman" w:cs="Times New Roman"/>
          <w:color w:val="000000" w:themeColor="text1"/>
          <w:sz w:val="24"/>
          <w:szCs w:val="24"/>
        </w:rPr>
        <w:t>)</w:t>
      </w:r>
      <w:r w:rsidR="00DA0A29">
        <w:rPr>
          <w:rFonts w:ascii="Times New Roman" w:hAnsi="Times New Roman" w:cs="Times New Roman"/>
          <w:color w:val="000000" w:themeColor="text1"/>
          <w:sz w:val="24"/>
          <w:szCs w:val="24"/>
          <w:lang w:val="en-US"/>
        </w:rPr>
        <w:t xml:space="preserve">. </w:t>
      </w:r>
      <w:r w:rsidR="007E34CA" w:rsidRPr="007E34CA">
        <w:rPr>
          <w:rFonts w:ascii="Times New Roman" w:hAnsi="Times New Roman" w:cs="Times New Roman"/>
          <w:color w:val="000000" w:themeColor="text1"/>
          <w:sz w:val="24"/>
          <w:szCs w:val="24"/>
          <w:lang w:val="en-US"/>
        </w:rPr>
        <w:t xml:space="preserve">Yusuf </w:t>
      </w:r>
      <w:r w:rsidR="007E34CA">
        <w:rPr>
          <w:rFonts w:ascii="Times New Roman" w:hAnsi="Times New Roman" w:cs="Times New Roman"/>
          <w:color w:val="000000" w:themeColor="text1"/>
          <w:sz w:val="24"/>
          <w:szCs w:val="24"/>
          <w:lang w:val="en-US"/>
        </w:rPr>
        <w:t xml:space="preserve">dkk (2013) </w:t>
      </w:r>
      <w:r w:rsidR="007E34CA" w:rsidRPr="007E34CA">
        <w:rPr>
          <w:rFonts w:ascii="Times New Roman" w:hAnsi="Times New Roman" w:cs="Times New Roman"/>
          <w:color w:val="000000" w:themeColor="text1"/>
          <w:sz w:val="24"/>
          <w:szCs w:val="24"/>
          <w:lang w:val="en-US"/>
        </w:rPr>
        <w:t xml:space="preserve"> mengatakan</w:t>
      </w:r>
      <w:r w:rsidR="003817B7">
        <w:rPr>
          <w:rFonts w:ascii="Times New Roman" w:hAnsi="Times New Roman" w:cs="Times New Roman"/>
          <w:color w:val="000000" w:themeColor="text1"/>
          <w:sz w:val="24"/>
          <w:szCs w:val="24"/>
          <w:lang w:val="en-US"/>
        </w:rPr>
        <w:t xml:space="preserve"> bahwa </w:t>
      </w:r>
      <w:r w:rsidR="007E34CA" w:rsidRPr="007E34CA">
        <w:rPr>
          <w:rFonts w:ascii="Times New Roman" w:hAnsi="Times New Roman" w:cs="Times New Roman"/>
          <w:color w:val="000000" w:themeColor="text1"/>
          <w:sz w:val="24"/>
          <w:szCs w:val="24"/>
          <w:lang w:val="en-US"/>
        </w:rPr>
        <w:t xml:space="preserve">sektor </w:t>
      </w:r>
      <w:r w:rsidR="003D545E">
        <w:rPr>
          <w:rFonts w:ascii="Times New Roman" w:hAnsi="Times New Roman" w:cs="Times New Roman"/>
          <w:color w:val="000000" w:themeColor="text1"/>
          <w:sz w:val="24"/>
          <w:szCs w:val="24"/>
          <w:lang w:val="en-US"/>
        </w:rPr>
        <w:t xml:space="preserve">pertambangan </w:t>
      </w:r>
      <w:r w:rsidR="00BB398F">
        <w:rPr>
          <w:rFonts w:ascii="Times New Roman" w:hAnsi="Times New Roman" w:cs="Times New Roman"/>
          <w:color w:val="000000" w:themeColor="text1"/>
          <w:sz w:val="24"/>
          <w:szCs w:val="24"/>
          <w:lang w:val="en-US"/>
        </w:rPr>
        <w:t xml:space="preserve">khususnya batubara </w:t>
      </w:r>
      <w:r w:rsidR="007E34CA" w:rsidRPr="007E34CA">
        <w:rPr>
          <w:rFonts w:ascii="Times New Roman" w:hAnsi="Times New Roman" w:cs="Times New Roman"/>
          <w:color w:val="000000" w:themeColor="text1"/>
          <w:sz w:val="24"/>
          <w:szCs w:val="24"/>
          <w:lang w:val="en-US"/>
        </w:rPr>
        <w:t xml:space="preserve">diketahui memiliki hutang yang jauh lebih besar dibandingkan dengan sektor non batubara dalam memenuhi kebutuhan dananya. Penggunaan hutang, terutama hutang jangka panjang yang sangat besar tentu akan memudahkan </w:t>
      </w:r>
      <w:r w:rsidR="003D545E">
        <w:rPr>
          <w:rFonts w:ascii="Times New Roman" w:hAnsi="Times New Roman" w:cs="Times New Roman"/>
          <w:color w:val="000000" w:themeColor="text1"/>
          <w:sz w:val="24"/>
          <w:szCs w:val="24"/>
          <w:lang w:val="en-US"/>
        </w:rPr>
        <w:t>sektor pertambangan</w:t>
      </w:r>
      <w:r w:rsidR="007E34CA" w:rsidRPr="007E34CA">
        <w:rPr>
          <w:rFonts w:ascii="Times New Roman" w:hAnsi="Times New Roman" w:cs="Times New Roman"/>
          <w:color w:val="000000" w:themeColor="text1"/>
          <w:sz w:val="24"/>
          <w:szCs w:val="24"/>
          <w:lang w:val="en-US"/>
        </w:rPr>
        <w:t xml:space="preserve"> dalam membiayai segala kebutuhan usahanya yang memerlukan dana sangat besar dan waktu yang </w:t>
      </w:r>
      <w:r w:rsidR="007E34CA" w:rsidRPr="007E34CA">
        <w:rPr>
          <w:rFonts w:ascii="Times New Roman" w:hAnsi="Times New Roman" w:cs="Times New Roman"/>
          <w:color w:val="000000" w:themeColor="text1"/>
          <w:sz w:val="24"/>
          <w:szCs w:val="24"/>
          <w:lang w:val="en-US"/>
        </w:rPr>
        <w:lastRenderedPageBreak/>
        <w:t xml:space="preserve">cukup lama untuk memperoleh hasil dari usahanya tersebut. Akan tetapi, sektor </w:t>
      </w:r>
      <w:r w:rsidR="003D545E">
        <w:rPr>
          <w:rFonts w:ascii="Times New Roman" w:hAnsi="Times New Roman" w:cs="Times New Roman"/>
          <w:color w:val="000000" w:themeColor="text1"/>
          <w:sz w:val="24"/>
          <w:szCs w:val="24"/>
          <w:lang w:val="en-US"/>
        </w:rPr>
        <w:t xml:space="preserve">pertambangan </w:t>
      </w:r>
      <w:r w:rsidR="007E34CA" w:rsidRPr="007E34CA">
        <w:rPr>
          <w:rFonts w:ascii="Times New Roman" w:hAnsi="Times New Roman" w:cs="Times New Roman"/>
          <w:color w:val="000000" w:themeColor="text1"/>
          <w:sz w:val="24"/>
          <w:szCs w:val="24"/>
          <w:lang w:val="en-US"/>
        </w:rPr>
        <w:t>harus menanggung risiko finansial yang semakin tinggi. Hal ini dikarenakan beban bunga serta angsuran pokok pinjaman yang harus ditanggung akan semakin meningkat. Sebagai konsekuensinya, kemungkinan perusahaan sub sektor batubara mengalami kebangkrutan tentu akan semakin besar.</w:t>
      </w:r>
      <w:r w:rsidR="007E34CA">
        <w:rPr>
          <w:rFonts w:ascii="Times New Roman" w:hAnsi="Times New Roman" w:cs="Times New Roman"/>
          <w:color w:val="000000" w:themeColor="text1"/>
          <w:sz w:val="24"/>
          <w:szCs w:val="24"/>
          <w:lang w:val="en-US"/>
        </w:rPr>
        <w:t xml:space="preserve"> </w:t>
      </w:r>
    </w:p>
    <w:p w:rsidR="00F155FD" w:rsidRDefault="007E34CA" w:rsidP="00F155FD">
      <w:pPr>
        <w:autoSpaceDE w:val="0"/>
        <w:autoSpaceDN w:val="0"/>
        <w:adjustRightInd w:val="0"/>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Selain pendapat yang diungkapkan oleh Yusuf dkk, ketertarikan penulis untuk melakukan penelitian pada </w:t>
      </w:r>
      <w:r w:rsidRPr="007E34CA">
        <w:rPr>
          <w:rFonts w:ascii="Times New Roman" w:hAnsi="Times New Roman" w:cs="Times New Roman"/>
          <w:color w:val="000000" w:themeColor="text1"/>
          <w:sz w:val="24"/>
          <w:szCs w:val="24"/>
          <w:lang w:val="en-US"/>
        </w:rPr>
        <w:t xml:space="preserve">sektor </w:t>
      </w:r>
      <w:r w:rsidR="003D545E">
        <w:rPr>
          <w:rFonts w:ascii="Times New Roman" w:hAnsi="Times New Roman" w:cs="Times New Roman"/>
          <w:color w:val="000000" w:themeColor="text1"/>
          <w:sz w:val="24"/>
          <w:szCs w:val="24"/>
          <w:lang w:val="en-US"/>
        </w:rPr>
        <w:t>pertambangan</w:t>
      </w:r>
      <w:r>
        <w:rPr>
          <w:rFonts w:ascii="Times New Roman" w:hAnsi="Times New Roman" w:cs="Times New Roman"/>
          <w:color w:val="000000" w:themeColor="text1"/>
          <w:sz w:val="24"/>
          <w:szCs w:val="24"/>
          <w:lang w:val="en-US"/>
        </w:rPr>
        <w:t xml:space="preserve"> yaitu </w:t>
      </w:r>
      <w:r w:rsidR="000D6CE3">
        <w:rPr>
          <w:rFonts w:ascii="Times New Roman" w:hAnsi="Times New Roman" w:cs="Times New Roman"/>
          <w:color w:val="000000" w:themeColor="text1"/>
          <w:sz w:val="24"/>
          <w:szCs w:val="24"/>
          <w:lang w:val="en-US"/>
        </w:rPr>
        <w:t>b</w:t>
      </w:r>
      <w:r>
        <w:rPr>
          <w:rFonts w:ascii="Times New Roman" w:hAnsi="Times New Roman" w:cs="Times New Roman"/>
          <w:color w:val="000000" w:themeColor="text1"/>
          <w:sz w:val="24"/>
          <w:szCs w:val="24"/>
          <w:lang w:val="en-US"/>
        </w:rPr>
        <w:t xml:space="preserve">erkaitan dengan fenomena yang terjadi pada </w:t>
      </w:r>
      <w:r w:rsidR="009E2E7D">
        <w:rPr>
          <w:rFonts w:ascii="Times New Roman" w:hAnsi="Times New Roman" w:cs="Times New Roman"/>
          <w:sz w:val="24"/>
          <w:szCs w:val="24"/>
          <w:lang w:val="en-US"/>
        </w:rPr>
        <w:t xml:space="preserve">PT </w:t>
      </w:r>
      <w:r w:rsidR="009E2E7D" w:rsidRPr="00EE3A0C">
        <w:rPr>
          <w:rFonts w:ascii="Times New Roman" w:hAnsi="Times New Roman" w:cs="Times New Roman"/>
          <w:sz w:val="24"/>
          <w:szCs w:val="24"/>
          <w:lang w:val="en-US"/>
        </w:rPr>
        <w:t>Bumi Resources Tbk</w:t>
      </w:r>
      <w:r w:rsidR="009E2E7D">
        <w:rPr>
          <w:rFonts w:ascii="Times New Roman" w:hAnsi="Times New Roman" w:cs="Times New Roman"/>
          <w:sz w:val="24"/>
          <w:szCs w:val="24"/>
          <w:lang w:val="en-US"/>
        </w:rPr>
        <w:t>. P</w:t>
      </w:r>
      <w:r w:rsidR="009E2E7D" w:rsidRPr="009E2E7D">
        <w:rPr>
          <w:rFonts w:ascii="Times New Roman" w:hAnsi="Times New Roman" w:cs="Times New Roman"/>
          <w:sz w:val="24"/>
          <w:szCs w:val="24"/>
          <w:lang w:val="en-US"/>
        </w:rPr>
        <w:t>erusahaan tambang PT Bumi Resources Tbk diproyeksikan akan mengalami kebangkrutan finansial setelah mencatat kerugian dan kemampuan bayar utang rendah. Riset yang dikeluarkan Panin Sekuritas Rabu (29/8/2012) mengindikasikan perusahaan ini akan bangkrut karena performa keuangan yang buruk dan tidak mampu membayar utangnya.</w:t>
      </w:r>
    </w:p>
    <w:p w:rsidR="009E2E7D" w:rsidRPr="009E2E7D" w:rsidRDefault="009E2E7D" w:rsidP="009E2E7D">
      <w:pPr>
        <w:autoSpaceDE w:val="0"/>
        <w:autoSpaceDN w:val="0"/>
        <w:adjustRightInd w:val="0"/>
        <w:ind w:firstLine="720"/>
        <w:rPr>
          <w:rFonts w:ascii="Times New Roman" w:eastAsia="Times New Roman" w:hAnsi="Times New Roman" w:cs="Times New Roman"/>
          <w:color w:val="000000"/>
          <w:spacing w:val="2"/>
          <w:sz w:val="24"/>
          <w:szCs w:val="24"/>
          <w:lang w:val="en-US"/>
        </w:rPr>
      </w:pPr>
      <w:r>
        <w:rPr>
          <w:rFonts w:ascii="Times New Roman" w:eastAsia="Times New Roman" w:hAnsi="Times New Roman"/>
          <w:color w:val="000000"/>
          <w:spacing w:val="2"/>
          <w:sz w:val="24"/>
          <w:lang w:val="en-US"/>
        </w:rPr>
        <w:t xml:space="preserve">Luciana Spica Almilia dan Kristijadi (2003) mengungkapkan bahwa rasio yang signifikan untuk mengukur prediksi </w:t>
      </w:r>
      <w:r w:rsidRPr="009E2E7D">
        <w:rPr>
          <w:rFonts w:ascii="Times New Roman" w:eastAsia="Times New Roman" w:hAnsi="Times New Roman"/>
          <w:i/>
          <w:color w:val="000000"/>
          <w:spacing w:val="2"/>
          <w:sz w:val="24"/>
          <w:lang w:val="en-US"/>
        </w:rPr>
        <w:t>financial distress</w:t>
      </w:r>
      <w:r>
        <w:rPr>
          <w:rFonts w:ascii="Times New Roman" w:eastAsia="Times New Roman" w:hAnsi="Times New Roman"/>
          <w:color w:val="000000"/>
          <w:spacing w:val="2"/>
          <w:sz w:val="24"/>
          <w:lang w:val="en-US"/>
        </w:rPr>
        <w:t xml:space="preserve"> yaitu </w:t>
      </w:r>
      <w:r w:rsidRPr="009E2E7D">
        <w:rPr>
          <w:rFonts w:ascii="Times New Roman" w:eastAsia="Times New Roman" w:hAnsi="Times New Roman"/>
          <w:i/>
          <w:color w:val="000000"/>
          <w:spacing w:val="2"/>
          <w:sz w:val="24"/>
          <w:lang w:val="en-US"/>
        </w:rPr>
        <w:t>Current Ratio</w:t>
      </w:r>
      <w:r w:rsidR="00F0252D">
        <w:rPr>
          <w:rFonts w:ascii="Times New Roman" w:eastAsia="Times New Roman" w:hAnsi="Times New Roman"/>
          <w:color w:val="000000"/>
          <w:spacing w:val="2"/>
          <w:sz w:val="24"/>
          <w:lang w:val="en-US"/>
        </w:rPr>
        <w:t xml:space="preserve"> (CA/CL)</w:t>
      </w:r>
      <w:r w:rsidRPr="009E2E7D">
        <w:rPr>
          <w:rFonts w:ascii="Times New Roman" w:eastAsia="Times New Roman" w:hAnsi="Times New Roman"/>
          <w:color w:val="000000"/>
          <w:spacing w:val="2"/>
          <w:sz w:val="24"/>
          <w:lang w:val="en-US"/>
        </w:rPr>
        <w:t xml:space="preserve">, </w:t>
      </w:r>
      <w:r w:rsidRPr="009E2E7D">
        <w:rPr>
          <w:rFonts w:ascii="Times New Roman" w:eastAsia="Times New Roman" w:hAnsi="Times New Roman"/>
          <w:i/>
          <w:color w:val="000000"/>
          <w:spacing w:val="2"/>
          <w:sz w:val="24"/>
          <w:lang w:val="en-US"/>
        </w:rPr>
        <w:t>Net Profit Margin</w:t>
      </w:r>
      <w:r w:rsidRPr="009E2E7D">
        <w:rPr>
          <w:rFonts w:ascii="Times New Roman" w:eastAsia="Times New Roman" w:hAnsi="Times New Roman"/>
          <w:color w:val="000000"/>
          <w:spacing w:val="2"/>
          <w:sz w:val="24"/>
          <w:lang w:val="en-US"/>
        </w:rPr>
        <w:t xml:space="preserve"> (NI/Sales), </w:t>
      </w:r>
      <w:r w:rsidRPr="009E2E7D">
        <w:rPr>
          <w:rFonts w:ascii="Times New Roman" w:eastAsia="Times New Roman" w:hAnsi="Times New Roman"/>
          <w:i/>
          <w:color w:val="000000"/>
          <w:spacing w:val="2"/>
          <w:sz w:val="24"/>
          <w:lang w:val="en-US"/>
        </w:rPr>
        <w:t>Growth Net Income</w:t>
      </w:r>
      <w:r w:rsidRPr="009E2E7D">
        <w:rPr>
          <w:rFonts w:ascii="Times New Roman" w:eastAsia="Times New Roman" w:hAnsi="Times New Roman"/>
          <w:color w:val="000000"/>
          <w:spacing w:val="2"/>
          <w:sz w:val="24"/>
          <w:lang w:val="en-US"/>
        </w:rPr>
        <w:t xml:space="preserve"> (GROWTHNI/TA), </w:t>
      </w:r>
      <w:r w:rsidRPr="009E2E7D">
        <w:rPr>
          <w:rFonts w:ascii="Times New Roman" w:eastAsia="Times New Roman" w:hAnsi="Times New Roman"/>
          <w:i/>
          <w:color w:val="000000"/>
          <w:spacing w:val="2"/>
          <w:sz w:val="24"/>
          <w:lang w:val="en-US"/>
        </w:rPr>
        <w:t>Financial Leverage</w:t>
      </w:r>
      <w:r w:rsidRPr="009E2E7D">
        <w:rPr>
          <w:rFonts w:ascii="Times New Roman" w:eastAsia="Times New Roman" w:hAnsi="Times New Roman"/>
          <w:color w:val="000000"/>
          <w:spacing w:val="2"/>
          <w:sz w:val="24"/>
          <w:lang w:val="en-US"/>
        </w:rPr>
        <w:t xml:space="preserve"> (CL/TA)</w:t>
      </w:r>
      <w:r>
        <w:rPr>
          <w:rFonts w:ascii="Times New Roman" w:eastAsia="Times New Roman" w:hAnsi="Times New Roman"/>
          <w:color w:val="000000"/>
          <w:spacing w:val="2"/>
          <w:sz w:val="24"/>
          <w:lang w:val="en-US"/>
        </w:rPr>
        <w:t xml:space="preserve">. </w:t>
      </w:r>
      <w:r w:rsidRPr="009E2E7D">
        <w:rPr>
          <w:rFonts w:ascii="Times New Roman" w:eastAsia="Times New Roman" w:hAnsi="Times New Roman"/>
          <w:color w:val="000000"/>
          <w:spacing w:val="2"/>
          <w:sz w:val="24"/>
          <w:lang w:val="en-US"/>
        </w:rPr>
        <w:t xml:space="preserve">Wahyu dan Dody (2009) rasio yang dapat digunakan untuk mengukur prediksi </w:t>
      </w:r>
      <w:r w:rsidRPr="009E2E7D">
        <w:rPr>
          <w:rFonts w:ascii="Times New Roman" w:eastAsia="Times New Roman" w:hAnsi="Times New Roman"/>
          <w:i/>
          <w:color w:val="000000"/>
          <w:spacing w:val="2"/>
          <w:sz w:val="24"/>
          <w:lang w:val="en-US"/>
        </w:rPr>
        <w:t>financial distress</w:t>
      </w:r>
      <w:r w:rsidRPr="009E2E7D">
        <w:rPr>
          <w:rFonts w:ascii="Times New Roman" w:eastAsia="Times New Roman" w:hAnsi="Times New Roman"/>
          <w:color w:val="000000"/>
          <w:spacing w:val="2"/>
          <w:sz w:val="24"/>
          <w:lang w:val="en-US"/>
        </w:rPr>
        <w:t xml:space="preserve"> diantaranya </w:t>
      </w:r>
      <w:r w:rsidRPr="009E2E7D">
        <w:rPr>
          <w:rFonts w:ascii="Times New Roman" w:eastAsia="Times New Roman" w:hAnsi="Times New Roman"/>
          <w:i/>
          <w:color w:val="000000"/>
          <w:spacing w:val="2"/>
          <w:sz w:val="24"/>
          <w:lang w:val="en-US"/>
        </w:rPr>
        <w:t>Quick Ratio</w:t>
      </w:r>
      <w:r w:rsidRPr="009E2E7D">
        <w:rPr>
          <w:rFonts w:ascii="Times New Roman" w:eastAsia="Times New Roman" w:hAnsi="Times New Roman"/>
          <w:color w:val="000000"/>
          <w:spacing w:val="2"/>
          <w:sz w:val="24"/>
          <w:lang w:val="en-US"/>
        </w:rPr>
        <w:t xml:space="preserve"> (CA-INV/CL) dan </w:t>
      </w:r>
      <w:r w:rsidRPr="000D6CE3">
        <w:rPr>
          <w:rFonts w:ascii="Times New Roman" w:eastAsia="Times New Roman" w:hAnsi="Times New Roman"/>
          <w:color w:val="000000"/>
          <w:spacing w:val="2"/>
          <w:sz w:val="24"/>
          <w:lang w:val="en-US"/>
        </w:rPr>
        <w:t>P</w:t>
      </w:r>
      <w:r w:rsidRPr="009E2E7D">
        <w:rPr>
          <w:rFonts w:ascii="Times New Roman" w:eastAsia="Times New Roman" w:hAnsi="Times New Roman"/>
          <w:color w:val="000000"/>
          <w:spacing w:val="2"/>
          <w:sz w:val="24"/>
          <w:lang w:val="en-US"/>
        </w:rPr>
        <w:t xml:space="preserve">rofitabilitas yang diukur dengan ROA (NI/TA), sedangkan rasio yang tidak berpengaruh terhadap prediksi </w:t>
      </w:r>
      <w:r w:rsidRPr="009E2E7D">
        <w:rPr>
          <w:rFonts w:ascii="Times New Roman" w:eastAsia="Times New Roman" w:hAnsi="Times New Roman"/>
          <w:i/>
          <w:color w:val="000000"/>
          <w:spacing w:val="2"/>
          <w:sz w:val="24"/>
          <w:lang w:val="en-US"/>
        </w:rPr>
        <w:t>financial distress</w:t>
      </w:r>
      <w:r w:rsidRPr="009E2E7D">
        <w:rPr>
          <w:rFonts w:ascii="Times New Roman" w:eastAsia="Times New Roman" w:hAnsi="Times New Roman"/>
          <w:color w:val="000000"/>
          <w:spacing w:val="2"/>
          <w:sz w:val="24"/>
          <w:lang w:val="en-US"/>
        </w:rPr>
        <w:t xml:space="preserve"> diantaranya </w:t>
      </w:r>
      <w:r w:rsidRPr="009E2E7D">
        <w:rPr>
          <w:rFonts w:ascii="Times New Roman" w:eastAsia="Times New Roman" w:hAnsi="Times New Roman"/>
          <w:i/>
          <w:color w:val="000000"/>
          <w:spacing w:val="2"/>
          <w:sz w:val="24"/>
          <w:lang w:val="en-US"/>
        </w:rPr>
        <w:t>Current Ratio</w:t>
      </w:r>
      <w:r w:rsidRPr="009E2E7D">
        <w:rPr>
          <w:rFonts w:ascii="Times New Roman" w:eastAsia="Times New Roman" w:hAnsi="Times New Roman"/>
          <w:color w:val="000000"/>
          <w:spacing w:val="2"/>
          <w:sz w:val="24"/>
          <w:lang w:val="en-US"/>
        </w:rPr>
        <w:t xml:space="preserve"> (CA/CL), </w:t>
      </w:r>
      <w:r w:rsidRPr="009E2E7D">
        <w:rPr>
          <w:rFonts w:ascii="Times New Roman" w:eastAsia="Times New Roman" w:hAnsi="Times New Roman"/>
          <w:i/>
          <w:color w:val="000000"/>
          <w:spacing w:val="2"/>
          <w:sz w:val="24"/>
          <w:lang w:val="en-US"/>
        </w:rPr>
        <w:t>Cash Ratio</w:t>
      </w:r>
      <w:r w:rsidRPr="009E2E7D">
        <w:rPr>
          <w:rFonts w:ascii="Times New Roman" w:eastAsia="Times New Roman" w:hAnsi="Times New Roman"/>
          <w:color w:val="000000"/>
          <w:spacing w:val="2"/>
          <w:sz w:val="24"/>
          <w:lang w:val="en-US"/>
        </w:rPr>
        <w:t xml:space="preserve"> (CA-INV-TR/CL), </w:t>
      </w:r>
      <w:r w:rsidRPr="009E2E7D">
        <w:rPr>
          <w:rFonts w:ascii="Times New Roman" w:eastAsia="Times New Roman" w:hAnsi="Times New Roman"/>
          <w:i/>
          <w:color w:val="000000"/>
          <w:spacing w:val="2"/>
          <w:sz w:val="24"/>
          <w:lang w:val="en-US"/>
        </w:rPr>
        <w:t>Growt</w:t>
      </w:r>
      <w:r w:rsidRPr="009E2E7D">
        <w:rPr>
          <w:rFonts w:ascii="Times New Roman" w:eastAsia="Times New Roman" w:hAnsi="Times New Roman"/>
          <w:color w:val="000000"/>
          <w:spacing w:val="2"/>
          <w:sz w:val="24"/>
          <w:lang w:val="en-US"/>
        </w:rPr>
        <w:t xml:space="preserve">h (GROWTHNI/TA), </w:t>
      </w:r>
      <w:r>
        <w:rPr>
          <w:rFonts w:ascii="Times New Roman" w:eastAsia="Times New Roman" w:hAnsi="Times New Roman"/>
          <w:color w:val="000000"/>
          <w:spacing w:val="2"/>
          <w:sz w:val="24"/>
          <w:lang w:val="en-US"/>
        </w:rPr>
        <w:t xml:space="preserve">dan </w:t>
      </w:r>
      <w:r w:rsidRPr="009E2E7D">
        <w:rPr>
          <w:rFonts w:ascii="Times New Roman" w:eastAsia="Times New Roman" w:hAnsi="Times New Roman"/>
          <w:i/>
          <w:color w:val="000000"/>
          <w:spacing w:val="2"/>
          <w:sz w:val="24"/>
          <w:lang w:val="en-US"/>
        </w:rPr>
        <w:t>Debt Ratio</w:t>
      </w:r>
      <w:r w:rsidRPr="009E2E7D">
        <w:rPr>
          <w:rFonts w:ascii="Times New Roman" w:eastAsia="Times New Roman" w:hAnsi="Times New Roman"/>
          <w:color w:val="000000"/>
          <w:spacing w:val="2"/>
          <w:sz w:val="24"/>
          <w:lang w:val="en-US"/>
        </w:rPr>
        <w:t xml:space="preserve"> (TL/TA)</w:t>
      </w:r>
      <w:r>
        <w:rPr>
          <w:rFonts w:ascii="Times New Roman" w:eastAsia="Times New Roman" w:hAnsi="Times New Roman"/>
          <w:color w:val="000000"/>
          <w:spacing w:val="2"/>
          <w:sz w:val="24"/>
          <w:lang w:val="en-US"/>
        </w:rPr>
        <w:t xml:space="preserve">. </w:t>
      </w:r>
      <w:r w:rsidR="00F0252D">
        <w:rPr>
          <w:rFonts w:ascii="Times New Roman" w:eastAsia="Times New Roman" w:hAnsi="Times New Roman"/>
          <w:color w:val="000000"/>
          <w:spacing w:val="2"/>
          <w:sz w:val="24"/>
          <w:lang w:val="en-US"/>
        </w:rPr>
        <w:t>P</w:t>
      </w:r>
      <w:r>
        <w:rPr>
          <w:rFonts w:ascii="Times New Roman" w:eastAsia="Times New Roman" w:hAnsi="Times New Roman"/>
          <w:color w:val="000000"/>
          <w:spacing w:val="2"/>
          <w:sz w:val="24"/>
          <w:lang w:val="en-US"/>
        </w:rPr>
        <w:t xml:space="preserve">enelitian yang dilakukan oleh </w:t>
      </w:r>
      <w:r w:rsidRPr="009E2E7D">
        <w:rPr>
          <w:rFonts w:ascii="Times New Roman" w:hAnsi="Times New Roman" w:cs="Times New Roman"/>
          <w:color w:val="000000" w:themeColor="text1"/>
          <w:sz w:val="24"/>
          <w:szCs w:val="24"/>
        </w:rPr>
        <w:t xml:space="preserve">Atika dkk (2012), rasio yang dapat digunakan untuk mengukur </w:t>
      </w:r>
      <w:r w:rsidRPr="009E2E7D">
        <w:rPr>
          <w:rFonts w:ascii="Times New Roman" w:hAnsi="Times New Roman" w:cs="Times New Roman"/>
          <w:color w:val="000000" w:themeColor="text1"/>
          <w:sz w:val="24"/>
          <w:szCs w:val="24"/>
        </w:rPr>
        <w:lastRenderedPageBreak/>
        <w:t xml:space="preserve">prediksi </w:t>
      </w:r>
      <w:r w:rsidRPr="009E2E7D">
        <w:rPr>
          <w:rFonts w:ascii="Times New Roman" w:hAnsi="Times New Roman" w:cs="Times New Roman"/>
          <w:i/>
          <w:color w:val="000000" w:themeColor="text1"/>
          <w:sz w:val="24"/>
          <w:szCs w:val="24"/>
        </w:rPr>
        <w:t>financial distress</w:t>
      </w:r>
      <w:r w:rsidRPr="009E2E7D">
        <w:rPr>
          <w:rFonts w:ascii="Times New Roman" w:hAnsi="Times New Roman" w:cs="Times New Roman"/>
          <w:color w:val="000000" w:themeColor="text1"/>
          <w:sz w:val="24"/>
          <w:szCs w:val="24"/>
        </w:rPr>
        <w:t xml:space="preserve"> antara lain </w:t>
      </w:r>
      <w:r w:rsidRPr="009E2E7D">
        <w:rPr>
          <w:rFonts w:ascii="Times New Roman" w:hAnsi="Times New Roman" w:cs="Times New Roman"/>
          <w:i/>
          <w:color w:val="000000" w:themeColor="text1"/>
          <w:sz w:val="24"/>
          <w:szCs w:val="24"/>
        </w:rPr>
        <w:t>Current Ratio</w:t>
      </w:r>
      <w:r w:rsidRPr="009E2E7D">
        <w:rPr>
          <w:rFonts w:ascii="Times New Roman" w:hAnsi="Times New Roman" w:cs="Times New Roman"/>
          <w:color w:val="000000" w:themeColor="text1"/>
          <w:sz w:val="24"/>
          <w:szCs w:val="24"/>
        </w:rPr>
        <w:t xml:space="preserve"> (CA/CL), </w:t>
      </w:r>
      <w:r w:rsidRPr="009E2E7D">
        <w:rPr>
          <w:rFonts w:ascii="Times New Roman" w:hAnsi="Times New Roman" w:cs="Times New Roman"/>
          <w:i/>
          <w:color w:val="000000" w:themeColor="text1"/>
          <w:sz w:val="24"/>
          <w:szCs w:val="24"/>
        </w:rPr>
        <w:t>Debt Ratio</w:t>
      </w:r>
      <w:r w:rsidRPr="009E2E7D">
        <w:rPr>
          <w:rFonts w:ascii="Times New Roman" w:hAnsi="Times New Roman" w:cs="Times New Roman"/>
          <w:color w:val="000000" w:themeColor="text1"/>
          <w:sz w:val="24"/>
          <w:szCs w:val="24"/>
        </w:rPr>
        <w:t xml:space="preserve"> (TL/TA), dan </w:t>
      </w:r>
      <w:r w:rsidRPr="009E2E7D">
        <w:rPr>
          <w:rFonts w:ascii="Times New Roman" w:hAnsi="Times New Roman" w:cs="Times New Roman"/>
          <w:i/>
          <w:color w:val="000000" w:themeColor="text1"/>
          <w:sz w:val="24"/>
          <w:szCs w:val="24"/>
          <w:lang w:val="en-US"/>
        </w:rPr>
        <w:t>Financial</w:t>
      </w:r>
      <w:r>
        <w:rPr>
          <w:rFonts w:ascii="Times New Roman" w:hAnsi="Times New Roman" w:cs="Times New Roman"/>
          <w:color w:val="000000" w:themeColor="text1"/>
          <w:sz w:val="24"/>
          <w:szCs w:val="24"/>
          <w:lang w:val="en-US"/>
        </w:rPr>
        <w:t xml:space="preserve"> </w:t>
      </w:r>
      <w:r w:rsidRPr="009E2E7D">
        <w:rPr>
          <w:rFonts w:ascii="Times New Roman" w:hAnsi="Times New Roman" w:cs="Times New Roman"/>
          <w:i/>
          <w:color w:val="000000" w:themeColor="text1"/>
          <w:sz w:val="24"/>
          <w:szCs w:val="24"/>
        </w:rPr>
        <w:t>Leverage</w:t>
      </w:r>
      <w:r w:rsidRPr="009E2E7D">
        <w:rPr>
          <w:rFonts w:ascii="Times New Roman" w:hAnsi="Times New Roman" w:cs="Times New Roman"/>
          <w:color w:val="000000" w:themeColor="text1"/>
          <w:sz w:val="24"/>
          <w:szCs w:val="24"/>
        </w:rPr>
        <w:t xml:space="preserve"> (CL/TA). Sedangkan rasio keuangan yang tidak dapat digunakan untuk prediksi </w:t>
      </w:r>
      <w:r w:rsidRPr="009E2E7D">
        <w:rPr>
          <w:rFonts w:ascii="Times New Roman" w:hAnsi="Times New Roman" w:cs="Times New Roman"/>
          <w:i/>
          <w:color w:val="000000" w:themeColor="text1"/>
          <w:sz w:val="24"/>
          <w:szCs w:val="24"/>
        </w:rPr>
        <w:t>financial distress</w:t>
      </w:r>
      <w:r w:rsidRPr="009E2E7D">
        <w:rPr>
          <w:rFonts w:ascii="Times New Roman" w:hAnsi="Times New Roman" w:cs="Times New Roman"/>
          <w:color w:val="000000" w:themeColor="text1"/>
          <w:sz w:val="24"/>
          <w:szCs w:val="24"/>
        </w:rPr>
        <w:t xml:space="preserve"> diantaranya </w:t>
      </w:r>
      <w:r w:rsidRPr="009E2E7D">
        <w:rPr>
          <w:rFonts w:ascii="Times New Roman" w:hAnsi="Times New Roman" w:cs="Times New Roman"/>
          <w:i/>
          <w:color w:val="000000" w:themeColor="text1"/>
          <w:sz w:val="24"/>
          <w:szCs w:val="24"/>
        </w:rPr>
        <w:t>Net Profit Margin</w:t>
      </w:r>
      <w:r w:rsidRPr="009E2E7D">
        <w:rPr>
          <w:rFonts w:ascii="Times New Roman" w:hAnsi="Times New Roman" w:cs="Times New Roman"/>
          <w:color w:val="000000" w:themeColor="text1"/>
          <w:sz w:val="24"/>
          <w:szCs w:val="24"/>
        </w:rPr>
        <w:t xml:space="preserve"> (NI/Sales), </w:t>
      </w:r>
      <w:r w:rsidRPr="009E2E7D">
        <w:rPr>
          <w:rFonts w:ascii="Times New Roman" w:hAnsi="Times New Roman" w:cs="Times New Roman"/>
          <w:i/>
          <w:color w:val="000000" w:themeColor="text1"/>
          <w:sz w:val="24"/>
          <w:szCs w:val="24"/>
        </w:rPr>
        <w:t>Growth</w:t>
      </w:r>
      <w:r w:rsidRPr="009E2E7D">
        <w:rPr>
          <w:rFonts w:ascii="Times New Roman" w:hAnsi="Times New Roman" w:cs="Times New Roman"/>
          <w:color w:val="000000" w:themeColor="text1"/>
          <w:sz w:val="24"/>
          <w:szCs w:val="24"/>
        </w:rPr>
        <w:t xml:space="preserve"> (GROWTHNI/TA), dan </w:t>
      </w:r>
      <w:r w:rsidRPr="009E2E7D">
        <w:rPr>
          <w:rFonts w:ascii="Times New Roman" w:hAnsi="Times New Roman" w:cs="Times New Roman"/>
          <w:i/>
          <w:color w:val="000000" w:themeColor="text1"/>
          <w:sz w:val="24"/>
          <w:szCs w:val="24"/>
        </w:rPr>
        <w:t>Inventory Turnover</w:t>
      </w:r>
      <w:r>
        <w:rPr>
          <w:rFonts w:ascii="Times New Roman" w:hAnsi="Times New Roman" w:cs="Times New Roman"/>
          <w:i/>
          <w:color w:val="000000" w:themeColor="text1"/>
          <w:sz w:val="24"/>
          <w:szCs w:val="24"/>
          <w:lang w:val="en-US"/>
        </w:rPr>
        <w:t>.</w:t>
      </w:r>
    </w:p>
    <w:p w:rsidR="00F40E6E" w:rsidRPr="00F155FD" w:rsidRDefault="009E2E7D" w:rsidP="00F155FD">
      <w:pPr>
        <w:autoSpaceDE w:val="0"/>
        <w:autoSpaceDN w:val="0"/>
        <w:adjustRightInd w:val="0"/>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Berdasarkan perbedaan hasil penelitian terdahulu, </w:t>
      </w:r>
      <w:r w:rsidR="00DA0A29">
        <w:rPr>
          <w:rFonts w:ascii="Times New Roman" w:hAnsi="Times New Roman" w:cs="Times New Roman"/>
          <w:color w:val="000000" w:themeColor="text1"/>
          <w:sz w:val="24"/>
          <w:szCs w:val="24"/>
          <w:lang w:val="en-US"/>
        </w:rPr>
        <w:t xml:space="preserve">penulis ingin menguji kembali rasio-rasio keuangan </w:t>
      </w:r>
      <w:r w:rsidR="00F40E6E" w:rsidRPr="009060CF">
        <w:rPr>
          <w:rFonts w:ascii="Times New Roman" w:hAnsi="Times New Roman" w:cs="Times New Roman"/>
          <w:color w:val="000000" w:themeColor="text1"/>
          <w:sz w:val="24"/>
          <w:szCs w:val="24"/>
        </w:rPr>
        <w:t xml:space="preserve">dengan variabel rasio </w:t>
      </w:r>
      <w:r w:rsidR="00FC501C">
        <w:rPr>
          <w:rFonts w:ascii="Times New Roman" w:hAnsi="Times New Roman" w:cs="Times New Roman"/>
          <w:color w:val="000000" w:themeColor="text1"/>
          <w:sz w:val="24"/>
          <w:szCs w:val="24"/>
          <w:lang w:val="en-US"/>
        </w:rPr>
        <w:t xml:space="preserve">likuiditas yang diukur dengan current ratio (CA/CL) , rasio </w:t>
      </w:r>
      <w:r w:rsidR="00DA0A29">
        <w:rPr>
          <w:rFonts w:ascii="Times New Roman" w:hAnsi="Times New Roman" w:cs="Times New Roman"/>
          <w:color w:val="000000" w:themeColor="text1"/>
          <w:sz w:val="24"/>
          <w:szCs w:val="24"/>
          <w:lang w:val="en-US"/>
        </w:rPr>
        <w:t xml:space="preserve">profitabilitas yang diukur dengan </w:t>
      </w:r>
      <w:r w:rsidR="00DA0A29" w:rsidRPr="00C627F6">
        <w:rPr>
          <w:rFonts w:ascii="Times New Roman" w:hAnsi="Times New Roman" w:cs="Times New Roman"/>
          <w:i/>
          <w:color w:val="000000" w:themeColor="text1"/>
          <w:sz w:val="24"/>
          <w:szCs w:val="24"/>
          <w:lang w:val="en-US"/>
        </w:rPr>
        <w:t>Net Profit Margin</w:t>
      </w:r>
      <w:r w:rsidR="00C627F6" w:rsidRPr="00C627F6">
        <w:rPr>
          <w:rFonts w:ascii="Times New Roman" w:hAnsi="Times New Roman" w:cs="Times New Roman"/>
          <w:i/>
          <w:color w:val="000000" w:themeColor="text1"/>
          <w:sz w:val="24"/>
          <w:szCs w:val="24"/>
          <w:lang w:val="en-US"/>
        </w:rPr>
        <w:t xml:space="preserve"> Ratios</w:t>
      </w:r>
      <w:r w:rsidR="00DA0A29">
        <w:rPr>
          <w:rFonts w:ascii="Times New Roman" w:hAnsi="Times New Roman" w:cs="Times New Roman"/>
          <w:color w:val="000000" w:themeColor="text1"/>
          <w:sz w:val="24"/>
          <w:szCs w:val="24"/>
          <w:lang w:val="en-US"/>
        </w:rPr>
        <w:t xml:space="preserve"> (NI/S), rasio </w:t>
      </w:r>
      <w:r>
        <w:rPr>
          <w:rFonts w:ascii="Times New Roman" w:hAnsi="Times New Roman" w:cs="Times New Roman"/>
          <w:i/>
          <w:color w:val="000000" w:themeColor="text1"/>
          <w:sz w:val="24"/>
          <w:szCs w:val="24"/>
          <w:lang w:val="en-US"/>
        </w:rPr>
        <w:t xml:space="preserve">Financial </w:t>
      </w:r>
      <w:r w:rsidRPr="00C627F6">
        <w:rPr>
          <w:rFonts w:ascii="Times New Roman" w:hAnsi="Times New Roman" w:cs="Times New Roman"/>
          <w:i/>
          <w:color w:val="000000" w:themeColor="text1"/>
          <w:sz w:val="24"/>
          <w:szCs w:val="24"/>
          <w:lang w:val="en-US"/>
        </w:rPr>
        <w:t>Leverage</w:t>
      </w:r>
      <w:r>
        <w:rPr>
          <w:rFonts w:ascii="Times New Roman" w:hAnsi="Times New Roman" w:cs="Times New Roman"/>
          <w:color w:val="000000" w:themeColor="text1"/>
          <w:sz w:val="24"/>
          <w:szCs w:val="24"/>
          <w:lang w:val="en-US"/>
        </w:rPr>
        <w:t xml:space="preserve"> </w:t>
      </w:r>
      <w:r w:rsidR="00DA0A29">
        <w:rPr>
          <w:rFonts w:ascii="Times New Roman" w:hAnsi="Times New Roman" w:cs="Times New Roman"/>
          <w:color w:val="000000" w:themeColor="text1"/>
          <w:sz w:val="24"/>
          <w:szCs w:val="24"/>
          <w:lang w:val="en-US"/>
        </w:rPr>
        <w:t xml:space="preserve">yang diukur dengan </w:t>
      </w:r>
      <w:r w:rsidR="00005430">
        <w:rPr>
          <w:rFonts w:ascii="Times New Roman" w:hAnsi="Times New Roman" w:cs="Times New Roman"/>
          <w:i/>
          <w:color w:val="000000" w:themeColor="text1"/>
          <w:sz w:val="24"/>
          <w:szCs w:val="24"/>
          <w:lang w:val="en-US"/>
        </w:rPr>
        <w:t xml:space="preserve">Financial Leverage </w:t>
      </w:r>
      <w:r w:rsidR="00C627F6" w:rsidRPr="00C627F6">
        <w:rPr>
          <w:rFonts w:ascii="Times New Roman" w:hAnsi="Times New Roman" w:cs="Times New Roman"/>
          <w:i/>
          <w:color w:val="000000" w:themeColor="text1"/>
          <w:sz w:val="24"/>
          <w:szCs w:val="24"/>
          <w:lang w:val="en-US"/>
        </w:rPr>
        <w:t xml:space="preserve"> Ratio</w:t>
      </w:r>
      <w:r w:rsidR="00C627F6">
        <w:rPr>
          <w:rFonts w:ascii="Times New Roman" w:hAnsi="Times New Roman" w:cs="Times New Roman"/>
          <w:color w:val="000000" w:themeColor="text1"/>
          <w:sz w:val="24"/>
          <w:szCs w:val="24"/>
          <w:lang w:val="en-US"/>
        </w:rPr>
        <w:t xml:space="preserve"> (CL/TA), serta rasio pertumbuhan yang diukur dengan </w:t>
      </w:r>
      <w:r>
        <w:rPr>
          <w:rFonts w:ascii="Times New Roman" w:hAnsi="Times New Roman" w:cs="Times New Roman"/>
          <w:i/>
          <w:color w:val="000000" w:themeColor="text1"/>
          <w:sz w:val="24"/>
          <w:szCs w:val="24"/>
          <w:lang w:val="en-US"/>
        </w:rPr>
        <w:t>Growth Net Income</w:t>
      </w:r>
      <w:r w:rsidR="00C627F6">
        <w:rPr>
          <w:rFonts w:ascii="Times New Roman" w:hAnsi="Times New Roman" w:cs="Times New Roman"/>
          <w:color w:val="000000" w:themeColor="text1"/>
          <w:sz w:val="24"/>
          <w:szCs w:val="24"/>
          <w:lang w:val="en-US"/>
        </w:rPr>
        <w:t xml:space="preserve"> </w:t>
      </w:r>
      <w:r w:rsidR="00DC5662">
        <w:rPr>
          <w:rFonts w:ascii="Times New Roman" w:hAnsi="Times New Roman" w:cs="Times New Roman"/>
          <w:i/>
          <w:color w:val="000000" w:themeColor="text1"/>
          <w:sz w:val="24"/>
          <w:szCs w:val="24"/>
          <w:lang w:val="en-US"/>
        </w:rPr>
        <w:t>to</w:t>
      </w:r>
      <w:r>
        <w:rPr>
          <w:rFonts w:ascii="Times New Roman" w:hAnsi="Times New Roman" w:cs="Times New Roman"/>
          <w:color w:val="000000" w:themeColor="text1"/>
          <w:sz w:val="24"/>
          <w:szCs w:val="24"/>
          <w:lang w:val="en-US"/>
        </w:rPr>
        <w:t xml:space="preserve"> </w:t>
      </w:r>
      <w:r w:rsidRPr="009E2E7D">
        <w:rPr>
          <w:rFonts w:ascii="Times New Roman" w:hAnsi="Times New Roman" w:cs="Times New Roman"/>
          <w:i/>
          <w:color w:val="000000" w:themeColor="text1"/>
          <w:sz w:val="24"/>
          <w:szCs w:val="24"/>
          <w:lang w:val="en-US"/>
        </w:rPr>
        <w:t>Total Assets</w:t>
      </w:r>
      <w:r>
        <w:rPr>
          <w:rFonts w:ascii="Times New Roman" w:hAnsi="Times New Roman" w:cs="Times New Roman"/>
          <w:color w:val="000000" w:themeColor="text1"/>
          <w:sz w:val="24"/>
          <w:szCs w:val="24"/>
          <w:lang w:val="en-US"/>
        </w:rPr>
        <w:t xml:space="preserve"> </w:t>
      </w:r>
      <w:r w:rsidR="00C627F6">
        <w:rPr>
          <w:rFonts w:ascii="Times New Roman" w:hAnsi="Times New Roman" w:cs="Times New Roman"/>
          <w:color w:val="000000" w:themeColor="text1"/>
          <w:sz w:val="24"/>
          <w:szCs w:val="24"/>
          <w:lang w:val="en-US"/>
        </w:rPr>
        <w:t xml:space="preserve">(GROWTHNI/TA). </w:t>
      </w:r>
    </w:p>
    <w:p w:rsidR="001258B8" w:rsidRPr="00005430" w:rsidRDefault="00C627F6" w:rsidP="002E0741">
      <w:pPr>
        <w:autoSpaceDE w:val="0"/>
        <w:autoSpaceDN w:val="0"/>
        <w:adjustRightInd w:val="0"/>
        <w:ind w:firstLine="720"/>
        <w:rPr>
          <w:rFonts w:ascii="Times New Roman" w:hAnsi="Times New Roman" w:cs="Times New Roman"/>
          <w:color w:val="000000" w:themeColor="text1"/>
          <w:sz w:val="24"/>
          <w:szCs w:val="24"/>
          <w:lang w:val="en-US"/>
        </w:rPr>
      </w:pPr>
      <w:r w:rsidRPr="009060CF">
        <w:rPr>
          <w:rFonts w:ascii="Times New Roman" w:hAnsi="Times New Roman" w:cs="Times New Roman"/>
          <w:color w:val="000000" w:themeColor="text1"/>
          <w:sz w:val="24"/>
          <w:szCs w:val="24"/>
        </w:rPr>
        <w:t xml:space="preserve">Pentingnya prediksi </w:t>
      </w:r>
      <w:r w:rsidRPr="009060CF">
        <w:rPr>
          <w:rFonts w:ascii="Times New Roman" w:hAnsi="Times New Roman" w:cs="Times New Roman"/>
          <w:i/>
          <w:color w:val="000000" w:themeColor="text1"/>
          <w:sz w:val="24"/>
          <w:szCs w:val="24"/>
        </w:rPr>
        <w:t>financial distress</w:t>
      </w:r>
      <w:r w:rsidRPr="009060CF">
        <w:rPr>
          <w:rFonts w:ascii="Times New Roman" w:hAnsi="Times New Roman" w:cs="Times New Roman"/>
          <w:color w:val="000000" w:themeColor="text1"/>
          <w:sz w:val="24"/>
          <w:szCs w:val="24"/>
        </w:rPr>
        <w:t xml:space="preserve"> perusahaan digunakan untuk mengetahui kondisi perusahaan</w:t>
      </w:r>
      <w:r>
        <w:rPr>
          <w:rFonts w:ascii="Times New Roman" w:hAnsi="Times New Roman" w:cs="Times New Roman"/>
          <w:color w:val="000000" w:themeColor="text1"/>
          <w:sz w:val="24"/>
          <w:szCs w:val="24"/>
          <w:lang w:val="en-US"/>
        </w:rPr>
        <w:t xml:space="preserve"> baik saat ini maupun akan </w:t>
      </w:r>
      <w:r w:rsidR="000D6CE3">
        <w:rPr>
          <w:rFonts w:ascii="Times New Roman" w:hAnsi="Times New Roman" w:cs="Times New Roman"/>
          <w:color w:val="000000" w:themeColor="text1"/>
          <w:sz w:val="24"/>
          <w:szCs w:val="24"/>
          <w:lang w:val="en-US"/>
        </w:rPr>
        <w:t>datang</w:t>
      </w:r>
      <w:r w:rsidR="005073B2">
        <w:rPr>
          <w:rFonts w:ascii="Times New Roman" w:hAnsi="Times New Roman" w:cs="Times New Roman"/>
          <w:color w:val="000000" w:themeColor="text1"/>
          <w:sz w:val="24"/>
          <w:szCs w:val="24"/>
          <w:lang w:val="en-US"/>
        </w:rPr>
        <w:t xml:space="preserve">. </w:t>
      </w:r>
      <w:r w:rsidR="005073B2" w:rsidRPr="006A5B5F">
        <w:rPr>
          <w:rFonts w:ascii="Times New Roman" w:hAnsi="Times New Roman" w:cs="Times New Roman"/>
          <w:i/>
          <w:color w:val="000000" w:themeColor="text1"/>
          <w:sz w:val="24"/>
          <w:szCs w:val="24"/>
          <w:lang w:val="en-US"/>
        </w:rPr>
        <w:t>Financial distress</w:t>
      </w:r>
      <w:r w:rsidR="005073B2">
        <w:rPr>
          <w:rFonts w:ascii="Times New Roman" w:hAnsi="Times New Roman" w:cs="Times New Roman"/>
          <w:color w:val="000000" w:themeColor="text1"/>
          <w:sz w:val="24"/>
          <w:szCs w:val="24"/>
          <w:lang w:val="en-US"/>
        </w:rPr>
        <w:t xml:space="preserve"> dapat terjadi pada setiap jenis usaha apapun. Penulis ingin menguji a</w:t>
      </w:r>
      <w:r w:rsidR="005073B2" w:rsidRPr="005073B2">
        <w:rPr>
          <w:rFonts w:ascii="Times New Roman" w:hAnsi="Times New Roman" w:cs="Times New Roman"/>
          <w:color w:val="000000" w:themeColor="text1"/>
          <w:sz w:val="24"/>
          <w:szCs w:val="24"/>
          <w:lang w:val="en-US"/>
        </w:rPr>
        <w:t xml:space="preserve">pakah rasio keuangan dapat dijadikan faktor yang berpengaruh dalam prediksi </w:t>
      </w:r>
      <w:r w:rsidR="005073B2" w:rsidRPr="005073B2">
        <w:rPr>
          <w:rFonts w:ascii="Times New Roman" w:hAnsi="Times New Roman" w:cs="Times New Roman"/>
          <w:i/>
          <w:color w:val="000000" w:themeColor="text1"/>
          <w:sz w:val="24"/>
          <w:szCs w:val="24"/>
          <w:lang w:val="en-US"/>
        </w:rPr>
        <w:t>Financial Distress</w:t>
      </w:r>
      <w:r w:rsidR="005073B2" w:rsidRPr="005073B2">
        <w:rPr>
          <w:rFonts w:ascii="Times New Roman" w:hAnsi="Times New Roman" w:cs="Times New Roman"/>
          <w:color w:val="000000" w:themeColor="text1"/>
          <w:sz w:val="24"/>
          <w:szCs w:val="24"/>
          <w:lang w:val="en-US"/>
        </w:rPr>
        <w:t xml:space="preserve"> pada </w:t>
      </w:r>
      <w:r w:rsidR="005073B2">
        <w:rPr>
          <w:rFonts w:ascii="Times New Roman" w:hAnsi="Times New Roman" w:cs="Times New Roman"/>
          <w:color w:val="000000" w:themeColor="text1"/>
          <w:sz w:val="24"/>
          <w:szCs w:val="24"/>
          <w:lang w:val="en-US"/>
        </w:rPr>
        <w:t xml:space="preserve">perusahaan sektor pertambangan atau tidak. </w:t>
      </w:r>
      <w:r w:rsidR="005073B2" w:rsidRPr="005073B2">
        <w:rPr>
          <w:rFonts w:ascii="Times New Roman" w:hAnsi="Times New Roman" w:cs="Times New Roman"/>
          <w:color w:val="000000" w:themeColor="text1"/>
          <w:sz w:val="24"/>
          <w:szCs w:val="24"/>
          <w:lang w:val="en-US"/>
        </w:rPr>
        <w:t xml:space="preserve"> </w:t>
      </w:r>
      <w:r w:rsidR="005073B2">
        <w:rPr>
          <w:rFonts w:ascii="Times New Roman" w:hAnsi="Times New Roman" w:cs="Times New Roman"/>
          <w:color w:val="000000" w:themeColor="text1"/>
          <w:sz w:val="24"/>
          <w:szCs w:val="24"/>
          <w:lang w:val="en-US"/>
        </w:rPr>
        <w:t xml:space="preserve">Berdasarkan latar belakang </w:t>
      </w:r>
      <w:r w:rsidR="005073B2" w:rsidRPr="005073B2">
        <w:rPr>
          <w:rFonts w:ascii="Times New Roman" w:hAnsi="Times New Roman" w:cs="Times New Roman"/>
          <w:color w:val="000000" w:themeColor="text1"/>
          <w:sz w:val="24"/>
          <w:szCs w:val="24"/>
          <w:lang w:val="en-US"/>
        </w:rPr>
        <w:t>tersebut</w:t>
      </w:r>
      <w:r w:rsidR="005073B2">
        <w:rPr>
          <w:rFonts w:ascii="Times New Roman" w:hAnsi="Times New Roman" w:cs="Times New Roman"/>
          <w:color w:val="000000" w:themeColor="text1"/>
          <w:sz w:val="24"/>
          <w:szCs w:val="24"/>
          <w:lang w:val="en-US"/>
        </w:rPr>
        <w:t>,</w:t>
      </w:r>
      <w:r w:rsidRPr="009060CF">
        <w:rPr>
          <w:rFonts w:ascii="Times New Roman" w:hAnsi="Times New Roman" w:cs="Times New Roman"/>
          <w:color w:val="000000" w:themeColor="text1"/>
          <w:sz w:val="24"/>
          <w:szCs w:val="24"/>
        </w:rPr>
        <w:t xml:space="preserve"> maka penulis tertarik mengambil judul “</w:t>
      </w:r>
      <w:r w:rsidR="003817B7" w:rsidRPr="003817B7">
        <w:rPr>
          <w:rFonts w:ascii="Times New Roman" w:hAnsi="Times New Roman" w:cs="Times New Roman"/>
          <w:b/>
          <w:sz w:val="24"/>
          <w:szCs w:val="24"/>
        </w:rPr>
        <w:t xml:space="preserve">Pengaruh Likuiditas, Profitabilitas, </w:t>
      </w:r>
      <w:r w:rsidR="003817B7" w:rsidRPr="003817B7">
        <w:rPr>
          <w:rFonts w:ascii="Times New Roman" w:hAnsi="Times New Roman" w:cs="Times New Roman"/>
          <w:b/>
          <w:i/>
          <w:sz w:val="24"/>
          <w:szCs w:val="24"/>
        </w:rPr>
        <w:t>Leverage</w:t>
      </w:r>
      <w:r w:rsidR="003817B7" w:rsidRPr="003817B7">
        <w:rPr>
          <w:rFonts w:ascii="Times New Roman" w:hAnsi="Times New Roman" w:cs="Times New Roman"/>
          <w:b/>
          <w:sz w:val="24"/>
          <w:szCs w:val="24"/>
        </w:rPr>
        <w:t xml:space="preserve">, dan Pertumbuhan </w:t>
      </w:r>
      <w:r w:rsidR="00165EA9">
        <w:rPr>
          <w:rFonts w:ascii="Times New Roman" w:hAnsi="Times New Roman" w:cs="Times New Roman"/>
          <w:b/>
          <w:sz w:val="24"/>
          <w:szCs w:val="24"/>
          <w:lang w:val="en-US"/>
        </w:rPr>
        <w:t>terhadap Prediksi</w:t>
      </w:r>
      <w:r w:rsidR="003817B7" w:rsidRPr="003817B7">
        <w:rPr>
          <w:rFonts w:ascii="Times New Roman" w:hAnsi="Times New Roman" w:cs="Times New Roman"/>
          <w:b/>
          <w:sz w:val="24"/>
          <w:szCs w:val="24"/>
        </w:rPr>
        <w:t xml:space="preserve"> Kondisi </w:t>
      </w:r>
      <w:r w:rsidR="003817B7" w:rsidRPr="003817B7">
        <w:rPr>
          <w:rFonts w:ascii="Times New Roman" w:hAnsi="Times New Roman" w:cs="Times New Roman"/>
          <w:b/>
          <w:i/>
          <w:sz w:val="24"/>
          <w:szCs w:val="24"/>
        </w:rPr>
        <w:t>Financial Distress</w:t>
      </w:r>
      <w:r w:rsidR="003817B7" w:rsidRPr="003817B7">
        <w:rPr>
          <w:rFonts w:ascii="Times New Roman" w:hAnsi="Times New Roman" w:cs="Times New Roman"/>
          <w:b/>
          <w:sz w:val="24"/>
          <w:szCs w:val="24"/>
        </w:rPr>
        <w:t xml:space="preserve"> (Suatu Studi Pada Perusahaan Sektor Pertambangan yang Terdaftar di Bursa Efek Indonesia)</w:t>
      </w:r>
      <w:r w:rsidRPr="009060CF">
        <w:rPr>
          <w:rFonts w:ascii="Times New Roman" w:hAnsi="Times New Roman" w:cs="Times New Roman"/>
          <w:color w:val="000000" w:themeColor="text1"/>
          <w:sz w:val="24"/>
          <w:szCs w:val="24"/>
        </w:rPr>
        <w:t>”</w:t>
      </w:r>
      <w:r w:rsidR="00005430">
        <w:rPr>
          <w:rFonts w:ascii="Times New Roman" w:hAnsi="Times New Roman" w:cs="Times New Roman"/>
          <w:color w:val="000000" w:themeColor="text1"/>
          <w:sz w:val="24"/>
          <w:szCs w:val="24"/>
          <w:lang w:val="en-US"/>
        </w:rPr>
        <w:t>.</w:t>
      </w:r>
    </w:p>
    <w:p w:rsidR="001258B8" w:rsidRDefault="001258B8" w:rsidP="001258B8">
      <w:pPr>
        <w:autoSpaceDE w:val="0"/>
        <w:autoSpaceDN w:val="0"/>
        <w:adjustRightInd w:val="0"/>
        <w:rPr>
          <w:rFonts w:ascii="Times New Roman" w:hAnsi="Times New Roman" w:cs="Times New Roman"/>
          <w:color w:val="000000" w:themeColor="text1"/>
          <w:sz w:val="24"/>
          <w:szCs w:val="24"/>
          <w:lang w:val="en-US"/>
        </w:rPr>
      </w:pPr>
    </w:p>
    <w:p w:rsidR="00F0252D" w:rsidRDefault="00F0252D" w:rsidP="001258B8">
      <w:pPr>
        <w:autoSpaceDE w:val="0"/>
        <w:autoSpaceDN w:val="0"/>
        <w:adjustRightInd w:val="0"/>
        <w:rPr>
          <w:rFonts w:ascii="Times New Roman" w:hAnsi="Times New Roman" w:cs="Times New Roman"/>
          <w:color w:val="000000" w:themeColor="text1"/>
          <w:sz w:val="24"/>
          <w:szCs w:val="24"/>
          <w:lang w:val="en-US"/>
        </w:rPr>
      </w:pPr>
    </w:p>
    <w:p w:rsidR="00F0252D" w:rsidRDefault="00F0252D" w:rsidP="001258B8">
      <w:pPr>
        <w:autoSpaceDE w:val="0"/>
        <w:autoSpaceDN w:val="0"/>
        <w:adjustRightInd w:val="0"/>
        <w:rPr>
          <w:rFonts w:ascii="Times New Roman" w:hAnsi="Times New Roman" w:cs="Times New Roman"/>
          <w:color w:val="000000" w:themeColor="text1"/>
          <w:sz w:val="24"/>
          <w:szCs w:val="24"/>
          <w:lang w:val="en-US"/>
        </w:rPr>
      </w:pPr>
    </w:p>
    <w:p w:rsidR="003817B7" w:rsidRDefault="003817B7" w:rsidP="001258B8">
      <w:pPr>
        <w:autoSpaceDE w:val="0"/>
        <w:autoSpaceDN w:val="0"/>
        <w:adjustRightInd w:val="0"/>
        <w:rPr>
          <w:rFonts w:ascii="Times New Roman" w:hAnsi="Times New Roman" w:cs="Times New Roman"/>
          <w:color w:val="000000" w:themeColor="text1"/>
          <w:sz w:val="24"/>
          <w:szCs w:val="24"/>
          <w:lang w:val="en-US"/>
        </w:rPr>
      </w:pPr>
    </w:p>
    <w:p w:rsidR="00266D05" w:rsidRPr="00266D05" w:rsidRDefault="001258B8" w:rsidP="005073B2">
      <w:pPr>
        <w:pStyle w:val="ListParagraph"/>
        <w:numPr>
          <w:ilvl w:val="2"/>
          <w:numId w:val="7"/>
        </w:numPr>
        <w:rPr>
          <w:rFonts w:ascii="Times New Roman" w:hAnsi="Times New Roman" w:cs="Times New Roman"/>
          <w:b/>
          <w:color w:val="000000" w:themeColor="text1"/>
          <w:sz w:val="24"/>
          <w:szCs w:val="24"/>
        </w:rPr>
      </w:pPr>
      <w:r w:rsidRPr="009060CF">
        <w:rPr>
          <w:rFonts w:ascii="Times New Roman" w:hAnsi="Times New Roman" w:cs="Times New Roman"/>
          <w:b/>
          <w:color w:val="000000" w:themeColor="text1"/>
          <w:sz w:val="24"/>
          <w:szCs w:val="24"/>
        </w:rPr>
        <w:lastRenderedPageBreak/>
        <w:t>Rumusan Masalah Penelitian</w:t>
      </w:r>
    </w:p>
    <w:p w:rsidR="00266D05" w:rsidRPr="005073B2" w:rsidRDefault="00266D05" w:rsidP="006F5978">
      <w:pPr>
        <w:rPr>
          <w:rFonts w:ascii="Times New Roman" w:hAnsi="Times New Roman" w:cs="Times New Roman"/>
          <w:color w:val="000000" w:themeColor="text1"/>
          <w:sz w:val="24"/>
          <w:szCs w:val="24"/>
          <w:lang w:val="en-US"/>
        </w:rPr>
      </w:pPr>
      <w:r w:rsidRPr="005073B2">
        <w:rPr>
          <w:rFonts w:ascii="Times New Roman" w:hAnsi="Times New Roman" w:cs="Times New Roman"/>
          <w:color w:val="000000" w:themeColor="text1"/>
          <w:sz w:val="24"/>
          <w:szCs w:val="24"/>
          <w:lang w:val="en-US"/>
        </w:rPr>
        <w:t>Berdasarkan uraian pada latar belakang, maka rumu</w:t>
      </w:r>
      <w:r w:rsidR="005073B2" w:rsidRPr="005073B2">
        <w:rPr>
          <w:rFonts w:ascii="Times New Roman" w:hAnsi="Times New Roman" w:cs="Times New Roman"/>
          <w:color w:val="000000" w:themeColor="text1"/>
          <w:sz w:val="24"/>
          <w:szCs w:val="24"/>
          <w:lang w:val="en-US"/>
        </w:rPr>
        <w:t xml:space="preserve">san masalah yang akan </w:t>
      </w:r>
      <w:r w:rsidRPr="005073B2">
        <w:rPr>
          <w:rFonts w:ascii="Times New Roman" w:hAnsi="Times New Roman" w:cs="Times New Roman"/>
          <w:color w:val="000000" w:themeColor="text1"/>
          <w:sz w:val="24"/>
          <w:szCs w:val="24"/>
          <w:lang w:val="en-US"/>
        </w:rPr>
        <w:t>diangkat dalam penelitian ini adalah sebagai berikut:</w:t>
      </w:r>
    </w:p>
    <w:p w:rsidR="00266D05" w:rsidRDefault="00266D05" w:rsidP="00266D05">
      <w:pPr>
        <w:pStyle w:val="Default"/>
        <w:numPr>
          <w:ilvl w:val="0"/>
          <w:numId w:val="52"/>
        </w:numPr>
        <w:spacing w:line="480" w:lineRule="auto"/>
        <w:jc w:val="both"/>
      </w:pPr>
      <w:r w:rsidRPr="00266D05">
        <w:t xml:space="preserve">Bagaimana </w:t>
      </w:r>
      <w:r>
        <w:t>likuiditas</w:t>
      </w:r>
      <w:r w:rsidRPr="00266D05">
        <w:t xml:space="preserve"> pada perusahaan </w:t>
      </w:r>
      <w:r>
        <w:t xml:space="preserve">sektor </w:t>
      </w:r>
      <w:r w:rsidRPr="00266D05">
        <w:t xml:space="preserve"> pertambangan yang </w:t>
      </w:r>
      <w:r w:rsidRPr="00266D05">
        <w:rPr>
          <w:i/>
          <w:iCs/>
        </w:rPr>
        <w:t xml:space="preserve">listing </w:t>
      </w:r>
      <w:r w:rsidRPr="00266D05">
        <w:t xml:space="preserve">di BEI selama tahun </w:t>
      </w:r>
      <w:r>
        <w:t>2</w:t>
      </w:r>
      <w:r w:rsidR="00405F84">
        <w:t>0</w:t>
      </w:r>
      <w:r w:rsidR="00005430">
        <w:t>09</w:t>
      </w:r>
      <w:r>
        <w:t xml:space="preserve"> - 2013 </w:t>
      </w:r>
    </w:p>
    <w:p w:rsidR="00266D05" w:rsidRDefault="00266D05" w:rsidP="00266D05">
      <w:pPr>
        <w:pStyle w:val="Default"/>
        <w:numPr>
          <w:ilvl w:val="0"/>
          <w:numId w:val="52"/>
        </w:numPr>
        <w:spacing w:line="480" w:lineRule="auto"/>
        <w:jc w:val="both"/>
      </w:pPr>
      <w:r w:rsidRPr="00266D05">
        <w:t xml:space="preserve">Bagaimana </w:t>
      </w:r>
      <w:r>
        <w:t>profitabilitas</w:t>
      </w:r>
      <w:r w:rsidRPr="00266D05">
        <w:t xml:space="preserve"> pada perusahaan </w:t>
      </w:r>
      <w:r>
        <w:t xml:space="preserve">sektor </w:t>
      </w:r>
      <w:r w:rsidRPr="00266D05">
        <w:t xml:space="preserve"> pertambangan yang </w:t>
      </w:r>
      <w:r w:rsidRPr="00266D05">
        <w:rPr>
          <w:i/>
          <w:iCs/>
        </w:rPr>
        <w:t xml:space="preserve">listing </w:t>
      </w:r>
      <w:r w:rsidRPr="00266D05">
        <w:t xml:space="preserve">di BEI selama tahun </w:t>
      </w:r>
      <w:r w:rsidR="00005430">
        <w:t>2009</w:t>
      </w:r>
      <w:r w:rsidR="00405F84">
        <w:t xml:space="preserve"> - 2013</w:t>
      </w:r>
    </w:p>
    <w:p w:rsidR="00405F84" w:rsidRDefault="00266D05" w:rsidP="00266D05">
      <w:pPr>
        <w:pStyle w:val="Default"/>
        <w:numPr>
          <w:ilvl w:val="0"/>
          <w:numId w:val="52"/>
        </w:numPr>
        <w:spacing w:line="480" w:lineRule="auto"/>
        <w:jc w:val="both"/>
      </w:pPr>
      <w:r w:rsidRPr="00266D05">
        <w:t xml:space="preserve">Bagaimana </w:t>
      </w:r>
      <w:r w:rsidRPr="00405F84">
        <w:rPr>
          <w:i/>
        </w:rPr>
        <w:t>leverage</w:t>
      </w:r>
      <w:r w:rsidRPr="00266D05">
        <w:t xml:space="preserve"> pada perusahaan </w:t>
      </w:r>
      <w:r>
        <w:t xml:space="preserve">sektor </w:t>
      </w:r>
      <w:r w:rsidRPr="00266D05">
        <w:t xml:space="preserve"> pertambangan yang </w:t>
      </w:r>
      <w:r w:rsidRPr="00405F84">
        <w:rPr>
          <w:i/>
          <w:iCs/>
        </w:rPr>
        <w:t xml:space="preserve">listing </w:t>
      </w:r>
      <w:r w:rsidRPr="00266D05">
        <w:t xml:space="preserve">di BEI selama tahun </w:t>
      </w:r>
      <w:r w:rsidR="00005430">
        <w:t>2009</w:t>
      </w:r>
      <w:r w:rsidR="00405F84">
        <w:t xml:space="preserve"> - 2013 </w:t>
      </w:r>
    </w:p>
    <w:p w:rsidR="00266D05" w:rsidRDefault="00266D05" w:rsidP="00266D05">
      <w:pPr>
        <w:pStyle w:val="Default"/>
        <w:numPr>
          <w:ilvl w:val="0"/>
          <w:numId w:val="52"/>
        </w:numPr>
        <w:spacing w:line="480" w:lineRule="auto"/>
        <w:jc w:val="both"/>
      </w:pPr>
      <w:r w:rsidRPr="00266D05">
        <w:t xml:space="preserve">Bagaimana </w:t>
      </w:r>
      <w:r>
        <w:t xml:space="preserve">pertumbuhan </w:t>
      </w:r>
      <w:r w:rsidRPr="00266D05">
        <w:t xml:space="preserve">pada perusahaan </w:t>
      </w:r>
      <w:r>
        <w:t xml:space="preserve">sektor </w:t>
      </w:r>
      <w:r w:rsidRPr="00266D05">
        <w:t xml:space="preserve"> pertambangan yang </w:t>
      </w:r>
      <w:r w:rsidRPr="00405F84">
        <w:rPr>
          <w:i/>
          <w:iCs/>
        </w:rPr>
        <w:t xml:space="preserve">listing </w:t>
      </w:r>
      <w:r w:rsidRPr="00266D05">
        <w:t xml:space="preserve">di BEI selama tahun </w:t>
      </w:r>
      <w:r w:rsidR="00005430">
        <w:t>2009</w:t>
      </w:r>
      <w:r w:rsidR="00405F84">
        <w:t xml:space="preserve"> - 2013</w:t>
      </w:r>
    </w:p>
    <w:p w:rsidR="00266D05" w:rsidRDefault="00266D05" w:rsidP="00266D05">
      <w:pPr>
        <w:pStyle w:val="Default"/>
        <w:numPr>
          <w:ilvl w:val="0"/>
          <w:numId w:val="52"/>
        </w:numPr>
        <w:spacing w:line="480" w:lineRule="auto"/>
        <w:jc w:val="both"/>
      </w:pPr>
      <w:r>
        <w:t xml:space="preserve">Bagaimana prediksi kondisi </w:t>
      </w:r>
      <w:r>
        <w:rPr>
          <w:i/>
        </w:rPr>
        <w:t xml:space="preserve">financial distress </w:t>
      </w:r>
      <w:r w:rsidRPr="00266D05">
        <w:t>perusahaan</w:t>
      </w:r>
      <w:r>
        <w:t xml:space="preserve"> sektor </w:t>
      </w:r>
      <w:r w:rsidRPr="00266D05">
        <w:t xml:space="preserve"> pertambangan yang </w:t>
      </w:r>
      <w:r w:rsidRPr="00266D05">
        <w:rPr>
          <w:i/>
          <w:iCs/>
        </w:rPr>
        <w:t xml:space="preserve">listing </w:t>
      </w:r>
      <w:r w:rsidRPr="00266D05">
        <w:t xml:space="preserve">di BEI selama tahun </w:t>
      </w:r>
      <w:r w:rsidR="00005430">
        <w:t>2009</w:t>
      </w:r>
      <w:r w:rsidR="00405F84">
        <w:t xml:space="preserve"> - 2013</w:t>
      </w:r>
    </w:p>
    <w:p w:rsidR="00266D05" w:rsidRDefault="006A5B5F" w:rsidP="00266D05">
      <w:pPr>
        <w:pStyle w:val="Default"/>
        <w:numPr>
          <w:ilvl w:val="0"/>
          <w:numId w:val="52"/>
        </w:numPr>
        <w:spacing w:line="480" w:lineRule="auto"/>
        <w:jc w:val="both"/>
      </w:pPr>
      <w:r>
        <w:t>Seberapa be</w:t>
      </w:r>
      <w:r w:rsidR="00F22795">
        <w:t>sar</w:t>
      </w:r>
      <w:r w:rsidR="00266D05" w:rsidRPr="00266D05">
        <w:t xml:space="preserve"> pengaruh likuiditas, profitabilitas, </w:t>
      </w:r>
      <w:r w:rsidR="00266D05" w:rsidRPr="00266D05">
        <w:rPr>
          <w:i/>
        </w:rPr>
        <w:t>leverage</w:t>
      </w:r>
      <w:r w:rsidR="00266D05" w:rsidRPr="00266D05">
        <w:t xml:space="preserve">, </w:t>
      </w:r>
      <w:r w:rsidR="00E07D32">
        <w:t xml:space="preserve">dan </w:t>
      </w:r>
      <w:r w:rsidR="00266D05" w:rsidRPr="00266D05">
        <w:t>pertumbuhan</w:t>
      </w:r>
      <w:r w:rsidR="00B249A1">
        <w:t xml:space="preserve"> baik</w:t>
      </w:r>
      <w:r w:rsidR="00266D05">
        <w:t xml:space="preserve"> secara parsial </w:t>
      </w:r>
      <w:r w:rsidR="00F22795">
        <w:t xml:space="preserve">maupun simultan </w:t>
      </w:r>
      <w:r w:rsidR="00266D05">
        <w:t xml:space="preserve">terhadap prediksi kondisi </w:t>
      </w:r>
      <w:r w:rsidR="00266D05">
        <w:rPr>
          <w:i/>
        </w:rPr>
        <w:t xml:space="preserve">financial distress </w:t>
      </w:r>
      <w:r w:rsidR="00266D05" w:rsidRPr="00266D05">
        <w:t xml:space="preserve">perusahaan </w:t>
      </w:r>
      <w:r w:rsidR="00266D05">
        <w:t xml:space="preserve">sektor </w:t>
      </w:r>
      <w:r w:rsidR="00266D05" w:rsidRPr="00266D05">
        <w:t xml:space="preserve"> pertambangan yang </w:t>
      </w:r>
      <w:r w:rsidR="00266D05" w:rsidRPr="00266D05">
        <w:rPr>
          <w:i/>
          <w:iCs/>
        </w:rPr>
        <w:t xml:space="preserve">listing </w:t>
      </w:r>
      <w:r w:rsidR="00266D05" w:rsidRPr="00266D05">
        <w:t xml:space="preserve">di BEI selama tahun </w:t>
      </w:r>
      <w:r w:rsidR="00005430">
        <w:t>2009</w:t>
      </w:r>
      <w:r w:rsidR="00405F84">
        <w:t xml:space="preserve"> - 2013</w:t>
      </w:r>
    </w:p>
    <w:p w:rsidR="005073B2" w:rsidRPr="00266D05" w:rsidRDefault="005073B2" w:rsidP="005073B2">
      <w:pPr>
        <w:pStyle w:val="Default"/>
        <w:spacing w:line="480" w:lineRule="auto"/>
        <w:ind w:left="720"/>
        <w:jc w:val="both"/>
      </w:pPr>
    </w:p>
    <w:p w:rsidR="001258B8" w:rsidRPr="00266D05" w:rsidRDefault="001258B8" w:rsidP="005073B2">
      <w:pPr>
        <w:pStyle w:val="ListParagraph"/>
        <w:numPr>
          <w:ilvl w:val="2"/>
          <w:numId w:val="7"/>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Tujuan Penelitian</w:t>
      </w:r>
    </w:p>
    <w:p w:rsidR="00F27662" w:rsidRDefault="00F27662" w:rsidP="006F5978">
      <w:pPr>
        <w:rPr>
          <w:rFonts w:ascii="Times New Roman" w:hAnsi="Times New Roman" w:cs="Times New Roman"/>
          <w:color w:val="000000" w:themeColor="text1"/>
          <w:sz w:val="24"/>
          <w:szCs w:val="24"/>
          <w:lang w:val="en-US"/>
        </w:rPr>
      </w:pPr>
      <w:r w:rsidRPr="005073B2">
        <w:rPr>
          <w:rFonts w:ascii="Times New Roman" w:hAnsi="Times New Roman" w:cs="Times New Roman"/>
          <w:color w:val="000000" w:themeColor="text1"/>
          <w:sz w:val="24"/>
          <w:szCs w:val="24"/>
          <w:lang w:val="en-US"/>
        </w:rPr>
        <w:t xml:space="preserve">Penelitian ini bertujuan untuk mengetahui rasio-rasio keuangan yang berpengaruh terdapat prediksi kondisi </w:t>
      </w:r>
      <w:r w:rsidRPr="003817B7">
        <w:rPr>
          <w:rFonts w:ascii="Times New Roman" w:hAnsi="Times New Roman" w:cs="Times New Roman"/>
          <w:i/>
          <w:color w:val="000000" w:themeColor="text1"/>
          <w:sz w:val="24"/>
          <w:szCs w:val="24"/>
          <w:lang w:val="en-US"/>
        </w:rPr>
        <w:t>fi</w:t>
      </w:r>
      <w:r w:rsidR="003817B7" w:rsidRPr="003817B7">
        <w:rPr>
          <w:rFonts w:ascii="Times New Roman" w:hAnsi="Times New Roman" w:cs="Times New Roman"/>
          <w:i/>
          <w:color w:val="000000" w:themeColor="text1"/>
          <w:sz w:val="24"/>
          <w:szCs w:val="24"/>
          <w:lang w:val="en-US"/>
        </w:rPr>
        <w:t>nancial distress</w:t>
      </w:r>
      <w:r w:rsidR="003817B7">
        <w:rPr>
          <w:rFonts w:ascii="Times New Roman" w:hAnsi="Times New Roman" w:cs="Times New Roman"/>
          <w:color w:val="000000" w:themeColor="text1"/>
          <w:sz w:val="24"/>
          <w:szCs w:val="24"/>
          <w:lang w:val="en-US"/>
        </w:rPr>
        <w:t xml:space="preserve"> perusahaan </w:t>
      </w:r>
      <w:r w:rsidRPr="005073B2">
        <w:rPr>
          <w:rFonts w:ascii="Times New Roman" w:hAnsi="Times New Roman" w:cs="Times New Roman"/>
          <w:color w:val="000000" w:themeColor="text1"/>
          <w:sz w:val="24"/>
          <w:szCs w:val="24"/>
          <w:lang w:val="en-US"/>
        </w:rPr>
        <w:t>sektor pertambangan</w:t>
      </w:r>
      <w:r w:rsidR="00483009">
        <w:rPr>
          <w:rFonts w:ascii="Times New Roman" w:hAnsi="Times New Roman" w:cs="Times New Roman"/>
          <w:color w:val="000000" w:themeColor="text1"/>
          <w:sz w:val="24"/>
          <w:szCs w:val="24"/>
          <w:lang w:val="en-US"/>
        </w:rPr>
        <w:t>.</w:t>
      </w:r>
      <w:r w:rsidRPr="005073B2">
        <w:rPr>
          <w:rFonts w:ascii="Times New Roman" w:hAnsi="Times New Roman" w:cs="Times New Roman"/>
          <w:color w:val="000000" w:themeColor="text1"/>
          <w:sz w:val="24"/>
          <w:szCs w:val="24"/>
          <w:lang w:val="en-US"/>
        </w:rPr>
        <w:t xml:space="preserve"> </w:t>
      </w:r>
    </w:p>
    <w:p w:rsidR="00483009" w:rsidRDefault="00483009" w:rsidP="006F5978">
      <w:pPr>
        <w:rPr>
          <w:rFonts w:ascii="Times New Roman" w:hAnsi="Times New Roman" w:cs="Times New Roman"/>
          <w:color w:val="000000" w:themeColor="text1"/>
          <w:sz w:val="24"/>
          <w:szCs w:val="24"/>
          <w:lang w:val="en-US"/>
        </w:rPr>
      </w:pPr>
    </w:p>
    <w:p w:rsidR="00917926" w:rsidRPr="005073B2" w:rsidRDefault="00917926" w:rsidP="005073B2">
      <w:pPr>
        <w:ind w:firstLine="720"/>
        <w:rPr>
          <w:rFonts w:ascii="Times New Roman" w:hAnsi="Times New Roman" w:cs="Times New Roman"/>
          <w:color w:val="000000" w:themeColor="text1"/>
          <w:sz w:val="24"/>
          <w:szCs w:val="24"/>
          <w:lang w:val="en-US"/>
        </w:rPr>
      </w:pPr>
    </w:p>
    <w:p w:rsidR="00266D05" w:rsidRDefault="00266D05" w:rsidP="005073B2">
      <w:pPr>
        <w:pStyle w:val="ListParagraph"/>
        <w:ind w:left="360" w:firstLine="36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Adapun tujuan </w:t>
      </w:r>
      <w:r w:rsidR="00F27662">
        <w:rPr>
          <w:rFonts w:ascii="Times New Roman" w:hAnsi="Times New Roman" w:cs="Times New Roman"/>
          <w:color w:val="000000" w:themeColor="text1"/>
          <w:sz w:val="24"/>
          <w:szCs w:val="24"/>
          <w:lang w:val="en-US"/>
        </w:rPr>
        <w:t>yang ingin dicapai dalam penelitian ini antara lain :</w:t>
      </w:r>
    </w:p>
    <w:p w:rsidR="00F27662" w:rsidRDefault="00811B3C" w:rsidP="005073B2">
      <w:pPr>
        <w:pStyle w:val="Default"/>
        <w:numPr>
          <w:ilvl w:val="0"/>
          <w:numId w:val="53"/>
        </w:numPr>
        <w:spacing w:line="480" w:lineRule="auto"/>
        <w:ind w:left="1134"/>
        <w:jc w:val="both"/>
      </w:pPr>
      <w:r>
        <w:t xml:space="preserve">Untuk </w:t>
      </w:r>
      <w:r w:rsidR="00581CF4">
        <w:t>mengetahui</w:t>
      </w:r>
      <w:r w:rsidR="00F27662" w:rsidRPr="00266D05">
        <w:t xml:space="preserve"> </w:t>
      </w:r>
      <w:r w:rsidR="00F27662">
        <w:t>likuiditas</w:t>
      </w:r>
      <w:r w:rsidR="00F27662" w:rsidRPr="00266D05">
        <w:t xml:space="preserve"> pada perusahaan </w:t>
      </w:r>
      <w:r w:rsidR="00F27662">
        <w:t xml:space="preserve">sektor </w:t>
      </w:r>
      <w:r w:rsidR="00F27662" w:rsidRPr="00266D05">
        <w:t xml:space="preserve"> pertambangan yang </w:t>
      </w:r>
      <w:r w:rsidR="00F27662" w:rsidRPr="00266D05">
        <w:rPr>
          <w:i/>
          <w:iCs/>
        </w:rPr>
        <w:t xml:space="preserve">listing </w:t>
      </w:r>
      <w:r w:rsidR="00F27662" w:rsidRPr="00266D05">
        <w:t xml:space="preserve">di BEI selama tahun </w:t>
      </w:r>
      <w:r w:rsidR="00005430">
        <w:t>2009</w:t>
      </w:r>
      <w:r w:rsidR="00405F84">
        <w:t xml:space="preserve"> - 2013 </w:t>
      </w:r>
      <w:r w:rsidR="00F27662">
        <w:t xml:space="preserve"> </w:t>
      </w:r>
    </w:p>
    <w:p w:rsidR="00F27662" w:rsidRDefault="00811B3C" w:rsidP="005073B2">
      <w:pPr>
        <w:pStyle w:val="Default"/>
        <w:numPr>
          <w:ilvl w:val="0"/>
          <w:numId w:val="53"/>
        </w:numPr>
        <w:spacing w:line="480" w:lineRule="auto"/>
        <w:ind w:left="1134"/>
        <w:jc w:val="both"/>
      </w:pPr>
      <w:r>
        <w:t xml:space="preserve">Untuk </w:t>
      </w:r>
      <w:r w:rsidR="00581CF4">
        <w:t>mengetahui</w:t>
      </w:r>
      <w:r w:rsidR="00F27662" w:rsidRPr="00266D05">
        <w:t xml:space="preserve"> </w:t>
      </w:r>
      <w:r w:rsidR="00F27662">
        <w:t>profitabilitas</w:t>
      </w:r>
      <w:r w:rsidR="00F27662" w:rsidRPr="00266D05">
        <w:t xml:space="preserve"> pada perusahaan </w:t>
      </w:r>
      <w:r w:rsidR="00F27662">
        <w:t xml:space="preserve">sektor </w:t>
      </w:r>
      <w:r w:rsidR="00F27662" w:rsidRPr="00266D05">
        <w:t xml:space="preserve"> pertambangan yang </w:t>
      </w:r>
      <w:r w:rsidR="00F27662" w:rsidRPr="00266D05">
        <w:rPr>
          <w:i/>
          <w:iCs/>
        </w:rPr>
        <w:t xml:space="preserve">listing </w:t>
      </w:r>
      <w:r w:rsidR="00F27662" w:rsidRPr="00266D05">
        <w:t xml:space="preserve">di BEI selama tahun </w:t>
      </w:r>
      <w:r w:rsidR="00005430">
        <w:t>2009</w:t>
      </w:r>
      <w:r w:rsidR="00405F84">
        <w:t xml:space="preserve"> - 2013</w:t>
      </w:r>
    </w:p>
    <w:p w:rsidR="00F27662" w:rsidRDefault="00811B3C" w:rsidP="005073B2">
      <w:pPr>
        <w:pStyle w:val="Default"/>
        <w:numPr>
          <w:ilvl w:val="0"/>
          <w:numId w:val="53"/>
        </w:numPr>
        <w:spacing w:line="480" w:lineRule="auto"/>
        <w:ind w:left="1134"/>
        <w:jc w:val="both"/>
      </w:pPr>
      <w:r>
        <w:t xml:space="preserve">Untuk </w:t>
      </w:r>
      <w:r w:rsidR="00581CF4">
        <w:t>mengetahui</w:t>
      </w:r>
      <w:r w:rsidR="00F27662" w:rsidRPr="00266D05">
        <w:t xml:space="preserve"> </w:t>
      </w:r>
      <w:r w:rsidR="00F27662">
        <w:rPr>
          <w:i/>
        </w:rPr>
        <w:t>leverage</w:t>
      </w:r>
      <w:r w:rsidR="00F27662" w:rsidRPr="00266D05">
        <w:t xml:space="preserve"> pada perusahaan </w:t>
      </w:r>
      <w:r w:rsidR="00F27662">
        <w:t xml:space="preserve">sektor </w:t>
      </w:r>
      <w:r w:rsidR="00F27662" w:rsidRPr="00266D05">
        <w:t xml:space="preserve"> pertambangan</w:t>
      </w:r>
      <w:r w:rsidR="00F27662">
        <w:t xml:space="preserve"> </w:t>
      </w:r>
      <w:r w:rsidR="00F27662" w:rsidRPr="00266D05">
        <w:t xml:space="preserve">yang </w:t>
      </w:r>
      <w:r w:rsidR="00F27662" w:rsidRPr="00266D05">
        <w:rPr>
          <w:i/>
          <w:iCs/>
        </w:rPr>
        <w:t xml:space="preserve">listing </w:t>
      </w:r>
      <w:r w:rsidR="00F27662" w:rsidRPr="00266D05">
        <w:t xml:space="preserve">di BEI selama tahun </w:t>
      </w:r>
      <w:r w:rsidR="00005430">
        <w:t>2009</w:t>
      </w:r>
      <w:r w:rsidR="00405F84">
        <w:t xml:space="preserve"> - 2013</w:t>
      </w:r>
    </w:p>
    <w:p w:rsidR="00F27662" w:rsidRDefault="00811B3C" w:rsidP="005073B2">
      <w:pPr>
        <w:pStyle w:val="Default"/>
        <w:numPr>
          <w:ilvl w:val="0"/>
          <w:numId w:val="53"/>
        </w:numPr>
        <w:spacing w:line="480" w:lineRule="auto"/>
        <w:ind w:left="1134"/>
        <w:jc w:val="both"/>
      </w:pPr>
      <w:r>
        <w:t xml:space="preserve">Untuk </w:t>
      </w:r>
      <w:r w:rsidR="00581CF4">
        <w:t>mengetahui</w:t>
      </w:r>
      <w:r w:rsidR="00F27662" w:rsidRPr="00266D05">
        <w:t xml:space="preserve"> </w:t>
      </w:r>
      <w:r w:rsidR="00F27662">
        <w:t xml:space="preserve">pertumbuhan </w:t>
      </w:r>
      <w:r w:rsidR="00F27662" w:rsidRPr="00266D05">
        <w:t xml:space="preserve">pada perusahaan </w:t>
      </w:r>
      <w:r w:rsidR="00F27662">
        <w:t xml:space="preserve">sektor </w:t>
      </w:r>
      <w:r w:rsidR="00F27662" w:rsidRPr="00266D05">
        <w:t xml:space="preserve"> pertambangan yang </w:t>
      </w:r>
      <w:r w:rsidR="00F27662" w:rsidRPr="00266D05">
        <w:rPr>
          <w:i/>
          <w:iCs/>
        </w:rPr>
        <w:t xml:space="preserve">listing </w:t>
      </w:r>
      <w:r w:rsidR="00F27662" w:rsidRPr="00266D05">
        <w:t xml:space="preserve">di BEI selama tahun </w:t>
      </w:r>
      <w:r w:rsidR="00005430">
        <w:t>2009</w:t>
      </w:r>
      <w:r w:rsidR="00405F84">
        <w:t xml:space="preserve"> - 2013</w:t>
      </w:r>
    </w:p>
    <w:p w:rsidR="00405F84" w:rsidRDefault="00811B3C" w:rsidP="005073B2">
      <w:pPr>
        <w:pStyle w:val="Default"/>
        <w:numPr>
          <w:ilvl w:val="0"/>
          <w:numId w:val="53"/>
        </w:numPr>
        <w:spacing w:line="480" w:lineRule="auto"/>
        <w:ind w:left="1134"/>
        <w:jc w:val="both"/>
      </w:pPr>
      <w:r>
        <w:t xml:space="preserve">Untuk </w:t>
      </w:r>
      <w:r w:rsidR="00581CF4">
        <w:t>mengetahui</w:t>
      </w:r>
      <w:r w:rsidR="00F27662">
        <w:t xml:space="preserve"> prediksi kondisi </w:t>
      </w:r>
      <w:r w:rsidR="00F27662" w:rsidRPr="00405F84">
        <w:rPr>
          <w:i/>
        </w:rPr>
        <w:t xml:space="preserve">financial distress </w:t>
      </w:r>
      <w:r w:rsidR="00F27662" w:rsidRPr="00266D05">
        <w:t xml:space="preserve">perusahaan </w:t>
      </w:r>
      <w:r w:rsidR="00F27662">
        <w:t xml:space="preserve">sektor </w:t>
      </w:r>
      <w:r w:rsidR="00F27662" w:rsidRPr="00266D05">
        <w:t xml:space="preserve"> pertambangan yang </w:t>
      </w:r>
      <w:r w:rsidR="00F27662" w:rsidRPr="00405F84">
        <w:rPr>
          <w:i/>
          <w:iCs/>
        </w:rPr>
        <w:t xml:space="preserve">listing </w:t>
      </w:r>
      <w:r w:rsidR="00F27662" w:rsidRPr="00266D05">
        <w:t xml:space="preserve">di BEI selama tahun </w:t>
      </w:r>
      <w:r w:rsidR="00005430">
        <w:t>2009</w:t>
      </w:r>
      <w:r w:rsidR="00405F84">
        <w:t xml:space="preserve"> - 2013 </w:t>
      </w:r>
    </w:p>
    <w:p w:rsidR="00CA0B93" w:rsidRDefault="00811B3C" w:rsidP="00D92E3D">
      <w:pPr>
        <w:pStyle w:val="Default"/>
        <w:numPr>
          <w:ilvl w:val="0"/>
          <w:numId w:val="53"/>
        </w:numPr>
        <w:spacing w:line="480" w:lineRule="auto"/>
        <w:ind w:left="1134"/>
        <w:jc w:val="both"/>
      </w:pPr>
      <w:r>
        <w:t xml:space="preserve">Untuk </w:t>
      </w:r>
      <w:r w:rsidR="00581CF4">
        <w:t>mengetahui</w:t>
      </w:r>
      <w:r w:rsidR="00F27662" w:rsidRPr="00266D05">
        <w:t xml:space="preserve"> </w:t>
      </w:r>
      <w:r w:rsidR="003817B7">
        <w:t>besarnya</w:t>
      </w:r>
      <w:r w:rsidR="00CA0B93">
        <w:t xml:space="preserve"> </w:t>
      </w:r>
      <w:r w:rsidR="00F27662" w:rsidRPr="00266D05">
        <w:t xml:space="preserve">pengaruh likuiditas, profitabilitas, </w:t>
      </w:r>
      <w:r w:rsidR="00F27662" w:rsidRPr="00405F84">
        <w:rPr>
          <w:i/>
        </w:rPr>
        <w:t>leverage</w:t>
      </w:r>
      <w:r w:rsidR="00F27662" w:rsidRPr="00266D05">
        <w:t xml:space="preserve">, </w:t>
      </w:r>
      <w:r w:rsidR="00E07D32">
        <w:t xml:space="preserve">dan </w:t>
      </w:r>
      <w:r w:rsidR="00F27662" w:rsidRPr="00266D05">
        <w:t>pertumbuhan</w:t>
      </w:r>
      <w:r w:rsidR="00F27662">
        <w:t xml:space="preserve"> secara parsial </w:t>
      </w:r>
      <w:r w:rsidR="00CA0B93">
        <w:t xml:space="preserve">maupun simultan </w:t>
      </w:r>
      <w:r w:rsidR="00F27662">
        <w:t xml:space="preserve">terhadap prediksi kondisi </w:t>
      </w:r>
      <w:r w:rsidR="00F27662" w:rsidRPr="00405F84">
        <w:rPr>
          <w:i/>
        </w:rPr>
        <w:t xml:space="preserve">financial distress </w:t>
      </w:r>
      <w:r w:rsidR="00F27662" w:rsidRPr="00266D05">
        <w:t xml:space="preserve">perusahaan </w:t>
      </w:r>
      <w:r w:rsidR="00F27662">
        <w:t xml:space="preserve">sektor </w:t>
      </w:r>
      <w:r w:rsidR="00F27662" w:rsidRPr="00266D05">
        <w:t xml:space="preserve"> pertambangan yang </w:t>
      </w:r>
      <w:r w:rsidR="00F27662" w:rsidRPr="00405F84">
        <w:rPr>
          <w:i/>
          <w:iCs/>
        </w:rPr>
        <w:t xml:space="preserve">listing </w:t>
      </w:r>
      <w:r w:rsidR="00F27662" w:rsidRPr="00266D05">
        <w:t xml:space="preserve">di BEI selama tahun </w:t>
      </w:r>
      <w:r w:rsidR="00005430">
        <w:t>2009</w:t>
      </w:r>
      <w:r w:rsidR="00405F84">
        <w:t xml:space="preserve"> – 2013</w:t>
      </w:r>
    </w:p>
    <w:p w:rsidR="00405F84" w:rsidRPr="00FE0CA1" w:rsidRDefault="00405F84" w:rsidP="00405F84">
      <w:pPr>
        <w:pStyle w:val="Default"/>
        <w:spacing w:line="480" w:lineRule="auto"/>
        <w:ind w:left="1134"/>
        <w:jc w:val="both"/>
      </w:pPr>
    </w:p>
    <w:p w:rsidR="001258B8" w:rsidRPr="005073B2" w:rsidRDefault="001258B8" w:rsidP="005073B2">
      <w:pPr>
        <w:pStyle w:val="ListParagraph"/>
        <w:numPr>
          <w:ilvl w:val="1"/>
          <w:numId w:val="7"/>
        </w:numPr>
        <w:ind w:left="709" w:hanging="709"/>
        <w:rPr>
          <w:rFonts w:ascii="Times New Roman" w:hAnsi="Times New Roman" w:cs="Times New Roman"/>
          <w:b/>
          <w:color w:val="000000" w:themeColor="text1"/>
          <w:sz w:val="24"/>
          <w:szCs w:val="24"/>
        </w:rPr>
      </w:pPr>
      <w:r w:rsidRPr="005073B2">
        <w:rPr>
          <w:rFonts w:ascii="Times New Roman" w:hAnsi="Times New Roman" w:cs="Times New Roman"/>
          <w:b/>
          <w:color w:val="000000" w:themeColor="text1"/>
          <w:sz w:val="24"/>
          <w:szCs w:val="24"/>
        </w:rPr>
        <w:t>Kegunaan Penelitian</w:t>
      </w:r>
    </w:p>
    <w:p w:rsidR="00467ADD" w:rsidRPr="00467ADD" w:rsidRDefault="001258B8" w:rsidP="00467ADD">
      <w:pPr>
        <w:pStyle w:val="ListParagraph"/>
        <w:numPr>
          <w:ilvl w:val="2"/>
          <w:numId w:val="7"/>
        </w:numPr>
        <w:rPr>
          <w:rFonts w:ascii="Times New Roman" w:hAnsi="Times New Roman" w:cs="Times New Roman"/>
          <w:b/>
          <w:color w:val="000000" w:themeColor="text1"/>
          <w:sz w:val="24"/>
          <w:szCs w:val="24"/>
          <w:lang w:val="en-US"/>
        </w:rPr>
      </w:pPr>
      <w:r w:rsidRPr="009060CF">
        <w:rPr>
          <w:rFonts w:ascii="Times New Roman" w:hAnsi="Times New Roman" w:cs="Times New Roman"/>
          <w:b/>
          <w:color w:val="000000" w:themeColor="text1"/>
          <w:sz w:val="24"/>
          <w:szCs w:val="24"/>
        </w:rPr>
        <w:t>Kegunaan Teoretis</w:t>
      </w:r>
    </w:p>
    <w:p w:rsidR="00D92E3D" w:rsidRDefault="001258B8" w:rsidP="006F5978">
      <w:pPr>
        <w:rPr>
          <w:rFonts w:ascii="Times New Roman" w:hAnsi="Times New Roman" w:cs="Times New Roman"/>
          <w:color w:val="000000" w:themeColor="text1"/>
          <w:sz w:val="24"/>
          <w:szCs w:val="24"/>
          <w:lang w:val="en-US"/>
        </w:rPr>
      </w:pPr>
      <w:r w:rsidRPr="005073B2">
        <w:rPr>
          <w:rFonts w:ascii="Times New Roman" w:hAnsi="Times New Roman" w:cs="Times New Roman"/>
          <w:color w:val="000000" w:themeColor="text1"/>
          <w:sz w:val="24"/>
          <w:szCs w:val="24"/>
        </w:rPr>
        <w:t>Penelitian ini diharapkan dapat memberikan masukan dan sumbangan berupa referensi ilmiah terhadap ilmu pengetahuan di bidang akuntansi, khususnya bidang akuntansi keuanga</w:t>
      </w:r>
      <w:r w:rsidRPr="005073B2">
        <w:rPr>
          <w:rFonts w:ascii="Times New Roman" w:hAnsi="Times New Roman" w:cs="Times New Roman"/>
          <w:color w:val="000000" w:themeColor="text1"/>
          <w:sz w:val="24"/>
          <w:szCs w:val="24"/>
          <w:lang w:val="en-US"/>
        </w:rPr>
        <w:t>n</w:t>
      </w:r>
      <w:r w:rsidR="00811B3C" w:rsidRPr="005073B2">
        <w:rPr>
          <w:rFonts w:ascii="Times New Roman" w:hAnsi="Times New Roman" w:cs="Times New Roman"/>
          <w:color w:val="000000" w:themeColor="text1"/>
          <w:sz w:val="24"/>
          <w:szCs w:val="24"/>
          <w:lang w:val="en-US"/>
        </w:rPr>
        <w:t xml:space="preserve"> mengenai </w:t>
      </w:r>
      <w:r w:rsidR="00811B3C" w:rsidRPr="005073B2">
        <w:rPr>
          <w:rFonts w:ascii="Times New Roman" w:hAnsi="Times New Roman" w:cs="Times New Roman"/>
          <w:i/>
          <w:color w:val="000000" w:themeColor="text1"/>
          <w:sz w:val="24"/>
          <w:szCs w:val="24"/>
          <w:lang w:val="en-US"/>
        </w:rPr>
        <w:t>financial distress</w:t>
      </w:r>
      <w:r w:rsidR="00811B3C" w:rsidRPr="005073B2">
        <w:rPr>
          <w:rFonts w:ascii="Times New Roman" w:hAnsi="Times New Roman" w:cs="Times New Roman"/>
          <w:color w:val="000000" w:themeColor="text1"/>
          <w:sz w:val="24"/>
          <w:szCs w:val="24"/>
          <w:lang w:val="en-US"/>
        </w:rPr>
        <w:t>.</w:t>
      </w:r>
    </w:p>
    <w:p w:rsidR="003817B7" w:rsidRDefault="003817B7" w:rsidP="006F5978">
      <w:pPr>
        <w:rPr>
          <w:rFonts w:ascii="Times New Roman" w:hAnsi="Times New Roman" w:cs="Times New Roman"/>
          <w:color w:val="000000" w:themeColor="text1"/>
          <w:sz w:val="24"/>
          <w:szCs w:val="24"/>
          <w:lang w:val="en-US"/>
        </w:rPr>
      </w:pPr>
    </w:p>
    <w:p w:rsidR="00483009" w:rsidRPr="005073B2" w:rsidRDefault="00483009" w:rsidP="006F5978">
      <w:pPr>
        <w:rPr>
          <w:rFonts w:ascii="Times New Roman" w:hAnsi="Times New Roman" w:cs="Times New Roman"/>
          <w:color w:val="000000" w:themeColor="text1"/>
          <w:sz w:val="24"/>
          <w:szCs w:val="24"/>
          <w:lang w:val="en-US"/>
        </w:rPr>
      </w:pPr>
    </w:p>
    <w:p w:rsidR="00467ADD" w:rsidRDefault="00467ADD" w:rsidP="00467ADD">
      <w:pPr>
        <w:pStyle w:val="Default"/>
        <w:numPr>
          <w:ilvl w:val="2"/>
          <w:numId w:val="7"/>
        </w:numPr>
        <w:spacing w:line="480" w:lineRule="auto"/>
        <w:rPr>
          <w:b/>
          <w:color w:val="000000" w:themeColor="text1"/>
        </w:rPr>
      </w:pPr>
      <w:r w:rsidRPr="00467ADD">
        <w:rPr>
          <w:b/>
          <w:color w:val="000000" w:themeColor="text1"/>
        </w:rPr>
        <w:lastRenderedPageBreak/>
        <w:t>Kegunaan Praktis/Empiris</w:t>
      </w:r>
    </w:p>
    <w:p w:rsidR="00467ADD" w:rsidRDefault="00467ADD" w:rsidP="006F5978">
      <w:pPr>
        <w:pStyle w:val="Default"/>
        <w:numPr>
          <w:ilvl w:val="0"/>
          <w:numId w:val="55"/>
        </w:numPr>
        <w:spacing w:line="480" w:lineRule="auto"/>
        <w:ind w:left="720"/>
        <w:rPr>
          <w:color w:val="000000" w:themeColor="text1"/>
        </w:rPr>
      </w:pPr>
      <w:r w:rsidRPr="00467ADD">
        <w:rPr>
          <w:color w:val="000000" w:themeColor="text1"/>
        </w:rPr>
        <w:t>Bagi Penulis</w:t>
      </w:r>
    </w:p>
    <w:p w:rsidR="006A5B5F" w:rsidRPr="00917926" w:rsidRDefault="00D92E3D" w:rsidP="006F5978">
      <w:pPr>
        <w:pStyle w:val="Default"/>
        <w:spacing w:line="480" w:lineRule="auto"/>
        <w:ind w:left="720"/>
        <w:jc w:val="both"/>
        <w:rPr>
          <w:i/>
        </w:rPr>
      </w:pPr>
      <w:r w:rsidRPr="00D92E3D">
        <w:rPr>
          <w:color w:val="000000" w:themeColor="text1"/>
        </w:rPr>
        <w:t xml:space="preserve">Penelitian ini diharapkan bermanfaat untuk menambah ilmu pengetahuan dan wawasan mengenai </w:t>
      </w:r>
      <w:r>
        <w:rPr>
          <w:color w:val="000000" w:themeColor="text1"/>
        </w:rPr>
        <w:t xml:space="preserve">likuiditas, profitabilitas, </w:t>
      </w:r>
      <w:r w:rsidRPr="00581CF4">
        <w:rPr>
          <w:i/>
          <w:color w:val="000000" w:themeColor="text1"/>
        </w:rPr>
        <w:t>leverage</w:t>
      </w:r>
      <w:r>
        <w:rPr>
          <w:color w:val="000000" w:themeColor="text1"/>
        </w:rPr>
        <w:t>, dan pertumbuhan serta</w:t>
      </w:r>
      <w:r w:rsidRPr="00D92E3D">
        <w:rPr>
          <w:color w:val="000000" w:themeColor="text1"/>
        </w:rPr>
        <w:t xml:space="preserve"> sebagai sarana bagi peneliti untuk menerapkan dan mengembangkan ilmu pengetahuan yang diperoleh peneliti di bangku kuliah khususnya mengenai </w:t>
      </w:r>
      <w:r w:rsidRPr="00E07D32">
        <w:rPr>
          <w:i/>
        </w:rPr>
        <w:t>financial distress</w:t>
      </w:r>
      <w:r>
        <w:rPr>
          <w:i/>
        </w:rPr>
        <w:t>.</w:t>
      </w:r>
    </w:p>
    <w:p w:rsidR="00467ADD" w:rsidRDefault="00467ADD" w:rsidP="006F5978">
      <w:pPr>
        <w:pStyle w:val="Default"/>
        <w:numPr>
          <w:ilvl w:val="0"/>
          <w:numId w:val="55"/>
        </w:numPr>
        <w:spacing w:line="480" w:lineRule="auto"/>
        <w:ind w:left="720"/>
        <w:jc w:val="both"/>
        <w:rPr>
          <w:color w:val="000000" w:themeColor="text1"/>
        </w:rPr>
      </w:pPr>
      <w:r w:rsidRPr="00467ADD">
        <w:rPr>
          <w:color w:val="000000" w:themeColor="text1"/>
        </w:rPr>
        <w:t xml:space="preserve">Bagi Instansi Terkait </w:t>
      </w:r>
    </w:p>
    <w:p w:rsidR="00FE6A75" w:rsidRDefault="001E70F4" w:rsidP="006F5978">
      <w:pPr>
        <w:pStyle w:val="Default"/>
        <w:spacing w:line="480" w:lineRule="auto"/>
        <w:ind w:left="720"/>
        <w:jc w:val="both"/>
        <w:rPr>
          <w:color w:val="000000" w:themeColor="text1"/>
        </w:rPr>
      </w:pPr>
      <w:r w:rsidRPr="009060CF">
        <w:rPr>
          <w:color w:val="000000" w:themeColor="text1"/>
        </w:rPr>
        <w:t xml:space="preserve">Penelitian ini dapat memberikan </w:t>
      </w:r>
      <w:r>
        <w:rPr>
          <w:color w:val="000000" w:themeColor="text1"/>
        </w:rPr>
        <w:t xml:space="preserve">gambaran tentang kondisi perusahaan, </w:t>
      </w:r>
      <w:r w:rsidR="00417000">
        <w:rPr>
          <w:color w:val="000000" w:themeColor="text1"/>
        </w:rPr>
        <w:t>dan</w:t>
      </w:r>
      <w:r>
        <w:rPr>
          <w:color w:val="000000" w:themeColor="text1"/>
        </w:rPr>
        <w:t xml:space="preserve"> dapat memberikan </w:t>
      </w:r>
      <w:r w:rsidRPr="009060CF">
        <w:rPr>
          <w:color w:val="000000" w:themeColor="text1"/>
        </w:rPr>
        <w:t xml:space="preserve">masukan bagi perusahaan dalam mengelola keuangannya dengan baik </w:t>
      </w:r>
      <w:r w:rsidR="00417000">
        <w:rPr>
          <w:color w:val="000000" w:themeColor="text1"/>
        </w:rPr>
        <w:t>serta</w:t>
      </w:r>
      <w:r w:rsidRPr="009060CF">
        <w:rPr>
          <w:color w:val="000000" w:themeColor="text1"/>
        </w:rPr>
        <w:t xml:space="preserve"> membantu </w:t>
      </w:r>
      <w:r w:rsidR="00417000">
        <w:rPr>
          <w:color w:val="000000" w:themeColor="text1"/>
        </w:rPr>
        <w:t xml:space="preserve">memberikan informasi yang dapat digunakan </w:t>
      </w:r>
      <w:r w:rsidRPr="009060CF">
        <w:rPr>
          <w:color w:val="000000" w:themeColor="text1"/>
        </w:rPr>
        <w:t xml:space="preserve">dalam </w:t>
      </w:r>
      <w:r w:rsidR="00417000">
        <w:rPr>
          <w:color w:val="000000" w:themeColor="text1"/>
        </w:rPr>
        <w:t>pengambilan</w:t>
      </w:r>
      <w:r w:rsidRPr="009060CF">
        <w:rPr>
          <w:color w:val="000000" w:themeColor="text1"/>
        </w:rPr>
        <w:t xml:space="preserve"> keputusan yang tepat pada </w:t>
      </w:r>
      <w:r w:rsidR="00417000">
        <w:rPr>
          <w:color w:val="000000" w:themeColor="text1"/>
        </w:rPr>
        <w:t>setiap situasi keuangan perusahaan.</w:t>
      </w:r>
    </w:p>
    <w:p w:rsidR="00972913" w:rsidRDefault="00972913" w:rsidP="006F5978">
      <w:pPr>
        <w:pStyle w:val="Default"/>
        <w:numPr>
          <w:ilvl w:val="0"/>
          <w:numId w:val="55"/>
        </w:numPr>
        <w:spacing w:line="480" w:lineRule="auto"/>
        <w:ind w:left="720"/>
        <w:jc w:val="both"/>
        <w:rPr>
          <w:color w:val="000000" w:themeColor="text1"/>
        </w:rPr>
      </w:pPr>
      <w:r>
        <w:rPr>
          <w:color w:val="000000" w:themeColor="text1"/>
        </w:rPr>
        <w:t xml:space="preserve">Bagi Peneliti Selanjutnya </w:t>
      </w:r>
    </w:p>
    <w:p w:rsidR="00972913" w:rsidRPr="00537BAA" w:rsidRDefault="00972913" w:rsidP="006F5978">
      <w:pPr>
        <w:pStyle w:val="Default"/>
        <w:spacing w:line="480" w:lineRule="auto"/>
        <w:ind w:left="720"/>
        <w:jc w:val="both"/>
        <w:rPr>
          <w:color w:val="000000" w:themeColor="text1"/>
        </w:rPr>
      </w:pPr>
      <w:r>
        <w:rPr>
          <w:color w:val="000000" w:themeColor="text1"/>
        </w:rPr>
        <w:t>Penelitian ini dapat dijadikan bahan referensi untuk pengembangan penelitian selanjutya</w:t>
      </w:r>
      <w:r w:rsidR="00537BAA">
        <w:rPr>
          <w:color w:val="000000" w:themeColor="text1"/>
        </w:rPr>
        <w:t xml:space="preserve"> dalam bidang kajian prediksi kondisi </w:t>
      </w:r>
      <w:r w:rsidR="00537BAA">
        <w:rPr>
          <w:i/>
          <w:color w:val="000000" w:themeColor="text1"/>
        </w:rPr>
        <w:t xml:space="preserve">financial distress. </w:t>
      </w:r>
    </w:p>
    <w:p w:rsidR="00467ADD" w:rsidRPr="0069158A" w:rsidRDefault="00467ADD" w:rsidP="006F5978">
      <w:pPr>
        <w:pStyle w:val="Default"/>
        <w:numPr>
          <w:ilvl w:val="0"/>
          <w:numId w:val="55"/>
        </w:numPr>
        <w:spacing w:line="480" w:lineRule="auto"/>
        <w:ind w:left="720"/>
        <w:jc w:val="both"/>
        <w:rPr>
          <w:color w:val="000000" w:themeColor="text1"/>
        </w:rPr>
      </w:pPr>
      <w:r w:rsidRPr="00467ADD">
        <w:rPr>
          <w:color w:val="000000" w:themeColor="text1"/>
        </w:rPr>
        <w:t>Bagi Pihak Lain</w:t>
      </w:r>
    </w:p>
    <w:p w:rsidR="00537BAA" w:rsidRPr="00537BAA" w:rsidRDefault="00537BAA" w:rsidP="006F5978">
      <w:pPr>
        <w:pStyle w:val="Default"/>
        <w:numPr>
          <w:ilvl w:val="0"/>
          <w:numId w:val="56"/>
        </w:numPr>
        <w:spacing w:line="480" w:lineRule="auto"/>
        <w:ind w:left="1080"/>
        <w:rPr>
          <w:color w:val="000000" w:themeColor="text1"/>
        </w:rPr>
      </w:pPr>
      <w:r w:rsidRPr="00537BAA">
        <w:rPr>
          <w:color w:val="000000" w:themeColor="text1"/>
        </w:rPr>
        <w:t>Bagi Investor</w:t>
      </w:r>
    </w:p>
    <w:p w:rsidR="00537BAA" w:rsidRPr="00537BAA" w:rsidRDefault="00537BAA" w:rsidP="006F5978">
      <w:pPr>
        <w:pStyle w:val="Default"/>
        <w:spacing w:line="480" w:lineRule="auto"/>
        <w:ind w:left="1080"/>
        <w:jc w:val="both"/>
        <w:rPr>
          <w:color w:val="000000" w:themeColor="text1"/>
        </w:rPr>
      </w:pPr>
      <w:r w:rsidRPr="00537BAA">
        <w:rPr>
          <w:color w:val="000000" w:themeColor="text1"/>
        </w:rPr>
        <w:t xml:space="preserve">Informasi adanya prediksi </w:t>
      </w:r>
      <w:r w:rsidRPr="00537BAA">
        <w:rPr>
          <w:i/>
          <w:color w:val="000000" w:themeColor="text1"/>
        </w:rPr>
        <w:t>financial distress</w:t>
      </w:r>
      <w:r w:rsidRPr="00537BAA">
        <w:rPr>
          <w:color w:val="000000" w:themeColor="text1"/>
        </w:rPr>
        <w:t xml:space="preserve"> </w:t>
      </w:r>
      <w:r>
        <w:rPr>
          <w:color w:val="000000" w:themeColor="text1"/>
        </w:rPr>
        <w:t xml:space="preserve">dapat </w:t>
      </w:r>
      <w:r w:rsidRPr="00537BAA">
        <w:rPr>
          <w:color w:val="000000" w:themeColor="text1"/>
        </w:rPr>
        <w:t xml:space="preserve">memberi </w:t>
      </w:r>
      <w:r>
        <w:rPr>
          <w:color w:val="000000" w:themeColor="text1"/>
        </w:rPr>
        <w:t>informasi yang dapat dijadikan pertimbangan para investor</w:t>
      </w:r>
      <w:r w:rsidRPr="00537BAA">
        <w:rPr>
          <w:color w:val="000000" w:themeColor="text1"/>
        </w:rPr>
        <w:t xml:space="preserve"> dalam menanamkan modal mereka</w:t>
      </w:r>
      <w:r>
        <w:rPr>
          <w:color w:val="000000" w:themeColor="text1"/>
        </w:rPr>
        <w:t xml:space="preserve">. Setelah mereka mengetahui prediksi </w:t>
      </w:r>
      <w:r w:rsidRPr="00537BAA">
        <w:rPr>
          <w:i/>
          <w:color w:val="000000" w:themeColor="text1"/>
        </w:rPr>
        <w:t>financial distress</w:t>
      </w:r>
      <w:r>
        <w:rPr>
          <w:color w:val="000000" w:themeColor="text1"/>
        </w:rPr>
        <w:t xml:space="preserve"> pada saham perusahaan yang mereka tanamkan</w:t>
      </w:r>
      <w:r w:rsidRPr="00537BAA">
        <w:rPr>
          <w:color w:val="000000" w:themeColor="text1"/>
        </w:rPr>
        <w:t xml:space="preserve"> apakah mereka akan </w:t>
      </w:r>
      <w:r w:rsidRPr="00537BAA">
        <w:rPr>
          <w:color w:val="000000" w:themeColor="text1"/>
        </w:rPr>
        <w:lastRenderedPageBreak/>
        <w:t>terus menanamkan modal mereka atau menghentikan atau membatalkan penanaman modal mereka ke perusahaan</w:t>
      </w:r>
      <w:r>
        <w:rPr>
          <w:color w:val="000000" w:themeColor="text1"/>
        </w:rPr>
        <w:t xml:space="preserve">. </w:t>
      </w:r>
    </w:p>
    <w:p w:rsidR="00537BAA" w:rsidRPr="00537BAA" w:rsidRDefault="00537BAA" w:rsidP="006F5978">
      <w:pPr>
        <w:pStyle w:val="Default"/>
        <w:numPr>
          <w:ilvl w:val="0"/>
          <w:numId w:val="56"/>
        </w:numPr>
        <w:spacing w:line="480" w:lineRule="auto"/>
        <w:ind w:left="1080"/>
        <w:jc w:val="both"/>
        <w:rPr>
          <w:color w:val="000000" w:themeColor="text1"/>
        </w:rPr>
      </w:pPr>
      <w:r w:rsidRPr="00537BAA">
        <w:rPr>
          <w:color w:val="000000" w:themeColor="text1"/>
        </w:rPr>
        <w:t>Bagi Kreditur</w:t>
      </w:r>
    </w:p>
    <w:p w:rsidR="00467ADD" w:rsidRDefault="00537BAA" w:rsidP="008B138F">
      <w:pPr>
        <w:pStyle w:val="Default"/>
        <w:spacing w:line="480" w:lineRule="auto"/>
        <w:ind w:left="1080"/>
        <w:jc w:val="both"/>
        <w:rPr>
          <w:color w:val="000000" w:themeColor="text1"/>
        </w:rPr>
      </w:pPr>
      <w:r w:rsidRPr="00537BAA">
        <w:rPr>
          <w:color w:val="000000" w:themeColor="text1"/>
        </w:rPr>
        <w:t xml:space="preserve">Prediksi </w:t>
      </w:r>
      <w:r w:rsidRPr="00537BAA">
        <w:rPr>
          <w:i/>
          <w:color w:val="000000" w:themeColor="text1"/>
        </w:rPr>
        <w:t>financial distress</w:t>
      </w:r>
      <w:r w:rsidRPr="00537BAA">
        <w:rPr>
          <w:color w:val="000000" w:themeColor="text1"/>
        </w:rPr>
        <w:t xml:space="preserve"> dapat digunakan untuk memberikan gambaran secara jelas tentang kelayakan usaha sehingga dapat</w:t>
      </w:r>
      <w:r w:rsidR="008B138F">
        <w:rPr>
          <w:color w:val="000000" w:themeColor="text1"/>
        </w:rPr>
        <w:t xml:space="preserve"> </w:t>
      </w:r>
      <w:r w:rsidRPr="00537BAA">
        <w:rPr>
          <w:color w:val="000000" w:themeColor="text1"/>
        </w:rPr>
        <w:t>mempermudah untuk menganalisa dalam pemberi</w:t>
      </w:r>
      <w:r w:rsidR="008B138F">
        <w:rPr>
          <w:color w:val="000000" w:themeColor="text1"/>
        </w:rPr>
        <w:t xml:space="preserve">an modal (pinjaman) </w:t>
      </w:r>
      <w:r w:rsidR="00442FC3">
        <w:rPr>
          <w:color w:val="000000" w:themeColor="text1"/>
        </w:rPr>
        <w:t xml:space="preserve">kepada perusahaan yang mengajukan kredit. </w:t>
      </w:r>
    </w:p>
    <w:p w:rsidR="00CF1887" w:rsidRDefault="00FE0CA1" w:rsidP="008B138F">
      <w:pPr>
        <w:pStyle w:val="Default"/>
        <w:numPr>
          <w:ilvl w:val="0"/>
          <w:numId w:val="56"/>
        </w:numPr>
        <w:spacing w:line="480" w:lineRule="auto"/>
        <w:ind w:left="1080"/>
        <w:jc w:val="both"/>
        <w:rPr>
          <w:color w:val="000000" w:themeColor="text1"/>
        </w:rPr>
      </w:pPr>
      <w:r>
        <w:rPr>
          <w:color w:val="000000" w:themeColor="text1"/>
        </w:rPr>
        <w:t>Bagi Auditor</w:t>
      </w:r>
    </w:p>
    <w:p w:rsidR="00537BAA" w:rsidRDefault="00FE0CA1" w:rsidP="008B138F">
      <w:pPr>
        <w:pStyle w:val="Default"/>
        <w:spacing w:line="480" w:lineRule="auto"/>
        <w:ind w:left="1080"/>
        <w:jc w:val="both"/>
        <w:rPr>
          <w:color w:val="000000" w:themeColor="text1"/>
        </w:rPr>
      </w:pPr>
      <w:r w:rsidRPr="00537BAA">
        <w:rPr>
          <w:color w:val="000000" w:themeColor="text1"/>
        </w:rPr>
        <w:t xml:space="preserve">Prediksi </w:t>
      </w:r>
      <w:r w:rsidRPr="00537BAA">
        <w:rPr>
          <w:i/>
          <w:color w:val="000000" w:themeColor="text1"/>
        </w:rPr>
        <w:t>financial distress</w:t>
      </w:r>
      <w:r w:rsidRPr="00537BAA">
        <w:rPr>
          <w:color w:val="000000" w:themeColor="text1"/>
        </w:rPr>
        <w:t xml:space="preserve"> dapat digunakan</w:t>
      </w:r>
      <w:r w:rsidR="008B138F">
        <w:rPr>
          <w:color w:val="000000" w:themeColor="text1"/>
        </w:rPr>
        <w:t xml:space="preserve"> oleh auditor dalam </w:t>
      </w:r>
      <w:r>
        <w:rPr>
          <w:color w:val="000000" w:themeColor="text1"/>
        </w:rPr>
        <w:t xml:space="preserve">penilaian </w:t>
      </w:r>
      <w:r w:rsidRPr="00FE0CA1">
        <w:rPr>
          <w:i/>
          <w:color w:val="000000" w:themeColor="text1"/>
        </w:rPr>
        <w:t>going concern</w:t>
      </w:r>
      <w:r>
        <w:rPr>
          <w:color w:val="000000" w:themeColor="text1"/>
        </w:rPr>
        <w:t xml:space="preserve"> suatu perusahaan yang mereka audit. </w:t>
      </w:r>
    </w:p>
    <w:p w:rsidR="008B138F" w:rsidRDefault="008B138F">
      <w:pPr>
        <w:pStyle w:val="Default"/>
        <w:spacing w:line="480" w:lineRule="auto"/>
        <w:ind w:left="1080"/>
        <w:jc w:val="both"/>
        <w:rPr>
          <w:color w:val="000000" w:themeColor="text1"/>
        </w:rPr>
      </w:pPr>
    </w:p>
    <w:sectPr w:rsidR="008B138F" w:rsidSect="003F1F19">
      <w:headerReference w:type="default" r:id="rId8"/>
      <w:footerReference w:type="first" r:id="rId9"/>
      <w:pgSz w:w="11906" w:h="16838" w:code="9"/>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918" w:rsidRDefault="00D20918" w:rsidP="00BF39F6">
      <w:pPr>
        <w:spacing w:line="240" w:lineRule="auto"/>
      </w:pPr>
      <w:r>
        <w:separator/>
      </w:r>
    </w:p>
  </w:endnote>
  <w:endnote w:type="continuationSeparator" w:id="1">
    <w:p w:rsidR="00D20918" w:rsidRDefault="00D20918" w:rsidP="00BF39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260"/>
      <w:docPartObj>
        <w:docPartGallery w:val="Page Numbers (Bottom of Page)"/>
        <w:docPartUnique/>
      </w:docPartObj>
    </w:sdtPr>
    <w:sdtEndPr>
      <w:rPr>
        <w:rFonts w:ascii="Times New Roman" w:hAnsi="Times New Roman" w:cs="Times New Roman"/>
      </w:rPr>
    </w:sdtEndPr>
    <w:sdtContent>
      <w:p w:rsidR="00F0252D" w:rsidRPr="003F1F19" w:rsidRDefault="00495965">
        <w:pPr>
          <w:pStyle w:val="Footer"/>
          <w:jc w:val="center"/>
          <w:rPr>
            <w:rFonts w:ascii="Times New Roman" w:hAnsi="Times New Roman" w:cs="Times New Roman"/>
          </w:rPr>
        </w:pPr>
        <w:r w:rsidRPr="003F1F19">
          <w:rPr>
            <w:rFonts w:ascii="Times New Roman" w:hAnsi="Times New Roman" w:cs="Times New Roman"/>
          </w:rPr>
          <w:fldChar w:fldCharType="begin"/>
        </w:r>
        <w:r w:rsidR="00F0252D" w:rsidRPr="003F1F19">
          <w:rPr>
            <w:rFonts w:ascii="Times New Roman" w:hAnsi="Times New Roman" w:cs="Times New Roman"/>
          </w:rPr>
          <w:instrText xml:space="preserve"> PAGE   \* MERGEFORMAT </w:instrText>
        </w:r>
        <w:r w:rsidRPr="003F1F19">
          <w:rPr>
            <w:rFonts w:ascii="Times New Roman" w:hAnsi="Times New Roman" w:cs="Times New Roman"/>
          </w:rPr>
          <w:fldChar w:fldCharType="separate"/>
        </w:r>
        <w:r w:rsidR="00581CF4">
          <w:rPr>
            <w:rFonts w:ascii="Times New Roman" w:hAnsi="Times New Roman" w:cs="Times New Roman"/>
            <w:noProof/>
          </w:rPr>
          <w:t>1</w:t>
        </w:r>
        <w:r w:rsidRPr="003F1F19">
          <w:rPr>
            <w:rFonts w:ascii="Times New Roman" w:hAnsi="Times New Roman" w:cs="Times New Roman"/>
          </w:rPr>
          <w:fldChar w:fldCharType="end"/>
        </w:r>
      </w:p>
    </w:sdtContent>
  </w:sdt>
  <w:p w:rsidR="00F0252D" w:rsidRDefault="00F025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918" w:rsidRDefault="00D20918" w:rsidP="00BF39F6">
      <w:pPr>
        <w:spacing w:line="240" w:lineRule="auto"/>
      </w:pPr>
      <w:r>
        <w:separator/>
      </w:r>
    </w:p>
  </w:footnote>
  <w:footnote w:type="continuationSeparator" w:id="1">
    <w:p w:rsidR="00D20918" w:rsidRDefault="00D20918" w:rsidP="00BF39F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259"/>
      <w:docPartObj>
        <w:docPartGallery w:val="Page Numbers (Top of Page)"/>
        <w:docPartUnique/>
      </w:docPartObj>
    </w:sdtPr>
    <w:sdtEndPr>
      <w:rPr>
        <w:rFonts w:ascii="Times New Roman" w:hAnsi="Times New Roman" w:cs="Times New Roman"/>
      </w:rPr>
    </w:sdtEndPr>
    <w:sdtContent>
      <w:p w:rsidR="00F0252D" w:rsidRPr="003F1F19" w:rsidRDefault="00495965">
        <w:pPr>
          <w:pStyle w:val="Header"/>
          <w:jc w:val="right"/>
          <w:rPr>
            <w:rFonts w:ascii="Times New Roman" w:hAnsi="Times New Roman" w:cs="Times New Roman"/>
          </w:rPr>
        </w:pPr>
        <w:r w:rsidRPr="003F1F19">
          <w:rPr>
            <w:rFonts w:ascii="Times New Roman" w:hAnsi="Times New Roman" w:cs="Times New Roman"/>
          </w:rPr>
          <w:fldChar w:fldCharType="begin"/>
        </w:r>
        <w:r w:rsidR="00F0252D" w:rsidRPr="003F1F19">
          <w:rPr>
            <w:rFonts w:ascii="Times New Roman" w:hAnsi="Times New Roman" w:cs="Times New Roman"/>
          </w:rPr>
          <w:instrText xml:space="preserve"> PAGE   \* MERGEFORMAT </w:instrText>
        </w:r>
        <w:r w:rsidRPr="003F1F19">
          <w:rPr>
            <w:rFonts w:ascii="Times New Roman" w:hAnsi="Times New Roman" w:cs="Times New Roman"/>
          </w:rPr>
          <w:fldChar w:fldCharType="separate"/>
        </w:r>
        <w:r w:rsidR="00581CF4">
          <w:rPr>
            <w:rFonts w:ascii="Times New Roman" w:hAnsi="Times New Roman" w:cs="Times New Roman"/>
            <w:noProof/>
          </w:rPr>
          <w:t>12</w:t>
        </w:r>
        <w:r w:rsidRPr="003F1F19">
          <w:rPr>
            <w:rFonts w:ascii="Times New Roman" w:hAnsi="Times New Roman" w:cs="Times New Roman"/>
          </w:rPr>
          <w:fldChar w:fldCharType="end"/>
        </w:r>
      </w:p>
    </w:sdtContent>
  </w:sdt>
  <w:p w:rsidR="00F0252D" w:rsidRDefault="00F02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E76"/>
    <w:multiLevelType w:val="multilevel"/>
    <w:tmpl w:val="F1B0AE1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713DF"/>
    <w:multiLevelType w:val="hybridMultilevel"/>
    <w:tmpl w:val="A43C3224"/>
    <w:lvl w:ilvl="0" w:tplc="07FA4E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2E65"/>
    <w:multiLevelType w:val="hybridMultilevel"/>
    <w:tmpl w:val="4AD8D60E"/>
    <w:lvl w:ilvl="0" w:tplc="FBF81510">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3">
    <w:nsid w:val="06620586"/>
    <w:multiLevelType w:val="hybridMultilevel"/>
    <w:tmpl w:val="F10C11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E37D9D"/>
    <w:multiLevelType w:val="hybridMultilevel"/>
    <w:tmpl w:val="7EC247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811A5B"/>
    <w:multiLevelType w:val="multilevel"/>
    <w:tmpl w:val="A5DA28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221E77"/>
    <w:multiLevelType w:val="hybridMultilevel"/>
    <w:tmpl w:val="DA64EA1A"/>
    <w:lvl w:ilvl="0" w:tplc="48CC47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0045FF"/>
    <w:multiLevelType w:val="hybridMultilevel"/>
    <w:tmpl w:val="48AC5186"/>
    <w:lvl w:ilvl="0" w:tplc="0421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814598"/>
    <w:multiLevelType w:val="hybridMultilevel"/>
    <w:tmpl w:val="9D2C14A2"/>
    <w:lvl w:ilvl="0" w:tplc="087A956E">
      <w:start w:val="3"/>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89F4082"/>
    <w:multiLevelType w:val="multilevel"/>
    <w:tmpl w:val="0C86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C02A7B"/>
    <w:multiLevelType w:val="hybridMultilevel"/>
    <w:tmpl w:val="8B523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613A11"/>
    <w:multiLevelType w:val="hybridMultilevel"/>
    <w:tmpl w:val="F6ACAB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D636AF"/>
    <w:multiLevelType w:val="hybridMultilevel"/>
    <w:tmpl w:val="100AA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01291D"/>
    <w:multiLevelType w:val="hybridMultilevel"/>
    <w:tmpl w:val="D228CD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D37E67"/>
    <w:multiLevelType w:val="hybridMultilevel"/>
    <w:tmpl w:val="FDEE1B10"/>
    <w:lvl w:ilvl="0" w:tplc="76BA4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D9448A"/>
    <w:multiLevelType w:val="hybridMultilevel"/>
    <w:tmpl w:val="AD24CD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D46468"/>
    <w:multiLevelType w:val="multilevel"/>
    <w:tmpl w:val="8E746F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4539A2"/>
    <w:multiLevelType w:val="multilevel"/>
    <w:tmpl w:val="570CECFA"/>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6D6757"/>
    <w:multiLevelType w:val="multilevel"/>
    <w:tmpl w:val="693EF464"/>
    <w:lvl w:ilvl="0">
      <w:start w:val="3"/>
      <w:numFmt w:val="decimal"/>
      <w:lvlText w:val="%1.1.1"/>
      <w:lvlJc w:val="left"/>
      <w:pPr>
        <w:tabs>
          <w:tab w:val="num" w:pos="360"/>
        </w:tabs>
        <w:ind w:left="360" w:hanging="360"/>
      </w:pPr>
      <w:rPr>
        <w:rFonts w:hint="default"/>
        <w:b/>
        <w:bCs/>
        <w:i w:val="0"/>
        <w:iCs w:val="0"/>
      </w:rPr>
    </w:lvl>
    <w:lvl w:ilvl="1">
      <w:start w:val="2"/>
      <w:numFmt w:val="decimal"/>
      <w:lvlText w:val="%1.%2."/>
      <w:lvlJc w:val="left"/>
      <w:pPr>
        <w:tabs>
          <w:tab w:val="num" w:pos="792"/>
        </w:tabs>
        <w:ind w:left="792" w:hanging="432"/>
      </w:pPr>
      <w:rPr>
        <w:rFonts w:hint="default"/>
      </w:rPr>
    </w:lvl>
    <w:lvl w:ilvl="2">
      <w:start w:val="2"/>
      <w:numFmt w:val="decimal"/>
      <w:lvlText w:val="%2%1..%3."/>
      <w:lvlJc w:val="left"/>
      <w:pPr>
        <w:tabs>
          <w:tab w:val="num" w:pos="1440"/>
        </w:tabs>
        <w:ind w:left="1224" w:hanging="504"/>
      </w:pPr>
      <w:rPr>
        <w:rFonts w:hint="default"/>
      </w:rPr>
    </w:lvl>
    <w:lvl w:ilvl="3">
      <w:start w:val="2"/>
      <w:numFmt w:val="decimal"/>
      <w:lvlText w:val="%3%2%1...%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DBC437E"/>
    <w:multiLevelType w:val="hybridMultilevel"/>
    <w:tmpl w:val="74484B80"/>
    <w:lvl w:ilvl="0" w:tplc="0421000F">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1D512B"/>
    <w:multiLevelType w:val="hybridMultilevel"/>
    <w:tmpl w:val="D6D443FA"/>
    <w:lvl w:ilvl="0" w:tplc="6A88598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04C1AA0"/>
    <w:multiLevelType w:val="hybridMultilevel"/>
    <w:tmpl w:val="3ACE68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C542D"/>
    <w:multiLevelType w:val="hybridMultilevel"/>
    <w:tmpl w:val="A8D232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EBD083E"/>
    <w:multiLevelType w:val="multilevel"/>
    <w:tmpl w:val="4C2217C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09664A"/>
    <w:multiLevelType w:val="multilevel"/>
    <w:tmpl w:val="D792BE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0136496"/>
    <w:multiLevelType w:val="hybridMultilevel"/>
    <w:tmpl w:val="E00230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0E560D8"/>
    <w:multiLevelType w:val="multilevel"/>
    <w:tmpl w:val="5EEE2608"/>
    <w:lvl w:ilvl="0">
      <w:start w:val="3"/>
      <w:numFmt w:val="decimal"/>
      <w:lvlText w:val="%1.1.2"/>
      <w:lvlJc w:val="left"/>
      <w:pPr>
        <w:tabs>
          <w:tab w:val="num" w:pos="360"/>
        </w:tabs>
        <w:ind w:left="360" w:hanging="360"/>
      </w:pPr>
      <w:rPr>
        <w:rFonts w:hint="default"/>
        <w:b/>
        <w:bCs/>
        <w:i w:val="0"/>
        <w:iCs w:val="0"/>
      </w:rPr>
    </w:lvl>
    <w:lvl w:ilvl="1">
      <w:start w:val="2"/>
      <w:numFmt w:val="decimal"/>
      <w:lvlText w:val="%1.%2."/>
      <w:lvlJc w:val="left"/>
      <w:pPr>
        <w:tabs>
          <w:tab w:val="num" w:pos="792"/>
        </w:tabs>
        <w:ind w:left="792" w:hanging="432"/>
      </w:pPr>
      <w:rPr>
        <w:rFonts w:hint="default"/>
      </w:rPr>
    </w:lvl>
    <w:lvl w:ilvl="2">
      <w:start w:val="2"/>
      <w:numFmt w:val="decimal"/>
      <w:lvlText w:val="%2%1..%3."/>
      <w:lvlJc w:val="left"/>
      <w:pPr>
        <w:tabs>
          <w:tab w:val="num" w:pos="1440"/>
        </w:tabs>
        <w:ind w:left="1224" w:hanging="504"/>
      </w:pPr>
      <w:rPr>
        <w:rFonts w:hint="default"/>
      </w:rPr>
    </w:lvl>
    <w:lvl w:ilvl="3">
      <w:start w:val="2"/>
      <w:numFmt w:val="decimal"/>
      <w:lvlText w:val="%3%2%1...%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13D102A"/>
    <w:multiLevelType w:val="hybridMultilevel"/>
    <w:tmpl w:val="88B2B620"/>
    <w:lvl w:ilvl="0" w:tplc="0421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4564DA0"/>
    <w:multiLevelType w:val="hybridMultilevel"/>
    <w:tmpl w:val="8BEC6CBC"/>
    <w:lvl w:ilvl="0" w:tplc="F9A4BB56">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4744B3D"/>
    <w:multiLevelType w:val="hybridMultilevel"/>
    <w:tmpl w:val="B30C82B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7CE6754"/>
    <w:multiLevelType w:val="hybridMultilevel"/>
    <w:tmpl w:val="667AB14C"/>
    <w:lvl w:ilvl="0" w:tplc="51C2EF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DF1A73"/>
    <w:multiLevelType w:val="hybridMultilevel"/>
    <w:tmpl w:val="8BACD00A"/>
    <w:lvl w:ilvl="0" w:tplc="BCBE72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5D1898"/>
    <w:multiLevelType w:val="hybridMultilevel"/>
    <w:tmpl w:val="C8F4DE5C"/>
    <w:lvl w:ilvl="0" w:tplc="B1BE3C3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ED933D3"/>
    <w:multiLevelType w:val="multilevel"/>
    <w:tmpl w:val="E1F62D24"/>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FDB5986"/>
    <w:multiLevelType w:val="hybridMultilevel"/>
    <w:tmpl w:val="51ACC068"/>
    <w:lvl w:ilvl="0" w:tplc="48CC47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F429B0"/>
    <w:multiLevelType w:val="hybridMultilevel"/>
    <w:tmpl w:val="9372246C"/>
    <w:lvl w:ilvl="0" w:tplc="3C54D0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EE376EB"/>
    <w:multiLevelType w:val="multilevel"/>
    <w:tmpl w:val="F0A0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EF1B2C"/>
    <w:multiLevelType w:val="multilevel"/>
    <w:tmpl w:val="51B60B7E"/>
    <w:lvl w:ilvl="0">
      <w:start w:val="2"/>
      <w:numFmt w:val="decimal"/>
      <w:lvlText w:val="%1."/>
      <w:lvlJc w:val="left"/>
      <w:pPr>
        <w:tabs>
          <w:tab w:val="decimal"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1A0591"/>
    <w:multiLevelType w:val="multilevel"/>
    <w:tmpl w:val="980CA2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474AD2"/>
    <w:multiLevelType w:val="multilevel"/>
    <w:tmpl w:val="614E747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8CE76DA"/>
    <w:multiLevelType w:val="hybridMultilevel"/>
    <w:tmpl w:val="89EEFB62"/>
    <w:lvl w:ilvl="0" w:tplc="6F1AC7F4">
      <w:start w:val="2"/>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1">
    <w:nsid w:val="6A3C5736"/>
    <w:multiLevelType w:val="hybridMultilevel"/>
    <w:tmpl w:val="B25CE804"/>
    <w:lvl w:ilvl="0" w:tplc="2E9EDCC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C8E5CDB"/>
    <w:multiLevelType w:val="hybridMultilevel"/>
    <w:tmpl w:val="EB5CB3B0"/>
    <w:lvl w:ilvl="0" w:tplc="D9542C4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A802D9"/>
    <w:multiLevelType w:val="multilevel"/>
    <w:tmpl w:val="BA2846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AD43B2"/>
    <w:multiLevelType w:val="hybridMultilevel"/>
    <w:tmpl w:val="783E5E14"/>
    <w:lvl w:ilvl="0" w:tplc="A9E093E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5">
    <w:nsid w:val="6EB27D81"/>
    <w:multiLevelType w:val="hybridMultilevel"/>
    <w:tmpl w:val="6004D1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ECC46B5"/>
    <w:multiLevelType w:val="hybridMultilevel"/>
    <w:tmpl w:val="5318175C"/>
    <w:lvl w:ilvl="0" w:tplc="ACF480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C94DB0"/>
    <w:multiLevelType w:val="hybridMultilevel"/>
    <w:tmpl w:val="FD8A1F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04848F3"/>
    <w:multiLevelType w:val="hybridMultilevel"/>
    <w:tmpl w:val="8B5843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709D09F0"/>
    <w:multiLevelType w:val="multilevel"/>
    <w:tmpl w:val="66E8566A"/>
    <w:lvl w:ilvl="0">
      <w:start w:val="1"/>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0">
    <w:nsid w:val="719E1AE9"/>
    <w:multiLevelType w:val="multilevel"/>
    <w:tmpl w:val="75325E2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C7493B"/>
    <w:multiLevelType w:val="multilevel"/>
    <w:tmpl w:val="3F145198"/>
    <w:lvl w:ilvl="0">
      <w:start w:val="1"/>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1B5CF0"/>
    <w:multiLevelType w:val="hybridMultilevel"/>
    <w:tmpl w:val="EF145EF0"/>
    <w:lvl w:ilvl="0" w:tplc="6822541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3">
    <w:nsid w:val="766262A3"/>
    <w:multiLevelType w:val="hybridMultilevel"/>
    <w:tmpl w:val="43EE590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7217766"/>
    <w:multiLevelType w:val="hybridMultilevel"/>
    <w:tmpl w:val="2FEE442E"/>
    <w:lvl w:ilvl="0" w:tplc="0421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78C7DB2"/>
    <w:multiLevelType w:val="hybridMultilevel"/>
    <w:tmpl w:val="57443C28"/>
    <w:lvl w:ilvl="0" w:tplc="28209E16">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78B3393F"/>
    <w:multiLevelType w:val="hybridMultilevel"/>
    <w:tmpl w:val="5B68FFE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4"/>
  </w:num>
  <w:num w:numId="3">
    <w:abstractNumId w:val="29"/>
  </w:num>
  <w:num w:numId="4">
    <w:abstractNumId w:val="32"/>
  </w:num>
  <w:num w:numId="5">
    <w:abstractNumId w:val="0"/>
  </w:num>
  <w:num w:numId="6">
    <w:abstractNumId w:val="49"/>
  </w:num>
  <w:num w:numId="7">
    <w:abstractNumId w:val="50"/>
  </w:num>
  <w:num w:numId="8">
    <w:abstractNumId w:val="2"/>
  </w:num>
  <w:num w:numId="9">
    <w:abstractNumId w:val="44"/>
  </w:num>
  <w:num w:numId="10">
    <w:abstractNumId w:val="3"/>
  </w:num>
  <w:num w:numId="11">
    <w:abstractNumId w:val="10"/>
  </w:num>
  <w:num w:numId="12">
    <w:abstractNumId w:val="55"/>
  </w:num>
  <w:num w:numId="13">
    <w:abstractNumId w:val="20"/>
  </w:num>
  <w:num w:numId="14">
    <w:abstractNumId w:val="54"/>
  </w:num>
  <w:num w:numId="15">
    <w:abstractNumId w:val="45"/>
  </w:num>
  <w:num w:numId="16">
    <w:abstractNumId w:val="19"/>
  </w:num>
  <w:num w:numId="17">
    <w:abstractNumId w:val="40"/>
  </w:num>
  <w:num w:numId="18">
    <w:abstractNumId w:val="28"/>
  </w:num>
  <w:num w:numId="19">
    <w:abstractNumId w:val="53"/>
  </w:num>
  <w:num w:numId="20">
    <w:abstractNumId w:val="13"/>
  </w:num>
  <w:num w:numId="21">
    <w:abstractNumId w:val="38"/>
  </w:num>
  <w:num w:numId="22">
    <w:abstractNumId w:val="8"/>
  </w:num>
  <w:num w:numId="23">
    <w:abstractNumId w:val="25"/>
  </w:num>
  <w:num w:numId="24">
    <w:abstractNumId w:val="21"/>
  </w:num>
  <w:num w:numId="25">
    <w:abstractNumId w:val="18"/>
  </w:num>
  <w:num w:numId="26">
    <w:abstractNumId w:val="26"/>
  </w:num>
  <w:num w:numId="27">
    <w:abstractNumId w:val="16"/>
  </w:num>
  <w:num w:numId="28">
    <w:abstractNumId w:val="41"/>
  </w:num>
  <w:num w:numId="29">
    <w:abstractNumId w:val="12"/>
  </w:num>
  <w:num w:numId="30">
    <w:abstractNumId w:val="11"/>
  </w:num>
  <w:num w:numId="31">
    <w:abstractNumId w:val="22"/>
  </w:num>
  <w:num w:numId="32">
    <w:abstractNumId w:val="35"/>
  </w:num>
  <w:num w:numId="33">
    <w:abstractNumId w:val="52"/>
  </w:num>
  <w:num w:numId="34">
    <w:abstractNumId w:val="7"/>
  </w:num>
  <w:num w:numId="35">
    <w:abstractNumId w:val="27"/>
  </w:num>
  <w:num w:numId="36">
    <w:abstractNumId w:val="46"/>
  </w:num>
  <w:num w:numId="37">
    <w:abstractNumId w:val="39"/>
  </w:num>
  <w:num w:numId="38">
    <w:abstractNumId w:val="33"/>
  </w:num>
  <w:num w:numId="39">
    <w:abstractNumId w:val="56"/>
  </w:num>
  <w:num w:numId="40">
    <w:abstractNumId w:val="5"/>
  </w:num>
  <w:num w:numId="41">
    <w:abstractNumId w:val="23"/>
  </w:num>
  <w:num w:numId="42">
    <w:abstractNumId w:val="15"/>
  </w:num>
  <w:num w:numId="43">
    <w:abstractNumId w:val="43"/>
  </w:num>
  <w:num w:numId="44">
    <w:abstractNumId w:val="17"/>
  </w:num>
  <w:num w:numId="45">
    <w:abstractNumId w:val="36"/>
  </w:num>
  <w:num w:numId="46">
    <w:abstractNumId w:val="9"/>
  </w:num>
  <w:num w:numId="47">
    <w:abstractNumId w:val="47"/>
  </w:num>
  <w:num w:numId="48">
    <w:abstractNumId w:val="51"/>
  </w:num>
  <w:num w:numId="49">
    <w:abstractNumId w:val="1"/>
  </w:num>
  <w:num w:numId="50">
    <w:abstractNumId w:val="37"/>
  </w:num>
  <w:num w:numId="51">
    <w:abstractNumId w:val="48"/>
  </w:num>
  <w:num w:numId="52">
    <w:abstractNumId w:val="31"/>
  </w:num>
  <w:num w:numId="53">
    <w:abstractNumId w:val="34"/>
  </w:num>
  <w:num w:numId="54">
    <w:abstractNumId w:val="6"/>
  </w:num>
  <w:num w:numId="55">
    <w:abstractNumId w:val="30"/>
  </w:num>
  <w:num w:numId="56">
    <w:abstractNumId w:val="42"/>
  </w:num>
  <w:num w:numId="57">
    <w:abstractNumId w:val="1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B71749"/>
    <w:rsid w:val="00005430"/>
    <w:rsid w:val="00010F02"/>
    <w:rsid w:val="00037947"/>
    <w:rsid w:val="000645DF"/>
    <w:rsid w:val="00067784"/>
    <w:rsid w:val="00080745"/>
    <w:rsid w:val="000858C8"/>
    <w:rsid w:val="000A39FC"/>
    <w:rsid w:val="000B2F5D"/>
    <w:rsid w:val="000B3D84"/>
    <w:rsid w:val="000C28AD"/>
    <w:rsid w:val="000D3824"/>
    <w:rsid w:val="000D6CE3"/>
    <w:rsid w:val="001258B8"/>
    <w:rsid w:val="00131954"/>
    <w:rsid w:val="00147B70"/>
    <w:rsid w:val="00150A2B"/>
    <w:rsid w:val="00165EA9"/>
    <w:rsid w:val="00166C66"/>
    <w:rsid w:val="00181F74"/>
    <w:rsid w:val="0018535D"/>
    <w:rsid w:val="001B16B0"/>
    <w:rsid w:val="001B1A16"/>
    <w:rsid w:val="001B6C90"/>
    <w:rsid w:val="001C51E5"/>
    <w:rsid w:val="001C5E02"/>
    <w:rsid w:val="001D7B98"/>
    <w:rsid w:val="001D7CC0"/>
    <w:rsid w:val="001E63A1"/>
    <w:rsid w:val="001E70F4"/>
    <w:rsid w:val="001F3BA6"/>
    <w:rsid w:val="00237AB6"/>
    <w:rsid w:val="00241553"/>
    <w:rsid w:val="00245D5C"/>
    <w:rsid w:val="00253CD0"/>
    <w:rsid w:val="00263ED9"/>
    <w:rsid w:val="00266D05"/>
    <w:rsid w:val="00277DAE"/>
    <w:rsid w:val="002822FB"/>
    <w:rsid w:val="00286D22"/>
    <w:rsid w:val="002D2E38"/>
    <w:rsid w:val="002E0741"/>
    <w:rsid w:val="002F767C"/>
    <w:rsid w:val="00300917"/>
    <w:rsid w:val="00302DC2"/>
    <w:rsid w:val="003044FF"/>
    <w:rsid w:val="00307472"/>
    <w:rsid w:val="00317407"/>
    <w:rsid w:val="00323DFC"/>
    <w:rsid w:val="0033369B"/>
    <w:rsid w:val="00355EF3"/>
    <w:rsid w:val="00356944"/>
    <w:rsid w:val="00365805"/>
    <w:rsid w:val="003817B7"/>
    <w:rsid w:val="003A04D0"/>
    <w:rsid w:val="003A6683"/>
    <w:rsid w:val="003A7118"/>
    <w:rsid w:val="003A7B4B"/>
    <w:rsid w:val="003B0FC0"/>
    <w:rsid w:val="003B3CA1"/>
    <w:rsid w:val="003C63CE"/>
    <w:rsid w:val="003D0345"/>
    <w:rsid w:val="003D545E"/>
    <w:rsid w:val="003F1F19"/>
    <w:rsid w:val="00403138"/>
    <w:rsid w:val="004044C3"/>
    <w:rsid w:val="00405F84"/>
    <w:rsid w:val="00417000"/>
    <w:rsid w:val="00432A52"/>
    <w:rsid w:val="004416CD"/>
    <w:rsid w:val="00442FC3"/>
    <w:rsid w:val="00446683"/>
    <w:rsid w:val="00446E0A"/>
    <w:rsid w:val="00454AC8"/>
    <w:rsid w:val="00460CD5"/>
    <w:rsid w:val="00467ADD"/>
    <w:rsid w:val="00483009"/>
    <w:rsid w:val="00495965"/>
    <w:rsid w:val="004B0C46"/>
    <w:rsid w:val="004B295B"/>
    <w:rsid w:val="004C546D"/>
    <w:rsid w:val="004D0A9B"/>
    <w:rsid w:val="004D1791"/>
    <w:rsid w:val="004D2373"/>
    <w:rsid w:val="004F0BB6"/>
    <w:rsid w:val="004F78DF"/>
    <w:rsid w:val="005073B2"/>
    <w:rsid w:val="005135ED"/>
    <w:rsid w:val="005161FA"/>
    <w:rsid w:val="00536EBC"/>
    <w:rsid w:val="00537B9A"/>
    <w:rsid w:val="00537BAA"/>
    <w:rsid w:val="00541038"/>
    <w:rsid w:val="00541347"/>
    <w:rsid w:val="005509FC"/>
    <w:rsid w:val="0057574E"/>
    <w:rsid w:val="00581CF4"/>
    <w:rsid w:val="005954AB"/>
    <w:rsid w:val="005979FE"/>
    <w:rsid w:val="005A0939"/>
    <w:rsid w:val="005A27B7"/>
    <w:rsid w:val="005A2CF8"/>
    <w:rsid w:val="005B294B"/>
    <w:rsid w:val="005B6E05"/>
    <w:rsid w:val="005C4235"/>
    <w:rsid w:val="005D7845"/>
    <w:rsid w:val="005E3AE1"/>
    <w:rsid w:val="005E476C"/>
    <w:rsid w:val="005E61A3"/>
    <w:rsid w:val="00601796"/>
    <w:rsid w:val="00604DAA"/>
    <w:rsid w:val="00606CC2"/>
    <w:rsid w:val="00620011"/>
    <w:rsid w:val="00640B8E"/>
    <w:rsid w:val="00643256"/>
    <w:rsid w:val="00651067"/>
    <w:rsid w:val="00653CD2"/>
    <w:rsid w:val="00661D9D"/>
    <w:rsid w:val="006729AE"/>
    <w:rsid w:val="006831F3"/>
    <w:rsid w:val="006866D5"/>
    <w:rsid w:val="0069158A"/>
    <w:rsid w:val="006A38E1"/>
    <w:rsid w:val="006A59C5"/>
    <w:rsid w:val="006A5B5F"/>
    <w:rsid w:val="006A73B4"/>
    <w:rsid w:val="006C4A08"/>
    <w:rsid w:val="006F5978"/>
    <w:rsid w:val="0071040A"/>
    <w:rsid w:val="0072311A"/>
    <w:rsid w:val="007233F0"/>
    <w:rsid w:val="0072616C"/>
    <w:rsid w:val="00737084"/>
    <w:rsid w:val="007400D4"/>
    <w:rsid w:val="00773BD1"/>
    <w:rsid w:val="007A340E"/>
    <w:rsid w:val="007A6717"/>
    <w:rsid w:val="007C0080"/>
    <w:rsid w:val="007C03C5"/>
    <w:rsid w:val="007C5990"/>
    <w:rsid w:val="007D7865"/>
    <w:rsid w:val="007E34CA"/>
    <w:rsid w:val="007E4BC8"/>
    <w:rsid w:val="007F07C0"/>
    <w:rsid w:val="007F6CC7"/>
    <w:rsid w:val="00811B3C"/>
    <w:rsid w:val="00835E5C"/>
    <w:rsid w:val="00836600"/>
    <w:rsid w:val="00837F37"/>
    <w:rsid w:val="00843DBA"/>
    <w:rsid w:val="00851A09"/>
    <w:rsid w:val="00871379"/>
    <w:rsid w:val="0088589C"/>
    <w:rsid w:val="00894B96"/>
    <w:rsid w:val="008A0ACC"/>
    <w:rsid w:val="008B138F"/>
    <w:rsid w:val="008C056E"/>
    <w:rsid w:val="008C6A3F"/>
    <w:rsid w:val="008D3E7B"/>
    <w:rsid w:val="008E1413"/>
    <w:rsid w:val="008F4BA9"/>
    <w:rsid w:val="00904EE6"/>
    <w:rsid w:val="009060CF"/>
    <w:rsid w:val="00907389"/>
    <w:rsid w:val="00913125"/>
    <w:rsid w:val="00917926"/>
    <w:rsid w:val="00920747"/>
    <w:rsid w:val="0092262A"/>
    <w:rsid w:val="0095014A"/>
    <w:rsid w:val="0095614F"/>
    <w:rsid w:val="00960350"/>
    <w:rsid w:val="00972913"/>
    <w:rsid w:val="0097454F"/>
    <w:rsid w:val="009A629E"/>
    <w:rsid w:val="009C3CD7"/>
    <w:rsid w:val="009C4D1D"/>
    <w:rsid w:val="009D457F"/>
    <w:rsid w:val="009E2E7D"/>
    <w:rsid w:val="009E4C78"/>
    <w:rsid w:val="00A05D3F"/>
    <w:rsid w:val="00A109F6"/>
    <w:rsid w:val="00A154F9"/>
    <w:rsid w:val="00A17A1E"/>
    <w:rsid w:val="00A346AC"/>
    <w:rsid w:val="00A34C32"/>
    <w:rsid w:val="00A369A1"/>
    <w:rsid w:val="00A521A4"/>
    <w:rsid w:val="00A54146"/>
    <w:rsid w:val="00A550D1"/>
    <w:rsid w:val="00A77617"/>
    <w:rsid w:val="00A8650E"/>
    <w:rsid w:val="00AA639E"/>
    <w:rsid w:val="00AB36C4"/>
    <w:rsid w:val="00AB4731"/>
    <w:rsid w:val="00AB486E"/>
    <w:rsid w:val="00AE6273"/>
    <w:rsid w:val="00B241F6"/>
    <w:rsid w:val="00B249A1"/>
    <w:rsid w:val="00B469BE"/>
    <w:rsid w:val="00B71749"/>
    <w:rsid w:val="00B9015E"/>
    <w:rsid w:val="00BA0754"/>
    <w:rsid w:val="00BB136B"/>
    <w:rsid w:val="00BB1612"/>
    <w:rsid w:val="00BB398F"/>
    <w:rsid w:val="00BC1EB9"/>
    <w:rsid w:val="00BD203E"/>
    <w:rsid w:val="00BD4CD5"/>
    <w:rsid w:val="00BE3669"/>
    <w:rsid w:val="00BF39F6"/>
    <w:rsid w:val="00C042C9"/>
    <w:rsid w:val="00C33962"/>
    <w:rsid w:val="00C426D2"/>
    <w:rsid w:val="00C43D60"/>
    <w:rsid w:val="00C445E7"/>
    <w:rsid w:val="00C44D55"/>
    <w:rsid w:val="00C627F6"/>
    <w:rsid w:val="00C840DB"/>
    <w:rsid w:val="00C8450F"/>
    <w:rsid w:val="00C903F8"/>
    <w:rsid w:val="00CA0B93"/>
    <w:rsid w:val="00CA31DD"/>
    <w:rsid w:val="00CC7222"/>
    <w:rsid w:val="00CE5690"/>
    <w:rsid w:val="00CF1887"/>
    <w:rsid w:val="00CF2314"/>
    <w:rsid w:val="00CF256E"/>
    <w:rsid w:val="00CF2A70"/>
    <w:rsid w:val="00D20918"/>
    <w:rsid w:val="00D36C06"/>
    <w:rsid w:val="00D478B5"/>
    <w:rsid w:val="00D612B6"/>
    <w:rsid w:val="00D92E3D"/>
    <w:rsid w:val="00D96C19"/>
    <w:rsid w:val="00DA0A29"/>
    <w:rsid w:val="00DB0240"/>
    <w:rsid w:val="00DB265E"/>
    <w:rsid w:val="00DB59A5"/>
    <w:rsid w:val="00DC5662"/>
    <w:rsid w:val="00DE2017"/>
    <w:rsid w:val="00DF12A4"/>
    <w:rsid w:val="00E059CA"/>
    <w:rsid w:val="00E07D32"/>
    <w:rsid w:val="00E30E46"/>
    <w:rsid w:val="00E34B6E"/>
    <w:rsid w:val="00E3789E"/>
    <w:rsid w:val="00E60B4C"/>
    <w:rsid w:val="00E71E7A"/>
    <w:rsid w:val="00E81998"/>
    <w:rsid w:val="00E935C6"/>
    <w:rsid w:val="00EA4B8C"/>
    <w:rsid w:val="00ED1D24"/>
    <w:rsid w:val="00ED4D22"/>
    <w:rsid w:val="00EE3A0C"/>
    <w:rsid w:val="00EE66B6"/>
    <w:rsid w:val="00EF2138"/>
    <w:rsid w:val="00EF4C84"/>
    <w:rsid w:val="00F0252D"/>
    <w:rsid w:val="00F03895"/>
    <w:rsid w:val="00F11803"/>
    <w:rsid w:val="00F155FD"/>
    <w:rsid w:val="00F22795"/>
    <w:rsid w:val="00F25C13"/>
    <w:rsid w:val="00F27662"/>
    <w:rsid w:val="00F40E6E"/>
    <w:rsid w:val="00F52FFC"/>
    <w:rsid w:val="00F81401"/>
    <w:rsid w:val="00F85461"/>
    <w:rsid w:val="00FA2C7A"/>
    <w:rsid w:val="00FA45EE"/>
    <w:rsid w:val="00FC501C"/>
    <w:rsid w:val="00FD1C0D"/>
    <w:rsid w:val="00FD5780"/>
    <w:rsid w:val="00FE0CA1"/>
    <w:rsid w:val="00FE6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19"/>
  </w:style>
  <w:style w:type="paragraph" w:styleId="Heading1">
    <w:name w:val="heading 1"/>
    <w:basedOn w:val="Normal"/>
    <w:next w:val="Normal"/>
    <w:link w:val="Heading1Char"/>
    <w:uiPriority w:val="9"/>
    <w:qFormat/>
    <w:rsid w:val="006729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729A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id-ID"/>
    </w:rPr>
  </w:style>
  <w:style w:type="paragraph" w:styleId="Heading4">
    <w:name w:val="heading 4"/>
    <w:basedOn w:val="Normal"/>
    <w:next w:val="Normal"/>
    <w:link w:val="Heading4Char"/>
    <w:uiPriority w:val="9"/>
    <w:semiHidden/>
    <w:unhideWhenUsed/>
    <w:qFormat/>
    <w:rsid w:val="006729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7C"/>
    <w:pPr>
      <w:ind w:left="720"/>
      <w:contextualSpacing/>
    </w:pPr>
  </w:style>
  <w:style w:type="paragraph" w:styleId="Header">
    <w:name w:val="header"/>
    <w:basedOn w:val="Normal"/>
    <w:link w:val="HeaderChar"/>
    <w:uiPriority w:val="99"/>
    <w:unhideWhenUsed/>
    <w:rsid w:val="00BF39F6"/>
    <w:pPr>
      <w:tabs>
        <w:tab w:val="center" w:pos="4513"/>
        <w:tab w:val="right" w:pos="9026"/>
      </w:tabs>
      <w:spacing w:line="240" w:lineRule="auto"/>
    </w:pPr>
  </w:style>
  <w:style w:type="character" w:customStyle="1" w:styleId="HeaderChar">
    <w:name w:val="Header Char"/>
    <w:basedOn w:val="DefaultParagraphFont"/>
    <w:link w:val="Header"/>
    <w:uiPriority w:val="99"/>
    <w:rsid w:val="00BF39F6"/>
  </w:style>
  <w:style w:type="paragraph" w:styleId="Footer">
    <w:name w:val="footer"/>
    <w:basedOn w:val="Normal"/>
    <w:link w:val="FooterChar"/>
    <w:uiPriority w:val="99"/>
    <w:unhideWhenUsed/>
    <w:rsid w:val="00BF39F6"/>
    <w:pPr>
      <w:tabs>
        <w:tab w:val="center" w:pos="4513"/>
        <w:tab w:val="right" w:pos="9026"/>
      </w:tabs>
      <w:spacing w:line="240" w:lineRule="auto"/>
    </w:pPr>
  </w:style>
  <w:style w:type="character" w:customStyle="1" w:styleId="FooterChar">
    <w:name w:val="Footer Char"/>
    <w:basedOn w:val="DefaultParagraphFont"/>
    <w:link w:val="Footer"/>
    <w:uiPriority w:val="99"/>
    <w:rsid w:val="00BF39F6"/>
  </w:style>
  <w:style w:type="paragraph" w:styleId="BalloonText">
    <w:name w:val="Balloon Text"/>
    <w:basedOn w:val="Normal"/>
    <w:link w:val="BalloonTextChar"/>
    <w:uiPriority w:val="99"/>
    <w:semiHidden/>
    <w:unhideWhenUsed/>
    <w:rsid w:val="00446E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E0A"/>
    <w:rPr>
      <w:rFonts w:ascii="Tahoma" w:hAnsi="Tahoma" w:cs="Tahoma"/>
      <w:sz w:val="16"/>
      <w:szCs w:val="16"/>
    </w:rPr>
  </w:style>
  <w:style w:type="paragraph" w:styleId="BodyTextIndent">
    <w:name w:val="Body Text Indent"/>
    <w:basedOn w:val="Normal"/>
    <w:link w:val="BodyTextIndentChar"/>
    <w:rsid w:val="006729AE"/>
    <w:pPr>
      <w:spacing w:after="120" w:line="240" w:lineRule="auto"/>
      <w:ind w:left="360"/>
      <w:jc w:val="left"/>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729AE"/>
    <w:rPr>
      <w:rFonts w:ascii="Times New Roman" w:eastAsia="Times New Roman" w:hAnsi="Times New Roman" w:cs="Times New Roman"/>
      <w:sz w:val="24"/>
      <w:szCs w:val="24"/>
      <w:lang w:val="en-US"/>
    </w:rPr>
  </w:style>
  <w:style w:type="paragraph" w:styleId="BodyText">
    <w:name w:val="Body Text"/>
    <w:aliases w:val=" Char"/>
    <w:basedOn w:val="Normal"/>
    <w:link w:val="BodyTextChar"/>
    <w:unhideWhenUsed/>
    <w:rsid w:val="006729AE"/>
    <w:pPr>
      <w:spacing w:after="120"/>
    </w:pPr>
  </w:style>
  <w:style w:type="character" w:customStyle="1" w:styleId="BodyTextChar">
    <w:name w:val="Body Text Char"/>
    <w:aliases w:val=" Char Char"/>
    <w:basedOn w:val="DefaultParagraphFont"/>
    <w:link w:val="BodyText"/>
    <w:rsid w:val="006729AE"/>
  </w:style>
  <w:style w:type="character" w:styleId="Hyperlink">
    <w:name w:val="Hyperlink"/>
    <w:basedOn w:val="DefaultParagraphFont"/>
    <w:uiPriority w:val="99"/>
    <w:unhideWhenUsed/>
    <w:rsid w:val="006729AE"/>
    <w:rPr>
      <w:color w:val="0000FF" w:themeColor="hyperlink"/>
      <w:u w:val="single"/>
    </w:rPr>
  </w:style>
  <w:style w:type="paragraph" w:styleId="NormalWeb">
    <w:name w:val="Normal (Web)"/>
    <w:basedOn w:val="Normal"/>
    <w:uiPriority w:val="99"/>
    <w:unhideWhenUsed/>
    <w:rsid w:val="006729AE"/>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729AE"/>
    <w:rPr>
      <w:b/>
      <w:bCs/>
    </w:rPr>
  </w:style>
  <w:style w:type="character" w:customStyle="1" w:styleId="Heading2Char">
    <w:name w:val="Heading 2 Char"/>
    <w:basedOn w:val="DefaultParagraphFont"/>
    <w:link w:val="Heading2"/>
    <w:uiPriority w:val="9"/>
    <w:rsid w:val="006729AE"/>
    <w:rPr>
      <w:rFonts w:ascii="Times New Roman" w:eastAsia="Times New Roman" w:hAnsi="Times New Roman" w:cs="Times New Roman"/>
      <w:b/>
      <w:bCs/>
      <w:sz w:val="36"/>
      <w:szCs w:val="36"/>
      <w:lang w:eastAsia="id-ID"/>
    </w:rPr>
  </w:style>
  <w:style w:type="paragraph" w:styleId="BodyTextIndent3">
    <w:name w:val="Body Text Indent 3"/>
    <w:basedOn w:val="Normal"/>
    <w:link w:val="BodyTextIndent3Char"/>
    <w:rsid w:val="006729AE"/>
    <w:pPr>
      <w:spacing w:after="120" w:line="240" w:lineRule="auto"/>
      <w:ind w:left="283"/>
      <w:jc w:val="left"/>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6729AE"/>
    <w:rPr>
      <w:rFonts w:ascii="Times New Roman" w:eastAsia="Times New Roman" w:hAnsi="Times New Roman" w:cs="Times New Roman"/>
      <w:sz w:val="16"/>
      <w:szCs w:val="16"/>
      <w:lang w:val="en-US"/>
    </w:rPr>
  </w:style>
  <w:style w:type="table" w:styleId="TableGrid">
    <w:name w:val="Table Grid"/>
    <w:basedOn w:val="TableNormal"/>
    <w:rsid w:val="006729A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6729AE"/>
  </w:style>
  <w:style w:type="character" w:styleId="PlaceholderText">
    <w:name w:val="Placeholder Text"/>
    <w:basedOn w:val="DefaultParagraphFont"/>
    <w:uiPriority w:val="99"/>
    <w:semiHidden/>
    <w:rsid w:val="006729AE"/>
    <w:rPr>
      <w:color w:val="808080"/>
    </w:rPr>
  </w:style>
  <w:style w:type="character" w:customStyle="1" w:styleId="hpsatn">
    <w:name w:val="hps atn"/>
    <w:basedOn w:val="DefaultParagraphFont"/>
    <w:rsid w:val="006729AE"/>
  </w:style>
  <w:style w:type="character" w:customStyle="1" w:styleId="fullpost">
    <w:name w:val="fullpost"/>
    <w:basedOn w:val="DefaultParagraphFont"/>
    <w:rsid w:val="006729AE"/>
  </w:style>
  <w:style w:type="character" w:styleId="Emphasis">
    <w:name w:val="Emphasis"/>
    <w:basedOn w:val="DefaultParagraphFont"/>
    <w:uiPriority w:val="20"/>
    <w:qFormat/>
    <w:rsid w:val="006729AE"/>
    <w:rPr>
      <w:i/>
      <w:iCs/>
    </w:rPr>
  </w:style>
  <w:style w:type="character" w:customStyle="1" w:styleId="mw-headline">
    <w:name w:val="mw-headline"/>
    <w:basedOn w:val="DefaultParagraphFont"/>
    <w:rsid w:val="006729AE"/>
  </w:style>
  <w:style w:type="character" w:customStyle="1" w:styleId="Heading1Char">
    <w:name w:val="Heading 1 Char"/>
    <w:basedOn w:val="DefaultParagraphFont"/>
    <w:link w:val="Heading1"/>
    <w:uiPriority w:val="9"/>
    <w:rsid w:val="006729A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6729AE"/>
  </w:style>
  <w:style w:type="character" w:customStyle="1" w:styleId="Heading4Char">
    <w:name w:val="Heading 4 Char"/>
    <w:basedOn w:val="DefaultParagraphFont"/>
    <w:link w:val="Heading4"/>
    <w:uiPriority w:val="9"/>
    <w:semiHidden/>
    <w:rsid w:val="006729AE"/>
    <w:rPr>
      <w:rFonts w:asciiTheme="majorHAnsi" w:eastAsiaTheme="majorEastAsia" w:hAnsiTheme="majorHAnsi" w:cstheme="majorBidi"/>
      <w:b/>
      <w:bCs/>
      <w:i/>
      <w:iCs/>
      <w:color w:val="4F81BD" w:themeColor="accent1"/>
    </w:rPr>
  </w:style>
  <w:style w:type="paragraph" w:customStyle="1" w:styleId="Default">
    <w:name w:val="Default"/>
    <w:rsid w:val="00266D05"/>
    <w:pPr>
      <w:autoSpaceDE w:val="0"/>
      <w:autoSpaceDN w:val="0"/>
      <w:adjustRightInd w:val="0"/>
      <w:spacing w:line="240" w:lineRule="auto"/>
      <w:jc w:val="left"/>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271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24711ED-BC81-4242-B959-743DCEF2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12</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HUNNY</cp:lastModifiedBy>
  <cp:revision>33</cp:revision>
  <cp:lastPrinted>2015-04-11T01:00:00Z</cp:lastPrinted>
  <dcterms:created xsi:type="dcterms:W3CDTF">2015-03-09T09:14:00Z</dcterms:created>
  <dcterms:modified xsi:type="dcterms:W3CDTF">2015-07-18T14:56:00Z</dcterms:modified>
</cp:coreProperties>
</file>