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BDAE" w14:textId="02C90718" w:rsidR="00616E5A" w:rsidRPr="00616E5A" w:rsidRDefault="00616E5A" w:rsidP="00616E5A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bookmarkStart w:id="0" w:name="_Toc83902500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BAB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I</w:t>
      </w:r>
      <w:bookmarkEnd w:id="0"/>
    </w:p>
    <w:p w14:paraId="7FC75F33" w14:textId="77777777" w:rsidR="00616E5A" w:rsidRPr="00616E5A" w:rsidRDefault="00616E5A" w:rsidP="00616E5A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bookmarkStart w:id="1" w:name="_Toc83902501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PENDAHULUAN</w:t>
      </w:r>
      <w:bookmarkEnd w:id="1"/>
    </w:p>
    <w:p w14:paraId="1E9C2110" w14:textId="77777777" w:rsidR="00616E5A" w:rsidRPr="00616E5A" w:rsidRDefault="00616E5A" w:rsidP="00616E5A">
      <w:pPr>
        <w:keepNext/>
        <w:keepLines/>
        <w:numPr>
          <w:ilvl w:val="1"/>
          <w:numId w:val="0"/>
        </w:numPr>
        <w:spacing w:before="40"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83902502"/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r w:rsidRPr="00616E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x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bookmarkEnd w:id="2"/>
      <w:proofErr w:type="spellEnd"/>
    </w:p>
    <w:p w14:paraId="66AD2E43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baku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salah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penopang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pendapatan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pertumbuhan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devisa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agraris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diragukan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lagi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penopang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perekonomian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kontribusi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terlihat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4.444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Indonesia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203.000 ton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2019.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agraris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tradisi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dikenal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dunia. Luas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terdiri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4.444 ha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7.463.948 ha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sawah  (</w:t>
      </w:r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Kementerian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Kehutanan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2019).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perwakilan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kompetitif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</w:p>
    <w:p w14:paraId="1CD4BD2C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terpenting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pesat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dekade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memainkan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Penyaluran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4.444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4,3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ton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2016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4,5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ton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2017 (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Pikiran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Rakyat, 2018).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mendekati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masa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Pada masa-masa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awal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reformasi,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kehabisan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alasan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lain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kelebihan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kuota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distribusi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merata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Kementerian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lastRenderedPageBreak/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Kehutanan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penyebab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kelangkaan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Kementerian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instansi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berwenang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menetapkan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menghitung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wilayah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normal</w:t>
      </w:r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per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hektar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pasal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6A0BFD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luas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diklarifikasi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Kementerian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Badan Pusat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Statistik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Juga,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oleh USDA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5ABBEF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oleh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petani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Petani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lokal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berlebih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bercocok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Akibatnya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petani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bersubsidi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melebihi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yang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pasar global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alasan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memperhatikan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Indonesia. 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kawasan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ASEAN,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output 8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ton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2014,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81% (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Anakan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et al., 2018).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2014,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6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ton,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negeri (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subsidi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dan  5</w:t>
      </w:r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ton (83%)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dialokasikan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sisanya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1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ton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E87D31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di Asia Tenggara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menjamin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berdaya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global. Hal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membuktikan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dikaitkan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konsumsi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gas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utilitas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rendah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tantangan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tantangan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lastRenderedPageBreak/>
        <w:t>jaminan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ketersediaan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gas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memenuhi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tetap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179192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tambahan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pasokan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bersaing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negara-negara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pengekspor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Arab Saudi,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Mesir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China, Malaysia, Qatar,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Rusia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dan Venezuela.  IFA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memperkirakan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pasokan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global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4% per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2012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hingga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2018,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global</w:t>
      </w:r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diproyeksikan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3%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periode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Pembuat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pasar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mempertimbangkan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geografis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sasaran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B3886E6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kelebihan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dekade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terakhir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PT.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(</w:t>
      </w:r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Persero)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mengekspor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125.000 ton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dan NPS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pada 2018 dan 24.000 ton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Meksiko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hampir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penerbitan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izin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nonsubsidi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disetujui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Perdagangan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ketentuan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PT.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Persero </w:t>
      </w:r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Indonesia  dan</w:t>
      </w:r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negeri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terpenuhi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9BFEF3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peluang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sangat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menguasai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ASEAN, USA dan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kerjasama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perdagangan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negara. </w:t>
      </w:r>
      <w:r w:rsidRPr="00616E5A"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 w:rsidRPr="00616E5A">
        <w:rPr>
          <w:rFonts w:ascii="Times New Roman" w:eastAsia="Calibri" w:hAnsi="Times New Roman" w:cs="Times New Roman"/>
          <w:sz w:val="24"/>
          <w:szCs w:val="24"/>
        </w:rPr>
        <w:instrText>ADDIN CSL_CITATION {"citationItems":[{"id":"ITEM-1","itemData":{"author":[{"dropping-particle":"","family":"Anakan","given":"Segara","non-dropping-particle":"","parse-names":false,"suffix":""},{"dropping-particle":"","family":"White","given":"Menurut","non-dropping-particle":"","parse-names":false,"suffix":""},{"dropping-particle":"","family":"Anakan","given":"Segara","non-dropping-particle":"","parse-names":false,"suffix":""}],"id":"ITEM-1","issue":"2013","issued":{"date-parts":[["2018"]]},"page":"3-5","title":"1. Pendahuluan 1","type":"article-journal","volume":"1"},"uris":["http://www.mendeley.com/documents/?uuid=b635e1d8-bc30-4fef-86cc-e619a48ffd4f"]}],"mendeley":{"formattedCitation":"(Anakan et al., 2018)","plainTextFormattedCitation":"(Anakan et al., 2018)","previouslyFormattedCitation":"(Anakan et al., 2018)"},"properties":{"noteIndex":0},"schema":"https://github.com/citation-style-language/schema/raw/master/csl-citation.json"}</w:instrText>
      </w:r>
      <w:r w:rsidRPr="00616E5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16E5A">
        <w:rPr>
          <w:rFonts w:ascii="Times New Roman" w:eastAsia="Calibri" w:hAnsi="Times New Roman" w:cs="Times New Roman"/>
          <w:noProof/>
          <w:sz w:val="24"/>
          <w:szCs w:val="24"/>
        </w:rPr>
        <w:t>(Anakan et al., 2018)</w:t>
      </w:r>
      <w:r w:rsidRPr="00616E5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16E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905824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Adapun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komoditas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olah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pemberian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di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india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hampir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lastRenderedPageBreak/>
        <w:t>mirip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memengaruhi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negara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9228D4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kepentingan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tertuang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Nasional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Ketahanan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10 September 2013. 20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2013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menekankan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warganya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memastikan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ketersediaan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kecukupan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kuantitas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Wulansari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2018). </w:t>
      </w:r>
    </w:p>
    <w:p w14:paraId="6B35565B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menjamin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(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serealia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gandum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akses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83EDF4F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didominasi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sejenis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komersial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Qatar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Qafco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Arab Saudi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Safco, dan Malaysia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Petronas di pasar India. </w:t>
      </w:r>
    </w:p>
    <w:p w14:paraId="1F09DC74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Keanekaragaman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berkualitas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memaksa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mempromosikan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di India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tambah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mengekspornya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5B0044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sehari-hari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petani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peluang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lima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siaran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PLT.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Jenderal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Kimia,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Tekstil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6E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Kementerian Perindustrian Abdul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Rochim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kesenjangan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pasokan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China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menurun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China, kata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memangkas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pabrik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petrokimia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batu bara. </w:t>
      </w:r>
    </w:p>
    <w:p w14:paraId="36261E66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Sementara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pengekspor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India,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hampir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identik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negara-negara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6905E5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tertarik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nutrisi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Ketahanan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Nasional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10 September 2013.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2013,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menekankan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gizi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warga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sambil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memastikan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ketersediaan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Wulansari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2018). </w:t>
      </w:r>
    </w:p>
    <w:p w14:paraId="2B14100A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peraturan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menjamin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biji-bijian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gandum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penduduk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India,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akses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terjangkau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didominasi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berbasis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urea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komersial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ketat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pasar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Qafco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Qatar, Safco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Arab Saudi  dan  Petronas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Malaysia. </w:t>
      </w:r>
    </w:p>
    <w:p w14:paraId="3BB80E33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0587B5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Karena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keragaman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berkualitas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berupaya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keras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mempromosikan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di India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berfokus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tambah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proporsi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lastRenderedPageBreak/>
        <w:t>penggunaan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sehari-hari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lima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teratas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siaran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PLT. Abdul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Rochim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Direktur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Kimia,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Farmasi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Tekstil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Kementerian Perindustrian,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mengisi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gap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permintaan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pasokan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 China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menurun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mengatakan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China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mengurangi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pabrik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petrokimia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bakar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batu bara.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Komitmen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sektor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pertanian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33E1AD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mendorong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perekonomian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pendapatan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devisa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mendorong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pemerintah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mengembangkan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mendorong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keberhasilan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Kemitraan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sejarah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panjang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sejak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kemerdekaan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potensi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produsen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terbesar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dunia</w:t>
      </w:r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peluang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kerjasama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menguasai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pasar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India. </w:t>
      </w:r>
    </w:p>
    <w:p w14:paraId="0B658929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Artikel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mengkaji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negeri Indonesia,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faktor-faktor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Indonesia,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dokumen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proofErr w:type="gram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analitis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dilatarbelakangi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determinan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luar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negeri India.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soal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hukum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ditunjuk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4B9F2B" w14:textId="77777777" w:rsidR="00616E5A" w:rsidRPr="00616E5A" w:rsidRDefault="00616E5A" w:rsidP="00616E5A">
      <w:pPr>
        <w:keepNext/>
        <w:keepLines/>
        <w:numPr>
          <w:ilvl w:val="1"/>
          <w:numId w:val="0"/>
        </w:numPr>
        <w:spacing w:before="40"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83902503"/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Identifikasi</w:t>
      </w:r>
      <w:r w:rsidRPr="00616E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x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3"/>
      <w:proofErr w:type="spellEnd"/>
    </w:p>
    <w:p w14:paraId="5D261414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Guna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memperjelas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konteks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mengajukan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18DD2CD8" w14:textId="77777777" w:rsidR="00616E5A" w:rsidRPr="00616E5A" w:rsidRDefault="00616E5A" w:rsidP="00616E5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lastRenderedPageBreak/>
        <w:t>Bagaimana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eksisting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 dan India?</w:t>
      </w:r>
    </w:p>
    <w:p w14:paraId="780E0B52" w14:textId="77777777" w:rsidR="00616E5A" w:rsidRPr="00616E5A" w:rsidRDefault="00616E5A" w:rsidP="00616E5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startegi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diplomasi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memasarkan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India?</w:t>
      </w:r>
    </w:p>
    <w:p w14:paraId="4DD5331D" w14:textId="77777777" w:rsidR="00616E5A" w:rsidRPr="00616E5A" w:rsidRDefault="00616E5A" w:rsidP="00616E5A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diplomasi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memasarkan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India?</w:t>
      </w:r>
    </w:p>
    <w:p w14:paraId="0716AFCA" w14:textId="77777777" w:rsidR="00616E5A" w:rsidRPr="00616E5A" w:rsidRDefault="00616E5A" w:rsidP="00616E5A">
      <w:pPr>
        <w:spacing w:line="48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27A1B" w14:textId="77777777" w:rsidR="00616E5A" w:rsidRPr="00616E5A" w:rsidRDefault="00616E5A" w:rsidP="00616E5A">
      <w:pPr>
        <w:keepNext/>
        <w:keepLines/>
        <w:numPr>
          <w:ilvl w:val="1"/>
          <w:numId w:val="0"/>
        </w:numPr>
        <w:spacing w:before="40"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83902504"/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Batasan</w:t>
      </w:r>
      <w:r w:rsidRPr="00616E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x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4"/>
      <w:proofErr w:type="spellEnd"/>
    </w:p>
    <w:p w14:paraId="38F3073F" w14:textId="77777777" w:rsidR="00616E5A" w:rsidRPr="00616E5A" w:rsidRDefault="00616E5A" w:rsidP="00616E5A">
      <w:pPr>
        <w:spacing w:line="480" w:lineRule="auto"/>
        <w:ind w:left="36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Mengingat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kompleknya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seputar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membatasi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fokus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pada strategi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ekspor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India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2014-2019.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Pembatasan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urea.</w:t>
      </w:r>
    </w:p>
    <w:p w14:paraId="5E69C085" w14:textId="77777777" w:rsidR="00616E5A" w:rsidRPr="00616E5A" w:rsidRDefault="00616E5A" w:rsidP="00616E5A">
      <w:pPr>
        <w:keepNext/>
        <w:keepLines/>
        <w:numPr>
          <w:ilvl w:val="1"/>
          <w:numId w:val="0"/>
        </w:numPr>
        <w:spacing w:before="40"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83902505"/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Rumusan</w:t>
      </w:r>
      <w:r w:rsidRPr="00616E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x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Masalah</w:t>
      </w:r>
      <w:bookmarkEnd w:id="5"/>
      <w:proofErr w:type="spellEnd"/>
    </w:p>
    <w:p w14:paraId="1A0B96D8" w14:textId="77777777" w:rsidR="00616E5A" w:rsidRPr="00616E5A" w:rsidRDefault="00616E5A" w:rsidP="00616E5A">
      <w:pPr>
        <w:spacing w:line="48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paparan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berbagai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jenis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permasalahan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dirumuskan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suatu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rumusan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masalah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berikut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49A69EDB" w14:textId="77777777" w:rsidR="00616E5A" w:rsidRPr="00616E5A" w:rsidRDefault="00616E5A" w:rsidP="00616E5A">
      <w:pPr>
        <w:spacing w:line="480" w:lineRule="auto"/>
        <w:ind w:left="360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Bagaimana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diplomasi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ekonomi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dalam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menjadikan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pasar 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pupuk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di India 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sebagai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pasar </w:t>
      </w:r>
      <w:proofErr w:type="spellStart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pupuk</w:t>
      </w:r>
      <w:proofErr w:type="spellEnd"/>
      <w:r w:rsidRPr="00616E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?”</w:t>
      </w:r>
    </w:p>
    <w:p w14:paraId="18290EDA" w14:textId="77777777" w:rsidR="00616E5A" w:rsidRPr="00616E5A" w:rsidRDefault="00616E5A" w:rsidP="00616E5A">
      <w:pPr>
        <w:keepNext/>
        <w:keepLines/>
        <w:numPr>
          <w:ilvl w:val="1"/>
          <w:numId w:val="0"/>
        </w:numPr>
        <w:spacing w:before="40"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83902506"/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Tujuan</w:t>
      </w:r>
      <w:r w:rsidRPr="00616E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x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r w:rsidRPr="00616E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x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Kegunaan</w:t>
      </w:r>
      <w:proofErr w:type="spellEnd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bookmarkEnd w:id="6"/>
      <w:proofErr w:type="spellEnd"/>
    </w:p>
    <w:p w14:paraId="7A2B8C1F" w14:textId="77777777" w:rsidR="00616E5A" w:rsidRPr="00616E5A" w:rsidRDefault="00616E5A" w:rsidP="00616E5A">
      <w:pPr>
        <w:keepNext/>
        <w:keepLines/>
        <w:numPr>
          <w:ilvl w:val="1"/>
          <w:numId w:val="0"/>
        </w:numPr>
        <w:spacing w:before="40"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83902507"/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bookmarkEnd w:id="7"/>
      <w:proofErr w:type="spellEnd"/>
    </w:p>
    <w:p w14:paraId="73AB73AD" w14:textId="77777777" w:rsidR="00616E5A" w:rsidRPr="00616E5A" w:rsidRDefault="00616E5A" w:rsidP="00616E5A">
      <w:pPr>
        <w:spacing w:line="480" w:lineRule="auto"/>
        <w:ind w:left="360"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seharusnya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kegunaan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negara,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, Adapun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14:paraId="13819BC7" w14:textId="77777777" w:rsidR="00616E5A" w:rsidRPr="00616E5A" w:rsidRDefault="00616E5A" w:rsidP="00616E5A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lastRenderedPageBreak/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eksisting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industri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Indonesia dan di India.</w:t>
      </w:r>
    </w:p>
    <w:p w14:paraId="6E41D25E" w14:textId="77777777" w:rsidR="00616E5A" w:rsidRPr="00616E5A" w:rsidRDefault="00616E5A" w:rsidP="00616E5A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strategi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diplomasi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memasarkan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India.</w:t>
      </w:r>
    </w:p>
    <w:p w14:paraId="6E305F60" w14:textId="77777777" w:rsidR="00616E5A" w:rsidRPr="00616E5A" w:rsidRDefault="00616E5A" w:rsidP="00616E5A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strategi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diplomasi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memasarkan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produk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sz w:val="24"/>
          <w:szCs w:val="24"/>
        </w:rPr>
        <w:t xml:space="preserve"> di India.</w:t>
      </w:r>
    </w:p>
    <w:p w14:paraId="50C7D033" w14:textId="77777777" w:rsidR="00616E5A" w:rsidRPr="00616E5A" w:rsidRDefault="00616E5A" w:rsidP="00616E5A">
      <w:pPr>
        <w:spacing w:line="48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8B04C7" w14:textId="77777777" w:rsidR="00616E5A" w:rsidRPr="00616E5A" w:rsidRDefault="00616E5A" w:rsidP="00616E5A">
      <w:pPr>
        <w:keepNext/>
        <w:keepLines/>
        <w:numPr>
          <w:ilvl w:val="1"/>
          <w:numId w:val="0"/>
        </w:numPr>
        <w:spacing w:before="40" w:after="0" w:line="48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83902508"/>
      <w:proofErr w:type="spellStart"/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Kegunaan</w:t>
      </w:r>
      <w:r w:rsidRPr="00616E5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x</w:t>
      </w:r>
      <w:r w:rsidRPr="00616E5A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bookmarkEnd w:id="8"/>
      <w:proofErr w:type="spellEnd"/>
    </w:p>
    <w:p w14:paraId="1C430E60" w14:textId="77777777" w:rsidR="00616E5A" w:rsidRPr="00616E5A" w:rsidRDefault="00616E5A" w:rsidP="00616E5A">
      <w:pPr>
        <w:spacing w:line="48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Adapun yang </w:t>
      </w:r>
      <w:proofErr w:type="spellStart"/>
      <w:proofErr w:type="gram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kegunaan</w:t>
      </w:r>
      <w:proofErr w:type="spellEnd"/>
      <w:proofErr w:type="gram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dan 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manfaat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sebagai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berikut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</w:t>
      </w:r>
    </w:p>
    <w:p w14:paraId="538B48AC" w14:textId="77777777" w:rsidR="00616E5A" w:rsidRPr="00616E5A" w:rsidRDefault="00616E5A" w:rsidP="00616E5A">
      <w:pPr>
        <w:spacing w:line="480" w:lineRule="auto"/>
        <w:ind w:left="72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Pertama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manfaat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secara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teoritis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bermanfaat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perkembangan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pengetahuan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terutama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Ilmu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Hubungan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dan juga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bagi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perkembangan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bidang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kerja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sama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khususnya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hubungan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kerja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sama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bilateral.</w:t>
      </w:r>
    </w:p>
    <w:p w14:paraId="216FD97C" w14:textId="77777777" w:rsidR="00616E5A" w:rsidRPr="00616E5A" w:rsidRDefault="00616E5A" w:rsidP="00616E5A">
      <w:pPr>
        <w:spacing w:line="480" w:lineRule="auto"/>
        <w:ind w:left="72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Kedua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menghasilkan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mengenai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kerja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sama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mengembangkan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bermuatan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kajian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international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Universitas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Pasundan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terus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mengembangkan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diri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menuju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Universitas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peringkat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AF72C35" w14:textId="77777777" w:rsidR="00616E5A" w:rsidRPr="00616E5A" w:rsidRDefault="00616E5A" w:rsidP="00616E5A">
      <w:pPr>
        <w:spacing w:line="480" w:lineRule="auto"/>
        <w:ind w:left="72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Ketiga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manfaat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secara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praktis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hasil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diharapkan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bahan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masukan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dasar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menigkatkan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daya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saing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Indonesia di pasar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internasional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67D601" w14:textId="77777777" w:rsidR="00616E5A" w:rsidRPr="00616E5A" w:rsidRDefault="00616E5A" w:rsidP="00616E5A">
      <w:pPr>
        <w:spacing w:line="480" w:lineRule="auto"/>
        <w:ind w:left="720" w:firstLine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Keempat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ikut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mendorong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menjadi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negara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ekportir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pupuk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>terbesar</w:t>
      </w:r>
      <w:proofErr w:type="spellEnd"/>
      <w:r w:rsidRPr="00616E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dunia.</w:t>
      </w:r>
    </w:p>
    <w:p w14:paraId="4589BBA8" w14:textId="77777777" w:rsidR="00616E5A" w:rsidRPr="00616E5A" w:rsidRDefault="00616E5A" w:rsidP="00616E5A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8E24682" w14:textId="77777777" w:rsidR="00616E5A" w:rsidRDefault="00616E5A"/>
    <w:sectPr w:rsidR="00616E5A" w:rsidSect="00616E5A">
      <w:footerReference w:type="default" r:id="rId7"/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40E1" w14:textId="77777777" w:rsidR="003500CA" w:rsidRDefault="003500CA" w:rsidP="00616E5A">
      <w:pPr>
        <w:spacing w:after="0" w:line="240" w:lineRule="auto"/>
      </w:pPr>
      <w:r>
        <w:separator/>
      </w:r>
    </w:p>
  </w:endnote>
  <w:endnote w:type="continuationSeparator" w:id="0">
    <w:p w14:paraId="652EDCF9" w14:textId="77777777" w:rsidR="003500CA" w:rsidRDefault="003500CA" w:rsidP="006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368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EACCB" w14:textId="77777777" w:rsidR="00616E5A" w:rsidRDefault="00616E5A">
        <w:pPr>
          <w:pStyle w:val="Footer"/>
          <w:jc w:val="center"/>
        </w:pPr>
      </w:p>
      <w:p w14:paraId="65AF2D1F" w14:textId="7B22763B" w:rsidR="00616E5A" w:rsidRDefault="00616E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46B24" w14:textId="77777777" w:rsidR="00616E5A" w:rsidRDefault="00616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9BA4" w14:textId="77777777" w:rsidR="003500CA" w:rsidRDefault="003500CA" w:rsidP="00616E5A">
      <w:pPr>
        <w:spacing w:after="0" w:line="240" w:lineRule="auto"/>
      </w:pPr>
      <w:r>
        <w:separator/>
      </w:r>
    </w:p>
  </w:footnote>
  <w:footnote w:type="continuationSeparator" w:id="0">
    <w:p w14:paraId="2B9B7391" w14:textId="77777777" w:rsidR="003500CA" w:rsidRDefault="003500CA" w:rsidP="0061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7649"/>
    <w:multiLevelType w:val="multilevel"/>
    <w:tmpl w:val="E80A7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45F74ADB"/>
    <w:multiLevelType w:val="multilevel"/>
    <w:tmpl w:val="E33E72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5A"/>
    <w:rsid w:val="003500CA"/>
    <w:rsid w:val="0061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0B6"/>
  <w15:chartTrackingRefBased/>
  <w15:docId w15:val="{2A81F341-92F9-472F-85FC-5CB79C9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5A"/>
  </w:style>
  <w:style w:type="paragraph" w:styleId="Footer">
    <w:name w:val="footer"/>
    <w:basedOn w:val="Normal"/>
    <w:link w:val="FooterChar"/>
    <w:uiPriority w:val="99"/>
    <w:unhideWhenUsed/>
    <w:rsid w:val="0061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umar</cp:lastModifiedBy>
  <cp:revision>1</cp:revision>
  <dcterms:created xsi:type="dcterms:W3CDTF">2021-11-24T13:51:00Z</dcterms:created>
  <dcterms:modified xsi:type="dcterms:W3CDTF">2021-11-24T14:01:00Z</dcterms:modified>
</cp:coreProperties>
</file>