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center"/>
        <w:rPr>
          <w:rFonts w:ascii="Arial" w:hAnsi="Arial" w:cs="Arial" w:eastAsiaTheme="majorEastAsia"/>
          <w:b/>
          <w:bCs/>
          <w:kern w:val="24"/>
          <w:sz w:val="24"/>
          <w:szCs w:val="24"/>
          <w14:shadow w14:blurRad="31750" w14:dist="25400" w14:dir="5400000" w14:sx="100000" w14:sy="100000" w14:kx="0" w14:ky="0" w14:algn="tl">
            <w14:srgbClr w14:val="000000">
              <w14:alpha w14:val="75000"/>
            </w14:srgbClr>
          </w14:shadow>
        </w:rPr>
      </w:pPr>
      <w:r>
        <w:rPr>
          <w:rFonts w:ascii="Arial" w:hAnsi="Arial" w:cs="Arial" w:eastAsiaTheme="majorEastAsia"/>
          <w:b/>
          <w:bCs/>
          <w:kern w:val="24"/>
          <w:sz w:val="24"/>
          <w:szCs w:val="24"/>
          <w14:shadow w14:blurRad="31750" w14:dist="25400" w14:dir="5400000" w14:sx="100000" w14:sy="100000" w14:kx="0" w14:ky="0" w14:algn="tl">
            <w14:srgbClr w14:val="000000">
              <w14:alpha w14:val="75000"/>
            </w14:srgbClr>
          </w14:shadow>
        </w:rPr>
        <w:t>Pengaruh Kualitas Jasa Pendidikan, Citra Institusi dan Pemasaran Eksperiental terhadap Nilai Pelanggan serta Dampaknya terhadap Kepercayaan Mahasiswa</w:t>
      </w:r>
    </w:p>
    <w:p>
      <w:pPr>
        <w:spacing w:line="240" w:lineRule="auto"/>
        <w:contextualSpacing/>
        <w:jc w:val="center"/>
        <w:rPr>
          <w:rFonts w:ascii="Arial" w:hAnsi="Arial" w:cs="Arial" w:eastAsiaTheme="majorEastAsia"/>
          <w:b/>
          <w:bCs/>
          <w:kern w:val="24"/>
          <w:sz w:val="24"/>
          <w:szCs w:val="24"/>
          <w14:shadow w14:blurRad="31750" w14:dist="25400" w14:dir="5400000" w14:sx="100000" w14:sy="100000" w14:kx="0" w14:ky="0" w14:algn="tl">
            <w14:srgbClr w14:val="000000">
              <w14:alpha w14:val="75000"/>
            </w14:srgbClr>
          </w14:shadow>
        </w:rPr>
      </w:pPr>
      <w:r>
        <w:rPr>
          <w:rFonts w:ascii="Arial" w:hAnsi="Arial" w:cs="Arial" w:eastAsiaTheme="majorEastAsia"/>
          <w:b/>
          <w:bCs/>
          <w:kern w:val="24"/>
          <w:sz w:val="24"/>
          <w:szCs w:val="24"/>
          <w14:shadow w14:blurRad="31750" w14:dist="25400" w14:dir="5400000" w14:sx="100000" w14:sy="100000" w14:kx="0" w14:ky="0" w14:algn="tl">
            <w14:srgbClr w14:val="000000">
              <w14:alpha w14:val="75000"/>
            </w14:srgbClr>
          </w14:shadow>
        </w:rPr>
        <w:t>(Survei pada Mahasiswa Universitas Swasta Terakreditasi B di Wilayah Bandung Metropolitan)</w:t>
      </w:r>
    </w:p>
    <w:p>
      <w:pPr>
        <w:jc w:val="center"/>
        <w:rPr>
          <w:rFonts w:ascii="Arial" w:hAnsi="Arial" w:cs="Arial"/>
          <w:b/>
          <w:sz w:val="24"/>
          <w:szCs w:val="24"/>
          <w:lang w:val="zh-CN"/>
        </w:rPr>
      </w:pPr>
    </w:p>
    <w:p>
      <w:pPr>
        <w:spacing w:line="240" w:lineRule="auto"/>
        <w:contextualSpacing/>
        <w:jc w:val="center"/>
        <w:rPr>
          <w:rFonts w:ascii="Arial" w:hAnsi="Arial" w:cs="Arial"/>
          <w:b/>
          <w:sz w:val="24"/>
          <w:szCs w:val="24"/>
          <w:lang w:val="zh-CN"/>
        </w:rPr>
      </w:pPr>
      <w:r>
        <w:rPr>
          <w:rFonts w:ascii="Arial" w:hAnsi="Arial" w:cs="Arial"/>
          <w:b/>
          <w:sz w:val="24"/>
          <w:szCs w:val="24"/>
          <w:lang w:val="zh-CN"/>
        </w:rPr>
        <w:t>Kartika Imasari Tjiptodjojo</w:t>
      </w:r>
    </w:p>
    <w:p>
      <w:pPr>
        <w:spacing w:line="240" w:lineRule="auto"/>
        <w:contextualSpacing/>
        <w:jc w:val="center"/>
        <w:rPr>
          <w:rFonts w:ascii="Arial" w:hAnsi="Arial" w:cs="Arial"/>
          <w:b/>
          <w:sz w:val="24"/>
          <w:szCs w:val="24"/>
          <w:lang w:val="zh-CN"/>
        </w:rPr>
      </w:pPr>
      <w:r>
        <w:rPr>
          <w:rFonts w:ascii="Arial" w:hAnsi="Arial" w:cs="Arial"/>
          <w:b/>
          <w:sz w:val="24"/>
          <w:szCs w:val="24"/>
          <w:lang w:val="zh-CN"/>
        </w:rPr>
        <w:t>189010030</w:t>
      </w:r>
    </w:p>
    <w:p>
      <w:pPr>
        <w:spacing w:line="240" w:lineRule="auto"/>
        <w:contextualSpacing/>
        <w:jc w:val="center"/>
        <w:rPr>
          <w:rFonts w:ascii="Arial" w:hAnsi="Arial" w:cs="Arial"/>
          <w:b/>
          <w:sz w:val="24"/>
          <w:szCs w:val="24"/>
          <w:lang w:val="zh-CN"/>
        </w:rPr>
      </w:pPr>
      <w:r>
        <w:rPr>
          <w:rFonts w:ascii="Arial" w:hAnsi="Arial" w:cs="Arial"/>
          <w:b/>
          <w:sz w:val="24"/>
          <w:szCs w:val="24"/>
          <w:lang w:val="zh-CN"/>
        </w:rPr>
        <w:t>Doktor Ilmu Manajemen, Universitas Pasundan, Bandung, Indonesia</w:t>
      </w:r>
    </w:p>
    <w:p>
      <w:pPr>
        <w:jc w:val="center"/>
        <w:rPr>
          <w:rFonts w:ascii="Arial" w:hAnsi="Arial" w:cs="Arial"/>
          <w:b/>
          <w:sz w:val="24"/>
          <w:szCs w:val="24"/>
          <w:lang w:val="zh-CN"/>
        </w:rPr>
      </w:pPr>
    </w:p>
    <w:p>
      <w:pPr>
        <w:pStyle w:val="6"/>
        <w:spacing w:after="0"/>
        <w:jc w:val="both"/>
        <w:rPr>
          <w:rFonts w:ascii="Arial" w:hAnsi="Arial" w:cs="Arial" w:eastAsiaTheme="majorEastAsia"/>
          <w:bCs/>
          <w:i/>
          <w:kern w:val="24"/>
        </w:rPr>
      </w:pPr>
      <w:r>
        <w:rPr>
          <w:rFonts w:ascii="Arial" w:hAnsi="Arial" w:cs="Arial" w:eastAsiaTheme="majorEastAsia"/>
          <w:b/>
          <w:bCs/>
          <w:i/>
          <w:kern w:val="24"/>
        </w:rPr>
        <w:t>ABSTRACT</w:t>
      </w:r>
      <w:r>
        <w:rPr>
          <w:rFonts w:ascii="Arial" w:hAnsi="Arial" w:cs="Arial" w:eastAsiaTheme="majorEastAsia"/>
          <w:bCs/>
          <w:i/>
          <w:kern w:val="24"/>
        </w:rPr>
        <w:t>. The background of this research is based on the phenomenon of the growing and developing of Private University in Indonesia where this growth was originally to answer the community's needs for higher education with the limited number of seats available at Public University. However, the growth of Private University is not in line with the number of students who register. Moreover, with the outbreak of the Covid-19 pandemic which forced all University to implement online-based distance learning where this resulted in dissatisfaction from various parties, especially students caused by the unpreparedness of Private University in implementing online-based distance learning. Student dissatisfaction with this leads to a decrease in customer value and trust in the performance and credibility of Private University. The purpose of this study was to determine the effect of the quality of educational services, institutional image and experiential marketing on customer value and their impact on student trust (survey of Private University students accredited B in the Metropolitan Bandung area). The research method used is descriptive and verification. The population in this study were all B-accredited Private University students in the Bandung Metropolitan area, while the sample in this study were students who had studied at least 1 year at a B-accredited Private University in the Metropolitan Bandung area. The sampling technique used in this study was two stage sampling with a total of 398 students as respondents. The results obtained are the simultaneous influence of the quality of educational services, institutional image and experiential marketing on customer value of 59.52% and the influence of customer value on student trust of 74.99%.</w:t>
      </w:r>
    </w:p>
    <w:p>
      <w:pPr>
        <w:pStyle w:val="6"/>
        <w:spacing w:after="0"/>
        <w:jc w:val="both"/>
        <w:rPr>
          <w:rFonts w:ascii="Arial" w:hAnsi="Arial" w:cs="Arial" w:eastAsiaTheme="majorEastAsia"/>
          <w:bCs/>
          <w:i/>
          <w:kern w:val="24"/>
        </w:rPr>
      </w:pPr>
      <w:r>
        <w:rPr>
          <w:rFonts w:ascii="Arial" w:hAnsi="Arial" w:cs="Arial" w:eastAsiaTheme="majorEastAsia"/>
          <w:bCs/>
          <w:i/>
          <w:kern w:val="24"/>
        </w:rPr>
        <w:t>Keywords: educational service quality, institutional image, experiential marketing, customer value, student trust.</w:t>
      </w:r>
    </w:p>
    <w:p>
      <w:pPr>
        <w:tabs>
          <w:tab w:val="left" w:pos="1843"/>
        </w:tabs>
        <w:spacing w:after="0" w:line="240" w:lineRule="auto"/>
        <w:contextualSpacing/>
        <w:jc w:val="both"/>
        <w:rPr>
          <w:rFonts w:ascii="Arial" w:hAnsi="Arial" w:eastAsia="Calibri" w:cs="Arial"/>
          <w:b/>
          <w:sz w:val="24"/>
          <w:szCs w:val="24"/>
        </w:rPr>
      </w:pPr>
      <w:bookmarkStart w:id="0" w:name="_GoBack"/>
      <w:bookmarkEnd w:id="0"/>
    </w:p>
    <w:p>
      <w:pPr>
        <w:tabs>
          <w:tab w:val="left" w:pos="1843"/>
        </w:tabs>
        <w:spacing w:after="0" w:line="240" w:lineRule="auto"/>
        <w:contextualSpacing/>
        <w:jc w:val="both"/>
        <w:rPr>
          <w:rFonts w:ascii="Arial" w:hAnsi="Arial" w:eastAsia="Calibri" w:cs="Arial"/>
          <w:b/>
          <w:sz w:val="24"/>
          <w:szCs w:val="24"/>
        </w:rPr>
      </w:pPr>
    </w:p>
    <w:p>
      <w:pPr>
        <w:tabs>
          <w:tab w:val="left" w:pos="1843"/>
        </w:tabs>
        <w:spacing w:after="0" w:line="240" w:lineRule="auto"/>
        <w:contextualSpacing/>
        <w:jc w:val="both"/>
        <w:rPr>
          <w:rFonts w:ascii="Arial" w:hAnsi="Arial" w:eastAsia="Calibri" w:cs="Arial"/>
          <w:b/>
          <w:sz w:val="24"/>
          <w:szCs w:val="24"/>
        </w:rPr>
      </w:pPr>
    </w:p>
    <w:p>
      <w:pPr>
        <w:tabs>
          <w:tab w:val="left" w:pos="1843"/>
        </w:tabs>
        <w:spacing w:after="0" w:line="240" w:lineRule="auto"/>
        <w:contextualSpacing/>
        <w:jc w:val="both"/>
        <w:rPr>
          <w:rFonts w:ascii="Arial" w:hAnsi="Arial" w:eastAsia="Calibri" w:cs="Arial"/>
          <w:b/>
          <w:sz w:val="24"/>
          <w:szCs w:val="24"/>
        </w:rPr>
      </w:pPr>
      <w:r>
        <w:rPr>
          <w:rFonts w:ascii="Arial" w:hAnsi="Arial" w:eastAsia="Calibri" w:cs="Arial"/>
          <w:b/>
          <w:sz w:val="24"/>
          <w:szCs w:val="24"/>
        </w:rPr>
        <w:t>Daftar Pustaka</w:t>
      </w:r>
    </w:p>
    <w:p>
      <w:pPr>
        <w:tabs>
          <w:tab w:val="left" w:pos="567"/>
        </w:tabs>
        <w:spacing w:after="0" w:line="240" w:lineRule="auto"/>
        <w:ind w:left="567" w:hanging="567"/>
        <w:contextualSpacing/>
        <w:jc w:val="both"/>
        <w:rPr>
          <w:rFonts w:ascii="Arial" w:hAnsi="Arial" w:cs="Arial"/>
          <w:sz w:val="24"/>
          <w:szCs w:val="24"/>
        </w:rPr>
      </w:pPr>
      <w:r>
        <w:rPr>
          <w:rFonts w:ascii="Arial" w:hAnsi="Arial" w:cs="Arial"/>
          <w:sz w:val="24"/>
          <w:szCs w:val="24"/>
        </w:rPr>
        <w:t xml:space="preserve">Amalia, I., Murwatiningsih. (2016). Pengaruh Citra Destinasi dan Kepercayaan mahasiswa terhadap Loyalitas Pengunjung melalui Kepuasan Pengunjung. </w:t>
      </w:r>
      <w:r>
        <w:rPr>
          <w:rFonts w:ascii="Arial" w:hAnsi="Arial" w:cs="Arial"/>
          <w:i/>
          <w:sz w:val="24"/>
          <w:szCs w:val="24"/>
        </w:rPr>
        <w:t>Management Analysis Journal</w:t>
      </w:r>
      <w:r>
        <w:rPr>
          <w:rFonts w:ascii="Arial" w:hAnsi="Arial" w:cs="Arial"/>
          <w:sz w:val="24"/>
          <w:szCs w:val="24"/>
        </w:rPr>
        <w:t>. Vol. 5 (3), pp. 257-268. ISSN. 2252-6552.</w:t>
      </w:r>
    </w:p>
    <w:p>
      <w:pPr>
        <w:tabs>
          <w:tab w:val="left" w:pos="567"/>
        </w:tabs>
        <w:spacing w:after="0" w:line="240" w:lineRule="auto"/>
        <w:ind w:left="567" w:hanging="567"/>
        <w:contextualSpacing/>
        <w:jc w:val="both"/>
        <w:rPr>
          <w:rFonts w:ascii="Arial" w:hAnsi="Arial" w:cs="Arial"/>
          <w:color w:val="000000"/>
          <w:sz w:val="24"/>
          <w:szCs w:val="24"/>
        </w:rPr>
      </w:pPr>
    </w:p>
    <w:p>
      <w:pPr>
        <w:tabs>
          <w:tab w:val="left" w:pos="567"/>
        </w:tabs>
        <w:spacing w:after="0" w:line="240" w:lineRule="auto"/>
        <w:ind w:left="567" w:hanging="567"/>
        <w:contextualSpacing/>
        <w:jc w:val="both"/>
        <w:rPr>
          <w:rFonts w:ascii="Arial" w:hAnsi="Arial" w:cs="Arial"/>
          <w:color w:val="000000"/>
          <w:sz w:val="24"/>
          <w:szCs w:val="24"/>
        </w:rPr>
      </w:pPr>
      <w:r>
        <w:rPr>
          <w:rFonts w:ascii="Arial" w:hAnsi="Arial" w:cs="Arial"/>
          <w:color w:val="000000"/>
          <w:sz w:val="24"/>
          <w:szCs w:val="24"/>
        </w:rPr>
        <w:t xml:space="preserve">Arifudin, O., Tanjung, R., Khadijah, I., Sudirman, A., Rahmah, R Eva., Alhally, A., Nurmayanti, I., Palindih, L. I., Choiriyati, W., Hanika, I. M. (2020). </w:t>
      </w:r>
      <w:r>
        <w:rPr>
          <w:rFonts w:ascii="Arial" w:hAnsi="Arial" w:cs="Arial"/>
          <w:i/>
          <w:color w:val="000000"/>
          <w:sz w:val="24"/>
          <w:szCs w:val="24"/>
        </w:rPr>
        <w:t>Manajemen Pemasaran Pendidikan</w:t>
      </w:r>
      <w:r>
        <w:rPr>
          <w:rFonts w:ascii="Arial" w:hAnsi="Arial" w:cs="Arial"/>
          <w:color w:val="000000"/>
          <w:sz w:val="24"/>
          <w:szCs w:val="24"/>
        </w:rPr>
        <w:t>. Penerbit Widina Bhakti Persada, Bandung.</w:t>
      </w:r>
    </w:p>
    <w:p>
      <w:pPr>
        <w:tabs>
          <w:tab w:val="left" w:pos="567"/>
        </w:tabs>
        <w:spacing w:after="0" w:line="240" w:lineRule="auto"/>
        <w:ind w:left="567" w:hanging="567"/>
        <w:contextualSpacing/>
        <w:jc w:val="both"/>
        <w:rPr>
          <w:rFonts w:ascii="Arial" w:hAnsi="Arial" w:cs="Arial"/>
          <w:color w:val="000000"/>
          <w:sz w:val="24"/>
          <w:szCs w:val="24"/>
        </w:rPr>
      </w:pPr>
    </w:p>
    <w:p>
      <w:pPr>
        <w:tabs>
          <w:tab w:val="left" w:pos="567"/>
        </w:tabs>
        <w:spacing w:after="0" w:line="240" w:lineRule="auto"/>
        <w:ind w:left="567" w:hanging="567"/>
        <w:contextualSpacing/>
        <w:jc w:val="both"/>
        <w:rPr>
          <w:rFonts w:ascii="Arial" w:hAnsi="Arial" w:cs="Arial"/>
          <w:color w:val="000000"/>
          <w:sz w:val="24"/>
          <w:szCs w:val="24"/>
        </w:rPr>
      </w:pPr>
      <w:r>
        <w:rPr>
          <w:rFonts w:ascii="Arial" w:hAnsi="Arial" w:cs="Arial"/>
          <w:color w:val="000000"/>
          <w:sz w:val="24"/>
          <w:szCs w:val="24"/>
        </w:rPr>
        <w:t xml:space="preserve">Aslama, W., Arifb, I., Farhatc, K., Khursheedd, M. (2018). The Role of Customer Trust, Service Quality and Value Dimensions in Determining Satisfaction and Loyalty: An Empirical Study of Mobile Telecommunication Industry in Pakistan. </w:t>
      </w:r>
      <w:r>
        <w:rPr>
          <w:rFonts w:ascii="Arial" w:hAnsi="Arial" w:cs="Arial"/>
          <w:i/>
          <w:color w:val="000000"/>
          <w:sz w:val="24"/>
          <w:szCs w:val="24"/>
        </w:rPr>
        <w:t>Market-Tržište</w:t>
      </w:r>
      <w:r>
        <w:rPr>
          <w:rFonts w:ascii="Arial" w:hAnsi="Arial" w:cs="Arial"/>
          <w:color w:val="000000"/>
          <w:sz w:val="24"/>
          <w:szCs w:val="24"/>
        </w:rPr>
        <w:t>. Vol. 30 No. 2, 2018 Pp. 177-194 UDK 366.1:654.165. Original Scientific Paper. DOI: http://Dx.Doi.Org/10.22598/Mt/2018.30.2.177</w:t>
      </w:r>
    </w:p>
    <w:p>
      <w:pPr>
        <w:tabs>
          <w:tab w:val="left" w:pos="567"/>
        </w:tabs>
        <w:spacing w:after="0" w:line="240" w:lineRule="auto"/>
        <w:ind w:left="567" w:hanging="567"/>
        <w:contextualSpacing/>
        <w:jc w:val="both"/>
        <w:rPr>
          <w:rFonts w:ascii="Arial" w:hAnsi="Arial" w:cs="Arial"/>
          <w:color w:val="000000"/>
          <w:sz w:val="24"/>
          <w:szCs w:val="24"/>
        </w:rPr>
      </w:pPr>
    </w:p>
    <w:p>
      <w:pPr>
        <w:tabs>
          <w:tab w:val="left" w:pos="567"/>
        </w:tabs>
        <w:spacing w:after="0" w:line="240" w:lineRule="auto"/>
        <w:ind w:left="567" w:hanging="567"/>
        <w:contextualSpacing/>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Bagus D, I. M., Kusumawardhany, P. A. (2017). </w:t>
      </w:r>
      <w:r>
        <w:rPr>
          <w:rFonts w:ascii="Arial" w:hAnsi="Arial" w:cs="Arial"/>
          <w:bCs/>
          <w:color w:val="000000" w:themeColor="text1"/>
          <w:sz w:val="24"/>
          <w:szCs w:val="24"/>
          <w14:textFill>
            <w14:solidFill>
              <w14:schemeClr w14:val="tx1"/>
            </w14:solidFill>
          </w14:textFill>
        </w:rPr>
        <w:t xml:space="preserve">Peningkatan </w:t>
      </w:r>
      <w:r>
        <w:rPr>
          <w:rFonts w:ascii="Arial" w:hAnsi="Arial" w:cs="Arial"/>
          <w:bCs/>
          <w:iCs/>
          <w:color w:val="000000" w:themeColor="text1"/>
          <w:sz w:val="24"/>
          <w:szCs w:val="24"/>
          <w14:textFill>
            <w14:solidFill>
              <w14:schemeClr w14:val="tx1"/>
            </w14:solidFill>
          </w14:textFill>
        </w:rPr>
        <w:t xml:space="preserve">Perceived Customer Value </w:t>
      </w:r>
      <w:r>
        <w:rPr>
          <w:rFonts w:ascii="Arial" w:hAnsi="Arial" w:cs="Arial"/>
          <w:bCs/>
          <w:color w:val="000000" w:themeColor="text1"/>
          <w:sz w:val="24"/>
          <w:szCs w:val="24"/>
          <w14:textFill>
            <w14:solidFill>
              <w14:schemeClr w14:val="tx1"/>
            </w14:solidFill>
          </w14:textFill>
        </w:rPr>
        <w:t xml:space="preserve">Perumahan </w:t>
      </w:r>
      <w:r>
        <w:rPr>
          <w:rFonts w:ascii="Arial" w:hAnsi="Arial" w:cs="Arial"/>
          <w:bCs/>
          <w:iCs/>
          <w:color w:val="000000" w:themeColor="text1"/>
          <w:sz w:val="24"/>
          <w:szCs w:val="24"/>
          <w14:textFill>
            <w14:solidFill>
              <w14:schemeClr w14:val="tx1"/>
            </w14:solidFill>
          </w14:textFill>
        </w:rPr>
        <w:t>Western</w:t>
      </w:r>
      <w:r>
        <w:rPr>
          <w:rFonts w:ascii="Arial" w:hAnsi="Arial" w:cs="Arial"/>
          <w:color w:val="000000" w:themeColor="text1"/>
          <w:sz w:val="24"/>
          <w:szCs w:val="24"/>
          <w14:textFill>
            <w14:solidFill>
              <w14:schemeClr w14:val="tx1"/>
            </w14:solidFill>
          </w14:textFill>
        </w:rPr>
        <w:t xml:space="preserve"> </w:t>
      </w:r>
      <w:r>
        <w:rPr>
          <w:rFonts w:ascii="Arial" w:hAnsi="Arial" w:cs="Arial"/>
          <w:bCs/>
          <w:iCs/>
          <w:color w:val="000000" w:themeColor="text1"/>
          <w:sz w:val="24"/>
          <w:szCs w:val="24"/>
          <w14:textFill>
            <w14:solidFill>
              <w14:schemeClr w14:val="tx1"/>
            </w14:solidFill>
          </w14:textFill>
        </w:rPr>
        <w:t xml:space="preserve">Village </w:t>
      </w:r>
      <w:r>
        <w:rPr>
          <w:rFonts w:ascii="Arial" w:hAnsi="Arial" w:cs="Arial"/>
          <w:bCs/>
          <w:color w:val="000000" w:themeColor="text1"/>
          <w:sz w:val="24"/>
          <w:szCs w:val="24"/>
          <w14:textFill>
            <w14:solidFill>
              <w14:schemeClr w14:val="tx1"/>
            </w14:solidFill>
          </w14:textFill>
        </w:rPr>
        <w:t>di Surabaya melalui Penerapan Kualitas Produk dan</w:t>
      </w:r>
      <w:r>
        <w:rPr>
          <w:rFonts w:ascii="Arial" w:hAnsi="Arial" w:cs="Arial"/>
          <w:color w:val="000000" w:themeColor="text1"/>
          <w:sz w:val="24"/>
          <w:szCs w:val="24"/>
          <w14:textFill>
            <w14:solidFill>
              <w14:schemeClr w14:val="tx1"/>
            </w14:solidFill>
          </w14:textFill>
        </w:rPr>
        <w:t xml:space="preserve"> </w:t>
      </w:r>
      <w:r>
        <w:rPr>
          <w:rFonts w:ascii="Arial" w:hAnsi="Arial" w:cs="Arial"/>
          <w:bCs/>
          <w:iCs/>
          <w:color w:val="000000" w:themeColor="text1"/>
          <w:sz w:val="24"/>
          <w:szCs w:val="24"/>
          <w14:textFill>
            <w14:solidFill>
              <w14:schemeClr w14:val="tx1"/>
            </w14:solidFill>
          </w14:textFill>
        </w:rPr>
        <w:t xml:space="preserve">Perceived Service Quality. </w:t>
      </w:r>
      <w:r>
        <w:rPr>
          <w:rFonts w:ascii="Arial" w:hAnsi="Arial" w:cs="Arial"/>
          <w:bCs/>
          <w:i/>
          <w:iCs/>
          <w:color w:val="000000" w:themeColor="text1"/>
          <w:sz w:val="24"/>
          <w:szCs w:val="24"/>
          <w14:textFill>
            <w14:solidFill>
              <w14:schemeClr w14:val="tx1"/>
            </w14:solidFill>
          </w14:textFill>
        </w:rPr>
        <w:t>BISMA (Bisnis dan Manajemen),</w:t>
      </w:r>
      <w:r>
        <w:rPr>
          <w:rFonts w:ascii="Arial" w:hAnsi="Arial" w:cs="Arial"/>
          <w:bCs/>
          <w:iCs/>
          <w:color w:val="000000" w:themeColor="text1"/>
          <w:sz w:val="24"/>
          <w:szCs w:val="24"/>
          <w14:textFill>
            <w14:solidFill>
              <w14:schemeClr w14:val="tx1"/>
            </w14:solidFill>
          </w14:textFill>
        </w:rPr>
        <w:t xml:space="preserve"> vol. 10, no. 1, pp. 1-16. </w:t>
      </w:r>
      <w:r>
        <w:rPr>
          <w:rFonts w:ascii="Arial" w:hAnsi="Arial" w:cs="Arial"/>
          <w:color w:val="000000" w:themeColor="text1"/>
          <w:sz w:val="24"/>
          <w:szCs w:val="24"/>
          <w14:textFill>
            <w14:solidFill>
              <w14:schemeClr w14:val="tx1"/>
            </w14:solidFill>
          </w14:textFill>
        </w:rPr>
        <w:t>ISSN 2549-7790 (Online). ISSN 1979-7192 (Print). https://journal.unesa.ac.id/index.php/bisma/index.</w:t>
      </w:r>
    </w:p>
    <w:p>
      <w:pPr>
        <w:tabs>
          <w:tab w:val="left" w:pos="567"/>
        </w:tabs>
        <w:spacing w:after="0" w:line="240" w:lineRule="auto"/>
        <w:ind w:left="567" w:hanging="567"/>
        <w:contextualSpacing/>
        <w:jc w:val="both"/>
        <w:rPr>
          <w:rFonts w:ascii="Arial" w:hAnsi="Arial" w:cs="Arial"/>
          <w:color w:val="000000" w:themeColor="text1"/>
          <w:sz w:val="24"/>
          <w:szCs w:val="24"/>
          <w14:textFill>
            <w14:solidFill>
              <w14:schemeClr w14:val="tx1"/>
            </w14:solidFill>
          </w14:textFill>
        </w:rPr>
      </w:pPr>
    </w:p>
    <w:p>
      <w:pPr>
        <w:tabs>
          <w:tab w:val="left" w:pos="567"/>
        </w:tabs>
        <w:spacing w:after="0" w:line="240" w:lineRule="auto"/>
        <w:ind w:left="567" w:hanging="567"/>
        <w:contextualSpacing/>
        <w:jc w:val="both"/>
        <w:rPr>
          <w:rFonts w:ascii="Arial" w:hAnsi="Arial" w:cs="Arial"/>
          <w:color w:val="000000"/>
          <w:sz w:val="24"/>
          <w:szCs w:val="24"/>
        </w:rPr>
      </w:pPr>
      <w:r>
        <w:rPr>
          <w:rFonts w:ascii="Arial" w:hAnsi="Arial" w:cs="Arial"/>
          <w:color w:val="000000"/>
          <w:sz w:val="24"/>
          <w:szCs w:val="24"/>
        </w:rPr>
        <w:t xml:space="preserve">Banahene, S., Ahudey, E., Asamoah, A. (2017). Analysis of SERVQUAL Application to Service Quality Measurement and Its Impact on Loyalty in Ghanaian Private Universities. </w:t>
      </w:r>
      <w:r>
        <w:rPr>
          <w:rFonts w:ascii="Arial" w:hAnsi="Arial" w:cs="Arial"/>
          <w:i/>
          <w:color w:val="000000"/>
          <w:sz w:val="24"/>
          <w:szCs w:val="24"/>
        </w:rPr>
        <w:t>Journal of Management and Strategy</w:t>
      </w:r>
      <w:r>
        <w:rPr>
          <w:rFonts w:ascii="Arial" w:hAnsi="Arial" w:cs="Arial"/>
          <w:color w:val="000000"/>
          <w:sz w:val="24"/>
          <w:szCs w:val="24"/>
        </w:rPr>
        <w:t>. Vol. 8, No. 4; 2017. DOI:10.5430/jmsv8n4p18.</w:t>
      </w:r>
    </w:p>
    <w:p>
      <w:pPr>
        <w:tabs>
          <w:tab w:val="left" w:pos="567"/>
        </w:tabs>
        <w:spacing w:after="0" w:line="240" w:lineRule="auto"/>
        <w:ind w:left="567" w:hanging="567"/>
        <w:contextualSpacing/>
        <w:jc w:val="both"/>
        <w:rPr>
          <w:rFonts w:ascii="Arial" w:hAnsi="Arial" w:cs="Arial"/>
          <w:color w:val="000000"/>
          <w:sz w:val="24"/>
          <w:szCs w:val="24"/>
        </w:rPr>
      </w:pPr>
    </w:p>
    <w:p>
      <w:pPr>
        <w:tabs>
          <w:tab w:val="left" w:pos="567"/>
        </w:tabs>
        <w:spacing w:after="0" w:line="240" w:lineRule="auto"/>
        <w:ind w:left="567" w:hanging="567"/>
        <w:contextualSpacing/>
        <w:jc w:val="both"/>
        <w:rPr>
          <w:rFonts w:ascii="Arial" w:hAnsi="Arial" w:cs="Arial"/>
          <w:sz w:val="24"/>
          <w:szCs w:val="24"/>
        </w:rPr>
      </w:pPr>
      <w:r>
        <w:rPr>
          <w:rFonts w:ascii="Arial" w:hAnsi="Arial" w:cs="Arial"/>
          <w:sz w:val="24"/>
          <w:szCs w:val="24"/>
        </w:rPr>
        <w:t xml:space="preserve">Fatmasari, D., Harjadi, D. (2016). Implementasi Experiential Marketing Strategy Pada Perguruan Tinggi. AL-AM. </w:t>
      </w:r>
      <w:r>
        <w:rPr>
          <w:rFonts w:ascii="Arial" w:hAnsi="Arial" w:cs="Arial"/>
          <w:i/>
          <w:sz w:val="24"/>
          <w:szCs w:val="24"/>
        </w:rPr>
        <w:t>WAL:</w:t>
      </w:r>
      <w:r>
        <w:rPr>
          <w:rFonts w:ascii="Arial" w:hAnsi="Arial" w:cs="Arial"/>
          <w:sz w:val="24"/>
          <w:szCs w:val="24"/>
        </w:rPr>
        <w:t xml:space="preserve"> </w:t>
      </w:r>
      <w:r>
        <w:rPr>
          <w:rFonts w:ascii="Arial" w:hAnsi="Arial" w:cs="Arial"/>
          <w:i/>
          <w:sz w:val="24"/>
          <w:szCs w:val="24"/>
        </w:rPr>
        <w:t>Jurnal Kajian Ekonomi dan Perbankan Syari’ah</w:t>
      </w:r>
      <w:r>
        <w:rPr>
          <w:rFonts w:ascii="Arial" w:hAnsi="Arial" w:cs="Arial"/>
          <w:sz w:val="24"/>
          <w:szCs w:val="24"/>
        </w:rPr>
        <w:t>. Vo. 7 No. 1.</w:t>
      </w:r>
    </w:p>
    <w:p>
      <w:pPr>
        <w:tabs>
          <w:tab w:val="left" w:pos="567"/>
        </w:tabs>
        <w:spacing w:after="0" w:line="240" w:lineRule="auto"/>
        <w:ind w:left="567" w:hanging="567"/>
        <w:contextualSpacing/>
        <w:jc w:val="both"/>
        <w:rPr>
          <w:rFonts w:ascii="Arial" w:hAnsi="Arial" w:cs="Arial"/>
          <w:sz w:val="24"/>
          <w:szCs w:val="24"/>
        </w:rPr>
      </w:pPr>
    </w:p>
    <w:p>
      <w:pPr>
        <w:tabs>
          <w:tab w:val="left" w:pos="567"/>
        </w:tabs>
        <w:spacing w:after="0" w:line="240" w:lineRule="auto"/>
        <w:ind w:left="567" w:hanging="567"/>
        <w:contextualSpacing/>
        <w:jc w:val="both"/>
        <w:rPr>
          <w:rFonts w:ascii="Arial" w:hAnsi="Arial" w:cs="Arial"/>
          <w:sz w:val="24"/>
          <w:szCs w:val="24"/>
        </w:rPr>
      </w:pPr>
      <w:r>
        <w:rPr>
          <w:rFonts w:ascii="Arial" w:hAnsi="Arial" w:cs="Arial"/>
          <w:color w:val="000000"/>
          <w:sz w:val="24"/>
          <w:szCs w:val="24"/>
        </w:rPr>
        <w:t xml:space="preserve">Pramita, </w:t>
      </w:r>
      <w:r>
        <w:rPr>
          <w:rFonts w:ascii="Arial" w:hAnsi="Arial" w:cs="Arial"/>
          <w:sz w:val="24"/>
          <w:szCs w:val="24"/>
        </w:rPr>
        <w:t xml:space="preserve">P. E. G. (2018). Effect of Experience in Building Satisfaction, Trust and Loyalty. </w:t>
      </w:r>
      <w:r>
        <w:rPr>
          <w:rFonts w:ascii="Arial" w:hAnsi="Arial" w:cs="Arial"/>
          <w:i/>
          <w:sz w:val="24"/>
          <w:szCs w:val="24"/>
        </w:rPr>
        <w:t>Journal of Applied Management (JAM)</w:t>
      </w:r>
      <w:r>
        <w:rPr>
          <w:rFonts w:ascii="Arial" w:hAnsi="Arial" w:cs="Arial"/>
          <w:sz w:val="24"/>
          <w:szCs w:val="24"/>
        </w:rPr>
        <w:t>. Vol. 17, No. 1, Pp. 76-86.</w:t>
      </w:r>
    </w:p>
    <w:p>
      <w:pPr>
        <w:tabs>
          <w:tab w:val="left" w:pos="567"/>
        </w:tabs>
        <w:spacing w:after="0" w:line="240" w:lineRule="auto"/>
        <w:ind w:left="567" w:hanging="567"/>
        <w:contextualSpacing/>
        <w:jc w:val="both"/>
        <w:rPr>
          <w:rFonts w:ascii="Arial" w:hAnsi="Arial" w:cs="Arial"/>
          <w:sz w:val="24"/>
          <w:szCs w:val="24"/>
        </w:rPr>
      </w:pPr>
    </w:p>
    <w:p>
      <w:pPr>
        <w:tabs>
          <w:tab w:val="left" w:pos="567"/>
        </w:tabs>
        <w:spacing w:after="0" w:line="240" w:lineRule="auto"/>
        <w:ind w:left="567" w:hanging="567"/>
        <w:contextualSpacing/>
        <w:jc w:val="both"/>
        <w:rPr>
          <w:rFonts w:ascii="Arial" w:hAnsi="Arial" w:cs="Arial"/>
          <w:color w:val="000000"/>
          <w:sz w:val="24"/>
          <w:szCs w:val="24"/>
        </w:rPr>
      </w:pPr>
      <w:r>
        <w:rPr>
          <w:rFonts w:ascii="Arial" w:hAnsi="Arial" w:cs="Arial"/>
          <w:color w:val="000000"/>
          <w:sz w:val="24"/>
          <w:szCs w:val="24"/>
        </w:rPr>
        <w:t xml:space="preserve">Rizal, M., Nafis, Z. (2016).  Pengaruh Experiential Marketing terhadap Loyalitas Pelanggan Kolam Renang Mutiara Waterpark Perumnas Langsa. </w:t>
      </w:r>
      <w:r>
        <w:rPr>
          <w:rFonts w:ascii="Arial" w:hAnsi="Arial" w:cs="Arial"/>
          <w:i/>
          <w:color w:val="000000"/>
          <w:sz w:val="24"/>
          <w:szCs w:val="24"/>
        </w:rPr>
        <w:t>Jurnal Manajemen Dan Keuangan</w:t>
      </w:r>
      <w:r>
        <w:rPr>
          <w:rFonts w:ascii="Arial" w:hAnsi="Arial" w:cs="Arial"/>
          <w:color w:val="000000"/>
          <w:sz w:val="24"/>
          <w:szCs w:val="24"/>
        </w:rPr>
        <w:t>. Vol.5, No.1, Mei 2016 ISSN 2252-844x.</w:t>
      </w:r>
    </w:p>
    <w:p>
      <w:pPr>
        <w:tabs>
          <w:tab w:val="left" w:pos="567"/>
        </w:tabs>
        <w:spacing w:after="0" w:line="240" w:lineRule="auto"/>
        <w:ind w:left="567" w:hanging="567"/>
        <w:contextualSpacing/>
        <w:jc w:val="both"/>
        <w:rPr>
          <w:rFonts w:ascii="Arial" w:hAnsi="Arial" w:cs="Arial"/>
          <w:color w:val="000000"/>
          <w:sz w:val="24"/>
          <w:szCs w:val="24"/>
        </w:rPr>
      </w:pPr>
    </w:p>
    <w:p>
      <w:pPr>
        <w:tabs>
          <w:tab w:val="left" w:pos="567"/>
        </w:tabs>
        <w:spacing w:after="0" w:line="240" w:lineRule="auto"/>
        <w:ind w:left="567" w:hanging="567"/>
        <w:contextualSpacing/>
        <w:jc w:val="both"/>
        <w:rPr>
          <w:rFonts w:ascii="Arial" w:hAnsi="Arial" w:cs="Arial"/>
          <w:color w:val="000000"/>
          <w:sz w:val="24"/>
          <w:szCs w:val="24"/>
        </w:rPr>
      </w:pPr>
      <w:r>
        <w:rPr>
          <w:rFonts w:ascii="Arial" w:hAnsi="Arial" w:cs="Arial"/>
          <w:color w:val="000000"/>
          <w:sz w:val="24"/>
          <w:szCs w:val="24"/>
        </w:rPr>
        <w:t xml:space="preserve">Tjiptono, F., Chandra, G. (2016). </w:t>
      </w:r>
      <w:r>
        <w:rPr>
          <w:rFonts w:ascii="Arial" w:hAnsi="Arial" w:cs="Arial"/>
          <w:i/>
          <w:color w:val="000000"/>
          <w:sz w:val="24"/>
          <w:szCs w:val="24"/>
        </w:rPr>
        <w:t>Service, Quality dan Satisfaction</w:t>
      </w:r>
      <w:r>
        <w:rPr>
          <w:rFonts w:ascii="Arial" w:hAnsi="Arial" w:cs="Arial"/>
          <w:color w:val="000000"/>
          <w:sz w:val="24"/>
          <w:szCs w:val="24"/>
        </w:rPr>
        <w:t>. Yogyakarta: Penerbit Andi.</w:t>
      </w:r>
    </w:p>
    <w:p>
      <w:pPr>
        <w:tabs>
          <w:tab w:val="left" w:pos="567"/>
        </w:tabs>
        <w:spacing w:after="0" w:line="240" w:lineRule="auto"/>
        <w:ind w:left="567" w:hanging="567"/>
        <w:contextualSpacing/>
        <w:jc w:val="both"/>
        <w:rPr>
          <w:rFonts w:ascii="Arial" w:hAnsi="Arial" w:cs="Arial"/>
          <w:color w:val="000000"/>
          <w:sz w:val="24"/>
          <w:szCs w:val="24"/>
        </w:rPr>
      </w:pPr>
    </w:p>
    <w:p>
      <w:pPr>
        <w:tabs>
          <w:tab w:val="left" w:pos="567"/>
        </w:tabs>
        <w:spacing w:after="0" w:line="240" w:lineRule="auto"/>
        <w:ind w:left="567" w:hanging="567"/>
        <w:contextualSpacing/>
        <w:jc w:val="both"/>
        <w:rPr>
          <w:rFonts w:ascii="Arial" w:hAnsi="Arial" w:cs="Arial"/>
          <w:sz w:val="24"/>
          <w:szCs w:val="24"/>
        </w:rPr>
      </w:pPr>
      <w:r>
        <w:rPr>
          <w:rFonts w:ascii="Arial" w:hAnsi="Arial" w:cs="Arial"/>
          <w:sz w:val="24"/>
          <w:szCs w:val="24"/>
        </w:rPr>
        <w:t xml:space="preserve">Wong, D. (2017). Pengaruh Ability, Benevolence dan Integrity Terhadap Trust, serta Implikasinya terhadap Partisipasi Pelanggan E-Commerce: Studi Kasus pada Pelanggan Ecommerce di UBM. </w:t>
      </w:r>
      <w:r>
        <w:rPr>
          <w:rFonts w:ascii="Arial" w:hAnsi="Arial" w:cs="Arial"/>
          <w:i/>
          <w:sz w:val="24"/>
          <w:szCs w:val="24"/>
        </w:rPr>
        <w:t>Jurnal Riset Manajemen dan Bisnis (JRMB)</w:t>
      </w:r>
      <w:r>
        <w:rPr>
          <w:rFonts w:ascii="Arial" w:hAnsi="Arial" w:cs="Arial"/>
          <w:sz w:val="24"/>
          <w:szCs w:val="24"/>
        </w:rPr>
        <w:t>. Fakultas Ekonomi UNIAT. Vol.2 No.2 Juni 2017: 155 – 168. ISSN 2527 – 7502.</w:t>
      </w:r>
    </w:p>
    <w:p>
      <w:pPr>
        <w:spacing w:after="0" w:line="240" w:lineRule="auto"/>
        <w:contextualSpacing/>
      </w:pPr>
    </w:p>
    <w:p>
      <w:pPr>
        <w:tabs>
          <w:tab w:val="left" w:pos="1843"/>
        </w:tabs>
        <w:spacing w:after="0" w:line="240" w:lineRule="auto"/>
        <w:contextualSpacing/>
        <w:jc w:val="both"/>
        <w:rPr>
          <w:rFonts w:ascii="Arial" w:hAnsi="Arial" w:eastAsia="Calibri" w:cs="Arial"/>
          <w:b/>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Symbol">
    <w:panose1 w:val="05050102010706020507"/>
    <w:charset w:val="02"/>
    <w:family w:val="decorative"/>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7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91"/>
    <w:rsid w:val="002B7567"/>
    <w:rsid w:val="002C20E3"/>
    <w:rsid w:val="00313286"/>
    <w:rsid w:val="00327B75"/>
    <w:rsid w:val="003E558B"/>
    <w:rsid w:val="00411A30"/>
    <w:rsid w:val="00507EFB"/>
    <w:rsid w:val="005B62F4"/>
    <w:rsid w:val="00637098"/>
    <w:rsid w:val="007715F8"/>
    <w:rsid w:val="007D4052"/>
    <w:rsid w:val="0090724D"/>
    <w:rsid w:val="009411EB"/>
    <w:rsid w:val="009D4F34"/>
    <w:rsid w:val="00AE7391"/>
    <w:rsid w:val="00D13260"/>
    <w:rsid w:val="00E60D90"/>
    <w:rsid w:val="00F32209"/>
    <w:rsid w:val="00F83FA1"/>
    <w:rsid w:val="2B24529E"/>
    <w:rsid w:val="46C3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7">
    <w:name w:val="Table Grid"/>
    <w:basedOn w:val="3"/>
    <w:qFormat/>
    <w:uiPriority w:val="39"/>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rPr>
      <w:rFonts w:eastAsiaTheme="minorEastAsia"/>
    </w:rPr>
  </w:style>
  <w:style w:type="table" w:customStyle="1" w:styleId="9">
    <w:name w:val="Table Grid4"/>
    <w:basedOn w:val="3"/>
    <w:uiPriority w:val="39"/>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6368</Words>
  <Characters>36303</Characters>
  <Lines>302</Lines>
  <Paragraphs>85</Paragraphs>
  <TotalTime>2</TotalTime>
  <ScaleCrop>false</ScaleCrop>
  <LinksUpToDate>false</LinksUpToDate>
  <CharactersWithSpaces>42586</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2021-11-01T03:52:00Z</dcterms:created>
  <dc:creator>Kartika Imasari Tjiptodjojo, S.E., M.M.</dc:creator>
  <cp:lastModifiedBy>USER</cp:lastModifiedBy>
  <cp:lastPrinted>2021-11-01T03:33:00Z</cp:lastPrinted>
  <dcterms:modified xsi:type="dcterms:W3CDTF">2021-11-01T04:04:24Z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3C15B843673544F3B210065377995178</vt:lpwstr>
  </property>
</Properties>
</file>