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bCs/>
          <w:sz w:val="24"/>
          <w:szCs w:val="24"/>
        </w:rPr>
      </w:pPr>
    </w:p>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DEPORTASI BARANG MENURUT UNDANG-UNDANG KAPABEAN DIKAITKAN DENGAN UNDANG-UNDANG KEPABEAN</w:t>
      </w:r>
    </w:p>
    <w:p>
      <w:pPr>
        <w:spacing w:after="0" w:line="240" w:lineRule="auto"/>
        <w:jc w:val="center"/>
        <w:rPr>
          <w:rFonts w:ascii="Times New Roman" w:hAnsi="Times New Roman" w:cs="Times New Roman"/>
          <w:sz w:val="24"/>
          <w:szCs w:val="24"/>
          <w:lang w:val="en-US"/>
        </w:rPr>
      </w:pPr>
    </w:p>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William Affandi</w:t>
      </w:r>
    </w:p>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78040034</w:t>
      </w:r>
    </w:p>
    <w:p>
      <w:pPr>
        <w:pStyle w:val="8"/>
        <w:ind w:left="720"/>
        <w:jc w:val="left"/>
      </w:pPr>
    </w:p>
    <w:p>
      <w:pPr>
        <w:pStyle w:val="8"/>
        <w:ind w:left="3600"/>
        <w:jc w:val="left"/>
      </w:pPr>
      <w:r>
        <w:t xml:space="preserve">         Abstrak</w:t>
      </w:r>
    </w:p>
    <w:p>
      <w:pPr>
        <w:pStyle w:val="4"/>
        <w:ind w:left="720"/>
        <w:rPr>
          <w:b/>
          <w:sz w:val="26"/>
        </w:rPr>
      </w:pPr>
    </w:p>
    <w:p>
      <w:pPr>
        <w:pStyle w:val="4"/>
        <w:ind w:left="720"/>
        <w:rPr>
          <w:b/>
          <w:sz w:val="26"/>
        </w:rPr>
      </w:pPr>
    </w:p>
    <w:p>
      <w:pPr>
        <w:pStyle w:val="4"/>
        <w:spacing w:before="226"/>
        <w:ind w:left="720" w:right="116"/>
        <w:jc w:val="both"/>
      </w:pPr>
      <w:r>
        <w:t>Korupsi dalam arti hukum adalah tingkah laku yg menguntungkan kepentingan diri sendiri dengan merugikan orang lain, oleh para pejabat pemerintah yang langsung melanggar batas- batas hukum atas tingkah laku tersebut, sedangkan menurut norma-norma pemerintah dapat dianggap korupsi apabila hukum dilanggar atau tidak dalam bisnis tindakan tersebut adalah tercela. Tindak pidana korupsi mengalami perluasan, diantaranya adalah Gratifikasi.</w:t>
      </w:r>
    </w:p>
    <w:p>
      <w:pPr>
        <w:pStyle w:val="4"/>
        <w:ind w:left="720"/>
      </w:pPr>
    </w:p>
    <w:p>
      <w:pPr>
        <w:pStyle w:val="4"/>
        <w:ind w:left="720" w:right="116"/>
        <w:jc w:val="both"/>
      </w:pPr>
      <w:r>
        <w:t>Istilah Gratifikasi berasal dari penjelasan Pasal 12B Undang-Undang Nomor 20 Tahun 2001, yaitu pemberian dalam arti luas, yakni meliputi pemberian uang, barang, rabat, komisi, pinjaman tanpa bunga, tiket perjalanan, fasilitas penginapan, perjalanan wisata, pengobatan cuma-cuma dan fasilitas lainnya. Gratifikasi tersebut baik yang diterima di dalam negeri maupun di luar negeri dan yang dilakukan dengan menggunakan sarana elektronik atau tanpa sarana elektronik.Gratifikasi adalah pemberian untuk memperoleh keuntungan tertentu lewat keputusan yang dikeluarkan oleh penerima gratifikasi. Pemikiran inilah yang menjadi landasan pasal pemidanaan gratifikasi.</w:t>
      </w:r>
    </w:p>
    <w:p>
      <w:pPr>
        <w:pStyle w:val="4"/>
        <w:ind w:left="720"/>
      </w:pPr>
    </w:p>
    <w:p>
      <w:pPr>
        <w:pStyle w:val="4"/>
        <w:spacing w:before="1"/>
        <w:ind w:left="720" w:right="115"/>
        <w:jc w:val="both"/>
      </w:pPr>
      <w:r>
        <w:t xml:space="preserve">Dalam penetapan status barang gratifikasi, Komisi Pemberantasan Korupsi (KPK) merupakan lembaga penegak hukum dalam pemberantasan korupsi dengan berbagai kewenangan secara atribusi yang diberikan oleh Undang-Undang, salah satunya kewenangan dalam menetapkan status barang gratifikasi. Mekanisme dan alur penetapan status barang gratifikasi dilaksanakan sendiri oleh KPK sesuai amanat Undang-Undang dalam </w:t>
      </w:r>
      <w:r>
        <w:rPr>
          <w:color w:val="212121"/>
        </w:rPr>
        <w:t>Pasal 17 ayat (3) Undang-Undang Nomor 30 Tahun 2002 tentang Komisi Pemberantasan Tindak Pidana Korupsi. Tetapi dalam pelaksanaannya perlu segera dilakukan perubahan dan revisi. Rumusan pasal tersebut dalam praktek yang dijalankan oleh KPK adalah menetapkan status barang gratifikasi hanya berdasarkan pada Surat Keputusan Ketua KPK tanpa adanya permintaan kepada pihak pengadilan untuk dilakukan penetapan terlebih dahulu. Oleh karena itu rumusan pasal tersebut dalam prakteknya tidak sejalan dengan konsep dan teori sistem peradilan pidana di Indonesia.</w:t>
      </w:r>
    </w:p>
    <w:p>
      <w:pPr>
        <w:pStyle w:val="4"/>
        <w:ind w:left="720"/>
        <w:rPr>
          <w:sz w:val="26"/>
        </w:rPr>
      </w:pPr>
    </w:p>
    <w:p>
      <w:pPr>
        <w:pStyle w:val="4"/>
        <w:ind w:left="720"/>
        <w:rPr>
          <w:sz w:val="26"/>
        </w:rPr>
      </w:pPr>
    </w:p>
    <w:p>
      <w:pPr>
        <w:pStyle w:val="4"/>
        <w:ind w:left="720"/>
        <w:jc w:val="both"/>
      </w:pPr>
      <w:r>
        <w:t>Kata Kunci : Tindak Pidana Korupsi, Gratifikasi, Sistem Peradilan Pidana</w:t>
      </w:r>
    </w:p>
    <w:p>
      <w:pPr>
        <w:pStyle w:val="4"/>
        <w:ind w:left="720"/>
        <w:rPr>
          <w:sz w:val="20"/>
        </w:rPr>
      </w:pPr>
    </w:p>
    <w:p>
      <w:pPr>
        <w:pStyle w:val="4"/>
        <w:ind w:left="720"/>
        <w:rPr>
          <w:sz w:val="20"/>
        </w:rPr>
      </w:pPr>
    </w:p>
    <w:p>
      <w:pPr>
        <w:pStyle w:val="4"/>
        <w:ind w:left="720"/>
        <w:rPr>
          <w:sz w:val="20"/>
        </w:rPr>
      </w:pPr>
    </w:p>
    <w:p>
      <w:pPr>
        <w:pStyle w:val="4"/>
        <w:ind w:left="720"/>
        <w:rPr>
          <w:sz w:val="20"/>
        </w:rPr>
      </w:pPr>
    </w:p>
    <w:p>
      <w:pPr>
        <w:pStyle w:val="4"/>
        <w:ind w:left="720"/>
        <w:rPr>
          <w:sz w:val="20"/>
        </w:rPr>
      </w:pPr>
    </w:p>
    <w:p>
      <w:pPr>
        <w:pStyle w:val="12"/>
        <w:rPr>
          <w:sz w:val="20"/>
          <w:szCs w:val="24"/>
        </w:rPr>
      </w:pPr>
    </w:p>
    <w:p>
      <w:pPr>
        <w:pStyle w:val="8"/>
        <w:ind w:left="2880" w:firstLine="720"/>
        <w:rPr>
          <w:sz w:val="22"/>
          <w:szCs w:val="22"/>
        </w:rPr>
      </w:pPr>
      <w:r>
        <w:rPr>
          <w:i/>
          <w:sz w:val="22"/>
          <w:szCs w:val="22"/>
        </w:rPr>
        <w:t>ABSTRACT</w:t>
      </w:r>
    </w:p>
    <w:p>
      <w:pPr>
        <w:pStyle w:val="4"/>
        <w:ind w:left="720"/>
        <w:rPr>
          <w:b/>
          <w:sz w:val="26"/>
        </w:rPr>
      </w:pPr>
    </w:p>
    <w:p>
      <w:pPr>
        <w:pStyle w:val="4"/>
        <w:ind w:left="720"/>
        <w:rPr>
          <w:b/>
          <w:sz w:val="26"/>
        </w:rPr>
      </w:pPr>
    </w:p>
    <w:p>
      <w:pPr>
        <w:pStyle w:val="4"/>
        <w:spacing w:before="226"/>
        <w:ind w:left="720" w:right="118"/>
        <w:jc w:val="both"/>
      </w:pPr>
      <w:r>
        <w:rPr>
          <w:i/>
        </w:rPr>
        <w:t xml:space="preserve">In practice, export and import activities are still found by many parties who commit fraud by </w:t>
      </w:r>
      <w:r>
        <w:t>not fulfilling the provisions in export and import activities by those who carry out these activities. Then the authorities can take several legal actions such as confiscation, extermination, sealing and other legal actions determined by law. Legal actions related to customs are based on Law No. 17 of 2006. In Chapter X, Article 53 states that prohibited or restricted goods that do not meet the requirements for import, these goods can be re-exported and destroyed under the supervision of customs and excise officials. Destruction of the object of goods is carried out because of the loss of the state, due to the excise of the customs tax, the imbalance of prices in the market. Based on this, it is necessary to conduct a deeper study of procedures for handling criminal acts in export and import activities. As well as how the status of confiscated goods in export and import activities is related to Law Number 17 of 2006 concerning</w:t>
      </w:r>
      <w:r>
        <w:rPr>
          <w:spacing w:val="-1"/>
        </w:rPr>
        <w:t xml:space="preserve"> </w:t>
      </w:r>
      <w:r>
        <w:t>Customs.</w:t>
      </w:r>
    </w:p>
    <w:p>
      <w:pPr>
        <w:pStyle w:val="4"/>
        <w:ind w:left="360"/>
      </w:pPr>
    </w:p>
    <w:p>
      <w:pPr>
        <w:pStyle w:val="4"/>
        <w:spacing w:before="1"/>
        <w:ind w:left="720" w:right="115"/>
        <w:jc w:val="both"/>
      </w:pPr>
      <w:r>
        <w:rPr>
          <w:i/>
        </w:rPr>
        <w:t xml:space="preserve">This study uses normative research methods, because the nature of the law is the norm or </w:t>
      </w:r>
      <w:r>
        <w:t>rule by using deductive way of thinking to draw conclusions that are specific from various laws and regulations that are general, conducting research in descriptive analytical prescriptive by conducting a review and analysis of the provisions of the provisions applies, where this method has the objective of providing a systematic, factual and accurate description of research on the handling of confiscated goods in export &amp; import activities according to Law Number 17 of 2006 concerning</w:t>
      </w:r>
      <w:r>
        <w:rPr>
          <w:spacing w:val="1"/>
        </w:rPr>
        <w:t xml:space="preserve"> </w:t>
      </w:r>
      <w:r>
        <w:t>Customs.</w:t>
      </w:r>
    </w:p>
    <w:p>
      <w:pPr>
        <w:pStyle w:val="4"/>
        <w:ind w:left="720"/>
      </w:pPr>
    </w:p>
    <w:p>
      <w:pPr>
        <w:pStyle w:val="4"/>
        <w:ind w:left="720" w:right="115"/>
        <w:jc w:val="both"/>
      </w:pPr>
      <w:r>
        <w:rPr>
          <w:i/>
        </w:rPr>
        <w:t xml:space="preserve">In this study, it is explained that in the event of customs violations found in export and import </w:t>
      </w:r>
      <w:r>
        <w:t>activities, the only thing that cannot be carried out by customs officers is post-import audit activities, actions and investigations because these activities are not listed in the job descriptions and functions of the Waiter's Office or section- sexy in it. Customs and excise officials can only carry out handling such as sealing, confiscation, and other efforts as a function of supervision. The absence of authority to the customs officer to take action in handling customs violations results in a vacuum waiting for officers from the regional office to take further legal action. The status of confiscated goods in export and import activities is based on Law No. 17 of 2006. In Chapter X, Article 53 states that prohibited or restricted goods that do not meet the requirements for import, these goods can be re-exported and destroyed under the supervision of customs and excise officials. Destruction of the object of goods was carried out due to loss of state, due to the collection of customs taxes, the price imbalance in the market.</w:t>
      </w:r>
    </w:p>
    <w:p>
      <w:pPr>
        <w:pStyle w:val="4"/>
        <w:ind w:left="720"/>
        <w:rPr>
          <w:sz w:val="26"/>
        </w:rPr>
      </w:pPr>
    </w:p>
    <w:p>
      <w:pPr>
        <w:pStyle w:val="4"/>
        <w:ind w:left="720"/>
        <w:rPr>
          <w:sz w:val="26"/>
        </w:rPr>
      </w:pPr>
    </w:p>
    <w:p>
      <w:pPr>
        <w:pStyle w:val="4"/>
        <w:ind w:left="360"/>
        <w:rPr>
          <w:sz w:val="26"/>
        </w:rPr>
      </w:pPr>
    </w:p>
    <w:p>
      <w:pPr>
        <w:pStyle w:val="4"/>
        <w:spacing w:before="208"/>
        <w:ind w:left="720"/>
        <w:jc w:val="both"/>
      </w:pPr>
      <w:r>
        <w:rPr>
          <w:i/>
        </w:rPr>
        <w:t>Keywords: Export &amp; Import, Confiscation, Customs</w:t>
      </w:r>
    </w:p>
    <w:p>
      <w:pPr>
        <w:pStyle w:val="12"/>
        <w:spacing w:after="0" w:line="240" w:lineRule="auto"/>
        <w:ind w:left="567"/>
        <w:rPr>
          <w:rFonts w:ascii="Times New Roman" w:hAnsi="Times New Roman" w:cs="Times New Roman"/>
          <w:b/>
          <w:bCs/>
          <w:sz w:val="24"/>
          <w:szCs w:val="24"/>
        </w:rPr>
      </w:pPr>
    </w:p>
    <w:p>
      <w:pPr>
        <w:pStyle w:val="12"/>
        <w:spacing w:after="0" w:line="240" w:lineRule="auto"/>
        <w:ind w:left="567"/>
        <w:rPr>
          <w:rFonts w:ascii="Times New Roman" w:hAnsi="Times New Roman" w:cs="Times New Roman"/>
          <w:b/>
          <w:bCs/>
          <w:sz w:val="24"/>
          <w:szCs w:val="24"/>
        </w:rPr>
      </w:pPr>
    </w:p>
    <w:p>
      <w:pPr>
        <w:spacing w:after="0" w:line="240" w:lineRule="auto"/>
        <w:ind w:left="360"/>
        <w:rPr>
          <w:rFonts w:ascii="Times New Roman" w:hAnsi="Times New Roman" w:cs="Times New Roman"/>
          <w:b/>
          <w:bCs/>
          <w:sz w:val="24"/>
          <w:szCs w:val="24"/>
          <w:lang w:val="en-US"/>
        </w:rPr>
      </w:pPr>
    </w:p>
    <w:p>
      <w:pPr>
        <w:spacing w:after="0" w:line="240" w:lineRule="auto"/>
        <w:ind w:left="360"/>
        <w:rPr>
          <w:rFonts w:ascii="Times New Roman" w:hAnsi="Times New Roman" w:cs="Times New Roman"/>
          <w:b/>
          <w:bCs/>
          <w:sz w:val="24"/>
          <w:szCs w:val="24"/>
          <w:lang w:val="en-US"/>
        </w:rPr>
      </w:pPr>
    </w:p>
    <w:p>
      <w:pPr>
        <w:spacing w:after="0" w:line="240" w:lineRule="auto"/>
        <w:jc w:val="both"/>
        <w:rPr>
          <w:rFonts w:ascii="Times New Roman" w:hAnsi="Times New Roman" w:cs="Times New Roman"/>
          <w:sz w:val="24"/>
          <w:szCs w:val="24"/>
        </w:rPr>
      </w:pPr>
      <w:bookmarkStart w:id="0" w:name="_GoBack"/>
      <w:bookmarkEnd w:id="0"/>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pStyle w:val="6"/>
        <w:jc w:val="center"/>
        <w:rPr>
          <w:rFonts w:ascii="Times New Roman" w:hAnsi="Times New Roman" w:cs="Times New Roman"/>
          <w:b/>
          <w:bCs/>
          <w:sz w:val="24"/>
          <w:szCs w:val="24"/>
        </w:rPr>
      </w:pPr>
      <w:r>
        <w:rPr>
          <w:rFonts w:ascii="Times New Roman" w:hAnsi="Times New Roman" w:cs="Times New Roman"/>
          <w:b/>
          <w:bCs/>
          <w:sz w:val="24"/>
          <w:szCs w:val="24"/>
        </w:rPr>
        <w:t>DAFTAR PUSTAKA</w:t>
      </w:r>
    </w:p>
    <w:p>
      <w:pPr>
        <w:pStyle w:val="6"/>
        <w:numPr>
          <w:ilvl w:val="0"/>
          <w:numId w:val="1"/>
        </w:numPr>
        <w:ind w:left="567" w:hanging="567"/>
        <w:jc w:val="both"/>
        <w:rPr>
          <w:rFonts w:ascii="Times New Roman" w:hAnsi="Times New Roman" w:cs="Times New Roman"/>
          <w:b/>
          <w:bCs/>
          <w:sz w:val="24"/>
          <w:szCs w:val="24"/>
        </w:rPr>
      </w:pPr>
      <w:r>
        <w:rPr>
          <w:rFonts w:ascii="Times New Roman" w:hAnsi="Times New Roman" w:cs="Times New Roman"/>
          <w:b/>
          <w:bCs/>
          <w:sz w:val="24"/>
          <w:szCs w:val="24"/>
        </w:rPr>
        <w:t>Buku</w:t>
      </w:r>
    </w:p>
    <w:p>
      <w:pPr>
        <w:pStyle w:val="6"/>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Amirudin dan H Zainal Asikin, </w:t>
      </w:r>
      <w:r>
        <w:rPr>
          <w:rFonts w:ascii="Times New Roman" w:hAnsi="Times New Roman" w:cs="Times New Roman"/>
          <w:i/>
          <w:color w:val="000000" w:themeColor="text1"/>
          <w:sz w:val="24"/>
          <w:szCs w:val="24"/>
        </w:rPr>
        <w:t>Pengantar Metode Penelitian Hukum</w:t>
      </w:r>
      <w:r>
        <w:rPr>
          <w:rFonts w:ascii="Times New Roman" w:hAnsi="Times New Roman" w:cs="Times New Roman"/>
          <w:color w:val="000000" w:themeColor="text1"/>
          <w:sz w:val="24"/>
          <w:szCs w:val="24"/>
        </w:rPr>
        <w:t>, Penerbit PT Raja Grafindo Jakarta 2004.</w:t>
      </w:r>
    </w:p>
    <w:p>
      <w:pPr>
        <w:pStyle w:val="6"/>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Bambang Senggono, </w:t>
      </w:r>
      <w:r>
        <w:rPr>
          <w:rFonts w:ascii="Times New Roman" w:hAnsi="Times New Roman" w:cs="Times New Roman"/>
          <w:i/>
          <w:color w:val="000000" w:themeColor="text1"/>
          <w:sz w:val="24"/>
          <w:szCs w:val="24"/>
        </w:rPr>
        <w:t>Metodelogi Penelitian Hukum</w:t>
      </w:r>
      <w:r>
        <w:rPr>
          <w:rFonts w:ascii="Times New Roman" w:hAnsi="Times New Roman" w:cs="Times New Roman"/>
          <w:color w:val="000000" w:themeColor="text1"/>
          <w:sz w:val="24"/>
          <w:szCs w:val="24"/>
        </w:rPr>
        <w:t>, Penerbit Rajawali Pers Jakarta 2006.</w:t>
      </w:r>
    </w:p>
    <w:p>
      <w:pPr>
        <w:pStyle w:val="6"/>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Dyah Ochtorina Susanti, A</w:t>
      </w:r>
      <w:r>
        <w:rPr>
          <w:rFonts w:ascii="Times New Roman" w:hAnsi="Times New Roman" w:cs="Times New Roman"/>
          <w:color w:val="000000" w:themeColor="text1"/>
          <w:sz w:val="24"/>
          <w:szCs w:val="24"/>
          <w:vertAlign w:val="superscript"/>
        </w:rPr>
        <w:t>’</w:t>
      </w:r>
      <w:r>
        <w:rPr>
          <w:rFonts w:ascii="Times New Roman" w:hAnsi="Times New Roman" w:cs="Times New Roman"/>
          <w:color w:val="000000" w:themeColor="text1"/>
          <w:sz w:val="24"/>
          <w:szCs w:val="24"/>
        </w:rPr>
        <w:t xml:space="preserve">an Efendi, </w:t>
      </w:r>
      <w:r>
        <w:rPr>
          <w:rFonts w:ascii="Times New Roman" w:hAnsi="Times New Roman" w:cs="Times New Roman"/>
          <w:i/>
          <w:color w:val="000000" w:themeColor="text1"/>
          <w:sz w:val="24"/>
          <w:szCs w:val="24"/>
        </w:rPr>
        <w:t>Penelitian Hukum (Legal Research)</w:t>
      </w:r>
      <w:r>
        <w:rPr>
          <w:rFonts w:ascii="Times New Roman" w:hAnsi="Times New Roman" w:cs="Times New Roman"/>
          <w:color w:val="000000" w:themeColor="text1"/>
          <w:sz w:val="24"/>
          <w:szCs w:val="24"/>
        </w:rPr>
        <w:t>, Penerbit Sinar Grafika Jakarta 2014.</w:t>
      </w:r>
    </w:p>
    <w:p>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E. Utrecht, </w:t>
      </w:r>
      <w:r>
        <w:rPr>
          <w:rFonts w:ascii="Times New Roman" w:hAnsi="Times New Roman" w:cs="Times New Roman"/>
          <w:i/>
          <w:iCs/>
          <w:sz w:val="24"/>
          <w:szCs w:val="24"/>
        </w:rPr>
        <w:t>Pengantar dalam Hukum Indonesia</w:t>
      </w:r>
      <w:r>
        <w:rPr>
          <w:rFonts w:ascii="Times New Roman" w:hAnsi="Times New Roman" w:cs="Times New Roman"/>
          <w:sz w:val="24"/>
          <w:szCs w:val="24"/>
        </w:rPr>
        <w:t>,Ichtiar Jakarta, 1957</w:t>
      </w:r>
    </w:p>
    <w:p>
      <w:pPr>
        <w:pStyle w:val="6"/>
        <w:ind w:left="567" w:hanging="567"/>
        <w:jc w:val="both"/>
        <w:rPr>
          <w:rFonts w:ascii="Times New Roman" w:hAnsi="Times New Roman" w:cs="Times New Roman"/>
          <w:sz w:val="24"/>
          <w:szCs w:val="24"/>
        </w:rPr>
      </w:pPr>
      <w:r>
        <w:rPr>
          <w:rFonts w:ascii="Times New Roman" w:hAnsi="Times New Roman" w:cs="Times New Roman"/>
          <w:sz w:val="24"/>
          <w:szCs w:val="24"/>
        </w:rPr>
        <w:t xml:space="preserve">Hadjon, </w:t>
      </w:r>
      <w:r>
        <w:rPr>
          <w:rFonts w:ascii="Times New Roman" w:hAnsi="Times New Roman" w:cs="Times New Roman"/>
          <w:i/>
          <w:iCs/>
          <w:sz w:val="24"/>
          <w:szCs w:val="24"/>
        </w:rPr>
        <w:t>Pengantar Hukum Perizinan</w:t>
      </w:r>
      <w:r>
        <w:rPr>
          <w:rFonts w:ascii="Times New Roman" w:hAnsi="Times New Roman" w:cs="Times New Roman"/>
          <w:sz w:val="24"/>
          <w:szCs w:val="24"/>
        </w:rPr>
        <w:t>, Yuridika,Surabaya,2006.</w:t>
      </w:r>
    </w:p>
    <w:p>
      <w:pPr>
        <w:pStyle w:val="6"/>
        <w:ind w:left="567" w:hanging="567"/>
        <w:jc w:val="both"/>
        <w:rPr>
          <w:rFonts w:ascii="Times New Roman" w:hAnsi="Times New Roman" w:cs="Times New Roman"/>
          <w:sz w:val="24"/>
          <w:szCs w:val="24"/>
        </w:rPr>
      </w:pPr>
      <w:r>
        <w:rPr>
          <w:rFonts w:ascii="Times New Roman" w:hAnsi="Times New Roman" w:cs="Times New Roman"/>
          <w:sz w:val="24"/>
          <w:szCs w:val="24"/>
        </w:rPr>
        <w:t>Hamzah, Andi. Penegakan Hukum Lingkungan , Sinar Grafika,Jakarta,2005.</w:t>
      </w:r>
    </w:p>
    <w:p>
      <w:pPr>
        <w:pStyle w:val="6"/>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Johnny Ibrahim, </w:t>
      </w:r>
      <w:r>
        <w:rPr>
          <w:rFonts w:ascii="Times New Roman" w:hAnsi="Times New Roman" w:cs="Times New Roman"/>
          <w:i/>
          <w:color w:val="000000" w:themeColor="text1"/>
          <w:sz w:val="24"/>
          <w:szCs w:val="24"/>
        </w:rPr>
        <w:t>Teori dan Metodelogi Penelitian Hukum Normati</w:t>
      </w:r>
      <w:r>
        <w:rPr>
          <w:rFonts w:ascii="Times New Roman" w:hAnsi="Times New Roman" w:cs="Times New Roman"/>
          <w:color w:val="000000" w:themeColor="text1"/>
          <w:sz w:val="24"/>
          <w:szCs w:val="24"/>
        </w:rPr>
        <w:t>f, Penerbit Bayumedia Malang 2013.</w:t>
      </w:r>
    </w:p>
    <w:p>
      <w:pPr>
        <w:pStyle w:val="6"/>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Lili Rasjidi, Ira Tania Rasjidi, </w:t>
      </w:r>
      <w:r>
        <w:rPr>
          <w:rFonts w:ascii="Times New Roman" w:hAnsi="Times New Roman" w:cs="Times New Roman"/>
          <w:i/>
          <w:color w:val="000000" w:themeColor="text1"/>
          <w:sz w:val="24"/>
          <w:szCs w:val="24"/>
        </w:rPr>
        <w:t>Filsafat Ilmu, Metode Penelitian Hukum dan Menggunakan Teori/Konsep Di Bidanng Ilmu Hukum</w:t>
      </w:r>
      <w:r>
        <w:rPr>
          <w:rFonts w:ascii="Times New Roman" w:hAnsi="Times New Roman" w:cs="Times New Roman"/>
          <w:color w:val="000000" w:themeColor="text1"/>
          <w:sz w:val="24"/>
          <w:szCs w:val="24"/>
        </w:rPr>
        <w:t>, Alumni Bandung 2015.</w:t>
      </w:r>
    </w:p>
    <w:p>
      <w:pPr>
        <w:pStyle w:val="6"/>
        <w:ind w:left="567" w:hanging="567"/>
        <w:jc w:val="both"/>
        <w:rPr>
          <w:rFonts w:ascii="Times New Roman" w:hAnsi="Times New Roman" w:cs="Times New Roman"/>
          <w:color w:val="000000" w:themeColor="text1"/>
          <w:sz w:val="24"/>
          <w:szCs w:val="24"/>
        </w:rPr>
      </w:pPr>
      <w:r>
        <w:rPr>
          <w:rFonts w:ascii="Times New Roman" w:hAnsi="Times New Roman" w:cs="Times New Roman"/>
          <w:sz w:val="24"/>
          <w:szCs w:val="24"/>
        </w:rPr>
        <w:t>Nurmayani, Hukum Administrasi Daerah, Bandar Lampung, Universitas Lampung,2015.</w:t>
      </w:r>
    </w:p>
    <w:p>
      <w:pPr>
        <w:pStyle w:val="6"/>
        <w:ind w:left="567" w:hanging="567"/>
        <w:jc w:val="both"/>
        <w:rPr>
          <w:rFonts w:ascii="Times New Roman" w:hAnsi="Times New Roman" w:cs="Times New Roman"/>
          <w:sz w:val="24"/>
          <w:szCs w:val="24"/>
        </w:rPr>
      </w:pPr>
      <w:r>
        <w:rPr>
          <w:rFonts w:ascii="Times New Roman" w:hAnsi="Times New Roman" w:cs="Times New Roman"/>
          <w:sz w:val="24"/>
          <w:szCs w:val="24"/>
        </w:rPr>
        <w:t>Philipus M. Hadjon, 1993, Pengantar Hukum Perizinan, Surabaya, Yuridika.</w:t>
      </w:r>
    </w:p>
    <w:p>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PrajudiAdmosoedirjo,Hukum Administrasi Negara,Jakarta:Ghalia Indonesia,1986.</w:t>
      </w:r>
    </w:p>
    <w:p>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Prof. Dr. Mr. S. Prajudi Atmosudirdjo, </w:t>
      </w:r>
      <w:r>
        <w:rPr>
          <w:rFonts w:ascii="Times New Roman" w:hAnsi="Times New Roman" w:cs="Times New Roman"/>
          <w:i/>
          <w:iCs/>
          <w:sz w:val="24"/>
          <w:szCs w:val="24"/>
        </w:rPr>
        <w:t>Hukum Administrasi Negara,1983</w:t>
      </w:r>
      <w:r>
        <w:rPr>
          <w:rFonts w:ascii="Times New Roman" w:hAnsi="Times New Roman" w:cs="Times New Roman"/>
          <w:sz w:val="24"/>
          <w:szCs w:val="24"/>
        </w:rPr>
        <w:t xml:space="preserve">. Sunarto, </w:t>
      </w:r>
      <w:r>
        <w:rPr>
          <w:rFonts w:ascii="Times New Roman" w:hAnsi="Times New Roman" w:cs="Times New Roman"/>
          <w:i/>
          <w:iCs/>
          <w:sz w:val="24"/>
          <w:szCs w:val="24"/>
        </w:rPr>
        <w:t xml:space="preserve">Pajak dan Retribusi Daerah, </w:t>
      </w:r>
      <w:r>
        <w:rPr>
          <w:rFonts w:ascii="Times New Roman" w:hAnsi="Times New Roman" w:cs="Times New Roman"/>
          <w:sz w:val="24"/>
          <w:szCs w:val="24"/>
        </w:rPr>
        <w:t>Amus dan Citra Pustaka, Yogyakarta, 2005.</w:t>
      </w:r>
    </w:p>
    <w:p>
      <w:pPr>
        <w:pStyle w:val="6"/>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Ronny Hanitijo Soemitro, </w:t>
      </w:r>
      <w:r>
        <w:rPr>
          <w:rFonts w:ascii="Times New Roman" w:hAnsi="Times New Roman" w:cs="Times New Roman"/>
          <w:i/>
          <w:color w:val="000000" w:themeColor="text1"/>
          <w:sz w:val="24"/>
          <w:szCs w:val="24"/>
        </w:rPr>
        <w:t>Metodelogi Penelitian Hukum dan Jurimetri</w:t>
      </w:r>
      <w:r>
        <w:rPr>
          <w:rFonts w:ascii="Times New Roman" w:hAnsi="Times New Roman" w:cs="Times New Roman"/>
          <w:color w:val="000000" w:themeColor="text1"/>
          <w:sz w:val="24"/>
          <w:szCs w:val="24"/>
        </w:rPr>
        <w:t>, Penerbit Ghalia Indonesia Jakarta 1990.</w:t>
      </w:r>
    </w:p>
    <w:p>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Setedi. Adrian, </w:t>
      </w:r>
      <w:r>
        <w:rPr>
          <w:rFonts w:ascii="Times New Roman" w:hAnsi="Times New Roman" w:cs="Times New Roman"/>
          <w:i/>
          <w:iCs/>
          <w:sz w:val="24"/>
          <w:szCs w:val="24"/>
        </w:rPr>
        <w:t>Hukum Perizinan dalam Sektor Pelayanan Publik</w:t>
      </w:r>
      <w:r>
        <w:rPr>
          <w:rFonts w:ascii="Times New Roman" w:hAnsi="Times New Roman" w:cs="Times New Roman"/>
          <w:sz w:val="24"/>
          <w:szCs w:val="24"/>
        </w:rPr>
        <w:t xml:space="preserve">, Sinar Grafika Jakarta,2010 </w:t>
      </w:r>
    </w:p>
    <w:p>
      <w:pPr>
        <w:pStyle w:val="6"/>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Soejono Soekanto, Sri Mamudji, </w:t>
      </w:r>
      <w:r>
        <w:rPr>
          <w:rFonts w:ascii="Times New Roman" w:hAnsi="Times New Roman" w:cs="Times New Roman"/>
          <w:i/>
          <w:color w:val="000000" w:themeColor="text1"/>
          <w:sz w:val="24"/>
          <w:szCs w:val="24"/>
        </w:rPr>
        <w:t>Penelitian Hukum Normatif Suatu Tinjauan Singkat</w:t>
      </w:r>
      <w:r>
        <w:rPr>
          <w:rFonts w:ascii="Times New Roman" w:hAnsi="Times New Roman" w:cs="Times New Roman"/>
          <w:color w:val="000000" w:themeColor="text1"/>
          <w:sz w:val="24"/>
          <w:szCs w:val="24"/>
        </w:rPr>
        <w:t>, Penerbit PT Raja Grafindo Persada Jakarta 2004.</w:t>
      </w:r>
    </w:p>
    <w:p>
      <w:pPr>
        <w:pStyle w:val="6"/>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Soerjono Soekanto, </w:t>
      </w:r>
      <w:r>
        <w:rPr>
          <w:rFonts w:ascii="Times New Roman" w:hAnsi="Times New Roman" w:cs="Times New Roman"/>
          <w:i/>
          <w:color w:val="000000" w:themeColor="text1"/>
          <w:sz w:val="24"/>
          <w:szCs w:val="24"/>
        </w:rPr>
        <w:t>Pengantar Penelitian Hukum</w:t>
      </w:r>
      <w:r>
        <w:rPr>
          <w:rFonts w:ascii="Times New Roman" w:hAnsi="Times New Roman" w:cs="Times New Roman"/>
          <w:color w:val="000000" w:themeColor="text1"/>
          <w:sz w:val="24"/>
          <w:szCs w:val="24"/>
        </w:rPr>
        <w:t>, cetakan pertama, Penerbit Universitas Indonesia Jkarta 2001.</w:t>
      </w:r>
    </w:p>
    <w:p>
      <w:pPr>
        <w:pStyle w:val="6"/>
        <w:ind w:left="567" w:hanging="567"/>
        <w:jc w:val="both"/>
        <w:rPr>
          <w:rFonts w:ascii="Times New Roman" w:hAnsi="Times New Roman" w:cs="Times New Roman"/>
          <w:sz w:val="24"/>
          <w:szCs w:val="24"/>
        </w:rPr>
      </w:pPr>
      <w:r>
        <w:rPr>
          <w:rFonts w:ascii="Times New Roman" w:hAnsi="Times New Roman" w:cs="Times New Roman"/>
          <w:sz w:val="24"/>
          <w:szCs w:val="24"/>
        </w:rPr>
        <w:t xml:space="preserve">Sudargo Gautama, </w:t>
      </w:r>
      <w:r>
        <w:rPr>
          <w:rFonts w:ascii="Times New Roman" w:hAnsi="Times New Roman" w:cs="Times New Roman"/>
          <w:i/>
          <w:sz w:val="24"/>
          <w:szCs w:val="24"/>
        </w:rPr>
        <w:t xml:space="preserve">Pengertian Negara Hukum, </w:t>
      </w:r>
      <w:r>
        <w:rPr>
          <w:rFonts w:ascii="Times New Roman" w:hAnsi="Times New Roman" w:cs="Times New Roman"/>
          <w:sz w:val="24"/>
          <w:szCs w:val="24"/>
        </w:rPr>
        <w:t>Alumni Bandung 1983.</w:t>
      </w:r>
    </w:p>
    <w:p>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Victor Situmorang, Dasar-Dasar Hukum Administrasi Negara, Penerbit Bina Aksara,Jakarta, 1989.</w:t>
      </w:r>
    </w:p>
    <w:p>
      <w:pPr>
        <w:pStyle w:val="12"/>
        <w:numPr>
          <w:ilvl w:val="0"/>
          <w:numId w:val="1"/>
        </w:numPr>
        <w:spacing w:after="0" w:line="240" w:lineRule="auto"/>
        <w:ind w:left="567" w:hanging="567"/>
        <w:rPr>
          <w:rFonts w:ascii="Times New Roman" w:hAnsi="Times New Roman" w:cs="Times New Roman"/>
          <w:b/>
          <w:bCs/>
          <w:sz w:val="24"/>
          <w:szCs w:val="24"/>
        </w:rPr>
      </w:pPr>
      <w:r>
        <w:rPr>
          <w:rFonts w:ascii="Times New Roman" w:hAnsi="Times New Roman" w:cs="Times New Roman"/>
          <w:b/>
          <w:bCs/>
          <w:sz w:val="24"/>
          <w:szCs w:val="24"/>
        </w:rPr>
        <w:t>Sumber Lain</w:t>
      </w:r>
    </w:p>
    <w:p>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Peraturan Bersama Menteri dalam Negeri, Menteri Pekerjaan Umum, Menteri Komunikasi dan Informatika (Permenkominfo) dan juga Kepala Badan Koordinasi Penanaman Modal No. 18 Tahun 2009; No. 07 / Prt / M / 2009; No. 19 / Per / M.Kominfo / 03 / 2009; No. 3 / P / 2009 tentang Pedoman Pembangunan dan Penggunaan Bersama Menara Telekomunikasi</w:t>
      </w:r>
    </w:p>
    <w:p>
      <w:pPr>
        <w:pStyle w:val="6"/>
        <w:ind w:left="709" w:hanging="709"/>
        <w:jc w:val="both"/>
        <w:rPr>
          <w:rFonts w:ascii="Times New Roman" w:hAnsi="Times New Roman" w:cs="Times New Roman"/>
          <w:sz w:val="24"/>
          <w:szCs w:val="24"/>
        </w:rPr>
      </w:pPr>
      <w:r>
        <w:rPr>
          <w:rFonts w:ascii="Times New Roman" w:hAnsi="Times New Roman" w:cs="Times New Roman"/>
          <w:sz w:val="24"/>
          <w:szCs w:val="24"/>
        </w:rPr>
        <w:t xml:space="preserve">Peraturan Menteri Nomor 02/PER/M.KOMINFO/3/2008 Tentang Pedoman Pembangunan dan Penggunaan Menara Bersama Telekomunikasi, Pasal 1 butir 3  </w:t>
      </w:r>
    </w:p>
    <w:p>
      <w:pPr>
        <w:pStyle w:val="6"/>
        <w:ind w:left="709" w:hanging="709"/>
        <w:jc w:val="both"/>
        <w:rPr>
          <w:rFonts w:ascii="Times New Roman" w:hAnsi="Times New Roman" w:cs="Times New Roman"/>
          <w:sz w:val="24"/>
          <w:szCs w:val="24"/>
        </w:rPr>
      </w:pPr>
      <w:r>
        <w:rPr>
          <w:rFonts w:ascii="Times New Roman" w:hAnsi="Times New Roman" w:cs="Times New Roman"/>
          <w:sz w:val="24"/>
          <w:szCs w:val="24"/>
        </w:rPr>
        <w:t xml:space="preserve">Undang-undang Dasar Republik Indonesia, 1945 dan </w:t>
      </w:r>
      <w:r>
        <w:rPr>
          <w:rFonts w:ascii="Times New Roman" w:hAnsi="Times New Roman" w:cs="Times New Roman"/>
          <w:i/>
          <w:iCs/>
          <w:sz w:val="24"/>
          <w:szCs w:val="24"/>
        </w:rPr>
        <w:t xml:space="preserve">Perubahan Ketiga, </w:t>
      </w:r>
      <w:r>
        <w:rPr>
          <w:rFonts w:ascii="Times New Roman" w:hAnsi="Times New Roman" w:cs="Times New Roman"/>
          <w:sz w:val="24"/>
          <w:szCs w:val="24"/>
        </w:rPr>
        <w:t>Pustaka Madani, PR Yess, Tahun 2004,</w:t>
      </w:r>
    </w:p>
    <w:p>
      <w:pPr>
        <w:pStyle w:val="6"/>
        <w:ind w:left="709" w:hanging="709"/>
        <w:jc w:val="both"/>
        <w:rPr>
          <w:rFonts w:ascii="Times New Roman" w:hAnsi="Times New Roman" w:cs="Times New Roman"/>
          <w:b/>
          <w:bCs/>
          <w:sz w:val="24"/>
          <w:szCs w:val="24"/>
        </w:rPr>
      </w:pPr>
      <w:r>
        <w:rPr>
          <w:rFonts w:ascii="Times New Roman" w:hAnsi="Times New Roman" w:cs="Times New Roman"/>
          <w:sz w:val="24"/>
          <w:szCs w:val="24"/>
        </w:rPr>
        <w:t>Undang-undang Republik Indonesia No. 36 Tahun 1999 Tentang Telekomunikasi</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9F02AD"/>
    <w:multiLevelType w:val="multilevel"/>
    <w:tmpl w:val="559F02AD"/>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234"/>
    <w:rsid w:val="00392433"/>
    <w:rsid w:val="0039431D"/>
    <w:rsid w:val="003A694F"/>
    <w:rsid w:val="00AD2D89"/>
    <w:rsid w:val="00C576DE"/>
    <w:rsid w:val="00CA2E18"/>
    <w:rsid w:val="00CD5234"/>
    <w:rsid w:val="719D2864"/>
    <w:rsid w:val="798E5A29"/>
    <w:rsid w:val="7D07097D"/>
  </w:rsids>
  <m:mathPr>
    <m:mathFont m:val="Cambria Math"/>
    <m:brkBin m:val="before"/>
    <m:brkBinSub m:val="--"/>
    <m:smallFrac m:val="1"/>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iPriority="1"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4"/>
    <w:semiHidden/>
    <w:unhideWhenUsed/>
    <w:qFormat/>
    <w:uiPriority w:val="1"/>
    <w:pPr>
      <w:widowControl w:val="0"/>
      <w:spacing w:after="0" w:line="240" w:lineRule="auto"/>
    </w:pPr>
    <w:rPr>
      <w:rFonts w:ascii="Times New Roman" w:hAnsi="Times New Roman" w:eastAsia="Times New Roman" w:cs="Times New Roman"/>
      <w:sz w:val="24"/>
      <w:szCs w:val="24"/>
      <w:lang w:val="en-US"/>
    </w:rPr>
  </w:style>
  <w:style w:type="character" w:styleId="5">
    <w:name w:val="footnote reference"/>
    <w:basedOn w:val="2"/>
    <w:semiHidden/>
    <w:unhideWhenUsed/>
    <w:uiPriority w:val="99"/>
    <w:rPr>
      <w:vertAlign w:val="superscript"/>
    </w:rPr>
  </w:style>
  <w:style w:type="paragraph" w:styleId="6">
    <w:name w:val="footnote text"/>
    <w:basedOn w:val="1"/>
    <w:link w:val="11"/>
    <w:unhideWhenUsed/>
    <w:uiPriority w:val="0"/>
    <w:pPr>
      <w:spacing w:after="0" w:line="240" w:lineRule="auto"/>
    </w:pPr>
    <w:rPr>
      <w:sz w:val="20"/>
      <w:szCs w:val="20"/>
    </w:rPr>
  </w:style>
  <w:style w:type="paragraph" w:styleId="7">
    <w:name w:val="HTML Preformatted"/>
    <w:basedOn w:val="1"/>
    <w:link w:val="10"/>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id-ID"/>
    </w:rPr>
  </w:style>
  <w:style w:type="paragraph" w:styleId="8">
    <w:name w:val="Title"/>
    <w:basedOn w:val="1"/>
    <w:link w:val="15"/>
    <w:qFormat/>
    <w:uiPriority w:val="1"/>
    <w:pPr>
      <w:widowControl w:val="0"/>
      <w:autoSpaceDE w:val="0"/>
      <w:autoSpaceDN w:val="0"/>
      <w:spacing w:before="114" w:after="0" w:line="240" w:lineRule="auto"/>
      <w:ind w:left="4018" w:right="4031"/>
      <w:jc w:val="center"/>
    </w:pPr>
    <w:rPr>
      <w:rFonts w:ascii="Times New Roman" w:hAnsi="Times New Roman" w:eastAsia="Times New Roman" w:cs="Times New Roman"/>
      <w:b/>
      <w:bCs/>
      <w:sz w:val="24"/>
      <w:szCs w:val="24"/>
    </w:rPr>
  </w:style>
  <w:style w:type="paragraph" w:customStyle="1" w:styleId="9">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 w:type="character" w:customStyle="1" w:styleId="10">
    <w:name w:val="HTML Preformatted Char"/>
    <w:basedOn w:val="2"/>
    <w:link w:val="7"/>
    <w:semiHidden/>
    <w:uiPriority w:val="99"/>
    <w:rPr>
      <w:rFonts w:ascii="Courier New" w:hAnsi="Courier New" w:eastAsia="Times New Roman" w:cs="Courier New"/>
      <w:sz w:val="20"/>
      <w:szCs w:val="20"/>
      <w:lang w:eastAsia="id-ID"/>
    </w:rPr>
  </w:style>
  <w:style w:type="character" w:customStyle="1" w:styleId="11">
    <w:name w:val="Footnote Text Char"/>
    <w:basedOn w:val="2"/>
    <w:link w:val="6"/>
    <w:uiPriority w:val="0"/>
    <w:rPr>
      <w:sz w:val="20"/>
      <w:szCs w:val="20"/>
    </w:rPr>
  </w:style>
  <w:style w:type="paragraph" w:styleId="12">
    <w:name w:val="List Paragraph"/>
    <w:basedOn w:val="1"/>
    <w:qFormat/>
    <w:uiPriority w:val="34"/>
    <w:pPr>
      <w:spacing w:line="256" w:lineRule="auto"/>
      <w:ind w:left="720"/>
      <w:contextualSpacing/>
    </w:pPr>
  </w:style>
  <w:style w:type="character" w:customStyle="1" w:styleId="13">
    <w:name w:val="ya-q-full-text"/>
    <w:basedOn w:val="2"/>
    <w:uiPriority w:val="0"/>
  </w:style>
  <w:style w:type="character" w:customStyle="1" w:styleId="14">
    <w:name w:val="Body Text Char"/>
    <w:basedOn w:val="2"/>
    <w:link w:val="4"/>
    <w:semiHidden/>
    <w:uiPriority w:val="1"/>
    <w:rPr>
      <w:rFonts w:ascii="Times New Roman" w:hAnsi="Times New Roman" w:eastAsia="Times New Roman" w:cs="Times New Roman"/>
      <w:sz w:val="24"/>
      <w:szCs w:val="24"/>
      <w:lang w:val="en-US"/>
    </w:rPr>
  </w:style>
  <w:style w:type="character" w:customStyle="1" w:styleId="15">
    <w:name w:val="Title Char"/>
    <w:basedOn w:val="2"/>
    <w:link w:val="8"/>
    <w:uiPriority w:val="1"/>
    <w:rPr>
      <w:rFonts w:ascii="Times New Roman" w:hAnsi="Times New Roman" w:eastAsia="Times New Roman" w:cs="Times New Roman"/>
      <w:b/>
      <w:bCs/>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8962</Words>
  <Characters>51086</Characters>
  <Lines>425</Lines>
  <Paragraphs>119</Paragraphs>
  <TotalTime>2</TotalTime>
  <ScaleCrop>false</ScaleCrop>
  <LinksUpToDate>false</LinksUpToDate>
  <CharactersWithSpaces>59929</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2021-10-23T06:56:00Z</dcterms:created>
  <dc:creator>LAPTOP</dc:creator>
  <cp:lastModifiedBy>USER</cp:lastModifiedBy>
  <dcterms:modified xsi:type="dcterms:W3CDTF">2021-10-23T07:14:43Z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2057-11.2.0.10323</vt:lpwstr>
  </property>
  <property fmtid="{D5CDD505-2E9C-101B-9397-08002B2CF9AE}" pid="3" name="ICV">
    <vt:lpwstr>B428BA1CC21D463893E657ED796E7384</vt:lpwstr>
  </property>
</Properties>
</file>