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ascii="Arial" w:hAnsi="Arial" w:cs="Arial"/>
          <w:b/>
          <w:sz w:val="28"/>
          <w:szCs w:val="28"/>
        </w:rPr>
        <w:t>PEMUSNAHAN BARANG SITAAN SEBAGAI BARANG BUKTI DI TINGKAT PENYIDIKAN DAN PENUNTUTAN MENURUT KUHP &amp; KUHAP DALAM PRESPEKTIF PEMBAHARUAN HUKUM</w:t>
      </w:r>
    </w:p>
    <w:p>
      <w:pPr>
        <w:jc w:val="center"/>
        <w:rPr>
          <w:rFonts w:ascii="Times New Roman" w:hAnsi="Times New Roman"/>
          <w:b/>
          <w:sz w:val="23"/>
        </w:rPr>
      </w:pPr>
    </w:p>
    <w:p>
      <w:pPr>
        <w:jc w:val="center"/>
        <w:rPr>
          <w:rFonts w:ascii="Times New Roman" w:hAnsi="Times New Roman"/>
          <w:sz w:val="23"/>
        </w:rPr>
      </w:pPr>
      <w:r>
        <w:rPr>
          <w:rFonts w:ascii="Times New Roman" w:hAnsi="Times New Roman"/>
          <w:sz w:val="23"/>
        </w:rPr>
        <w:t>Fahmi Akbar</w:t>
      </w:r>
    </w:p>
    <w:p>
      <w:pPr>
        <w:jc w:val="center"/>
        <w:rPr>
          <w:rFonts w:ascii="Times New Roman" w:hAnsi="Times New Roman" w:eastAsia="Cambria" w:cs="Times New Roman"/>
          <w:bCs/>
          <w:sz w:val="23"/>
        </w:rPr>
      </w:pPr>
      <w:r>
        <w:rPr>
          <w:rFonts w:ascii="Times New Roman" w:hAnsi="Times New Roman" w:eastAsia="Cambria" w:cs="Times New Roman"/>
          <w:bCs/>
          <w:sz w:val="23"/>
        </w:rPr>
        <w:t>178040054</w:t>
      </w:r>
    </w:p>
    <w:p>
      <w:pPr>
        <w:jc w:val="center"/>
        <w:rPr>
          <w:rFonts w:ascii="Times New Roman" w:hAnsi="Times New Roman"/>
          <w:bCs/>
          <w:sz w:val="23"/>
        </w:rPr>
      </w:pPr>
    </w:p>
    <w:p>
      <w:pPr>
        <w:jc w:val="center"/>
        <w:rPr>
          <w:rFonts w:ascii="Times New Roman" w:hAnsi="Times New Roman"/>
          <w:b/>
          <w:sz w:val="23"/>
        </w:rPr>
      </w:pPr>
      <w:r>
        <w:rPr>
          <w:rFonts w:ascii="Times New Roman" w:hAnsi="Times New Roman"/>
          <w:b/>
          <w:sz w:val="23"/>
        </w:rPr>
        <w:t>ABSTRAK</w:t>
      </w:r>
    </w:p>
    <w:p>
      <w:pPr>
        <w:widowControl w:val="0"/>
        <w:autoSpaceDE w:val="0"/>
        <w:autoSpaceDN w:val="0"/>
        <w:adjustRightInd w:val="0"/>
        <w:ind w:firstLine="720"/>
        <w:jc w:val="both"/>
        <w:rPr>
          <w:rFonts w:ascii="Times New Roman" w:hAnsi="Times New Roman" w:cs="Times New Roman"/>
          <w:color w:val="000000"/>
          <w:sz w:val="23"/>
          <w:szCs w:val="22"/>
        </w:rPr>
      </w:pPr>
      <w:r>
        <w:rPr>
          <w:rFonts w:ascii="Times New Roman" w:hAnsi="Times New Roman" w:cs="Arial"/>
          <w:iCs/>
          <w:sz w:val="23"/>
          <w:szCs w:val="26"/>
        </w:rPr>
        <w:t>Perkembangan dalam bidang perekonomian</w:t>
      </w:r>
      <w:r>
        <w:rPr>
          <w:rFonts w:ascii="Times New Roman" w:hAnsi="Times New Roman" w:cs="Verdana"/>
          <w:spacing w:val="10"/>
          <w:kern w:val="1"/>
          <w:sz w:val="23"/>
        </w:rPr>
        <w:t xml:space="preserve"> telah merambah dalam semua sisi kehidupan, tidak </w:t>
      </w:r>
      <w:r>
        <w:rPr>
          <w:rFonts w:ascii="Times New Roman" w:hAnsi="Times New Roman" w:cs="Verdana"/>
          <w:spacing w:val="-4"/>
          <w:kern w:val="1"/>
          <w:sz w:val="23"/>
        </w:rPr>
        <w:t xml:space="preserve">terkecuali bidang hukum. Setelah beberapa waktu lalu untuk </w:t>
      </w:r>
      <w:r>
        <w:rPr>
          <w:rFonts w:ascii="Times New Roman" w:hAnsi="Times New Roman" w:cs="Times"/>
          <w:sz w:val="23"/>
          <w:szCs w:val="32"/>
        </w:rPr>
        <w:t xml:space="preserve">pertama kalinya pasal Undang-Undang Lembaga Penjamin Simpanan diterapkan pada kasus terhambatnya proses likuidasi. </w:t>
      </w:r>
      <w:r>
        <w:rPr>
          <w:rFonts w:ascii="Times New Roman" w:hAnsi="Times New Roman" w:cs="Times New Roman"/>
          <w:color w:val="000000"/>
          <w:sz w:val="23"/>
          <w:szCs w:val="22"/>
        </w:rPr>
        <w:t xml:space="preserve">Namun yang menjadi permasalahan adalah terhadap </w:t>
      </w:r>
      <w:r>
        <w:rPr>
          <w:rFonts w:ascii="Times New Roman" w:hAnsi="Times New Roman"/>
          <w:sz w:val="23"/>
        </w:rPr>
        <w:t>konsekuensi yuridis mengenai terhambatnya Proses Likuidasi menurut Undang-Undang Lembaga Penjamin Simpanan (LPS) jo. Undang-Undang Perseroan Terbatas, dan penerapan Pasal 95 ayat (1) jo Pasal 47 ayat (3) Undang-Undang Lembaga Penjamin Simpanan (LPS).</w:t>
      </w:r>
    </w:p>
    <w:p>
      <w:pPr>
        <w:widowControl w:val="0"/>
        <w:autoSpaceDE w:val="0"/>
        <w:autoSpaceDN w:val="0"/>
        <w:adjustRightInd w:val="0"/>
        <w:ind w:firstLine="720"/>
        <w:jc w:val="both"/>
        <w:rPr>
          <w:rFonts w:ascii="Times New Roman" w:hAnsi="Times New Roman" w:cs="Times New Roman"/>
          <w:color w:val="000000"/>
          <w:sz w:val="23"/>
          <w:szCs w:val="22"/>
        </w:rPr>
      </w:pPr>
      <w:r>
        <w:rPr>
          <w:rFonts w:ascii="Times New Roman" w:hAnsi="Times New Roman" w:cs="Times New Roman"/>
          <w:color w:val="000000"/>
          <w:sz w:val="23"/>
          <w:szCs w:val="22"/>
        </w:rPr>
        <w:t xml:space="preserve">Metode penelitian ini menggunakan metode pendekatan yuridis normatif, yaitu pendekatan atau penelitian hukum dengan menggunakan metode pendekatan/teori/konsep dan metode analisis yang termasuk dalam disiplin Ilmu Hukum yang </w:t>
      </w:r>
      <w:r>
        <w:rPr>
          <w:rFonts w:ascii="Times New Roman" w:hAnsi="Times New Roman" w:cs="Times New Roman"/>
          <w:i/>
          <w:iCs/>
          <w:color w:val="000000"/>
          <w:sz w:val="23"/>
          <w:szCs w:val="22"/>
        </w:rPr>
        <w:t>dogmatis</w:t>
      </w:r>
      <w:r>
        <w:rPr>
          <w:rFonts w:ascii="Times New Roman" w:hAnsi="Times New Roman" w:cs="Times New Roman"/>
          <w:color w:val="000000"/>
          <w:sz w:val="23"/>
          <w:szCs w:val="22"/>
        </w:rPr>
        <w:t>. Tahap penelitian yang dilakukan adalah penelitian kepustakaan dan di lapangan. Teknik pengumpulan data yang digunakan adalah studi dokumen dan kepustakaan. Data yang telah didapat kemudian dianalisis secara yuridis kualitatif dan komparatif dalam arti bahwa data yang diperoleh dianalisis secara kualitatif berdasarkan studi dokumen, di samping memperhatikan teknik dalam pengumpulan data.</w:t>
      </w:r>
    </w:p>
    <w:p>
      <w:pPr>
        <w:spacing w:after="120"/>
        <w:ind w:firstLine="720"/>
        <w:jc w:val="both"/>
        <w:rPr>
          <w:rFonts w:ascii="Times New Roman" w:hAnsi="Times New Roman" w:cs="Times New Roman"/>
          <w:color w:val="000000"/>
          <w:sz w:val="23"/>
          <w:szCs w:val="22"/>
        </w:rPr>
      </w:pPr>
      <w:r>
        <w:rPr>
          <w:rFonts w:ascii="Times New Roman" w:hAnsi="Times New Roman" w:cs="Times New Roman"/>
          <w:color w:val="000000"/>
          <w:sz w:val="23"/>
          <w:szCs w:val="22"/>
        </w:rPr>
        <w:t xml:space="preserve">Pasal </w:t>
      </w:r>
      <w:r>
        <w:rPr>
          <w:rFonts w:ascii="Times New Roman" w:hAnsi="Times New Roman"/>
          <w:sz w:val="23"/>
          <w:szCs w:val="32"/>
        </w:rPr>
        <w:t>95 ayat (1) jo Pasal 47 ayat (3) Undang-Undang No.24 Tahun 2004 Tentang Lembaga Penjamin Simpanan</w:t>
      </w:r>
      <w:r>
        <w:rPr>
          <w:rFonts w:ascii="Times New Roman" w:hAnsi="Times New Roman" w:cs="Times New Roman"/>
          <w:color w:val="000000"/>
          <w:sz w:val="23"/>
          <w:szCs w:val="22"/>
        </w:rPr>
        <w:t xml:space="preserve"> yang mengatur mengenai larangan menghambat proses likuidasi, dan </w:t>
      </w:r>
      <w:r>
        <w:rPr>
          <w:rFonts w:ascii="Times New Roman" w:hAnsi="Times New Roman"/>
          <w:bCs/>
          <w:sz w:val="23"/>
        </w:rPr>
        <w:t>Pasal 50 Undang-Undang No.24 Tahun 2004 yang mengatur mengenai sengketa proses likuidasi</w:t>
      </w:r>
      <w:r>
        <w:rPr>
          <w:rFonts w:ascii="Times New Roman" w:hAnsi="Times New Roman" w:cs="Times New Roman"/>
          <w:color w:val="000000"/>
          <w:sz w:val="23"/>
          <w:szCs w:val="22"/>
        </w:rPr>
        <w:t>. Jika hanya mengacu pada rumusan pasal tersebut maka sangat sulit untuk menetukan perbuatan mana yang dapat dikategorikan perbuatan menghambat proses likuidasi dan mana yang merupakan sengketa proses likuidasi. Alat bukti selama ini dipahami sebagai sesuatu yang dijadikan dasar oleh hakim untuk memutus perkara. Berbeda dengan barang bukti yang hanya berfungsi untuk menambah keyakinan hakim dalam memeriksa perkara. Masalah tersebut sekiranya dapat diatasi dengan bersandarkan pada unsur-unsur tidak pidana, asas-asas hukum, teori tindak pidana, dan Undang-Undang No.40 Tahun 2007 tentang Perseroan terbatas.</w:t>
      </w:r>
    </w:p>
    <w:p>
      <w:pPr>
        <w:jc w:val="both"/>
        <w:rPr>
          <w:rFonts w:ascii="Times New Roman" w:hAnsi="Times New Roman" w:cs="Times New Roman"/>
          <w:color w:val="000000"/>
          <w:sz w:val="23"/>
          <w:szCs w:val="22"/>
        </w:rPr>
      </w:pPr>
      <w:r>
        <w:rPr>
          <w:rFonts w:ascii="Times New Roman" w:hAnsi="Times New Roman" w:cs="Times New Roman"/>
          <w:color w:val="000000"/>
          <w:sz w:val="23"/>
          <w:szCs w:val="22"/>
        </w:rPr>
        <w:t>Kata Kunci :</w:t>
      </w:r>
      <w:r>
        <w:rPr>
          <w:rFonts w:ascii="Times New Roman" w:hAnsi="Times New Roman" w:cs="Times New Roman"/>
          <w:color w:val="000000"/>
          <w:sz w:val="23"/>
          <w:szCs w:val="22"/>
        </w:rPr>
        <w:tab/>
      </w:r>
      <w:r>
        <w:rPr>
          <w:rFonts w:ascii="Times New Roman" w:hAnsi="Times New Roman" w:cs="Times New Roman"/>
          <w:color w:val="000000"/>
          <w:sz w:val="23"/>
          <w:szCs w:val="22"/>
        </w:rPr>
        <w:t>Terhambatnya Proses Likuidasi, Undang-Undang No. 24 Tahun 2004.</w:t>
      </w:r>
    </w:p>
    <w:p>
      <w:pPr>
        <w:jc w:val="both"/>
        <w:rPr>
          <w:rFonts w:ascii="Times New Roman" w:hAnsi="Times New Roman" w:cs="Times New Roman"/>
          <w:color w:val="000000"/>
          <w:sz w:val="23"/>
          <w:szCs w:val="22"/>
        </w:rPr>
      </w:pPr>
    </w:p>
    <w:p>
      <w:pPr>
        <w:jc w:val="center"/>
        <w:rPr>
          <w:rFonts w:ascii="Times New Roman" w:hAnsi="Times New Roman" w:cs="Times New Roman"/>
          <w:b/>
          <w:i/>
          <w:color w:val="000000" w:themeColor="text1"/>
          <w:sz w:val="23"/>
        </w:rPr>
      </w:pPr>
      <w:r>
        <w:rPr>
          <w:rFonts w:ascii="Times New Roman" w:hAnsi="Times New Roman" w:cs="Times New Roman"/>
          <w:b/>
          <w:i/>
          <w:color w:val="000000" w:themeColor="text1"/>
          <w:sz w:val="23"/>
        </w:rPr>
        <w:t>ABSTRACT</w:t>
      </w:r>
    </w:p>
    <w:p>
      <w:pPr>
        <w:ind w:firstLine="720"/>
        <w:jc w:val="both"/>
        <w:rPr>
          <w:rFonts w:ascii="Times New Roman" w:hAnsi="Times New Roman"/>
          <w:bCs/>
          <w:i/>
          <w:color w:val="000000" w:themeColor="text1"/>
          <w:sz w:val="23"/>
        </w:rPr>
      </w:pPr>
      <w:r>
        <w:rPr>
          <w:rFonts w:ascii="Times New Roman" w:hAnsi="Times New Roman"/>
          <w:i/>
          <w:color w:val="000000" w:themeColor="text1"/>
          <w:sz w:val="23"/>
        </w:rPr>
        <w:t xml:space="preserve">Economic development has been penetrating every aspect of life, including the law. After a while ago, </w:t>
      </w:r>
      <w:r>
        <w:rPr>
          <w:rFonts w:ascii="Times New Roman" w:hAnsi="Times New Roman"/>
          <w:i/>
          <w:color w:val="000000" w:themeColor="text1"/>
          <w:sz w:val="23"/>
          <w:shd w:val="clear" w:color="auto" w:fill="FFFFFF"/>
        </w:rPr>
        <w:t xml:space="preserve">The </w:t>
      </w:r>
      <w:r>
        <w:rPr>
          <w:rFonts w:ascii="Times New Roman" w:hAnsi="Times New Roman"/>
          <w:bCs/>
          <w:i/>
          <w:color w:val="000000" w:themeColor="text1"/>
          <w:sz w:val="23"/>
        </w:rPr>
        <w:t xml:space="preserve">Act on Deposit Insurance Corporation </w:t>
      </w:r>
      <w:r>
        <w:rPr>
          <w:rFonts w:ascii="Times New Roman" w:hAnsi="Times New Roman"/>
          <w:i/>
          <w:color w:val="000000" w:themeColor="text1"/>
          <w:sz w:val="23"/>
          <w:shd w:val="clear" w:color="auto" w:fill="FFFFFF"/>
        </w:rPr>
        <w:t xml:space="preserve">was applied to the case of </w:t>
      </w:r>
      <w:r>
        <w:rPr>
          <w:rFonts w:ascii="Times New Roman" w:hAnsi="Times New Roman"/>
          <w:i/>
          <w:color w:val="000000" w:themeColor="text1"/>
          <w:sz w:val="23"/>
        </w:rPr>
        <w:t>obstructing the liquidation process</w:t>
      </w:r>
      <w:r>
        <w:rPr>
          <w:rFonts w:ascii="Times New Roman" w:hAnsi="Times New Roman"/>
          <w:i/>
          <w:color w:val="000000" w:themeColor="text1"/>
          <w:sz w:val="23"/>
          <w:shd w:val="clear" w:color="auto" w:fill="FFFFFF"/>
        </w:rPr>
        <w:t xml:space="preserve"> for the first time. However, the problem is the legal consequences as regards </w:t>
      </w:r>
      <w:r>
        <w:rPr>
          <w:rFonts w:ascii="Times New Roman" w:hAnsi="Times New Roman"/>
          <w:i/>
          <w:color w:val="000000" w:themeColor="text1"/>
          <w:sz w:val="23"/>
        </w:rPr>
        <w:t>obstructing the liquidation process</w:t>
      </w:r>
      <w:r>
        <w:rPr>
          <w:rFonts w:ascii="Times New Roman" w:hAnsi="Times New Roman"/>
          <w:i/>
          <w:color w:val="000000" w:themeColor="text1"/>
          <w:sz w:val="23"/>
          <w:shd w:val="clear" w:color="auto" w:fill="FFFFFF"/>
        </w:rPr>
        <w:t xml:space="preserve"> according to The </w:t>
      </w:r>
      <w:r>
        <w:rPr>
          <w:rFonts w:ascii="Times New Roman" w:hAnsi="Times New Roman"/>
          <w:bCs/>
          <w:i/>
          <w:color w:val="000000" w:themeColor="text1"/>
          <w:sz w:val="23"/>
        </w:rPr>
        <w:t xml:space="preserve">Act on Deposit Insurance Corporation </w:t>
      </w:r>
      <w:r>
        <w:rPr>
          <w:rFonts w:ascii="Times New Roman" w:hAnsi="Times New Roman"/>
          <w:i/>
          <w:color w:val="000000" w:themeColor="text1"/>
          <w:sz w:val="23"/>
          <w:shd w:val="clear" w:color="auto" w:fill="FFFFFF"/>
        </w:rPr>
        <w:t>jo.</w:t>
      </w:r>
      <w:r>
        <w:rPr>
          <w:rFonts w:ascii="Times New Roman" w:hAnsi="Times New Roman"/>
          <w:i/>
          <w:color w:val="000000" w:themeColor="text1"/>
          <w:sz w:val="23"/>
        </w:rPr>
        <w:t xml:space="preserve"> </w:t>
      </w:r>
      <w:r>
        <w:rPr>
          <w:rFonts w:ascii="Times New Roman" w:hAnsi="Times New Roman"/>
          <w:i/>
          <w:color w:val="000000" w:themeColor="text1"/>
          <w:sz w:val="23"/>
          <w:shd w:val="clear" w:color="auto" w:fill="FFFFFF"/>
        </w:rPr>
        <w:t xml:space="preserve">Limited Liability Company, and the application of Article 95 clause (1) jo Article 47 clause (3) of The </w:t>
      </w:r>
      <w:r>
        <w:rPr>
          <w:rFonts w:ascii="Times New Roman" w:hAnsi="Times New Roman"/>
          <w:bCs/>
          <w:i/>
          <w:color w:val="000000" w:themeColor="text1"/>
          <w:sz w:val="23"/>
        </w:rPr>
        <w:t>Act on Deposit Insurance Corporation.</w:t>
      </w:r>
    </w:p>
    <w:p>
      <w:pPr>
        <w:ind w:firstLine="720"/>
        <w:jc w:val="both"/>
        <w:rPr>
          <w:rFonts w:ascii="Times New Roman" w:hAnsi="Times New Roman"/>
          <w:i/>
          <w:color w:val="000000" w:themeColor="text1"/>
          <w:sz w:val="23"/>
        </w:rPr>
      </w:pPr>
      <w:r>
        <w:rPr>
          <w:rFonts w:ascii="Times New Roman" w:hAnsi="Times New Roman"/>
          <w:bCs/>
          <w:i/>
          <w:color w:val="000000" w:themeColor="text1"/>
          <w:sz w:val="23"/>
        </w:rPr>
        <w:t xml:space="preserve">The methods used in this research is the </w:t>
      </w:r>
      <w:r>
        <w:rPr>
          <w:rFonts w:ascii="Times New Roman" w:hAnsi="Times New Roman"/>
          <w:i/>
          <w:color w:val="000000" w:themeColor="text1"/>
          <w:sz w:val="23"/>
        </w:rPr>
        <w:t>normative juridical approach, is a legal research which uses theory/conceptual and analytical approach that belongs to the dogmatic sciences of law. Stage performed in this research are library research and field research. The data collection techniques in this research done by literature studies and library research. The data obtained in this research is then analysed by comparative and qualitative juridical, in the sense that all the data obtained and analysed qualitatively based on literature studies, in addition to observe the data collection techniques.</w:t>
      </w:r>
    </w:p>
    <w:p>
      <w:pPr>
        <w:spacing w:after="120"/>
        <w:ind w:firstLine="720"/>
        <w:jc w:val="both"/>
        <w:rPr>
          <w:rFonts w:ascii="Times New Roman" w:hAnsi="Times New Roman" w:cs="Times New Roman"/>
          <w:color w:val="000000"/>
          <w:sz w:val="23"/>
          <w:szCs w:val="22"/>
        </w:rPr>
      </w:pPr>
      <w:r>
        <w:rPr>
          <w:rFonts w:ascii="Times New Roman" w:hAnsi="Times New Roman"/>
          <w:i/>
          <w:color w:val="000000" w:themeColor="text1"/>
          <w:sz w:val="23"/>
          <w:shd w:val="clear" w:color="auto" w:fill="FFFFFF"/>
        </w:rPr>
        <w:t xml:space="preserve">Article 95 clause (1) jo Article 47 clause (3) </w:t>
      </w:r>
      <w:r>
        <w:rPr>
          <w:rFonts w:ascii="Times New Roman" w:hAnsi="Times New Roman"/>
          <w:bCs/>
          <w:i/>
          <w:color w:val="000000" w:themeColor="text1"/>
          <w:sz w:val="23"/>
        </w:rPr>
        <w:t xml:space="preserve">The Law of Republic of Indonesia Number 24 year 2004 concerning Deposit Insurance Corporation that governs the prohibition of </w:t>
      </w:r>
      <w:r>
        <w:rPr>
          <w:rFonts w:ascii="Times New Roman" w:hAnsi="Times New Roman"/>
          <w:i/>
          <w:color w:val="000000" w:themeColor="text1"/>
          <w:sz w:val="23"/>
        </w:rPr>
        <w:t xml:space="preserve">obstructing the liquidation process, and Article 50 </w:t>
      </w:r>
      <w:r>
        <w:rPr>
          <w:rFonts w:ascii="Times New Roman" w:hAnsi="Times New Roman"/>
          <w:bCs/>
          <w:i/>
          <w:color w:val="000000" w:themeColor="text1"/>
          <w:sz w:val="23"/>
        </w:rPr>
        <w:t xml:space="preserve">The Law of Republic of Indonesia Number 24 year 2004 that governs the </w:t>
      </w:r>
      <w:r>
        <w:rPr>
          <w:rFonts w:ascii="Times New Roman" w:hAnsi="Times New Roman"/>
          <w:i/>
          <w:color w:val="000000" w:themeColor="text1"/>
          <w:sz w:val="23"/>
        </w:rPr>
        <w:t xml:space="preserve">dispute in the liquidation process. If only refers to the article, it is very difficult to determine which one is categorized as impeding the liquidation process and which one is dispute in the liquidation process. The evidence has been understood as something that is used by the judges as a basis to decide the case. Differed from the exhibit law that only serves to increase the confidence of the judges in examining cases. The problem can be overcome by relying on the elements of criminal act, legal principles, the theory of criminal act, and </w:t>
      </w:r>
      <w:r>
        <w:rPr>
          <w:rFonts w:ascii="Times New Roman" w:hAnsi="Times New Roman"/>
          <w:bCs/>
          <w:i/>
          <w:color w:val="000000" w:themeColor="text1"/>
          <w:sz w:val="23"/>
        </w:rPr>
        <w:t>The Law of The republic of Indonesia Number 40 year 2007 concerning Limited Liability Company.</w:t>
      </w:r>
    </w:p>
    <w:p>
      <w:pPr>
        <w:jc w:val="both"/>
        <w:rPr>
          <w:rFonts w:ascii="Times New Roman" w:hAnsi="Times New Roman" w:cs="Times New Roman"/>
          <w:color w:val="000000"/>
          <w:sz w:val="23"/>
          <w:szCs w:val="22"/>
        </w:rPr>
      </w:pPr>
      <w:r>
        <w:rPr>
          <w:rFonts w:ascii="Times New Roman" w:hAnsi="Times New Roman"/>
          <w:i/>
          <w:color w:val="000000" w:themeColor="text1"/>
          <w:sz w:val="23"/>
        </w:rPr>
        <w:t xml:space="preserve">Keywords: Obstructing the liquidation process, </w:t>
      </w:r>
      <w:r>
        <w:rPr>
          <w:rFonts w:ascii="Times New Roman" w:hAnsi="Times New Roman"/>
          <w:bCs/>
          <w:i/>
          <w:color w:val="000000" w:themeColor="text1"/>
          <w:sz w:val="23"/>
        </w:rPr>
        <w:t>The Law of Republic of Indonesia Number 24 year 2004</w:t>
      </w:r>
    </w:p>
    <w:p>
      <w:pPr>
        <w:spacing w:line="360" w:lineRule="auto"/>
        <w:jc w:val="both"/>
        <w:rPr>
          <w:rFonts w:ascii="Times New Roman" w:hAnsi="Times New Roman"/>
          <w:bCs/>
          <w:i/>
          <w:color w:val="000000" w:themeColor="text1"/>
          <w:sz w:val="23"/>
        </w:rPr>
      </w:pPr>
    </w:p>
    <w:p>
      <w:pPr>
        <w:spacing w:line="360" w:lineRule="auto"/>
        <w:rPr>
          <w:rFonts w:ascii="Times New Roman" w:hAnsi="Times New Roman"/>
          <w:b/>
          <w:sz w:val="23"/>
        </w:rPr>
      </w:pPr>
      <w:bookmarkStart w:id="0" w:name="_GoBack"/>
      <w:bookmarkEnd w:id="0"/>
      <w:r>
        <w:rPr>
          <w:rFonts w:ascii="Times New Roman" w:hAnsi="Times New Roman"/>
          <w:b/>
          <w:sz w:val="23"/>
        </w:rPr>
        <w:t>DAFTAR PUSTAKA</w:t>
      </w:r>
    </w:p>
    <w:p>
      <w:pPr>
        <w:numPr>
          <w:ilvl w:val="0"/>
          <w:numId w:val="1"/>
        </w:numPr>
        <w:autoSpaceDE w:val="0"/>
        <w:autoSpaceDN w:val="0"/>
        <w:adjustRightInd w:val="0"/>
        <w:spacing w:line="360" w:lineRule="auto"/>
        <w:ind w:left="426" w:hanging="426"/>
        <w:contextualSpacing/>
        <w:jc w:val="both"/>
        <w:rPr>
          <w:rFonts w:ascii="Times New Roman" w:hAnsi="Times New Roman"/>
          <w:b/>
          <w:sz w:val="23"/>
        </w:rPr>
      </w:pPr>
      <w:r>
        <w:rPr>
          <w:rFonts w:ascii="Times New Roman" w:hAnsi="Times New Roman"/>
          <w:b/>
          <w:sz w:val="23"/>
        </w:rPr>
        <w:t>Buku-buku</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Adji, Indriyanto Seno. </w:t>
      </w:r>
      <w:r>
        <w:rPr>
          <w:rFonts w:ascii="Times New Roman" w:hAnsi="Times New Roman"/>
          <w:i/>
          <w:sz w:val="23"/>
        </w:rPr>
        <w:t xml:space="preserve">Tindak Pidana Ekonomi, Bisnis dan Korupsi Perbankan. </w:t>
      </w:r>
      <w:r>
        <w:rPr>
          <w:rFonts w:ascii="Times New Roman" w:hAnsi="Times New Roman"/>
          <w:sz w:val="23"/>
        </w:rPr>
        <w:t>Bandung: Modul Kuliah Kejahatan Bisnis Pascasarjana UNPAD.</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H.S, Salim dan Erlies Septiana Nurbani. 2016. </w:t>
      </w:r>
      <w:r>
        <w:rPr>
          <w:rFonts w:ascii="Times New Roman" w:hAnsi="Times New Roman"/>
          <w:i/>
          <w:sz w:val="23"/>
        </w:rPr>
        <w:t xml:space="preserve">Penerapan Teori Hukum Pada Penelitian Tesis dan Disertasi. </w:t>
      </w:r>
      <w:r>
        <w:rPr>
          <w:rFonts w:ascii="Times New Roman" w:hAnsi="Times New Roman"/>
          <w:sz w:val="23"/>
        </w:rPr>
        <w:t>Jakarta:</w:t>
      </w:r>
      <w:r>
        <w:rPr>
          <w:rFonts w:ascii="Times New Roman" w:hAnsi="Times New Roman"/>
          <w:i/>
          <w:sz w:val="23"/>
        </w:rPr>
        <w:t xml:space="preserve"> </w:t>
      </w:r>
      <w:r>
        <w:rPr>
          <w:rFonts w:ascii="Times New Roman" w:hAnsi="Times New Roman"/>
          <w:sz w:val="23"/>
        </w:rPr>
        <w:t>Rajawali Pers.</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Indradi, Ade Ary Sam. 2006. </w:t>
      </w:r>
      <w:r>
        <w:rPr>
          <w:rFonts w:ascii="Times New Roman" w:hAnsi="Times New Roman"/>
          <w:i/>
          <w:sz w:val="23"/>
        </w:rPr>
        <w:t>CARDING Modus Operandi, Penyidikan dan Penindakan</w:t>
      </w:r>
      <w:r>
        <w:rPr>
          <w:rFonts w:ascii="Times New Roman" w:hAnsi="Times New Roman"/>
          <w:sz w:val="23"/>
        </w:rPr>
        <w:t>. Jakarta: Grafika Indah.</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Lamintang, P.A.F. 1997. </w:t>
      </w:r>
      <w:r>
        <w:rPr>
          <w:rFonts w:ascii="Times New Roman" w:hAnsi="Times New Roman"/>
          <w:i/>
          <w:sz w:val="23"/>
        </w:rPr>
        <w:t>Dasar-Dasar Hukum Pidana Indonesia</w:t>
      </w:r>
      <w:r>
        <w:rPr>
          <w:rFonts w:ascii="Times New Roman" w:hAnsi="Times New Roman"/>
          <w:sz w:val="23"/>
        </w:rPr>
        <w:t>. Bandung: PT. Citra Aditya Bakti.</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Mertokusumo, Sudikno. 2003. </w:t>
      </w:r>
      <w:r>
        <w:rPr>
          <w:rFonts w:ascii="Times New Roman" w:hAnsi="Times New Roman"/>
          <w:i/>
          <w:sz w:val="23"/>
        </w:rPr>
        <w:t>MENGENAL HUKUM, Suatu Pengantar</w:t>
      </w:r>
      <w:r>
        <w:rPr>
          <w:rFonts w:ascii="Times New Roman" w:hAnsi="Times New Roman"/>
          <w:sz w:val="23"/>
        </w:rPr>
        <w:t>. Yogyakarta : Liberty.</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Muladi dan Barda Nawawi Arief. 2010. </w:t>
      </w:r>
      <w:r>
        <w:rPr>
          <w:rFonts w:ascii="Times New Roman" w:hAnsi="Times New Roman"/>
          <w:i/>
          <w:sz w:val="23"/>
        </w:rPr>
        <w:t xml:space="preserve">Teori-Teori dan kebijakan pidana. </w:t>
      </w:r>
      <w:r>
        <w:rPr>
          <w:rFonts w:ascii="Times New Roman" w:hAnsi="Times New Roman"/>
          <w:sz w:val="23"/>
        </w:rPr>
        <w:t>Bandung:</w:t>
      </w:r>
      <w:r>
        <w:rPr>
          <w:rFonts w:ascii="Times New Roman" w:hAnsi="Times New Roman"/>
          <w:i/>
          <w:sz w:val="23"/>
        </w:rPr>
        <w:t xml:space="preserve"> </w:t>
      </w:r>
      <w:r>
        <w:rPr>
          <w:rFonts w:ascii="Times New Roman" w:hAnsi="Times New Roman"/>
          <w:sz w:val="23"/>
        </w:rPr>
        <w:t>PT. Alumni.</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Pusat Bahasa Departemen Pendidikan Nasional. 2005. </w:t>
      </w:r>
      <w:r>
        <w:rPr>
          <w:rFonts w:ascii="Times New Roman" w:hAnsi="Times New Roman"/>
          <w:i/>
          <w:sz w:val="23"/>
        </w:rPr>
        <w:t>Kamus Besar Bahasa Indonesia.</w:t>
      </w:r>
      <w:r>
        <w:rPr>
          <w:rFonts w:ascii="Times New Roman" w:hAnsi="Times New Roman"/>
          <w:sz w:val="23"/>
        </w:rPr>
        <w:t xml:space="preserve"> Jakarta:</w:t>
      </w:r>
      <w:r>
        <w:rPr>
          <w:rFonts w:ascii="Times New Roman" w:hAnsi="Times New Roman"/>
          <w:i/>
          <w:sz w:val="23"/>
        </w:rPr>
        <w:t xml:space="preserve"> </w:t>
      </w:r>
      <w:r>
        <w:rPr>
          <w:rFonts w:ascii="Times New Roman" w:hAnsi="Times New Roman"/>
          <w:sz w:val="23"/>
        </w:rPr>
        <w:t>PT. Balai Pustaka.</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Prasetyo, Teguh. 2010. </w:t>
      </w:r>
      <w:r>
        <w:rPr>
          <w:rFonts w:ascii="Times New Roman" w:hAnsi="Times New Roman"/>
          <w:i/>
          <w:sz w:val="23"/>
        </w:rPr>
        <w:t xml:space="preserve">Hukum Pidana (edisi revisi). </w:t>
      </w:r>
      <w:r>
        <w:rPr>
          <w:rFonts w:ascii="Times New Roman" w:hAnsi="Times New Roman"/>
          <w:sz w:val="23"/>
        </w:rPr>
        <w:t>Jakarta:</w:t>
      </w:r>
      <w:r>
        <w:rPr>
          <w:rFonts w:ascii="Times New Roman" w:hAnsi="Times New Roman"/>
          <w:i/>
          <w:sz w:val="23"/>
        </w:rPr>
        <w:t xml:space="preserve"> </w:t>
      </w:r>
      <w:r>
        <w:rPr>
          <w:rFonts w:ascii="Times New Roman" w:hAnsi="Times New Roman"/>
          <w:sz w:val="23"/>
        </w:rPr>
        <w:t>PT. RajaGrafindo Persada.</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cs="Palatino"/>
          <w:bCs/>
          <w:color w:val="000000" w:themeColor="text1"/>
          <w:sz w:val="23"/>
          <w:szCs w:val="28"/>
        </w:rPr>
        <w:t>Prodjodikoro</w:t>
      </w:r>
      <w:r>
        <w:rPr>
          <w:rFonts w:ascii="Times New Roman" w:hAnsi="Times New Roman"/>
          <w:sz w:val="23"/>
        </w:rPr>
        <w:t xml:space="preserve">, </w:t>
      </w:r>
      <w:r>
        <w:rPr>
          <w:rFonts w:ascii="Times New Roman" w:hAnsi="Times New Roman" w:cs="Palatino"/>
          <w:bCs/>
          <w:color w:val="000000" w:themeColor="text1"/>
          <w:sz w:val="23"/>
          <w:szCs w:val="28"/>
        </w:rPr>
        <w:t xml:space="preserve">Wirjono. </w:t>
      </w:r>
      <w:r>
        <w:rPr>
          <w:rFonts w:ascii="Times New Roman" w:hAnsi="Times New Roman"/>
          <w:sz w:val="23"/>
        </w:rPr>
        <w:t xml:space="preserve">2016. </w:t>
      </w:r>
      <w:r>
        <w:rPr>
          <w:rFonts w:ascii="Times New Roman" w:hAnsi="Times New Roman" w:cs="Palatino"/>
          <w:i/>
          <w:iCs/>
          <w:color w:val="000000" w:themeColor="text1"/>
          <w:sz w:val="23"/>
          <w:szCs w:val="28"/>
        </w:rPr>
        <w:t>Asas-Asas Hukum Pidana di Indonesia</w:t>
      </w:r>
      <w:r>
        <w:rPr>
          <w:rFonts w:ascii="Times New Roman" w:hAnsi="Times New Roman"/>
          <w:sz w:val="23"/>
        </w:rPr>
        <w:t xml:space="preserve">. Bandung: PT. Refika Aditama. </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Redaksi Sinar Grafika. 2005. </w:t>
      </w:r>
      <w:r>
        <w:rPr>
          <w:rFonts w:ascii="Times New Roman" w:hAnsi="Times New Roman"/>
          <w:i/>
          <w:sz w:val="23"/>
        </w:rPr>
        <w:t>Undang-Undang Lembaga Penjamin Simpanan 2004-UU RI No.24 Tahun 2004 Tentang Lembaga Penjamin Simpanan.</w:t>
      </w:r>
      <w:r>
        <w:rPr>
          <w:rFonts w:ascii="Times New Roman" w:hAnsi="Times New Roman"/>
          <w:sz w:val="23"/>
        </w:rPr>
        <w:t xml:space="preserve"> Jakarta: Sinar Grafika.</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Salman, H.R. Otje dan Anthon F. Susanto. 2005. </w:t>
      </w:r>
      <w:r>
        <w:rPr>
          <w:rFonts w:ascii="Times New Roman" w:hAnsi="Times New Roman"/>
          <w:i/>
          <w:sz w:val="23"/>
        </w:rPr>
        <w:t>Teori Hukum : Mengingat Mengumpulkan, dan Membuka Kembali.</w:t>
      </w:r>
      <w:r>
        <w:rPr>
          <w:rFonts w:ascii="Times New Roman" w:hAnsi="Times New Roman"/>
          <w:sz w:val="23"/>
        </w:rPr>
        <w:t xml:space="preserve"> Bandung : Refika Aditama. </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Sastrawidjaja, Sofjan. 1995. </w:t>
      </w:r>
      <w:r>
        <w:rPr>
          <w:rFonts w:ascii="Times New Roman" w:hAnsi="Times New Roman"/>
          <w:i/>
          <w:sz w:val="23"/>
        </w:rPr>
        <w:t>Hukum Pidana</w:t>
      </w:r>
      <w:r>
        <w:rPr>
          <w:rFonts w:ascii="Times New Roman" w:hAnsi="Times New Roman"/>
          <w:sz w:val="23"/>
        </w:rPr>
        <w:t>. Bandung: Armico.</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Sembiring, Sentosa. 2007. </w:t>
      </w:r>
      <w:r>
        <w:rPr>
          <w:rFonts w:ascii="Times New Roman" w:hAnsi="Times New Roman"/>
          <w:i/>
          <w:sz w:val="23"/>
        </w:rPr>
        <w:t>Undang-Undang No.40 Tahun 2007 tentang Perseroan Terbatas.</w:t>
      </w:r>
      <w:r>
        <w:rPr>
          <w:rFonts w:ascii="Times New Roman" w:hAnsi="Times New Roman"/>
          <w:sz w:val="23"/>
        </w:rPr>
        <w:t xml:space="preserve"> Bandung:</w:t>
      </w:r>
      <w:r>
        <w:rPr>
          <w:rFonts w:ascii="Times New Roman" w:hAnsi="Times New Roman"/>
          <w:i/>
          <w:sz w:val="23"/>
        </w:rPr>
        <w:t xml:space="preserve"> </w:t>
      </w:r>
      <w:r>
        <w:rPr>
          <w:rFonts w:ascii="Times New Roman" w:hAnsi="Times New Roman"/>
          <w:sz w:val="23"/>
        </w:rPr>
        <w:t xml:space="preserve">CV. Nuansa Aulia. </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Soekanto, Soerjono. 2016. </w:t>
      </w:r>
      <w:r>
        <w:rPr>
          <w:rFonts w:ascii="Times New Roman" w:hAnsi="Times New Roman"/>
          <w:i/>
          <w:sz w:val="23"/>
        </w:rPr>
        <w:t xml:space="preserve">Faktor-Faktor yang Mempengaruhi Penegakan Hukum. </w:t>
      </w:r>
      <w:r>
        <w:rPr>
          <w:rFonts w:ascii="Times New Roman" w:hAnsi="Times New Roman"/>
          <w:sz w:val="23"/>
        </w:rPr>
        <w:t>Jakarta: Rajawali Pers.</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Soekanto, Soerjono dan Sri Mamuji. 2010. </w:t>
      </w:r>
      <w:r>
        <w:rPr>
          <w:rFonts w:ascii="Times New Roman" w:hAnsi="Times New Roman"/>
          <w:i/>
          <w:sz w:val="23"/>
        </w:rPr>
        <w:t>Penelitian Hukum Normatif Suatu Tinjauan Singkat</w:t>
      </w:r>
      <w:r>
        <w:rPr>
          <w:rFonts w:ascii="Times New Roman" w:hAnsi="Times New Roman"/>
          <w:sz w:val="23"/>
        </w:rPr>
        <w:t>. Jakarta: Raja Grafindo Persada</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Soemitro, Ronny Hanitijo. 1990. Metodologi Penelitian Hukum Jurimetri. Jakarta : Ghalia Indonesia.</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Soeroso, R. 1992. </w:t>
      </w:r>
      <w:r>
        <w:rPr>
          <w:rFonts w:ascii="Times New Roman" w:hAnsi="Times New Roman"/>
          <w:i/>
          <w:sz w:val="23"/>
        </w:rPr>
        <w:t>Pengantar Ilmu Hukum</w:t>
      </w:r>
      <w:r>
        <w:rPr>
          <w:rFonts w:ascii="Times New Roman" w:hAnsi="Times New Roman"/>
          <w:sz w:val="23"/>
        </w:rPr>
        <w:t>. Jakarta: Sinar Grafika.</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Sudarto. 2010. </w:t>
      </w:r>
      <w:r>
        <w:rPr>
          <w:rFonts w:ascii="Times New Roman" w:hAnsi="Times New Roman"/>
          <w:i/>
          <w:sz w:val="23"/>
        </w:rPr>
        <w:t xml:space="preserve">Kapita Selekta Hukum Pidana. </w:t>
      </w:r>
      <w:r>
        <w:rPr>
          <w:rFonts w:ascii="Times New Roman" w:hAnsi="Times New Roman"/>
          <w:sz w:val="23"/>
        </w:rPr>
        <w:t>Bandung: PT. Alumni.</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Suwasta, Asep Dedi. 2011. </w:t>
      </w:r>
      <w:r>
        <w:rPr>
          <w:rFonts w:ascii="Times New Roman" w:hAnsi="Times New Roman"/>
          <w:i/>
          <w:sz w:val="23"/>
        </w:rPr>
        <w:t xml:space="preserve">Tafsir Hukum Positif Indonesia. </w:t>
      </w:r>
      <w:r>
        <w:rPr>
          <w:rFonts w:ascii="Times New Roman" w:hAnsi="Times New Roman"/>
          <w:sz w:val="23"/>
        </w:rPr>
        <w:t>Bandung: Alia Publishing.</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Tim Redaksi Fokusmedia, </w:t>
      </w:r>
      <w:r>
        <w:rPr>
          <w:rFonts w:ascii="Times New Roman" w:hAnsi="Times New Roman"/>
          <w:i/>
          <w:sz w:val="23"/>
        </w:rPr>
        <w:t>Undang-Undang 1945 &amp; Amandemennya (Amendemen Pertama sampai Keempat),</w:t>
      </w:r>
      <w:r>
        <w:rPr>
          <w:rFonts w:ascii="Times New Roman" w:hAnsi="Times New Roman"/>
          <w:sz w:val="23"/>
        </w:rPr>
        <w:t xml:space="preserve"> Fokusmedia, Bandung, 2004.</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sz w:val="23"/>
        </w:rPr>
        <w:t xml:space="preserve">Tongat. 2012. </w:t>
      </w:r>
      <w:r>
        <w:rPr>
          <w:rFonts w:ascii="Times New Roman" w:hAnsi="Times New Roman"/>
          <w:i/>
          <w:sz w:val="23"/>
        </w:rPr>
        <w:t xml:space="preserve">Dasar-Dasar Hukum Pidana Indonesia Dalam Perspektif Pembaharuan. </w:t>
      </w:r>
      <w:r>
        <w:rPr>
          <w:rFonts w:ascii="Times New Roman" w:hAnsi="Times New Roman"/>
          <w:sz w:val="23"/>
        </w:rPr>
        <w:t>Malang: UMM Press.</w:t>
      </w:r>
    </w:p>
    <w:p>
      <w:pPr>
        <w:autoSpaceDE w:val="0"/>
        <w:autoSpaceDN w:val="0"/>
        <w:adjustRightInd w:val="0"/>
        <w:spacing w:line="360" w:lineRule="auto"/>
        <w:ind w:left="1134" w:hanging="708"/>
        <w:contextualSpacing/>
        <w:jc w:val="both"/>
        <w:rPr>
          <w:rFonts w:ascii="Times New Roman" w:hAnsi="Times New Roman"/>
          <w:sz w:val="23"/>
        </w:rPr>
      </w:pPr>
      <w:r>
        <w:rPr>
          <w:rFonts w:ascii="Times New Roman" w:hAnsi="Times New Roman" w:cs="Palatino"/>
          <w:bCs/>
          <w:color w:val="000000" w:themeColor="text1"/>
          <w:sz w:val="23"/>
          <w:szCs w:val="28"/>
        </w:rPr>
        <w:t>Hendra Winarta, Frans.</w:t>
      </w:r>
      <w:r>
        <w:rPr>
          <w:rFonts w:ascii="Times New Roman" w:hAnsi="Times New Roman"/>
          <w:sz w:val="23"/>
        </w:rPr>
        <w:t xml:space="preserve"> 2013. </w:t>
      </w:r>
      <w:r>
        <w:rPr>
          <w:rFonts w:ascii="Times New Roman" w:hAnsi="Times New Roman" w:cs="Palatino"/>
          <w:i/>
          <w:iCs/>
          <w:color w:val="000000" w:themeColor="text1"/>
          <w:sz w:val="23"/>
          <w:szCs w:val="28"/>
        </w:rPr>
        <w:t>Hukum Penyelesaian Sengketa</w:t>
      </w:r>
      <w:r>
        <w:rPr>
          <w:rFonts w:ascii="Times New Roman" w:hAnsi="Times New Roman"/>
          <w:sz w:val="23"/>
        </w:rPr>
        <w:t>. Jakarta: Sinar Grafika.</w:t>
      </w:r>
    </w:p>
    <w:p>
      <w:pPr>
        <w:numPr>
          <w:ilvl w:val="0"/>
          <w:numId w:val="1"/>
        </w:numPr>
        <w:spacing w:line="360" w:lineRule="auto"/>
        <w:ind w:left="426" w:hanging="426"/>
        <w:contextualSpacing/>
        <w:jc w:val="both"/>
        <w:rPr>
          <w:rFonts w:ascii="Times New Roman" w:hAnsi="Times New Roman"/>
          <w:b/>
          <w:sz w:val="23"/>
        </w:rPr>
      </w:pPr>
      <w:r>
        <w:rPr>
          <w:rFonts w:ascii="Times New Roman" w:hAnsi="Times New Roman"/>
          <w:b/>
          <w:sz w:val="23"/>
        </w:rPr>
        <w:t>Peraturan Perundang-undangan</w:t>
      </w:r>
    </w:p>
    <w:p>
      <w:pPr>
        <w:spacing w:line="360" w:lineRule="auto"/>
        <w:ind w:left="1134" w:hanging="708"/>
        <w:contextualSpacing/>
        <w:jc w:val="both"/>
        <w:rPr>
          <w:rFonts w:ascii="Times New Roman" w:hAnsi="Times New Roman"/>
          <w:sz w:val="23"/>
        </w:rPr>
      </w:pPr>
      <w:r>
        <w:rPr>
          <w:rFonts w:ascii="Times New Roman" w:hAnsi="Times New Roman"/>
          <w:sz w:val="23"/>
        </w:rPr>
        <w:t>Peraturan Lembaga Penjamin Simpanan Nomor: 1/PLPS/2011 tentang Likuidasi Bank</w:t>
      </w:r>
    </w:p>
    <w:p>
      <w:pPr>
        <w:spacing w:line="360" w:lineRule="auto"/>
        <w:ind w:left="426"/>
        <w:contextualSpacing/>
        <w:jc w:val="both"/>
        <w:rPr>
          <w:rFonts w:ascii="Times New Roman" w:hAnsi="Times New Roman"/>
          <w:b/>
          <w:sz w:val="23"/>
        </w:rPr>
      </w:pPr>
      <w:r>
        <w:rPr>
          <w:rFonts w:ascii="Times New Roman" w:hAnsi="Times New Roman"/>
          <w:sz w:val="23"/>
        </w:rPr>
        <w:t>Undang-Undang Dasar Negara Republik Indonesia Tahun 1945.</w:t>
      </w:r>
    </w:p>
    <w:p>
      <w:pPr>
        <w:spacing w:line="360" w:lineRule="auto"/>
        <w:ind w:left="426"/>
        <w:contextualSpacing/>
        <w:jc w:val="both"/>
        <w:rPr>
          <w:rFonts w:ascii="Times New Roman" w:hAnsi="Times New Roman"/>
          <w:b/>
          <w:sz w:val="23"/>
        </w:rPr>
      </w:pPr>
      <w:r>
        <w:rPr>
          <w:rFonts w:ascii="Times New Roman" w:hAnsi="Times New Roman"/>
          <w:sz w:val="23"/>
        </w:rPr>
        <w:t>Undang-Undang No.8 Tahun 1981 tentang Hukum Acara Pidana.</w:t>
      </w:r>
    </w:p>
    <w:p>
      <w:pPr>
        <w:spacing w:line="360" w:lineRule="auto"/>
        <w:ind w:left="1134" w:hanging="708"/>
        <w:contextualSpacing/>
        <w:jc w:val="both"/>
        <w:rPr>
          <w:rFonts w:ascii="Times New Roman" w:hAnsi="Times New Roman"/>
          <w:b/>
          <w:sz w:val="23"/>
        </w:rPr>
      </w:pPr>
      <w:r>
        <w:rPr>
          <w:rFonts w:ascii="Times New Roman" w:hAnsi="Times New Roman" w:cs="Arial"/>
          <w:color w:val="262626"/>
          <w:sz w:val="23"/>
          <w:szCs w:val="26"/>
        </w:rPr>
        <w:t>Undang-Undang No.10 Tahun 1998 Tentang Perubahan atas Undang-Undang No.7 Tahun 1992 Tentang Perbankan.</w:t>
      </w:r>
    </w:p>
    <w:p>
      <w:pPr>
        <w:spacing w:line="360" w:lineRule="auto"/>
        <w:ind w:left="426"/>
        <w:contextualSpacing/>
        <w:jc w:val="both"/>
        <w:rPr>
          <w:rFonts w:ascii="Times New Roman" w:hAnsi="Times New Roman"/>
          <w:sz w:val="23"/>
        </w:rPr>
      </w:pPr>
      <w:r>
        <w:rPr>
          <w:rFonts w:ascii="Times New Roman" w:hAnsi="Times New Roman"/>
          <w:sz w:val="23"/>
        </w:rPr>
        <w:t>Undang-Undang No. 24 Tahun 2004 tentang Lembaga Penjamin Simpanan.</w:t>
      </w:r>
    </w:p>
    <w:p>
      <w:pPr>
        <w:spacing w:line="360" w:lineRule="auto"/>
        <w:ind w:left="426"/>
        <w:contextualSpacing/>
        <w:jc w:val="both"/>
        <w:rPr>
          <w:rFonts w:ascii="Times New Roman" w:hAnsi="Times New Roman"/>
          <w:sz w:val="23"/>
        </w:rPr>
      </w:pPr>
      <w:r>
        <w:rPr>
          <w:rFonts w:ascii="Times New Roman" w:hAnsi="Times New Roman"/>
          <w:sz w:val="23"/>
        </w:rPr>
        <w:t>Undang-Undang No. 40 Tahun 2007 tentang Perseroan Terbatas.</w:t>
      </w:r>
    </w:p>
    <w:p>
      <w:pPr>
        <w:numPr>
          <w:ilvl w:val="0"/>
          <w:numId w:val="1"/>
        </w:numPr>
        <w:spacing w:line="360" w:lineRule="auto"/>
        <w:ind w:left="426" w:hanging="426"/>
        <w:contextualSpacing/>
        <w:jc w:val="both"/>
        <w:rPr>
          <w:rFonts w:ascii="Times New Roman" w:hAnsi="Times New Roman"/>
          <w:b/>
          <w:sz w:val="23"/>
        </w:rPr>
      </w:pPr>
      <w:r>
        <w:rPr>
          <w:rFonts w:ascii="Times New Roman" w:hAnsi="Times New Roman"/>
          <w:b/>
          <w:sz w:val="23"/>
        </w:rPr>
        <w:t>Sumber Lain</w:t>
      </w:r>
    </w:p>
    <w:p>
      <w:pPr>
        <w:spacing w:line="360" w:lineRule="auto"/>
        <w:ind w:left="1276" w:hanging="850"/>
        <w:contextualSpacing/>
        <w:jc w:val="both"/>
        <w:rPr>
          <w:rFonts w:ascii="Times New Roman" w:hAnsi="Times New Roman"/>
          <w:sz w:val="23"/>
        </w:rPr>
      </w:pPr>
      <w:r>
        <w:rPr>
          <w:rFonts w:ascii="Times New Roman" w:hAnsi="Times New Roman"/>
          <w:sz w:val="23"/>
        </w:rPr>
        <w:t xml:space="preserve">Berkas Perkara No: BP/45/IX/2015/DIT TIPIDEKSUS, </w:t>
      </w:r>
      <w:r>
        <w:rPr>
          <w:rFonts w:ascii="Times New Roman" w:hAnsi="Times New Roman"/>
          <w:i/>
          <w:sz w:val="23"/>
        </w:rPr>
        <w:t>Resume,</w:t>
      </w:r>
      <w:r>
        <w:rPr>
          <w:rFonts w:ascii="Times New Roman" w:hAnsi="Times New Roman"/>
          <w:sz w:val="23"/>
        </w:rPr>
        <w:t xml:space="preserve"> 7 September 2015.</w:t>
      </w:r>
    </w:p>
    <w:p>
      <w:pPr>
        <w:spacing w:line="360" w:lineRule="auto"/>
        <w:ind w:left="1134" w:hanging="708"/>
        <w:contextualSpacing/>
        <w:jc w:val="both"/>
        <w:rPr>
          <w:rFonts w:ascii="Times New Roman" w:hAnsi="Times New Roman"/>
          <w:color w:val="000000" w:themeColor="text1"/>
          <w:sz w:val="23"/>
        </w:rPr>
      </w:pPr>
      <w:r>
        <w:rPr>
          <w:rFonts w:ascii="Times New Roman" w:hAnsi="Times New Roman"/>
          <w:sz w:val="23"/>
        </w:rPr>
        <w:t>Denny Yapari. (28 November 2016). “</w:t>
      </w:r>
      <w:r>
        <w:rPr>
          <w:rFonts w:ascii="Times New Roman" w:hAnsi="Times New Roman"/>
          <w:i/>
          <w:sz w:val="23"/>
        </w:rPr>
        <w:t xml:space="preserve">Niat dan Kesengajaan dalam KUHP”, </w:t>
      </w:r>
      <w:r>
        <w:rPr>
          <w:rFonts w:ascii="Times New Roman" w:hAnsi="Times New Roman"/>
          <w:sz w:val="23"/>
        </w:rPr>
        <w:t xml:space="preserve">diperoleh tanggal 13 Desember 2017 di akses </w:t>
      </w:r>
      <w:r>
        <w:rPr>
          <w:rFonts w:ascii="Times New Roman" w:hAnsi="Times New Roman"/>
          <w:color w:val="000000" w:themeColor="text1"/>
          <w:sz w:val="23"/>
        </w:rPr>
        <w:t xml:space="preserve">dari </w:t>
      </w:r>
      <w:r>
        <w:fldChar w:fldCharType="begin"/>
      </w:r>
      <w:r>
        <w:instrText xml:space="preserve"> HYPERLINK </w:instrText>
      </w:r>
      <w:r>
        <w:fldChar w:fldCharType="separate"/>
      </w:r>
      <w:r>
        <w:rPr>
          <w:rStyle w:val="8"/>
          <w:rFonts w:ascii="Times New Roman" w:hAnsi="Times New Roman"/>
          <w:color w:val="000000" w:themeColor="text1"/>
          <w:sz w:val="23"/>
        </w:rPr>
        <w:t>https://www. kompasiana.com/dennyyapari/niat-dan-kesengajaan-dalam-kuhp583b be3f1393730e0a37dbd3</w:t>
      </w:r>
      <w:r>
        <w:rPr>
          <w:rStyle w:val="8"/>
          <w:rFonts w:ascii="Times New Roman" w:hAnsi="Times New Roman"/>
          <w:color w:val="000000" w:themeColor="text1"/>
          <w:sz w:val="23"/>
        </w:rPr>
        <w:fldChar w:fldCharType="end"/>
      </w:r>
      <w:r>
        <w:rPr>
          <w:rFonts w:ascii="Times New Roman" w:hAnsi="Times New Roman"/>
          <w:color w:val="000000" w:themeColor="text1"/>
          <w:sz w:val="23"/>
        </w:rPr>
        <w:t>.</w:t>
      </w:r>
    </w:p>
    <w:p>
      <w:pPr>
        <w:spacing w:line="360" w:lineRule="auto"/>
        <w:ind w:left="1134" w:hanging="708"/>
        <w:contextualSpacing/>
        <w:jc w:val="both"/>
        <w:rPr>
          <w:rFonts w:ascii="Times New Roman" w:hAnsi="Times New Roman"/>
          <w:color w:val="000000" w:themeColor="text1"/>
          <w:sz w:val="23"/>
        </w:rPr>
      </w:pPr>
      <w:r>
        <w:rPr>
          <w:rFonts w:ascii="Times New Roman" w:hAnsi="Times New Roman"/>
          <w:color w:val="000000" w:themeColor="text1"/>
          <w:sz w:val="23"/>
        </w:rPr>
        <w:t>Hukumonline. 2017. “</w:t>
      </w:r>
      <w:r>
        <w:rPr>
          <w:rFonts w:ascii="Times New Roman" w:hAnsi="Times New Roman"/>
          <w:i/>
          <w:color w:val="000000" w:themeColor="text1"/>
          <w:sz w:val="23"/>
        </w:rPr>
        <w:t xml:space="preserve">pusatdata”. </w:t>
      </w:r>
      <w:r>
        <w:fldChar w:fldCharType="begin"/>
      </w:r>
      <w:r>
        <w:instrText xml:space="preserve"> HYPERLINK "http://www.google.co.id/url?q=http://%20www" </w:instrText>
      </w:r>
      <w:r>
        <w:fldChar w:fldCharType="separate"/>
      </w:r>
      <w:r>
        <w:rPr>
          <w:rStyle w:val="8"/>
          <w:rFonts w:ascii="Times New Roman" w:hAnsi="Times New Roman"/>
          <w:color w:val="000000" w:themeColor="text1"/>
          <w:sz w:val="23"/>
        </w:rPr>
        <w:t>http://www.google.co.id/url?q=http:// www</w:t>
      </w:r>
      <w:r>
        <w:rPr>
          <w:rStyle w:val="8"/>
          <w:rFonts w:ascii="Times New Roman" w:hAnsi="Times New Roman"/>
          <w:color w:val="000000" w:themeColor="text1"/>
          <w:sz w:val="23"/>
        </w:rPr>
        <w:fldChar w:fldCharType="end"/>
      </w:r>
      <w:r>
        <w:rPr>
          <w:rFonts w:ascii="Times New Roman" w:hAnsi="Times New Roman"/>
          <w:color w:val="000000" w:themeColor="text1"/>
          <w:sz w:val="23"/>
        </w:rPr>
        <w:t>.hukumonline.com/pusatdat</w:t>
      </w:r>
      <w:r>
        <w:rPr>
          <w:rFonts w:ascii="Times New Roman" w:hAnsi="Times New Roman"/>
          <w:sz w:val="23"/>
        </w:rPr>
        <w:t>a/downloadfile/lt4cce89fb14e43/parent/334&amp;sa=U&amp;ved=0ahUKEwjRpJS6qZHZAhUIro8KHcQuCTIQFggUMAA&amp;usg=AOvVaw20zOGgcPgLcHqOdQa3ZK7H (13 Desember 2017).</w:t>
      </w:r>
    </w:p>
    <w:p>
      <w:pPr>
        <w:spacing w:line="360" w:lineRule="auto"/>
        <w:ind w:left="1134" w:hanging="708"/>
        <w:contextualSpacing/>
        <w:jc w:val="both"/>
        <w:rPr>
          <w:rFonts w:ascii="Times New Roman" w:hAnsi="Times New Roman"/>
          <w:color w:val="000000" w:themeColor="text1"/>
          <w:sz w:val="23"/>
        </w:rPr>
      </w:pPr>
      <w:r>
        <w:rPr>
          <w:rFonts w:ascii="Times New Roman" w:hAnsi="Times New Roman"/>
          <w:sz w:val="23"/>
        </w:rPr>
        <w:t>Putusan Pengadilan Negeri Bandung Kelas 1a Khusus No.608/Pid.B/2016/PN.Bdg tentang Menghambat Proses Likuidasi, 5 Desember 2016.</w:t>
      </w:r>
    </w:p>
    <w:p>
      <w:pPr>
        <w:spacing w:line="360" w:lineRule="auto"/>
        <w:rPr>
          <w:sz w:val="23"/>
        </w:rPr>
      </w:pPr>
    </w:p>
    <w:p>
      <w:pPr>
        <w:spacing w:line="360" w:lineRule="auto"/>
        <w:jc w:val="both"/>
        <w:rPr>
          <w:rFonts w:ascii="Times New Roman" w:hAnsi="Times New Roman"/>
          <w:b/>
          <w:sz w:val="23"/>
        </w:rPr>
      </w:pPr>
    </w:p>
    <w:sectPr>
      <w:footerReference r:id="rId3" w:type="default"/>
      <w:footerReference r:id="rId4" w:type="even"/>
      <w:pgSz w:w="11900" w:h="16840"/>
      <w:pgMar w:top="2268" w:right="1588" w:bottom="1418" w:left="1701" w:header="709" w:footer="708" w:gutter="0"/>
      <w:pgNumType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4D"/>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Helvetica Neue">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Helvetica Ligh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Palatino">
    <w:altName w:val="Palatino Linotype"/>
    <w:panose1 w:val="00000000000000000000"/>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3B6E7B"/>
    <w:multiLevelType w:val="multilevel"/>
    <w:tmpl w:val="433B6E7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hideSpellingError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6F"/>
    <w:rsid w:val="00033FB7"/>
    <w:rsid w:val="000C2DB3"/>
    <w:rsid w:val="001C4F6F"/>
    <w:rsid w:val="001E4308"/>
    <w:rsid w:val="00201E4E"/>
    <w:rsid w:val="00203512"/>
    <w:rsid w:val="00221DE6"/>
    <w:rsid w:val="00234B48"/>
    <w:rsid w:val="002A4E84"/>
    <w:rsid w:val="00332973"/>
    <w:rsid w:val="003519BF"/>
    <w:rsid w:val="00485827"/>
    <w:rsid w:val="004D59E1"/>
    <w:rsid w:val="004E4E37"/>
    <w:rsid w:val="00555FB5"/>
    <w:rsid w:val="00561390"/>
    <w:rsid w:val="005716E0"/>
    <w:rsid w:val="005F37A3"/>
    <w:rsid w:val="00603860"/>
    <w:rsid w:val="0068609C"/>
    <w:rsid w:val="006B1331"/>
    <w:rsid w:val="0070574E"/>
    <w:rsid w:val="007B3F98"/>
    <w:rsid w:val="00833E0F"/>
    <w:rsid w:val="00870DBC"/>
    <w:rsid w:val="00875C69"/>
    <w:rsid w:val="008E1978"/>
    <w:rsid w:val="0095118C"/>
    <w:rsid w:val="00991893"/>
    <w:rsid w:val="009C3089"/>
    <w:rsid w:val="00A075A1"/>
    <w:rsid w:val="00A86C80"/>
    <w:rsid w:val="00AA4899"/>
    <w:rsid w:val="00AF4B2F"/>
    <w:rsid w:val="00E43E44"/>
    <w:rsid w:val="00EC0977"/>
    <w:rsid w:val="00ED7A17"/>
    <w:rsid w:val="00EF4B52"/>
    <w:rsid w:val="00F07666"/>
    <w:rsid w:val="00F17A4D"/>
    <w:rsid w:val="00F37512"/>
    <w:rsid w:val="00F37519"/>
    <w:rsid w:val="00F5294D"/>
    <w:rsid w:val="00F96CB7"/>
    <w:rsid w:val="00FA6D07"/>
    <w:rsid w:val="00FD0D8A"/>
    <w:rsid w:val="4C4C29EF"/>
    <w:rsid w:val="5A9D4508"/>
    <w:rsid w:val="77F82110"/>
  </w:rsids>
  <m:mathPr>
    <m:mathFont m:val="Cambria Math"/>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iPriority="99" w:semiHidden="0" w:name="header"/>
    <w:lsdException w:uiPriority="99"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uiPriority w:val="99"/>
    <w:pPr>
      <w:tabs>
        <w:tab w:val="center" w:pos="4320"/>
        <w:tab w:val="right" w:pos="8640"/>
      </w:tabs>
    </w:pPr>
  </w:style>
  <w:style w:type="character" w:styleId="5">
    <w:name w:val="footnote reference"/>
    <w:unhideWhenUsed/>
    <w:uiPriority w:val="99"/>
    <w:rPr>
      <w:vertAlign w:val="superscript"/>
    </w:rPr>
  </w:style>
  <w:style w:type="paragraph" w:styleId="6">
    <w:name w:val="footnote text"/>
    <w:basedOn w:val="1"/>
    <w:link w:val="13"/>
    <w:unhideWhenUsed/>
    <w:uiPriority w:val="99"/>
    <w:pPr>
      <w:spacing w:after="200" w:line="276" w:lineRule="auto"/>
    </w:pPr>
    <w:rPr>
      <w:rFonts w:ascii="Calibri" w:hAnsi="Calibri" w:eastAsia="Calibri" w:cs="Times New Roman"/>
      <w:sz w:val="20"/>
      <w:szCs w:val="20"/>
      <w:lang w:val="id-ID"/>
    </w:rPr>
  </w:style>
  <w:style w:type="paragraph" w:styleId="7">
    <w:name w:val="header"/>
    <w:basedOn w:val="1"/>
    <w:link w:val="14"/>
    <w:unhideWhenUsed/>
    <w:uiPriority w:val="99"/>
    <w:pPr>
      <w:tabs>
        <w:tab w:val="center" w:pos="4320"/>
        <w:tab w:val="right" w:pos="8640"/>
      </w:tabs>
      <w:spacing w:after="200" w:line="276" w:lineRule="auto"/>
    </w:pPr>
    <w:rPr>
      <w:rFonts w:ascii="Calibri" w:hAnsi="Calibri" w:eastAsia="Calibri" w:cs="Times New Roman"/>
      <w:sz w:val="22"/>
      <w:szCs w:val="22"/>
      <w:lang w:val="id-ID"/>
    </w:rPr>
  </w:style>
  <w:style w:type="character" w:styleId="8">
    <w:name w:val="Hyperlink"/>
    <w:basedOn w:val="2"/>
    <w:uiPriority w:val="0"/>
    <w:rPr>
      <w:color w:val="0000FF" w:themeColor="hyperlink"/>
      <w:u w:val="single"/>
    </w:rPr>
  </w:style>
  <w:style w:type="paragraph" w:styleId="9">
    <w:name w:val="Normal (Web)"/>
    <w:basedOn w:val="1"/>
    <w:unhideWhenUsed/>
    <w:uiPriority w:val="99"/>
    <w:pPr>
      <w:spacing w:before="100" w:beforeAutospacing="1" w:after="100" w:afterAutospacing="1"/>
    </w:pPr>
    <w:rPr>
      <w:rFonts w:ascii="Times New Roman" w:hAnsi="Times New Roman" w:eastAsia="Times New Roman" w:cs="Times New Roman"/>
      <w:lang w:val="zh-CN"/>
    </w:rPr>
  </w:style>
  <w:style w:type="character" w:styleId="10">
    <w:name w:val="page number"/>
    <w:basedOn w:val="2"/>
    <w:unhideWhenUsed/>
    <w:uiPriority w:val="99"/>
  </w:style>
  <w:style w:type="character" w:customStyle="1" w:styleId="11">
    <w:name w:val="Footer Char"/>
    <w:basedOn w:val="2"/>
    <w:link w:val="4"/>
    <w:semiHidden/>
    <w:uiPriority w:val="99"/>
  </w:style>
  <w:style w:type="paragraph" w:styleId="12">
    <w:name w:val="List Paragraph"/>
    <w:basedOn w:val="1"/>
    <w:qFormat/>
    <w:uiPriority w:val="34"/>
    <w:pPr>
      <w:ind w:left="720"/>
      <w:contextualSpacing/>
    </w:pPr>
  </w:style>
  <w:style w:type="character" w:customStyle="1" w:styleId="13">
    <w:name w:val="Footnote Text Char"/>
    <w:basedOn w:val="2"/>
    <w:link w:val="6"/>
    <w:uiPriority w:val="99"/>
    <w:rPr>
      <w:rFonts w:ascii="Calibri" w:hAnsi="Calibri" w:eastAsia="Calibri" w:cs="Times New Roman"/>
      <w:sz w:val="20"/>
      <w:szCs w:val="20"/>
      <w:lang w:val="id-ID"/>
    </w:rPr>
  </w:style>
  <w:style w:type="character" w:customStyle="1" w:styleId="14">
    <w:name w:val="Header Char"/>
    <w:basedOn w:val="2"/>
    <w:link w:val="7"/>
    <w:uiPriority w:val="99"/>
    <w:rPr>
      <w:rFonts w:ascii="Calibri" w:hAnsi="Calibri" w:eastAsia="Calibri" w:cs="Times New Roman"/>
      <w:sz w:val="22"/>
      <w:szCs w:val="22"/>
      <w:lang w:val="id-I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6327</Words>
  <Characters>36069</Characters>
  <Lines>300</Lines>
  <Paragraphs>84</Paragraphs>
  <TotalTime>3</TotalTime>
  <ScaleCrop>false</ScaleCrop>
  <LinksUpToDate>false</LinksUpToDate>
  <CharactersWithSpaces>42312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2021-10-23T06:36:00Z</dcterms:created>
  <dc:creator>shofyan</dc:creator>
  <cp:lastModifiedBy>USER</cp:lastModifiedBy>
  <dcterms:modified xsi:type="dcterms:W3CDTF">2021-10-23T07:00:26Z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2541508E338B4A4AA03FEF00339CD3FD</vt:lpwstr>
  </property>
</Properties>
</file>