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LOKASI TERHADAP KEPUTUSAN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PEMBELIAN DI CREMA KOFFIEE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softHyphen/>
      </w:r>
      <w:r>
        <w:rPr>
          <w:rFonts w:ascii="Times New Roman" w:hAnsi="Times New Roman" w:cs="Times New Roman"/>
          <w:b/>
          <w:sz w:val="28"/>
          <w:szCs w:val="28"/>
          <w:lang w:val="id-ID"/>
        </w:rPr>
        <w:softHyphen/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SKRIPSI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Program Studi Ilmu Administrasi Bisnis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Aditya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152040018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1998980</wp:posOffset>
            </wp:positionH>
            <wp:positionV relativeFrom="paragraph">
              <wp:posOffset>102235</wp:posOffset>
            </wp:positionV>
            <wp:extent cx="1382395" cy="141160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UNIVERSITAS PASUNDAN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BANDUNG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50A9"/>
    <w:rsid w:val="0A64529A"/>
    <w:rsid w:val="276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SimSun" w:asciiTheme="minorHAnsi" w:hAnsi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2021-10-17T11:20:00Z</dcterms:created>
  <dc:creator>ASUS</dc:creator>
  <cp:lastModifiedBy>ASUS</cp:lastModifiedBy>
  <dcterms:modified xsi:type="dcterms:W3CDTF">2021-10-17T11:22:45Z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2F1937897B034AFAAB159DFEACA80FDC</vt:lpwstr>
  </property>
</Properties>
</file>