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EC" w:rsidRDefault="000F05EC" w:rsidP="000F05EC">
      <w:pPr>
        <w:pStyle w:val="ListParagraph1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IMPLEMENTASI MODEL PEMBELAJARAN </w:t>
      </w:r>
      <w:r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PROBLEM BASED 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LEARNING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DITINJAU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DARI MOTIVASI BELAJAR SISWA PADA MATERI PROGRAM LINE</w:t>
      </w:r>
      <w:r>
        <w:rPr>
          <w:rFonts w:ascii="Times New Roman" w:hAnsi="Times New Roman" w:cs="Times New Roman"/>
          <w:b/>
          <w:sz w:val="28"/>
          <w:szCs w:val="24"/>
        </w:rPr>
        <w:t>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R UNTUK MENINGKATKAN KEMAMPUAN PENALARAN MATEMATIS DAN BERPIKIR KRITIS SISWA</w:t>
      </w:r>
      <w:r>
        <w:rPr>
          <w:rFonts w:ascii="Times New Roman" w:hAnsi="Times New Roman" w:cs="Times New Roman"/>
          <w:b/>
          <w:sz w:val="28"/>
          <w:szCs w:val="24"/>
        </w:rPr>
        <w:t xml:space="preserve"> SMK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</w:p>
    <w:p w:rsidR="000F05EC" w:rsidRDefault="000F05EC" w:rsidP="000F05E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05EC" w:rsidRDefault="000F05EC" w:rsidP="000F05E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05EC" w:rsidRDefault="000F05EC" w:rsidP="000F05EC">
      <w:pPr>
        <w:spacing w:line="240" w:lineRule="auto"/>
        <w:ind w:right="1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TESIS</w:t>
      </w:r>
    </w:p>
    <w:p w:rsidR="000F05EC" w:rsidRDefault="000F05EC" w:rsidP="000F05EC">
      <w:pPr>
        <w:spacing w:line="240" w:lineRule="auto"/>
        <w:ind w:right="168"/>
        <w:jc w:val="center"/>
        <w:rPr>
          <w:rFonts w:ascii="Times New Roman" w:hAnsi="Times New Roman" w:cs="Times New Roman"/>
          <w:b/>
          <w:sz w:val="28"/>
        </w:rPr>
      </w:pPr>
    </w:p>
    <w:p w:rsidR="000F05EC" w:rsidRDefault="000F05EC" w:rsidP="000F05E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</w:p>
    <w:p w:rsidR="000F05EC" w:rsidRDefault="000F05EC" w:rsidP="000F05E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0F05EC" w:rsidRDefault="000F05EC" w:rsidP="000F05E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US"/>
        </w:rPr>
        <w:drawing>
          <wp:inline distT="0" distB="0" distL="0" distR="0" wp14:anchorId="5DD83627" wp14:editId="4AA24D76">
            <wp:extent cx="2014220" cy="2061845"/>
            <wp:effectExtent l="0" t="0" r="5080" b="14605"/>
            <wp:docPr id="2" name="Picture 2" descr="D: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408" cy="206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EC" w:rsidRDefault="000F05EC" w:rsidP="000F05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05EC" w:rsidRDefault="000F05EC" w:rsidP="000F05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05EC" w:rsidRDefault="000F05EC" w:rsidP="000F05E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0F05EC" w:rsidRPr="0028780F" w:rsidRDefault="000F05EC" w:rsidP="000F05E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Taryudi </w:t>
      </w:r>
    </w:p>
    <w:p w:rsidR="000F05EC" w:rsidRPr="0028780F" w:rsidRDefault="000F05EC" w:rsidP="000F05E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18806002</w:t>
      </w:r>
      <w:r>
        <w:rPr>
          <w:rFonts w:ascii="Times New Roman" w:hAnsi="Times New Roman" w:cs="Times New Roman"/>
          <w:b/>
          <w:sz w:val="24"/>
          <w:lang w:val="id-ID"/>
        </w:rPr>
        <w:t>8</w:t>
      </w:r>
    </w:p>
    <w:p w:rsidR="000F05EC" w:rsidRDefault="000F05EC" w:rsidP="000F05EC">
      <w:pPr>
        <w:spacing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0F05EC" w:rsidRDefault="000F05EC" w:rsidP="000F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MATEMATIKA</w:t>
      </w:r>
    </w:p>
    <w:p w:rsidR="000F05EC" w:rsidRDefault="000F05EC" w:rsidP="000F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PASCA SARJANA</w:t>
      </w:r>
    </w:p>
    <w:p w:rsidR="000F05EC" w:rsidRDefault="000F05EC" w:rsidP="000F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0F05EC" w:rsidRDefault="000F05EC" w:rsidP="000F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0F05EC" w:rsidRDefault="000F05EC" w:rsidP="000F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  <w:lang w:val="en-GB"/>
        </w:rPr>
        <w:t>20</w:t>
      </w:r>
    </w:p>
    <w:p w:rsidR="000F05EC" w:rsidRPr="000F05EC" w:rsidRDefault="000F05EC" w:rsidP="000F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bookmarkStart w:id="0" w:name="_GoBack"/>
      <w:bookmarkEnd w:id="0"/>
    </w:p>
    <w:p w:rsidR="000F05EC" w:rsidRDefault="000F05EC" w:rsidP="000F05E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ABSTRAK</w:t>
      </w: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Problem Based Learning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Ditinjau Dari Motivasi Belajar Siswa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Materi Program Linier Untuk 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Penalaran Matematis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MK</w:t>
      </w: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F05EC" w:rsidRPr="00E9628F" w:rsidRDefault="000F05EC" w:rsidP="000F05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Motivasi belajar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penalaran matematis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berfikir kritis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motivasi belajar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Problem Based Learning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penalaran matematis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 linier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campuran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mixed method research)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embedded design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penalaran matematis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berfikir kritis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motivasi belajar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; 1)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motivasi belajar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Problem Based Learning (PBL)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penalaran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Problem Based Learning (PBL)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berfikir kritis siswa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Problem Based Learning (PBL)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motivasi belajar siswa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penalaran matematis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a; 5)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motivasi belajar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berfikir kritis siswa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6)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penalaran matematis dan kemampuan berfikir kritis</w:t>
      </w: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Problem Based Learning (PBL)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penalaran matematis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berfikir kritis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angket motivasi belajar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siswa</w:t>
      </w:r>
      <w:proofErr w:type="spellEnd"/>
    </w:p>
    <w:p w:rsidR="000F05EC" w:rsidRP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F05EC" w:rsidRDefault="000F05EC" w:rsidP="000F05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ABSTRACT</w:t>
      </w:r>
    </w:p>
    <w:p w:rsidR="000F05EC" w:rsidRDefault="000F05EC" w:rsidP="000F05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Model Implementation of Student Learning Motivation on Linear Program Subject in Improving the Vocational Students’ Mathematical Reasoning and Critical Thinking Abilities </w:t>
      </w: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</w:rPr>
        <w:t>Learning motivation, mathematical reasoning and students' critical thinking abilities are the three important aspects in learning processes.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The main objective of this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research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is to analyze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learning motivation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among students who obtain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Problem Based Learning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model than students who obtain conventional learning models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. Besides, this research tries to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reveal the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impact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those models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on students'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mathematical reasoning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and critical thinking abilities on linear program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subject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The method of this research is an embedded type mix method. The sample of this study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is the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X grade students from a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Public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Vocational High School in Bandung. The instruments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are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used in this study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are the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tests of mathematical reasoning abilit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 tests of critical thinking abilit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student learning motivation questionnaires, and observation sheets.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The d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ata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carried out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by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quantitatively and qualitatively. The results of this study are as follows; 1) learning motivation of students who obtain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Problem Based Learning (PBL)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models and students who obtain conventional learning models; 2) Mathematical reasoning ability of students who get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Problem Based Learning (PBL)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models is better than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students who obtain conventional learning models; 3) The critical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thinking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ability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students who get the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Problem Based Learning (PBL)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model is better than students who get the conventional learning model; 4) There is an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impact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learning motivation on students' mathematical reasoning abilit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5) There is an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impact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learning motivation on students' critical thinking skills;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over all,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6)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here is a relation between mathematical reasoning and critical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thinking abilities. </w:t>
      </w:r>
    </w:p>
    <w:p w:rsidR="000F05EC" w:rsidRDefault="000F05EC" w:rsidP="000F05E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05EC" w:rsidRDefault="000F05EC" w:rsidP="000F05E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Keywords: Problem Based Learning (PBL), Mathematical Reasoning Abilities, Critical Thinking Skills and Student Learning Motivation Questionnaires</w:t>
      </w: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05EC" w:rsidRDefault="000F05EC" w:rsidP="000F05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05EC" w:rsidRDefault="000F05EC" w:rsidP="000F05E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</w:t>
      </w:r>
      <w:r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0F05EC" w:rsidRPr="003C3A65" w:rsidRDefault="000F05EC" w:rsidP="000F05E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5EC" w:rsidRPr="005054A2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Abbas.,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srends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(2000).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(Problem Based Learning)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SMU.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online]</w:t>
      </w:r>
      <w:proofErr w:type="spellStart"/>
      <w:proofErr w:type="gramEnd"/>
      <w:r>
        <w:rPr>
          <w:rFonts w:ascii="Times New Roman" w:hAnsi="Times New Roman" w:cs="Times New Roman"/>
          <w:iCs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“</w:t>
      </w:r>
      <w:hyperlink r:id="rId8" w:history="1">
        <w:r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http://www.depdiknas.go.id/jurnal/51/040429%20-ed-20%nurhayati-penerapan%20%model%20pembelajaran.pdf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: 27-april-2016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19.00 WIB.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Riduwan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(2006).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Menyusun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Agustin,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Ririn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(2016).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Problem Solving.”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pedagogia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Vol. 5 no. 2, 179-188.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Arifin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Zainal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Evaluasi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Rosdakarya</w:t>
      </w:r>
      <w:proofErr w:type="spellEnd"/>
    </w:p>
    <w:p w:rsidR="000F05EC" w:rsidRDefault="000F05EC" w:rsidP="000F05EC">
      <w:pPr>
        <w:spacing w:before="24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S. (2003).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Evaluasi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  <w:proofErr w:type="spellEnd"/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(2006).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Aunurrahman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Creswell, j. W.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Research Design: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Mixed.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Dimyati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Mudjiono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(2006).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Ibrahim, M.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M. (2000).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079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079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079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Berbasis</w:t>
      </w:r>
      <w:proofErr w:type="spellEnd"/>
      <w:r w:rsidRPr="00A079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079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Surabaya. UNESA University Press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Jusuf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Eddy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(2017).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Penulisan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Karya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Tulis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FKIP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Pasundan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(2016).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Permendikbud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Nomor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Standar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Menengah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Kemendikbud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Meltzer.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(2002).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R&amp;D).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54C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 International Student Assessment (PISA).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PISA 2009 plus result performance of 15-years-old in reading.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Mathematics and science for 10 additional participants.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online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http://nces.ed.gov/survey/pisa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2012.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(2006).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CBSA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(2010).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Santrock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J. W., (2009).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Educational psychology.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(2nd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New York: McGraw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Hill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Companies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,Inc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(2015).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E-Learning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Learning Theories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Education Perspective (6th end)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2015.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Terbimbing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UPT P2M STKIP SILIWANGI.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Vol. 2.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No. 1, 91-97.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Slameto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(2003).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>Faktor-Faktor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>Mempengaruhinya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:Rineka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Paulina,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 1999.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>Cakrawala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. Jakarta.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Terbuka.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Slameto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Faktor-faktor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Mempengaruhi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:Rineka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Pr="00DE02DB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Strauss and j. Corbin.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1990.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Qualitative Research: Grounded Theory Procedure and Techniques.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London: sage publication,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19. </w:t>
      </w:r>
      <w:r w:rsidRPr="00DE02DB">
        <w:rPr>
          <w:rFonts w:ascii="Times New Roman" w:eastAsia="Times New Roman" w:hAnsi="Times New Roman" w:cs="Times New Roman"/>
          <w:sz w:val="24"/>
          <w:szCs w:val="24"/>
          <w:lang w:eastAsia="id-ID"/>
        </w:rPr>
        <w:t>Jackson, Susan A. &amp; Herbert H. Marsh. 1996. De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velopment and Validation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 </w:t>
      </w:r>
      <w:r w:rsidRPr="00DE02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Scale to Measure Optimal Experience: The Flow State Scale.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Journal of </w:t>
      </w:r>
      <w:r w:rsidRPr="00DE02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sport and exercise psychology page 17-35: human kin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etics publishers, </w:t>
      </w:r>
      <w:r w:rsidRPr="00DE02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Inc.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R &amp; 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(2013).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R&amp;D.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Alfabeta.CV.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(2003).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JICA FPMIPA UPI.</w:t>
      </w:r>
    </w:p>
    <w:p w:rsidR="000F05EC" w:rsidRPr="003C3A65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(2008).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Strategi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[Hands-out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Perkuliahan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].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diterbitkan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Style w:val="EndnoteReference"/>
          <w:rFonts w:ascii="Times New Roman" w:eastAsia="Times New Roman" w:hAnsi="Times New Roman" w:cs="Times New Roman"/>
          <w:sz w:val="24"/>
          <w:szCs w:val="24"/>
          <w:lang w:eastAsia="id-ID"/>
        </w:rPr>
        <w:endnoteReference w:id="1"/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marmo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Penilaian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Adiyatama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Suparji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Moving Class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cakrawala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31:217-227.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Suprihatiningsih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Faktorisasi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UMS </w:t>
      </w:r>
      <w:r>
        <w:rPr>
          <w:rFonts w:ascii="Times New Roman" w:hAnsi="Times New Roman" w:cs="Times New Roman"/>
          <w:iCs/>
          <w:sz w:val="24"/>
          <w:szCs w:val="24"/>
        </w:rPr>
        <w:t>2015.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157-163.</w:t>
      </w:r>
      <w:proofErr w:type="gramEnd"/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Trends International Mathematics and Science Study (TIMSS). 2011.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Timss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2011 International Result In Mathematics. Chestnut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Hill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Timss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Pirls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International Study Center, (online), (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http://timssandpirls.bc.edu/timss2011/international-result-math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Januari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2014).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Model-Model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Berorientasi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Kontruktivistik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Mendesain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Inovatif-Progresif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Landasan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Implementasinya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Satuan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:kencana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Turmudi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(2008).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Pemecahan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[Online].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 xml:space="preserve">http://file.upi.edu/Direktori/FPMIPA/JUR._PEND._MATEMATIKA/196101121987031-TURMUDI/F20-PEMECAHAN_MASALAH_MATEMATIKA-1-11-2008.pdf. </w:t>
        </w:r>
        <w:proofErr w:type="gramStart"/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[26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Februari 2013].</w:t>
      </w:r>
      <w:proofErr w:type="gramEnd"/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Pelangi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Press Bandung.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Uyanto</w:t>
      </w:r>
      <w:proofErr w:type="spellEnd"/>
      <w:r>
        <w:rPr>
          <w:rFonts w:ascii="Times New Roman" w:hAnsi="Times New Roman" w:cs="Times New Roman"/>
          <w:sz w:val="24"/>
          <w:szCs w:val="24"/>
        </w:rPr>
        <w:t>, S. S. (2009)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8454C">
        <w:rPr>
          <w:rFonts w:ascii="Times New Roman" w:eastAsia="Times New Roman" w:hAnsi="Times New Roman" w:cs="Times New Roman"/>
          <w:sz w:val="24"/>
          <w:szCs w:val="24"/>
          <w:lang w:eastAsia="id-ID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Wade.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Christopher, (1995).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Critical thinking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 of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ibc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http://www.fidic.org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2015].</w:t>
      </w:r>
    </w:p>
    <w:p w:rsidR="000F05EC" w:rsidRPr="005054A2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Within.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(1992).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Mathematics Task Centre;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Proffesional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Development and Problem Solving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J Wakefield and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Velardi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(Ed).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Celebrating Mathematics Learning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Melbourne: The Mathematical Association of Victoria.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Woolfolk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A. (2004).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Educational Psychology.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United States of America: Pearson Education, Inc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2007).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Yaniawati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Indrawan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, R.,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Campuran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, Pembangunan,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Adiyatama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Yaniawati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Indrawan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, R.,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Kuantitatif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Campuran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Adiyatama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</w:t>
      </w:r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Zakaria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E., Lu Chung Chin, &amp;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Daud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Md.Y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(2010). “The Effect Of Cooperative Learning On Students Mathematics Achievement And Attitude Toward Mathematics</w:t>
      </w:r>
      <w:r>
        <w:rPr>
          <w:rFonts w:ascii="Times New Roman" w:hAnsi="Times New Roman" w:cs="Times New Roman"/>
          <w:i/>
          <w:iCs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Journal of social science 6(2), 272-275.</w:t>
      </w:r>
      <w:proofErr w:type="gramEnd"/>
    </w:p>
    <w:p w:rsidR="000F05EC" w:rsidRDefault="000F05EC" w:rsidP="000F05EC">
      <w:pPr>
        <w:spacing w:before="240" w:after="0"/>
        <w:ind w:left="1276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Nordin</w:t>
      </w:r>
      <w:proofErr w:type="spellEnd"/>
      <w:r>
        <w:rPr>
          <w:rFonts w:ascii="Times New Roman" w:hAnsi="Times New Roman" w:cs="Times New Roman"/>
          <w:sz w:val="24"/>
          <w:szCs w:val="24"/>
        </w:rPr>
        <w:t>, N. M. (2008).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Effects of Mathematics Anxiety on Matriculation Student as Related to Motivation and Achievement.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Eurasia </w:t>
      </w:r>
      <w:r>
        <w:rPr>
          <w:rFonts w:ascii="Times New Roman" w:hAnsi="Times New Roman" w:cs="Times New Roman"/>
          <w:i/>
          <w:sz w:val="24"/>
          <w:szCs w:val="24"/>
        </w:rPr>
        <w:t>Journal of Mathematics, Science, &amp; Technology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0F05EC" w:rsidRPr="000F05EC" w:rsidRDefault="000F05EC" w:rsidP="000F05EC">
      <w:pPr>
        <w:spacing w:line="276" w:lineRule="auto"/>
        <w:jc w:val="both"/>
      </w:pPr>
    </w:p>
    <w:p w:rsidR="000F05EC" w:rsidRDefault="000F05EC" w:rsidP="000F05EC"/>
    <w:p w:rsidR="000F05EC" w:rsidRDefault="000F05EC" w:rsidP="000F05EC"/>
    <w:p w:rsidR="000F05EC" w:rsidRDefault="000F05EC"/>
    <w:sectPr w:rsidR="000F05EC" w:rsidSect="000F05EC">
      <w:footerReference w:type="defaul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52" w:rsidRDefault="00D74B52" w:rsidP="000F05EC">
      <w:pPr>
        <w:spacing w:after="0" w:line="240" w:lineRule="auto"/>
      </w:pPr>
      <w:r>
        <w:separator/>
      </w:r>
    </w:p>
  </w:endnote>
  <w:endnote w:type="continuationSeparator" w:id="0">
    <w:p w:rsidR="00D74B52" w:rsidRDefault="00D74B52" w:rsidP="000F05EC">
      <w:pPr>
        <w:spacing w:after="0" w:line="240" w:lineRule="auto"/>
      </w:pPr>
      <w:r>
        <w:continuationSeparator/>
      </w:r>
    </w:p>
  </w:endnote>
  <w:endnote w:id="1">
    <w:p w:rsidR="000F05EC" w:rsidRPr="000F05EC" w:rsidRDefault="000F05EC" w:rsidP="000F05EC">
      <w:pPr>
        <w:pStyle w:val="EndnoteText"/>
        <w:tabs>
          <w:tab w:val="left" w:pos="2730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9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F05EC" w:rsidRPr="000F05EC" w:rsidRDefault="000F05E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0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F0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05EC" w:rsidRDefault="000F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52" w:rsidRDefault="00D74B52" w:rsidP="000F05EC">
      <w:pPr>
        <w:spacing w:after="0" w:line="240" w:lineRule="auto"/>
      </w:pPr>
      <w:r>
        <w:separator/>
      </w:r>
    </w:p>
  </w:footnote>
  <w:footnote w:type="continuationSeparator" w:id="0">
    <w:p w:rsidR="00D74B52" w:rsidRDefault="00D74B52" w:rsidP="000F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C"/>
    <w:rsid w:val="000F05EC"/>
    <w:rsid w:val="00142B6B"/>
    <w:rsid w:val="00736DE7"/>
    <w:rsid w:val="00C30F0D"/>
    <w:rsid w:val="00D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EC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F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EC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0F05EC"/>
    <w:pPr>
      <w:ind w:left="720"/>
      <w:contextualSpacing/>
    </w:pPr>
    <w:rPr>
      <w:rFonts w:eastAsiaTheme="minorHAnsi"/>
      <w:sz w:val="22"/>
      <w:szCs w:val="22"/>
      <w:lang w:val="id-ID" w:eastAsia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0F05EC"/>
    <w:rPr>
      <w:lang w:val="id-ID"/>
    </w:rPr>
  </w:style>
  <w:style w:type="character" w:styleId="Hyperlink">
    <w:name w:val="Hyperlink"/>
    <w:basedOn w:val="DefaultParagraphFont"/>
    <w:rsid w:val="000F05EC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0F05EC"/>
    <w:pPr>
      <w:snapToGrid w:val="0"/>
      <w:spacing w:line="256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F05EC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semiHidden/>
    <w:unhideWhenUsed/>
    <w:rsid w:val="000F05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EC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EC"/>
    <w:rPr>
      <w:rFonts w:eastAsiaTheme="minorEastAsi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EC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F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EC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aliases w:val="Body of text,Medium Grid 1 - Accent 21,Body of text+1,Body of text+2,Body of text+3,List Paragraph11,Colorful List - Accent 11"/>
    <w:basedOn w:val="Normal"/>
    <w:link w:val="ListParagraphChar"/>
    <w:uiPriority w:val="34"/>
    <w:qFormat/>
    <w:rsid w:val="000F05EC"/>
    <w:pPr>
      <w:ind w:left="720"/>
      <w:contextualSpacing/>
    </w:pPr>
    <w:rPr>
      <w:rFonts w:eastAsiaTheme="minorHAnsi"/>
      <w:sz w:val="22"/>
      <w:szCs w:val="22"/>
      <w:lang w:val="id-ID" w:eastAsia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0F05EC"/>
    <w:rPr>
      <w:lang w:val="id-ID"/>
    </w:rPr>
  </w:style>
  <w:style w:type="character" w:styleId="Hyperlink">
    <w:name w:val="Hyperlink"/>
    <w:basedOn w:val="DefaultParagraphFont"/>
    <w:rsid w:val="000F05EC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0F05EC"/>
    <w:pPr>
      <w:snapToGrid w:val="0"/>
      <w:spacing w:line="256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F05EC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semiHidden/>
    <w:unhideWhenUsed/>
    <w:rsid w:val="000F05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EC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EC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diknas.go.id/jurnal/51/040429%20-ed-20%25nurhayati-penerapan%20%25model%20pembelajara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di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.upi.edu/Direktori/FPMIPA/JUR._PEND._MATEMATIKA/196101121987031-TURMUDI/F20-PEMECAHAN_MASALAH_MATEMATIKA-1-11-2008.pdf.%20%5b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mssandpirls.bc.edu/timss2011/international-result-m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s.ed.gov/survey/pi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2020-10-13T04:08:00Z</dcterms:created>
  <dcterms:modified xsi:type="dcterms:W3CDTF">2020-10-13T04:14:00Z</dcterms:modified>
</cp:coreProperties>
</file>