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6B6" w:rsidRDefault="00C426B6" w:rsidP="00C426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46D94">
        <w:rPr>
          <w:rFonts w:ascii="Times New Roman" w:hAnsi="Times New Roman" w:cs="Times New Roman"/>
          <w:b/>
          <w:sz w:val="28"/>
          <w:szCs w:val="28"/>
        </w:rPr>
        <w:t>ABSTRAK</w:t>
      </w:r>
    </w:p>
    <w:p w:rsidR="00C426B6" w:rsidRDefault="00C426B6" w:rsidP="00C426B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26B6" w:rsidRDefault="00C426B6" w:rsidP="00C426B6">
      <w:pPr>
        <w:spacing w:after="0" w:line="480" w:lineRule="auto"/>
        <w:ind w:left="900" w:hanging="90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Judul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: Pengaruh </w:t>
      </w:r>
      <w:r>
        <w:rPr>
          <w:rFonts w:ascii="Times New Roman" w:hAnsi="Times New Roman" w:cs="Times New Roman"/>
          <w:b/>
          <w:i/>
          <w:sz w:val="24"/>
          <w:szCs w:val="24"/>
        </w:rPr>
        <w:t>Leverage</w:t>
      </w:r>
      <w:r>
        <w:rPr>
          <w:rFonts w:ascii="Times New Roman" w:hAnsi="Times New Roman" w:cs="Times New Roman"/>
          <w:b/>
          <w:sz w:val="24"/>
          <w:szCs w:val="24"/>
        </w:rPr>
        <w:t xml:space="preserve"> dan Likuiditas Terhadap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Return </w:t>
      </w:r>
      <w:r>
        <w:rPr>
          <w:rFonts w:ascii="Times New Roman" w:hAnsi="Times New Roman" w:cs="Times New Roman"/>
          <w:b/>
          <w:sz w:val="24"/>
          <w:szCs w:val="24"/>
        </w:rPr>
        <w:t xml:space="preserve">Saham dengan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Good Corporate Governance </w:t>
      </w:r>
      <w:r>
        <w:rPr>
          <w:rFonts w:ascii="Times New Roman" w:hAnsi="Times New Roman" w:cs="Times New Roman"/>
          <w:b/>
          <w:sz w:val="24"/>
          <w:szCs w:val="24"/>
        </w:rPr>
        <w:t>Sebagai Variabel Moderasi</w:t>
      </w:r>
    </w:p>
    <w:p w:rsidR="00C426B6" w:rsidRDefault="00C426B6" w:rsidP="00C426B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</w:rPr>
      </w:pPr>
      <w:r w:rsidRPr="00681EAC">
        <w:rPr>
          <w:rFonts w:ascii="Times New Roman" w:hAnsi="Times New Roman" w:cs="Times New Roman"/>
          <w:sz w:val="24"/>
        </w:rPr>
        <w:t>Pasar modal (</w:t>
      </w:r>
      <w:r w:rsidRPr="00681EAC">
        <w:rPr>
          <w:rFonts w:ascii="Times New Roman" w:hAnsi="Times New Roman" w:cs="Times New Roman"/>
          <w:i/>
          <w:sz w:val="24"/>
        </w:rPr>
        <w:t>capital market</w:t>
      </w:r>
      <w:r w:rsidRPr="00681EAC">
        <w:rPr>
          <w:rFonts w:ascii="Times New Roman" w:hAnsi="Times New Roman" w:cs="Times New Roman"/>
          <w:sz w:val="24"/>
        </w:rPr>
        <w:t xml:space="preserve">) </w:t>
      </w:r>
      <w:r>
        <w:rPr>
          <w:rFonts w:ascii="Times New Roman" w:hAnsi="Times New Roman" w:cs="Times New Roman"/>
          <w:sz w:val="24"/>
        </w:rPr>
        <w:t xml:space="preserve">pada hakikatnya </w:t>
      </w:r>
      <w:r w:rsidRPr="00681EAC">
        <w:rPr>
          <w:rFonts w:ascii="Times New Roman" w:hAnsi="Times New Roman" w:cs="Times New Roman"/>
          <w:sz w:val="24"/>
        </w:rPr>
        <w:t>merupakan pasar untuk berbagai instrumen keuangan jangka panjang yang bisa diperjualbelikan, baik surat utang (obligasi</w:t>
      </w:r>
      <w:r>
        <w:rPr>
          <w:rFonts w:ascii="Times New Roman" w:hAnsi="Times New Roman" w:cs="Times New Roman"/>
          <w:sz w:val="24"/>
        </w:rPr>
        <w:t>), ekuiti (saham), reksa dana,</w:t>
      </w:r>
      <w:r w:rsidRPr="00681EAC">
        <w:rPr>
          <w:rFonts w:ascii="Times New Roman" w:hAnsi="Times New Roman" w:cs="Times New Roman"/>
          <w:sz w:val="24"/>
        </w:rPr>
        <w:t xml:space="preserve"> derivatif maupun lainnya. Pasar modal merupakan sarana pendanaan bagi perusahaan maupun inst</w:t>
      </w:r>
      <w:r>
        <w:rPr>
          <w:rFonts w:ascii="Times New Roman" w:hAnsi="Times New Roman" w:cs="Times New Roman"/>
          <w:sz w:val="24"/>
        </w:rPr>
        <w:t>itusi lain misalnya pemerintah</w:t>
      </w:r>
      <w:r w:rsidRPr="00681EAC">
        <w:rPr>
          <w:rFonts w:ascii="Times New Roman" w:hAnsi="Times New Roman" w:cs="Times New Roman"/>
          <w:sz w:val="24"/>
        </w:rPr>
        <w:t>, dan sebagai sarana bagi kegiatan berinvestasi.</w:t>
      </w:r>
      <w:r>
        <w:rPr>
          <w:rFonts w:ascii="Times New Roman" w:hAnsi="Times New Roman" w:cs="Times New Roman"/>
          <w:sz w:val="24"/>
        </w:rPr>
        <w:t xml:space="preserve"> Tujuan penelitian ini adalah untuk mengetahui pengaruh </w:t>
      </w:r>
      <w:r>
        <w:rPr>
          <w:rFonts w:ascii="Times New Roman" w:hAnsi="Times New Roman" w:cs="Times New Roman"/>
          <w:i/>
          <w:sz w:val="24"/>
        </w:rPr>
        <w:t>leverage</w:t>
      </w:r>
      <w:r>
        <w:rPr>
          <w:rFonts w:ascii="Times New Roman" w:hAnsi="Times New Roman" w:cs="Times New Roman"/>
          <w:sz w:val="24"/>
        </w:rPr>
        <w:t xml:space="preserve"> dan likuiditas terhadap </w:t>
      </w:r>
      <w:r>
        <w:rPr>
          <w:rFonts w:ascii="Times New Roman" w:hAnsi="Times New Roman" w:cs="Times New Roman"/>
          <w:i/>
          <w:sz w:val="24"/>
        </w:rPr>
        <w:t>return</w:t>
      </w:r>
      <w:r>
        <w:rPr>
          <w:rFonts w:ascii="Times New Roman" w:hAnsi="Times New Roman" w:cs="Times New Roman"/>
          <w:sz w:val="24"/>
        </w:rPr>
        <w:t xml:space="preserve"> saham</w:t>
      </w:r>
      <w:r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dengan </w:t>
      </w:r>
      <w:r>
        <w:rPr>
          <w:rFonts w:ascii="Times New Roman" w:hAnsi="Times New Roman" w:cs="Times New Roman"/>
          <w:i/>
          <w:sz w:val="24"/>
        </w:rPr>
        <w:t>good corporate governance</w:t>
      </w:r>
      <w:r>
        <w:rPr>
          <w:rFonts w:ascii="Times New Roman" w:hAnsi="Times New Roman" w:cs="Times New Roman"/>
          <w:sz w:val="24"/>
        </w:rPr>
        <w:t xml:space="preserve"> sebagai variabel moderasi pada perusahaan Manufaktur yang terdaftar di Bursa Efek Indonesia periode 2013-2017.</w:t>
      </w:r>
    </w:p>
    <w:p w:rsidR="00C426B6" w:rsidRDefault="00C426B6" w:rsidP="00C426B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Penelitian ini menggunakan metode penelitian kuantitatif dengan sampel penelitian sebanyak 94 perusahaan Manufaktur yang terdaftar di Bursa Efek Indonesia periode 2013-2017. Tehnik pengambilan sampel yang digunakan ialah </w:t>
      </w:r>
      <w:r>
        <w:rPr>
          <w:rFonts w:ascii="Times New Roman" w:hAnsi="Times New Roman" w:cs="Times New Roman"/>
          <w:i/>
          <w:sz w:val="24"/>
        </w:rPr>
        <w:t>purpsive sampling</w:t>
      </w:r>
      <w:r>
        <w:rPr>
          <w:rFonts w:ascii="Times New Roman" w:hAnsi="Times New Roman" w:cs="Times New Roman"/>
          <w:sz w:val="24"/>
        </w:rPr>
        <w:t xml:space="preserve">, yaitu pengambilan sampel yang dilakukan berdasarkan kriteria tertentu. Jenis data yang digunakan adalah data sekunder dengan analisis data menggunakan model regresi data panel dan </w:t>
      </w:r>
      <w:r>
        <w:rPr>
          <w:rFonts w:ascii="Times New Roman" w:hAnsi="Times New Roman" w:cs="Times New Roman"/>
          <w:i/>
          <w:sz w:val="24"/>
        </w:rPr>
        <w:t>Moderated Regression Analysis</w:t>
      </w:r>
      <w:r>
        <w:rPr>
          <w:rFonts w:ascii="Times New Roman" w:hAnsi="Times New Roman" w:cs="Times New Roman"/>
          <w:sz w:val="24"/>
        </w:rPr>
        <w:t xml:space="preserve"> dengan alat bantu </w:t>
      </w:r>
      <w:r>
        <w:rPr>
          <w:rFonts w:ascii="Times New Roman" w:hAnsi="Times New Roman" w:cs="Times New Roman"/>
          <w:i/>
          <w:sz w:val="24"/>
        </w:rPr>
        <w:t>Eviews 10</w:t>
      </w:r>
      <w:r>
        <w:rPr>
          <w:rFonts w:ascii="Times New Roman" w:hAnsi="Times New Roman" w:cs="Times New Roman"/>
          <w:sz w:val="24"/>
        </w:rPr>
        <w:t xml:space="preserve"> dan </w:t>
      </w:r>
      <w:r>
        <w:rPr>
          <w:rFonts w:ascii="Times New Roman" w:hAnsi="Times New Roman" w:cs="Times New Roman"/>
          <w:i/>
          <w:sz w:val="24"/>
        </w:rPr>
        <w:t>Microsoft Office 2010</w:t>
      </w:r>
      <w:r>
        <w:rPr>
          <w:rFonts w:ascii="Times New Roman" w:hAnsi="Times New Roman" w:cs="Times New Roman"/>
          <w:sz w:val="24"/>
        </w:rPr>
        <w:t>.</w:t>
      </w:r>
    </w:p>
    <w:p w:rsidR="00C426B6" w:rsidRDefault="00C426B6" w:rsidP="00C426B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Hasil penelitian ini menunjukan bahwa secara simultan </w:t>
      </w:r>
      <w:r>
        <w:rPr>
          <w:rFonts w:ascii="Times New Roman" w:hAnsi="Times New Roman" w:cs="Times New Roman"/>
          <w:i/>
          <w:sz w:val="24"/>
        </w:rPr>
        <w:t xml:space="preserve">Leverage </w:t>
      </w:r>
      <w:r>
        <w:rPr>
          <w:rFonts w:ascii="Times New Roman" w:hAnsi="Times New Roman" w:cs="Times New Roman"/>
          <w:sz w:val="24"/>
        </w:rPr>
        <w:t xml:space="preserve">dan Likuiditas berpengaruh terhadap </w:t>
      </w:r>
      <w:r>
        <w:rPr>
          <w:rFonts w:ascii="Times New Roman" w:hAnsi="Times New Roman" w:cs="Times New Roman"/>
          <w:i/>
          <w:sz w:val="24"/>
        </w:rPr>
        <w:t xml:space="preserve">Return </w:t>
      </w:r>
      <w:r>
        <w:rPr>
          <w:rFonts w:ascii="Times New Roman" w:hAnsi="Times New Roman" w:cs="Times New Roman"/>
          <w:sz w:val="24"/>
        </w:rPr>
        <w:t>Saham dengan niai koefisien determinasi (</w:t>
      </w:r>
      <m:oMath>
        <m:sSup>
          <m:sSupPr>
            <m:ctrlPr>
              <w:rPr>
                <w:rFonts w:ascii="Cambria Math" w:hAnsi="Cambria Math" w:cs="Times New Roman"/>
                <w:sz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R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sz w:val="24"/>
        </w:rPr>
        <w:t xml:space="preserve">) sebesar 51,55%. Secara parsial, variabel </w:t>
      </w:r>
      <w:r>
        <w:rPr>
          <w:rFonts w:ascii="Times New Roman" w:eastAsiaTheme="minorEastAsia" w:hAnsi="Times New Roman" w:cs="Times New Roman"/>
          <w:i/>
          <w:sz w:val="24"/>
        </w:rPr>
        <w:t>Leverage</w:t>
      </w:r>
      <w:r>
        <w:rPr>
          <w:rFonts w:ascii="Times New Roman" w:eastAsiaTheme="minorEastAsia" w:hAnsi="Times New Roman" w:cs="Times New Roman"/>
          <w:sz w:val="24"/>
        </w:rPr>
        <w:t xml:space="preserve"> berpengaruh negatif dan signifikan terhadap </w:t>
      </w:r>
      <w:r>
        <w:rPr>
          <w:rFonts w:ascii="Times New Roman" w:eastAsiaTheme="minorEastAsia" w:hAnsi="Times New Roman" w:cs="Times New Roman"/>
          <w:i/>
          <w:sz w:val="24"/>
        </w:rPr>
        <w:t>Return</w:t>
      </w:r>
      <w:r>
        <w:rPr>
          <w:rFonts w:ascii="Times New Roman" w:eastAsiaTheme="minorEastAsia" w:hAnsi="Times New Roman" w:cs="Times New Roman"/>
          <w:sz w:val="24"/>
        </w:rPr>
        <w:t xml:space="preserve"> Saham, dan variabel Likuiditas berpengaruh negatif dan tidak signifikan terhadap </w:t>
      </w:r>
      <w:r>
        <w:rPr>
          <w:rFonts w:ascii="Times New Roman" w:eastAsiaTheme="minorEastAsia" w:hAnsi="Times New Roman" w:cs="Times New Roman"/>
          <w:i/>
          <w:sz w:val="24"/>
        </w:rPr>
        <w:t>Return</w:t>
      </w:r>
      <w:r>
        <w:rPr>
          <w:rFonts w:ascii="Times New Roman" w:eastAsiaTheme="minorEastAsia" w:hAnsi="Times New Roman" w:cs="Times New Roman"/>
          <w:sz w:val="24"/>
        </w:rPr>
        <w:t xml:space="preserve"> Saham. Secara moderasi, </w:t>
      </w:r>
      <w:r>
        <w:rPr>
          <w:rFonts w:ascii="Times New Roman" w:eastAsiaTheme="minorEastAsia" w:hAnsi="Times New Roman" w:cs="Times New Roman"/>
          <w:i/>
          <w:sz w:val="24"/>
        </w:rPr>
        <w:t>Good Corporate Governance</w:t>
      </w:r>
      <w:r>
        <w:rPr>
          <w:rFonts w:ascii="Times New Roman" w:eastAsiaTheme="minorEastAsia" w:hAnsi="Times New Roman" w:cs="Times New Roman"/>
          <w:sz w:val="24"/>
        </w:rPr>
        <w:t xml:space="preserve"> tidak mampu memoderasi hubungan secara positif antara </w:t>
      </w:r>
      <w:r>
        <w:rPr>
          <w:rFonts w:ascii="Times New Roman" w:eastAsiaTheme="minorEastAsia" w:hAnsi="Times New Roman" w:cs="Times New Roman"/>
          <w:i/>
          <w:sz w:val="24"/>
        </w:rPr>
        <w:t>Leverage</w:t>
      </w:r>
      <w:r>
        <w:rPr>
          <w:rFonts w:ascii="Times New Roman" w:eastAsiaTheme="minorEastAsia" w:hAnsi="Times New Roman" w:cs="Times New Roman"/>
          <w:sz w:val="24"/>
        </w:rPr>
        <w:t xml:space="preserve"> terhadap </w:t>
      </w:r>
      <w:r>
        <w:rPr>
          <w:rFonts w:ascii="Times New Roman" w:eastAsiaTheme="minorEastAsia" w:hAnsi="Times New Roman" w:cs="Times New Roman"/>
          <w:i/>
          <w:sz w:val="24"/>
        </w:rPr>
        <w:t>Return</w:t>
      </w:r>
      <w:r>
        <w:rPr>
          <w:rFonts w:ascii="Times New Roman" w:eastAsiaTheme="minorEastAsia" w:hAnsi="Times New Roman" w:cs="Times New Roman"/>
          <w:sz w:val="24"/>
        </w:rPr>
        <w:t xml:space="preserve"> Saham dan </w:t>
      </w:r>
      <w:r>
        <w:rPr>
          <w:rFonts w:ascii="Times New Roman" w:eastAsiaTheme="minorEastAsia" w:hAnsi="Times New Roman" w:cs="Times New Roman"/>
          <w:i/>
          <w:sz w:val="24"/>
        </w:rPr>
        <w:t>Good Corporate Governance</w:t>
      </w:r>
      <w:r>
        <w:rPr>
          <w:rFonts w:ascii="Times New Roman" w:eastAsiaTheme="minorEastAsia" w:hAnsi="Times New Roman" w:cs="Times New Roman"/>
          <w:sz w:val="24"/>
        </w:rPr>
        <w:t xml:space="preserve"> mampu memoderasi secara positif Likuiditas terhadap </w:t>
      </w:r>
      <w:r>
        <w:rPr>
          <w:rFonts w:ascii="Times New Roman" w:eastAsiaTheme="minorEastAsia" w:hAnsi="Times New Roman" w:cs="Times New Roman"/>
          <w:i/>
          <w:sz w:val="24"/>
        </w:rPr>
        <w:t>Return</w:t>
      </w:r>
      <w:r>
        <w:rPr>
          <w:rFonts w:ascii="Times New Roman" w:eastAsiaTheme="minorEastAsia" w:hAnsi="Times New Roman" w:cs="Times New Roman"/>
          <w:sz w:val="24"/>
        </w:rPr>
        <w:t xml:space="preserve"> Saham.</w:t>
      </w:r>
    </w:p>
    <w:p w:rsidR="00C426B6" w:rsidRDefault="00C426B6" w:rsidP="00C426B6">
      <w:pPr>
        <w:spacing w:after="0" w:line="480" w:lineRule="auto"/>
        <w:jc w:val="both"/>
        <w:rPr>
          <w:rFonts w:ascii="Times New Roman" w:eastAsiaTheme="minorEastAsia" w:hAnsi="Times New Roman" w:cs="Times New Roman"/>
          <w:sz w:val="24"/>
        </w:rPr>
      </w:pPr>
    </w:p>
    <w:p w:rsidR="00C426B6" w:rsidRPr="001E1599" w:rsidRDefault="00C426B6" w:rsidP="00C426B6">
      <w:pPr>
        <w:spacing w:after="0" w:line="480" w:lineRule="auto"/>
        <w:ind w:left="900" w:hanging="90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E1599">
        <w:rPr>
          <w:rFonts w:ascii="Times New Roman" w:eastAsiaTheme="minorEastAsia" w:hAnsi="Times New Roman" w:cs="Times New Roman"/>
          <w:b/>
          <w:sz w:val="24"/>
        </w:rPr>
        <w:t xml:space="preserve">Kata Kunci : </w:t>
      </w:r>
      <w:r w:rsidRPr="001E1599">
        <w:rPr>
          <w:rFonts w:ascii="Times New Roman" w:eastAsiaTheme="minorEastAsia" w:hAnsi="Times New Roman" w:cs="Times New Roman"/>
          <w:b/>
          <w:i/>
          <w:sz w:val="24"/>
        </w:rPr>
        <w:t xml:space="preserve">Leverage, </w:t>
      </w:r>
      <w:r w:rsidRPr="001E1599">
        <w:rPr>
          <w:rFonts w:ascii="Times New Roman" w:eastAsiaTheme="minorEastAsia" w:hAnsi="Times New Roman" w:cs="Times New Roman"/>
          <w:b/>
          <w:sz w:val="24"/>
        </w:rPr>
        <w:t xml:space="preserve">Likuiditas, </w:t>
      </w:r>
      <w:r w:rsidRPr="001E1599">
        <w:rPr>
          <w:rFonts w:ascii="Times New Roman" w:eastAsiaTheme="minorEastAsia" w:hAnsi="Times New Roman" w:cs="Times New Roman"/>
          <w:b/>
          <w:i/>
          <w:sz w:val="24"/>
        </w:rPr>
        <w:t>Return</w:t>
      </w:r>
      <w:r w:rsidRPr="001E1599">
        <w:rPr>
          <w:rFonts w:ascii="Times New Roman" w:eastAsiaTheme="minorEastAsia" w:hAnsi="Times New Roman" w:cs="Times New Roman"/>
          <w:b/>
          <w:sz w:val="24"/>
        </w:rPr>
        <w:t xml:space="preserve"> Saham, </w:t>
      </w:r>
      <w:r w:rsidRPr="001E1599">
        <w:rPr>
          <w:rFonts w:ascii="Times New Roman" w:eastAsiaTheme="minorEastAsia" w:hAnsi="Times New Roman" w:cs="Times New Roman"/>
          <w:b/>
          <w:i/>
          <w:sz w:val="24"/>
        </w:rPr>
        <w:t>Good Corporate Governance</w:t>
      </w:r>
    </w:p>
    <w:p w:rsidR="00A867B4" w:rsidRDefault="00A867B4"/>
    <w:sectPr w:rsidR="00A867B4" w:rsidSect="00C426B6">
      <w:pgSz w:w="11906" w:h="16838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6B6"/>
    <w:rsid w:val="002D1996"/>
    <w:rsid w:val="002F0AA3"/>
    <w:rsid w:val="00A867B4"/>
    <w:rsid w:val="00C42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6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26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6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6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26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6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cp:lastPrinted>2019-03-06T02:12:00Z</cp:lastPrinted>
  <dcterms:created xsi:type="dcterms:W3CDTF">2019-03-06T02:05:00Z</dcterms:created>
  <dcterms:modified xsi:type="dcterms:W3CDTF">2019-03-06T02:12:00Z</dcterms:modified>
</cp:coreProperties>
</file>