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9DEB" w14:textId="77777777" w:rsidR="003E1111" w:rsidRDefault="003E1111" w:rsidP="0020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89B30B1" w14:textId="77777777" w:rsidR="00C71E3B" w:rsidRDefault="00C71E3B" w:rsidP="00C71E3B">
      <w:pPr>
        <w:pStyle w:val="NoSpacing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54">
        <w:rPr>
          <w:rFonts w:ascii="Times New Roman" w:hAnsi="Times New Roman" w:cs="Times New Roman"/>
          <w:b/>
          <w:sz w:val="24"/>
          <w:szCs w:val="24"/>
        </w:rPr>
        <w:t xml:space="preserve">PENEGAKKAN HUKUM PIDANA TERHADAP PELAKU </w:t>
      </w:r>
    </w:p>
    <w:p w14:paraId="14A7B47F" w14:textId="77777777" w:rsidR="00C71E3B" w:rsidRPr="000C46CE" w:rsidRDefault="00C71E3B" w:rsidP="00C71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954">
        <w:rPr>
          <w:rFonts w:ascii="Times New Roman" w:hAnsi="Times New Roman" w:cs="Times New Roman"/>
          <w:b/>
          <w:sz w:val="24"/>
          <w:szCs w:val="24"/>
        </w:rPr>
        <w:t xml:space="preserve">TINDAK PIDANA PENYELUNDUPAN MANUSIA DIHUBUNGKAN DENGAN UNDANG-UNDANG </w:t>
      </w: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 w:rsidRPr="001D1954">
        <w:rPr>
          <w:rFonts w:ascii="Times New Roman" w:hAnsi="Times New Roman" w:cs="Times New Roman"/>
          <w:b/>
          <w:sz w:val="24"/>
          <w:szCs w:val="24"/>
        </w:rPr>
        <w:t>6 TAHUN 2011 TENTANG KEIMIGRASIAN</w:t>
      </w:r>
    </w:p>
    <w:p w14:paraId="00C4167A" w14:textId="77777777" w:rsidR="00C71E3B" w:rsidRPr="000C46CE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EEB7B" w14:textId="77777777" w:rsidR="00C71E3B" w:rsidRPr="00C71E3B" w:rsidRDefault="00C71E3B" w:rsidP="00C7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Artikel ilmiah Tesis</w:t>
      </w:r>
    </w:p>
    <w:p w14:paraId="54BCD17C" w14:textId="77777777" w:rsidR="00C71E3B" w:rsidRPr="00C71E3B" w:rsidRDefault="00C71E3B" w:rsidP="00C71E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ABD548A" w14:textId="77777777" w:rsidR="00C71E3B" w:rsidRPr="00B3139A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139A">
        <w:rPr>
          <w:rFonts w:ascii="Times New Roman" w:hAnsi="Times New Roman" w:cs="Times New Roman"/>
          <w:b/>
          <w:sz w:val="24"/>
          <w:szCs w:val="24"/>
        </w:rPr>
        <w:t>Disusunoleh</w:t>
      </w:r>
      <w:proofErr w:type="spellEnd"/>
      <w:r w:rsidRPr="00B313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7C6131CF" w14:textId="77777777" w:rsidR="00C71E3B" w:rsidRPr="00B3139A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0BFD2" w14:textId="77777777" w:rsidR="00C71E3B" w:rsidRPr="00B3139A" w:rsidRDefault="00C71E3B" w:rsidP="00C71E3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B3139A">
        <w:rPr>
          <w:rFonts w:ascii="Times New Roman" w:hAnsi="Times New Roman" w:cs="Times New Roman"/>
          <w:b/>
          <w:sz w:val="24"/>
          <w:szCs w:val="24"/>
        </w:rPr>
        <w:t>Nama</w:t>
      </w:r>
      <w:r w:rsidRPr="00B3139A">
        <w:rPr>
          <w:rFonts w:ascii="Times New Roman" w:hAnsi="Times New Roman" w:cs="Times New Roman"/>
          <w:b/>
          <w:sz w:val="24"/>
          <w:szCs w:val="24"/>
        </w:rPr>
        <w:tab/>
      </w:r>
      <w:r w:rsidRPr="00B3139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3139A">
        <w:rPr>
          <w:rFonts w:ascii="Times New Roman" w:hAnsi="Times New Roman" w:cs="Times New Roman"/>
          <w:b/>
          <w:sz w:val="24"/>
          <w:szCs w:val="24"/>
        </w:rPr>
        <w:t>SyifaNurAgustina</w:t>
      </w:r>
      <w:proofErr w:type="spellEnd"/>
    </w:p>
    <w:p w14:paraId="788BAB3C" w14:textId="77777777" w:rsidR="00C71E3B" w:rsidRPr="00B3139A" w:rsidRDefault="00C71E3B" w:rsidP="00C71E3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39A">
        <w:rPr>
          <w:rFonts w:ascii="Times New Roman" w:hAnsi="Times New Roman" w:cs="Times New Roman"/>
          <w:b/>
          <w:sz w:val="24"/>
          <w:szCs w:val="24"/>
        </w:rPr>
        <w:t>Npm</w:t>
      </w:r>
      <w:proofErr w:type="spellEnd"/>
      <w:r w:rsidRPr="00B3139A">
        <w:rPr>
          <w:rFonts w:ascii="Times New Roman" w:hAnsi="Times New Roman" w:cs="Times New Roman"/>
          <w:b/>
          <w:sz w:val="24"/>
          <w:szCs w:val="24"/>
        </w:rPr>
        <w:tab/>
      </w:r>
      <w:r w:rsidRPr="00B3139A">
        <w:rPr>
          <w:rFonts w:ascii="Times New Roman" w:hAnsi="Times New Roman" w:cs="Times New Roman"/>
          <w:b/>
          <w:sz w:val="24"/>
          <w:szCs w:val="24"/>
        </w:rPr>
        <w:tab/>
        <w:t>: 168040030</w:t>
      </w:r>
    </w:p>
    <w:p w14:paraId="213515BC" w14:textId="77777777" w:rsidR="00C71E3B" w:rsidRPr="00B3139A" w:rsidRDefault="00C71E3B" w:rsidP="00C71E3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39A"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 w:rsidRPr="00B3139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3139A">
        <w:rPr>
          <w:rFonts w:ascii="Times New Roman" w:hAnsi="Times New Roman" w:cs="Times New Roman"/>
          <w:b/>
          <w:sz w:val="24"/>
          <w:szCs w:val="24"/>
        </w:rPr>
        <w:t>HukumPidana</w:t>
      </w:r>
      <w:proofErr w:type="spellEnd"/>
    </w:p>
    <w:p w14:paraId="0C8F875F" w14:textId="77777777" w:rsidR="00C71E3B" w:rsidRPr="00B3139A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8F238" w14:textId="77777777" w:rsidR="00C71E3B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E813CB6" w14:textId="77777777" w:rsidR="00C71E3B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46C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E972AD2" wp14:editId="3852AA28">
            <wp:extent cx="1476375" cy="1409700"/>
            <wp:effectExtent l="19050" t="0" r="9525" b="0"/>
            <wp:docPr id="3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30163" w14:textId="77777777" w:rsidR="00C71E3B" w:rsidRPr="00C71E3B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15902C3" w14:textId="77777777" w:rsidR="00C71E3B" w:rsidRPr="000C46CE" w:rsidRDefault="00C71E3B" w:rsidP="00C7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BDDD5" w14:textId="77777777" w:rsidR="00C71E3B" w:rsidRPr="000C46CE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STUDI MAGISTER</w:t>
      </w:r>
      <w:r w:rsidRPr="000C46CE">
        <w:rPr>
          <w:rFonts w:ascii="Times New Roman" w:hAnsi="Times New Roman" w:cs="Times New Roman"/>
          <w:b/>
          <w:sz w:val="24"/>
          <w:szCs w:val="24"/>
        </w:rPr>
        <w:t xml:space="preserve"> ILMU HUKUM </w:t>
      </w:r>
    </w:p>
    <w:p w14:paraId="6E0A4344" w14:textId="77777777" w:rsidR="00C71E3B" w:rsidRPr="000C46CE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</w:t>
      </w:r>
      <w:r w:rsidRPr="000C46CE">
        <w:rPr>
          <w:rFonts w:ascii="Times New Roman" w:hAnsi="Times New Roman" w:cs="Times New Roman"/>
          <w:b/>
          <w:sz w:val="24"/>
          <w:szCs w:val="24"/>
        </w:rPr>
        <w:t xml:space="preserve"> PASCA SARJANA</w:t>
      </w:r>
    </w:p>
    <w:p w14:paraId="1AC37088" w14:textId="77777777" w:rsidR="00C71E3B" w:rsidRPr="000C46CE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CE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14:paraId="56C0C960" w14:textId="77777777" w:rsidR="00C71E3B" w:rsidRDefault="00C71E3B" w:rsidP="00C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3CFA5C04" w14:textId="77777777" w:rsidR="003E1111" w:rsidRDefault="003E1111" w:rsidP="0020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BA8CDC2" w14:textId="77777777" w:rsidR="003E1111" w:rsidRDefault="003E1111" w:rsidP="0020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5EA702E" w14:textId="77777777" w:rsidR="003E1111" w:rsidRDefault="003E1111" w:rsidP="0020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DDE7358" w14:textId="77777777" w:rsidR="003E1111" w:rsidRDefault="003E1111" w:rsidP="0020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9FBE09E" w14:textId="77777777" w:rsidR="003E1111" w:rsidRDefault="003E1111" w:rsidP="0020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EE4EB94" w14:textId="77777777" w:rsidR="00B67557" w:rsidRPr="00814B78" w:rsidRDefault="00814B78" w:rsidP="0020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7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14:paraId="2F2E9955" w14:textId="77777777" w:rsidR="00814B78" w:rsidRDefault="00385594" w:rsidP="00203DA2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Negara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3C23D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ayat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</w:t>
      </w:r>
      <w:r w:rsidR="00245677">
        <w:rPr>
          <w:rFonts w:ascii="Times New Roman" w:hAnsi="Times New Roman" w:cs="Times New Roman"/>
          <w:sz w:val="24"/>
          <w:szCs w:val="24"/>
        </w:rPr>
        <w:t>)</w:t>
      </w:r>
      <w:r w:rsidR="003C23DC">
        <w:rPr>
          <w:rFonts w:ascii="Times New Roman" w:hAnsi="Times New Roman" w:cs="Times New Roman"/>
          <w:sz w:val="24"/>
          <w:szCs w:val="24"/>
        </w:rPr>
        <w:t>, dan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23DC">
        <w:rPr>
          <w:rFonts w:ascii="Times New Roman" w:hAnsi="Times New Roman" w:cs="Times New Roman"/>
          <w:sz w:val="24"/>
          <w:szCs w:val="24"/>
        </w:rPr>
        <w:t>dan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23DC">
        <w:rPr>
          <w:rFonts w:ascii="Times New Roman" w:hAnsi="Times New Roman" w:cs="Times New Roman"/>
          <w:sz w:val="24"/>
          <w:szCs w:val="24"/>
        </w:rPr>
        <w:t>dan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28D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23DC">
        <w:rPr>
          <w:rFonts w:ascii="Times New Roman" w:hAnsi="Times New Roman" w:cs="Times New Roman"/>
          <w:sz w:val="24"/>
          <w:szCs w:val="24"/>
        </w:rPr>
        <w:t>Dasar 1945</w:t>
      </w:r>
      <w:r w:rsidR="00217536">
        <w:rPr>
          <w:rFonts w:ascii="Times New Roman" w:hAnsi="Times New Roman" w:cs="Times New Roman"/>
          <w:sz w:val="24"/>
          <w:szCs w:val="24"/>
        </w:rPr>
        <w:t>)</w:t>
      </w:r>
      <w:r w:rsidR="003C2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23D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C23D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17536">
        <w:rPr>
          <w:rFonts w:ascii="Times New Roman" w:hAnsi="Times New Roman" w:cs="Times New Roman"/>
          <w:sz w:val="24"/>
          <w:szCs w:val="24"/>
        </w:rPr>
        <w:t>negeri</w:t>
      </w:r>
      <w:r w:rsidR="005327AB">
        <w:rPr>
          <w:rFonts w:ascii="Times New Roman" w:hAnsi="Times New Roman" w:cs="Times New Roman"/>
          <w:sz w:val="24"/>
          <w:szCs w:val="24"/>
        </w:rPr>
        <w:t>.Mengingat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5327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dinegara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83878">
        <w:rPr>
          <w:rFonts w:ascii="Times New Roman" w:hAnsi="Times New Roman" w:cs="Times New Roman"/>
          <w:sz w:val="24"/>
          <w:szCs w:val="24"/>
        </w:rPr>
        <w:t>dipul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au </w:t>
      </w:r>
      <w:proofErr w:type="spellStart"/>
      <w:r w:rsidR="005327A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42D4">
        <w:rPr>
          <w:rFonts w:ascii="Times New Roman" w:hAnsi="Times New Roman" w:cs="Times New Roman"/>
          <w:sz w:val="24"/>
          <w:szCs w:val="24"/>
        </w:rPr>
        <w:t>pe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desaan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>-pe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F83878">
        <w:rPr>
          <w:rFonts w:ascii="Times New Roman" w:hAnsi="Times New Roman" w:cs="Times New Roman"/>
          <w:sz w:val="24"/>
          <w:szCs w:val="24"/>
        </w:rPr>
        <w:t>d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saan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jawa.Sedangkan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hebatnya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1753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rendah</w:t>
      </w:r>
      <w:r w:rsidR="00217536">
        <w:rPr>
          <w:rFonts w:ascii="Times New Roman" w:hAnsi="Times New Roman" w:cs="Times New Roman"/>
          <w:sz w:val="24"/>
          <w:szCs w:val="24"/>
        </w:rPr>
        <w:t>,</w:t>
      </w:r>
      <w:r w:rsidR="003D42D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42D4">
        <w:rPr>
          <w:rFonts w:ascii="Times New Roman" w:hAnsi="Times New Roman" w:cs="Times New Roman"/>
          <w:sz w:val="24"/>
          <w:szCs w:val="24"/>
        </w:rPr>
        <w:t>negeri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7536">
        <w:rPr>
          <w:rFonts w:ascii="Times New Roman" w:hAnsi="Times New Roman" w:cs="Times New Roman"/>
          <w:sz w:val="24"/>
          <w:szCs w:val="24"/>
        </w:rPr>
        <w:t>lain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42D4">
        <w:rPr>
          <w:rFonts w:ascii="Times New Roman" w:hAnsi="Times New Roman" w:cs="Times New Roman"/>
          <w:sz w:val="24"/>
          <w:szCs w:val="24"/>
        </w:rPr>
        <w:t>Malaysia, Singapore dan lain-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WNI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42D4">
        <w:rPr>
          <w:rFonts w:ascii="Times New Roman" w:hAnsi="Times New Roman" w:cs="Times New Roman"/>
          <w:sz w:val="24"/>
          <w:szCs w:val="24"/>
        </w:rPr>
        <w:t>negeri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sah-sah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75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Keimigrasian</w:t>
      </w:r>
      <w:proofErr w:type="spellEnd"/>
      <w:r w:rsidR="00217536">
        <w:rPr>
          <w:rFonts w:ascii="Times New Roman" w:hAnsi="Times New Roman" w:cs="Times New Roman"/>
          <w:sz w:val="24"/>
          <w:szCs w:val="24"/>
        </w:rPr>
        <w:t>)</w:t>
      </w:r>
      <w:r w:rsidR="003D42D4">
        <w:rPr>
          <w:rFonts w:ascii="Times New Roman" w:hAnsi="Times New Roman" w:cs="Times New Roman"/>
          <w:sz w:val="24"/>
          <w:szCs w:val="24"/>
        </w:rPr>
        <w:t>.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mengindahkan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keimigrasian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1753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1753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175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(</w:t>
      </w:r>
      <w:r w:rsidR="003D42D4" w:rsidRPr="003D42D4">
        <w:rPr>
          <w:rFonts w:ascii="Times New Roman" w:hAnsi="Times New Roman" w:cs="Times New Roman"/>
          <w:i/>
          <w:sz w:val="24"/>
          <w:szCs w:val="24"/>
        </w:rPr>
        <w:t>illegal entry</w:t>
      </w:r>
      <w:r w:rsidR="003D42D4">
        <w:rPr>
          <w:rFonts w:ascii="Times New Roman" w:hAnsi="Times New Roman" w:cs="Times New Roman"/>
          <w:sz w:val="24"/>
          <w:szCs w:val="24"/>
        </w:rPr>
        <w:t>).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Identifikas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imasalah</w:t>
      </w:r>
      <w:r w:rsidR="0021753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3D42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42D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3878">
        <w:rPr>
          <w:rFonts w:ascii="Times New Roman" w:hAnsi="Times New Roman" w:cs="Times New Roman"/>
          <w:sz w:val="24"/>
          <w:szCs w:val="24"/>
        </w:rPr>
        <w:t>hokum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D10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 w:rsidR="003D42D4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42D4">
        <w:rPr>
          <w:rFonts w:ascii="Times New Roman" w:hAnsi="Times New Roman" w:cs="Times New Roman"/>
          <w:sz w:val="24"/>
          <w:szCs w:val="24"/>
        </w:rPr>
        <w:t>negeri</w:t>
      </w:r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D42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E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E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893DE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93D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93DE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893DE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838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E2">
        <w:rPr>
          <w:rFonts w:ascii="Times New Roman" w:hAnsi="Times New Roman" w:cs="Times New Roman"/>
          <w:sz w:val="24"/>
          <w:szCs w:val="24"/>
        </w:rPr>
        <w:t>Keimigrasian</w:t>
      </w:r>
      <w:proofErr w:type="spellEnd"/>
      <w:r w:rsidR="00893DE2">
        <w:rPr>
          <w:rFonts w:ascii="Times New Roman" w:hAnsi="Times New Roman" w:cs="Times New Roman"/>
          <w:sz w:val="24"/>
          <w:szCs w:val="24"/>
        </w:rPr>
        <w:t xml:space="preserve">.  2. </w:t>
      </w:r>
      <w:proofErr w:type="spellStart"/>
      <w:r w:rsidR="00893DE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E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893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 (TKI)</w:t>
      </w:r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071E">
        <w:rPr>
          <w:rFonts w:ascii="Times New Roman" w:hAnsi="Times New Roman" w:cs="Times New Roman"/>
          <w:sz w:val="24"/>
          <w:szCs w:val="24"/>
        </w:rPr>
        <w:t>negeri.</w:t>
      </w:r>
    </w:p>
    <w:p w14:paraId="29BD226E" w14:textId="77777777" w:rsidR="0032071E" w:rsidRDefault="0032071E" w:rsidP="00203DA2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D1074">
        <w:rPr>
          <w:rFonts w:ascii="Times New Roman" w:hAnsi="Times New Roman" w:cs="Times New Roman"/>
          <w:sz w:val="24"/>
          <w:szCs w:val="24"/>
        </w:rPr>
        <w:t>diskriptif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D1074">
        <w:rPr>
          <w:rFonts w:ascii="Times New Roman" w:hAnsi="Times New Roman" w:cs="Times New Roman"/>
          <w:sz w:val="24"/>
          <w:szCs w:val="24"/>
        </w:rPr>
        <w:t>analit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3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DA2">
        <w:rPr>
          <w:rFonts w:ascii="Times New Roman" w:hAnsi="Times New Roman" w:cs="Times New Roman"/>
          <w:sz w:val="24"/>
          <w:szCs w:val="24"/>
        </w:rPr>
        <w:t>mengambaarkan</w:t>
      </w:r>
      <w:proofErr w:type="spellEnd"/>
      <w:r w:rsidR="00203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DA2">
        <w:rPr>
          <w:rFonts w:ascii="Times New Roman" w:hAnsi="Times New Roman" w:cs="Times New Roman"/>
          <w:sz w:val="24"/>
          <w:szCs w:val="24"/>
        </w:rPr>
        <w:t>menganalis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normatife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03D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DE938D" w14:textId="77777777" w:rsidR="0032071E" w:rsidRDefault="00203DA2" w:rsidP="00203DA2">
      <w:pPr>
        <w:spacing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 (</w:t>
      </w:r>
      <w:r w:rsidR="0032071E" w:rsidRPr="0032071E">
        <w:rPr>
          <w:rFonts w:ascii="Times New Roman" w:hAnsi="Times New Roman" w:cs="Times New Roman"/>
          <w:i/>
          <w:sz w:val="24"/>
          <w:szCs w:val="24"/>
        </w:rPr>
        <w:t xml:space="preserve">law </w:t>
      </w:r>
      <w:proofErr w:type="spellStart"/>
      <w:r w:rsidR="0032071E" w:rsidRPr="0032071E">
        <w:rPr>
          <w:rFonts w:ascii="Times New Roman" w:hAnsi="Times New Roman" w:cs="Times New Roman"/>
          <w:i/>
          <w:sz w:val="24"/>
          <w:szCs w:val="24"/>
        </w:rPr>
        <w:t>enfor</w:t>
      </w:r>
      <w:proofErr w:type="spellEnd"/>
      <w:r w:rsidR="0032071E" w:rsidRPr="0032071E">
        <w:rPr>
          <w:rFonts w:ascii="Times New Roman" w:hAnsi="Times New Roman" w:cs="Times New Roman"/>
          <w:i/>
          <w:sz w:val="24"/>
          <w:szCs w:val="24"/>
        </w:rPr>
        <w:t xml:space="preserve"> cement</w:t>
      </w:r>
      <w:r w:rsidR="003207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pelaku-pelaku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 (TKI)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071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pidan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 (TKI)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071E">
        <w:rPr>
          <w:rFonts w:ascii="Times New Roman" w:hAnsi="Times New Roman" w:cs="Times New Roman"/>
          <w:sz w:val="24"/>
          <w:szCs w:val="24"/>
        </w:rPr>
        <w:t xml:space="preserve">negeri,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pelaku-pelakunya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dimintakan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 hakim (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32071E">
        <w:rPr>
          <w:rFonts w:ascii="Times New Roman" w:hAnsi="Times New Roman" w:cs="Times New Roman"/>
          <w:sz w:val="24"/>
          <w:szCs w:val="24"/>
        </w:rPr>
        <w:t xml:space="preserve">). 2.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071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2094C">
        <w:rPr>
          <w:rFonts w:ascii="Times New Roman" w:hAnsi="Times New Roman" w:cs="Times New Roman"/>
          <w:sz w:val="24"/>
          <w:szCs w:val="24"/>
        </w:rPr>
        <w:t xml:space="preserve"> (TKI)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094C">
        <w:rPr>
          <w:rFonts w:ascii="Times New Roman" w:hAnsi="Times New Roman" w:cs="Times New Roman"/>
          <w:sz w:val="24"/>
          <w:szCs w:val="24"/>
        </w:rPr>
        <w:t>negeri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62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="0062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62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2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94C">
        <w:rPr>
          <w:rFonts w:ascii="Times New Roman" w:hAnsi="Times New Roman" w:cs="Times New Roman"/>
          <w:sz w:val="24"/>
          <w:szCs w:val="24"/>
        </w:rPr>
        <w:t>kebodohandan</w:t>
      </w:r>
      <w:proofErr w:type="spellEnd"/>
      <w:r w:rsidR="0062094C">
        <w:rPr>
          <w:rFonts w:ascii="Times New Roman" w:hAnsi="Times New Roman" w:cs="Times New Roman"/>
          <w:sz w:val="24"/>
          <w:szCs w:val="24"/>
        </w:rPr>
        <w:t xml:space="preserve"> lain-lain.</w:t>
      </w:r>
    </w:p>
    <w:p w14:paraId="10CF6DE7" w14:textId="77777777" w:rsidR="0062094C" w:rsidRDefault="0062094C" w:rsidP="003E1111">
      <w:pPr>
        <w:spacing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111">
        <w:rPr>
          <w:rFonts w:ascii="Times New Roman" w:hAnsi="Times New Roman" w:cs="Times New Roman"/>
          <w:sz w:val="24"/>
          <w:szCs w:val="24"/>
          <w:lang w:val="id-ID"/>
        </w:rPr>
        <w:t>Tenaga \Kerja \Indonesia, Penegakan \Hukum, Penyelundupan \Manusia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7FD0E" w14:textId="77777777" w:rsidR="00803641" w:rsidRDefault="00803641" w:rsidP="0080364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73B62A" w14:textId="77777777" w:rsidR="00803641" w:rsidRDefault="00803641" w:rsidP="0080364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2025F3" w14:textId="77777777" w:rsidR="00803641" w:rsidRDefault="00803641" w:rsidP="0080364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B5CC591" w14:textId="77777777" w:rsidR="00803641" w:rsidRDefault="00803641" w:rsidP="0080364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1140539" w14:textId="77777777" w:rsidR="00803641" w:rsidRDefault="00803641" w:rsidP="0080364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19225E" w14:textId="77777777" w:rsidR="00803641" w:rsidRPr="00803641" w:rsidRDefault="00803641" w:rsidP="008036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641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17482EA4" w14:textId="77777777" w:rsidR="00803641" w:rsidRPr="00803641" w:rsidRDefault="00803641" w:rsidP="00803641">
      <w:pPr>
        <w:spacing w:line="240" w:lineRule="auto"/>
        <w:ind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641">
        <w:rPr>
          <w:rFonts w:ascii="Times New Roman" w:hAnsi="Times New Roman" w:cs="Times New Roman"/>
          <w:i/>
          <w:sz w:val="24"/>
          <w:szCs w:val="24"/>
        </w:rPr>
        <w:t xml:space="preserve">It is right of each individual to promote her- or himself in fighting for collective rights, to build up people, nation, and state (Article 28C paragraph (2) of 1945 Constitution) and, therefore, everyone </w:t>
      </w:r>
      <w:proofErr w:type="gramStart"/>
      <w:r w:rsidRPr="00803641">
        <w:rPr>
          <w:rFonts w:ascii="Times New Roman" w:hAnsi="Times New Roman" w:cs="Times New Roman"/>
          <w:i/>
          <w:sz w:val="24"/>
          <w:szCs w:val="24"/>
        </w:rPr>
        <w:t>deserve</w:t>
      </w:r>
      <w:proofErr w:type="gramEnd"/>
      <w:r w:rsidRPr="00803641">
        <w:rPr>
          <w:rFonts w:ascii="Times New Roman" w:hAnsi="Times New Roman" w:cs="Times New Roman"/>
          <w:i/>
          <w:sz w:val="24"/>
          <w:szCs w:val="24"/>
        </w:rPr>
        <w:t xml:space="preserve"> a job, reward, and fair treatment in relation to the work (Article 28C paragraph (2) of 1945 Constitution). It is right of each Indonesian citizen to seek for a job in either domestic area or abroad. Recall most of development in Indonesia is centralized to Java Island; the people in great quantities coming from rural area were seeking for jobs in the Java Island. Given the limited opportunities for employment, considerable competition for a job, plus low education, and the lack of job experience, all make possible for Indonesian citizens to seek for a job in foreign countries such as Malaysia, Singapore, etc. Nevertheless, the Indonesian citizen’s pretension for a job in abroad is just valid, providing he or she satisfies provisions contained in legislation (Immigration Law Number 5 of 2011). Disregard of provisions in the immigration law is illegal entry. The problems to be identified are: 1. How law enforcement on the smuggling of Indonesian blue-collar workers and craftsmen in overseas under Immigration Law Number 6 of 2011? 2. What factors are leading to criminal act of human (Indonesian blue-collar workers and craftsmen) </w:t>
      </w:r>
      <w:proofErr w:type="gramStart"/>
      <w:r w:rsidRPr="00803641">
        <w:rPr>
          <w:rFonts w:ascii="Times New Roman" w:hAnsi="Times New Roman" w:cs="Times New Roman"/>
          <w:i/>
          <w:sz w:val="24"/>
          <w:szCs w:val="24"/>
        </w:rPr>
        <w:t>smuggling  in</w:t>
      </w:r>
      <w:proofErr w:type="gramEnd"/>
      <w:r w:rsidRPr="00803641">
        <w:rPr>
          <w:rFonts w:ascii="Times New Roman" w:hAnsi="Times New Roman" w:cs="Times New Roman"/>
          <w:i/>
          <w:sz w:val="24"/>
          <w:szCs w:val="24"/>
        </w:rPr>
        <w:t xml:space="preserve"> overseas?</w:t>
      </w:r>
    </w:p>
    <w:p w14:paraId="47320FC9" w14:textId="77777777" w:rsidR="00803641" w:rsidRPr="00803641" w:rsidRDefault="00803641" w:rsidP="00803641">
      <w:pPr>
        <w:spacing w:line="240" w:lineRule="auto"/>
        <w:ind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641">
        <w:rPr>
          <w:rFonts w:ascii="Times New Roman" w:hAnsi="Times New Roman" w:cs="Times New Roman"/>
          <w:i/>
          <w:sz w:val="24"/>
          <w:szCs w:val="24"/>
        </w:rPr>
        <w:t xml:space="preserve">Method used in this study is analytical descriptive, a study describing, systematically analyzing using normative juridical approach to an issue being the object of discussion. </w:t>
      </w:r>
    </w:p>
    <w:p w14:paraId="6694736D" w14:textId="77777777" w:rsidR="00803641" w:rsidRPr="00803641" w:rsidRDefault="00803641" w:rsidP="00803641">
      <w:pPr>
        <w:spacing w:line="240" w:lineRule="auto"/>
        <w:ind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641">
        <w:rPr>
          <w:rFonts w:ascii="Times New Roman" w:hAnsi="Times New Roman" w:cs="Times New Roman"/>
          <w:i/>
          <w:sz w:val="24"/>
          <w:szCs w:val="24"/>
        </w:rPr>
        <w:t xml:space="preserve">Conclusions: 1. Law enforcement should be applied to criminal actors of human (Indonesian blue-collar workers and craftsmen) smuggling in overseas. When they are proven legally and convincingly did a criminal act of human (Indonesian blue-collar workers and craftsmen) smuggling in overseas, the actors must be demanded for their responsibilities before judge (the court). 2. Some factors causing criminal act of human (Indonesian blue-collar workers and craftsmen) smuggling in overseas are geographical, economic, property, educational, idiocy, etc. </w:t>
      </w:r>
    </w:p>
    <w:p w14:paraId="681CFB88" w14:textId="77777777" w:rsidR="00803641" w:rsidRDefault="00803641" w:rsidP="008036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  <w:lang w:val="id-ID"/>
        </w:rPr>
      </w:pPr>
      <w:r w:rsidRPr="00803641">
        <w:rPr>
          <w:rFonts w:ascii="Times New Roman" w:hAnsi="Times New Roman" w:cs="Times New Roman"/>
          <w:i/>
          <w:sz w:val="24"/>
          <w:szCs w:val="24"/>
        </w:rPr>
        <w:t xml:space="preserve">Keyword: </w:t>
      </w:r>
      <w:r w:rsidR="00122941">
        <w:rPr>
          <w:rFonts w:ascii="Times New Roman" w:hAnsi="Times New Roman" w:cs="Times New Roman"/>
          <w:i/>
          <w:sz w:val="24"/>
          <w:szCs w:val="24"/>
          <w:lang w:val="id-ID"/>
        </w:rPr>
        <w:t>Indonesia workers, law enforcement, human smuggling.</w:t>
      </w:r>
      <w:r w:rsidRPr="00DA2042">
        <w:rPr>
          <w:rFonts w:ascii="Times New Roman" w:hAnsi="Times New Roman" w:cs="Times New Roman"/>
          <w:i/>
          <w:sz w:val="20"/>
          <w:szCs w:val="24"/>
        </w:rPr>
        <w:t>.</w:t>
      </w:r>
    </w:p>
    <w:p w14:paraId="3AEA6F91" w14:textId="77777777" w:rsidR="00803641" w:rsidRDefault="00803641" w:rsidP="008036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  <w:lang w:val="id-ID"/>
        </w:rPr>
      </w:pPr>
    </w:p>
    <w:p w14:paraId="4EC6DB60" w14:textId="77777777" w:rsidR="00803641" w:rsidRDefault="00803641" w:rsidP="008036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  <w:lang w:val="id-ID"/>
        </w:rPr>
      </w:pPr>
    </w:p>
    <w:p w14:paraId="3DDAD994" w14:textId="77777777" w:rsidR="00803641" w:rsidRDefault="00803641" w:rsidP="008036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  <w:lang w:val="id-ID"/>
        </w:rPr>
      </w:pPr>
    </w:p>
    <w:p w14:paraId="0FD9C53B" w14:textId="77777777" w:rsidR="00803641" w:rsidRDefault="00803641" w:rsidP="008036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  <w:lang w:val="id-ID"/>
        </w:rPr>
      </w:pPr>
    </w:p>
    <w:p w14:paraId="30702055" w14:textId="77777777" w:rsidR="00803641" w:rsidRDefault="00803641" w:rsidP="008036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  <w:lang w:val="id-ID"/>
        </w:rPr>
      </w:pPr>
    </w:p>
    <w:p w14:paraId="589523AF" w14:textId="77777777" w:rsidR="00803641" w:rsidRDefault="00803641" w:rsidP="008036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  <w:lang w:val="id-ID"/>
        </w:rPr>
      </w:pPr>
    </w:p>
    <w:p w14:paraId="5A973310" w14:textId="77777777" w:rsidR="003E1111" w:rsidRDefault="003E1111" w:rsidP="003E1111">
      <w:pPr>
        <w:pStyle w:val="NoSpacing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611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14:paraId="758EC500" w14:textId="77777777" w:rsidR="003E1111" w:rsidRDefault="003E1111" w:rsidP="003E1111">
      <w:pPr>
        <w:pStyle w:val="NoSpacing"/>
        <w:numPr>
          <w:ilvl w:val="0"/>
          <w:numId w:val="2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14:paraId="01288930" w14:textId="77777777" w:rsidR="003E1111" w:rsidRDefault="003E1111" w:rsidP="003E1111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F2A">
        <w:rPr>
          <w:rFonts w:ascii="Times New Roman" w:hAnsi="Times New Roman" w:cs="Times New Roman"/>
          <w:sz w:val="24"/>
          <w:szCs w:val="24"/>
        </w:rPr>
        <w:t xml:space="preserve">Anthon F. Susanto. </w:t>
      </w:r>
      <w:proofErr w:type="spellStart"/>
      <w:r w:rsidRPr="00CF4F2A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CF4F2A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 w:rsidRPr="00CF4F2A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CF4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4F2A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F4F2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F4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4F2A">
        <w:rPr>
          <w:rFonts w:ascii="Times New Roman" w:hAnsi="Times New Roman" w:cs="Times New Roman"/>
          <w:sz w:val="24"/>
          <w:szCs w:val="24"/>
        </w:rPr>
        <w:t>Litigasi</w:t>
      </w:r>
      <w:proofErr w:type="spellEnd"/>
      <w:r w:rsidRPr="00C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F2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F2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F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F4F2A">
        <w:rPr>
          <w:rFonts w:ascii="Times New Roman" w:hAnsi="Times New Roman" w:cs="Times New Roman"/>
          <w:sz w:val="24"/>
          <w:szCs w:val="24"/>
        </w:rPr>
        <w:t>. Volume 3 No 1. Bandung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3B767" w14:textId="77777777" w:rsidR="003E1111" w:rsidRDefault="003E1111" w:rsidP="003E1111">
      <w:pPr>
        <w:pStyle w:val="NoSpacing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6F4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F30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6F4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F30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6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0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306F4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,  PT.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Citra Aditya Bandung 2003;</w:t>
      </w:r>
    </w:p>
    <w:p w14:paraId="743FB066" w14:textId="77777777" w:rsidR="003E1111" w:rsidRDefault="003E1111" w:rsidP="003E1111">
      <w:pPr>
        <w:pStyle w:val="NoSpacing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16C0">
        <w:rPr>
          <w:rFonts w:ascii="Times New Roman" w:hAnsi="Times New Roman" w:cs="Times New Roman"/>
          <w:sz w:val="24"/>
          <w:szCs w:val="24"/>
        </w:rPr>
        <w:t xml:space="preserve">Mien Rukmini,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HAM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Azas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Praduga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Bersalah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dan Azas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Persamaan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Kedudukan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DD16C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D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C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 Alumni Bandung 2003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5F376C" w14:textId="77777777" w:rsidR="003E1111" w:rsidRPr="00961605" w:rsidRDefault="003E1111" w:rsidP="003E1111">
      <w:pPr>
        <w:pStyle w:val="NoSpacing"/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61605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05"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60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616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60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60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 PT. Citra Aditya </w:t>
      </w:r>
      <w:proofErr w:type="spellStart"/>
      <w:r w:rsidRPr="00961605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 Bandung. 2000.</w:t>
      </w:r>
    </w:p>
    <w:p w14:paraId="41DDFDEE" w14:textId="77777777" w:rsidR="003E1111" w:rsidRPr="00961605" w:rsidRDefault="003E1111" w:rsidP="003E1111">
      <w:pPr>
        <w:pStyle w:val="NoSpacing"/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61605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05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605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96160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61605">
        <w:rPr>
          <w:rFonts w:ascii="Times New Roman" w:hAnsi="Times New Roman" w:cs="Times New Roman"/>
          <w:i/>
          <w:sz w:val="24"/>
          <w:szCs w:val="24"/>
        </w:rPr>
        <w:t>Mempengngaruhi</w:t>
      </w:r>
      <w:proofErr w:type="spellEnd"/>
      <w:r w:rsidRPr="009616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605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9616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60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. CV. </w:t>
      </w:r>
      <w:proofErr w:type="spellStart"/>
      <w:r w:rsidRPr="00961605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 Jakarta 1986, </w:t>
      </w:r>
      <w:proofErr w:type="spellStart"/>
      <w:r w:rsidRPr="00961605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61605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C63692D" w14:textId="77777777" w:rsidR="003E1111" w:rsidRDefault="003E1111" w:rsidP="003E1111">
      <w:pPr>
        <w:spacing w:after="0" w:line="360" w:lineRule="auto"/>
        <w:jc w:val="both"/>
        <w:rPr>
          <w:sz w:val="24"/>
          <w:szCs w:val="24"/>
        </w:rPr>
      </w:pPr>
    </w:p>
    <w:p w14:paraId="0CC6DBC3" w14:textId="77777777" w:rsidR="003E1111" w:rsidRDefault="003E1111" w:rsidP="003E1111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2F">
        <w:rPr>
          <w:rFonts w:ascii="Times New Roman" w:hAnsi="Times New Roman" w:cs="Times New Roman"/>
          <w:b/>
          <w:sz w:val="24"/>
          <w:szCs w:val="24"/>
        </w:rPr>
        <w:t>SUMBER LAIN</w:t>
      </w:r>
    </w:p>
    <w:p w14:paraId="43E9776B" w14:textId="77777777" w:rsidR="00803641" w:rsidRPr="003E1111" w:rsidRDefault="003E1111" w:rsidP="003E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D16C0">
        <w:rPr>
          <w:rFonts w:ascii="Times New Roman" w:hAnsi="Times New Roman" w:cs="Times New Roman"/>
          <w:sz w:val="24"/>
          <w:szCs w:val="24"/>
        </w:rPr>
        <w:t>Amandemen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C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 Dasar 1945, </w:t>
      </w:r>
      <w:proofErr w:type="spellStart"/>
      <w:r w:rsidRPr="00DD16C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C0">
        <w:rPr>
          <w:rFonts w:ascii="Times New Roman" w:hAnsi="Times New Roman" w:cs="Times New Roman"/>
          <w:sz w:val="24"/>
          <w:szCs w:val="24"/>
        </w:rPr>
        <w:t>I,II</w:t>
      </w:r>
      <w:proofErr w:type="gramEnd"/>
      <w:r w:rsidRPr="00DD16C0">
        <w:rPr>
          <w:rFonts w:ascii="Times New Roman" w:hAnsi="Times New Roman" w:cs="Times New Roman"/>
          <w:sz w:val="24"/>
          <w:szCs w:val="24"/>
        </w:rPr>
        <w:t xml:space="preserve">,III dan IV </w:t>
      </w:r>
      <w:proofErr w:type="spellStart"/>
      <w:r w:rsidRPr="00DD16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 w:rsidRPr="00DD16C0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C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D16C0">
        <w:rPr>
          <w:rFonts w:ascii="Times New Roman" w:hAnsi="Times New Roman" w:cs="Times New Roman"/>
          <w:sz w:val="24"/>
          <w:szCs w:val="24"/>
        </w:rPr>
        <w:t>Presindo</w:t>
      </w:r>
      <w:proofErr w:type="spellEnd"/>
      <w:r w:rsidRPr="00DD16C0">
        <w:rPr>
          <w:rFonts w:ascii="Times New Roman" w:hAnsi="Times New Roman" w:cs="Times New Roman"/>
          <w:sz w:val="24"/>
          <w:szCs w:val="24"/>
        </w:rPr>
        <w:t xml:space="preserve"> Yogyakarta 2004</w:t>
      </w:r>
      <w:r>
        <w:rPr>
          <w:rFonts w:ascii="Times New Roman" w:hAnsi="Times New Roman" w:cs="Times New Roman"/>
          <w:sz w:val="24"/>
          <w:szCs w:val="24"/>
        </w:rPr>
        <w:t>;</w:t>
      </w:r>
    </w:p>
    <w:sectPr w:rsidR="00803641" w:rsidRPr="003E1111" w:rsidSect="0021753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E97"/>
    <w:multiLevelType w:val="hybridMultilevel"/>
    <w:tmpl w:val="DA64D708"/>
    <w:lvl w:ilvl="0" w:tplc="CB061E4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581D09"/>
    <w:multiLevelType w:val="hybridMultilevel"/>
    <w:tmpl w:val="57CA35BE"/>
    <w:lvl w:ilvl="0" w:tplc="7C3ED9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AC6D39"/>
    <w:multiLevelType w:val="hybridMultilevel"/>
    <w:tmpl w:val="71425324"/>
    <w:lvl w:ilvl="0" w:tplc="A9E8C2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B362D5E"/>
    <w:multiLevelType w:val="hybridMultilevel"/>
    <w:tmpl w:val="D01C6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1A61"/>
    <w:multiLevelType w:val="hybridMultilevel"/>
    <w:tmpl w:val="FCE46E68"/>
    <w:lvl w:ilvl="0" w:tplc="6E5E9A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6132"/>
    <w:multiLevelType w:val="hybridMultilevel"/>
    <w:tmpl w:val="B53AF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6ABA"/>
    <w:multiLevelType w:val="hybridMultilevel"/>
    <w:tmpl w:val="042C66A4"/>
    <w:lvl w:ilvl="0" w:tplc="DD92C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E926EF"/>
    <w:multiLevelType w:val="hybridMultilevel"/>
    <w:tmpl w:val="2E90D796"/>
    <w:lvl w:ilvl="0" w:tplc="C44AC5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DCA532A"/>
    <w:multiLevelType w:val="hybridMultilevel"/>
    <w:tmpl w:val="93A6D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500C"/>
    <w:multiLevelType w:val="hybridMultilevel"/>
    <w:tmpl w:val="56EC0C6C"/>
    <w:lvl w:ilvl="0" w:tplc="E9645B0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866"/>
    <w:multiLevelType w:val="hybridMultilevel"/>
    <w:tmpl w:val="DE90F9AC"/>
    <w:lvl w:ilvl="0" w:tplc="CEB0CF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9C613E"/>
    <w:multiLevelType w:val="hybridMultilevel"/>
    <w:tmpl w:val="8ECA6A00"/>
    <w:lvl w:ilvl="0" w:tplc="D660C79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6C2B"/>
    <w:multiLevelType w:val="hybridMultilevel"/>
    <w:tmpl w:val="96FA9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E4C7D"/>
    <w:multiLevelType w:val="hybridMultilevel"/>
    <w:tmpl w:val="8CAC1A4A"/>
    <w:lvl w:ilvl="0" w:tplc="7ED892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476AA5"/>
    <w:multiLevelType w:val="hybridMultilevel"/>
    <w:tmpl w:val="C5C6D208"/>
    <w:lvl w:ilvl="0" w:tplc="D72EB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E725C1"/>
    <w:multiLevelType w:val="hybridMultilevel"/>
    <w:tmpl w:val="E2B61A46"/>
    <w:lvl w:ilvl="0" w:tplc="CF6AA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0217A0"/>
    <w:multiLevelType w:val="hybridMultilevel"/>
    <w:tmpl w:val="045EF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6D62"/>
    <w:multiLevelType w:val="hybridMultilevel"/>
    <w:tmpl w:val="7DD62116"/>
    <w:lvl w:ilvl="0" w:tplc="0C22E456">
      <w:start w:val="6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B457E1"/>
    <w:multiLevelType w:val="hybridMultilevel"/>
    <w:tmpl w:val="ADE4A0EC"/>
    <w:lvl w:ilvl="0" w:tplc="ABC09A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9592B78"/>
    <w:multiLevelType w:val="hybridMultilevel"/>
    <w:tmpl w:val="AE486E60"/>
    <w:lvl w:ilvl="0" w:tplc="C43262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1D71B1"/>
    <w:multiLevelType w:val="hybridMultilevel"/>
    <w:tmpl w:val="AFDAAC34"/>
    <w:lvl w:ilvl="0" w:tplc="48DEDF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8"/>
  </w:num>
  <w:num w:numId="16">
    <w:abstractNumId w:val="3"/>
  </w:num>
  <w:num w:numId="17">
    <w:abstractNumId w:val="20"/>
  </w:num>
  <w:num w:numId="18">
    <w:abstractNumId w:val="16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B78"/>
    <w:rsid w:val="00092D70"/>
    <w:rsid w:val="00122941"/>
    <w:rsid w:val="00203DA2"/>
    <w:rsid w:val="00217536"/>
    <w:rsid w:val="00245677"/>
    <w:rsid w:val="002C4065"/>
    <w:rsid w:val="0032071E"/>
    <w:rsid w:val="00347D9B"/>
    <w:rsid w:val="00385594"/>
    <w:rsid w:val="003C23DC"/>
    <w:rsid w:val="003D42D4"/>
    <w:rsid w:val="003E1111"/>
    <w:rsid w:val="00422935"/>
    <w:rsid w:val="0050699D"/>
    <w:rsid w:val="005327AB"/>
    <w:rsid w:val="005A0213"/>
    <w:rsid w:val="0062094C"/>
    <w:rsid w:val="00676515"/>
    <w:rsid w:val="007143DF"/>
    <w:rsid w:val="00803641"/>
    <w:rsid w:val="00814B78"/>
    <w:rsid w:val="00826A86"/>
    <w:rsid w:val="00893DE2"/>
    <w:rsid w:val="008D6E76"/>
    <w:rsid w:val="009814D3"/>
    <w:rsid w:val="009B055D"/>
    <w:rsid w:val="00B04666"/>
    <w:rsid w:val="00B456E9"/>
    <w:rsid w:val="00BD1074"/>
    <w:rsid w:val="00BF7951"/>
    <w:rsid w:val="00C46761"/>
    <w:rsid w:val="00C71E3B"/>
    <w:rsid w:val="00D06DEF"/>
    <w:rsid w:val="00DC6999"/>
    <w:rsid w:val="00ED6BC5"/>
    <w:rsid w:val="00F8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F11B"/>
  <w15:docId w15:val="{8743B1DD-8983-48C9-BEF3-77B9005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6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E11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1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ECC9-DB94-4050-A748-12110F3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Mr Asep</cp:lastModifiedBy>
  <cp:revision>5</cp:revision>
  <dcterms:created xsi:type="dcterms:W3CDTF">2019-02-28T06:56:00Z</dcterms:created>
  <dcterms:modified xsi:type="dcterms:W3CDTF">2019-02-28T07:01:00Z</dcterms:modified>
</cp:coreProperties>
</file>