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99" w:rsidRDefault="006D7599" w:rsidP="006D7599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740446">
        <w:rPr>
          <w:rFonts w:ascii="Times New Roman" w:hAnsi="Times New Roman" w:cs="Times New Roman"/>
          <w:b/>
          <w:sz w:val="24"/>
        </w:rPr>
        <w:t>DAFTAR PUSTAKA</w:t>
      </w:r>
    </w:p>
    <w:p w:rsidR="006D7599" w:rsidRPr="00C85135" w:rsidRDefault="006D7599" w:rsidP="006D7599">
      <w:pPr>
        <w:spacing w:before="240"/>
        <w:jc w:val="center"/>
        <w:rPr>
          <w:rFonts w:ascii="Times New Roman" w:hAnsi="Times New Roman" w:cs="Times New Roman"/>
          <w:b/>
          <w:sz w:val="24"/>
        </w:rPr>
      </w:pP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36CB8">
        <w:rPr>
          <w:rFonts w:ascii="Times New Roman" w:hAnsi="Times New Roman" w:cs="Times New Roman"/>
          <w:b/>
          <w:sz w:val="24"/>
          <w:szCs w:val="24"/>
        </w:rPr>
        <w:t>BUKU:</w:t>
      </w:r>
    </w:p>
    <w:p w:rsidR="006D7599" w:rsidRPr="00BE2633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Deddy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mulyana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Metode</w:t>
      </w:r>
      <w:proofErr w:type="spell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Kualitatif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BE2633">
        <w:rPr>
          <w:rFonts w:ascii="Times New Roman" w:hAnsi="Times New Roman" w:cs="Times New Roman"/>
          <w:bCs/>
          <w:sz w:val="24"/>
          <w:szCs w:val="24"/>
        </w:rPr>
        <w:t>bandung</w:t>
      </w:r>
      <w:proofErr w:type="spellEnd"/>
      <w:proofErr w:type="gram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: (PT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rosdakarya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, 2003), </w:t>
      </w:r>
    </w:p>
    <w:p w:rsidR="006D7599" w:rsidRPr="00BE2633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BE2633">
        <w:rPr>
          <w:rFonts w:ascii="Times New Roman" w:hAnsi="Times New Roman" w:cs="Times New Roman"/>
          <w:bCs/>
          <w:sz w:val="24"/>
          <w:szCs w:val="24"/>
        </w:rPr>
        <w:t>Louise Diamond and John McDonald.</w:t>
      </w:r>
      <w:proofErr w:type="gram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Multi-Track Diplomacy: A system approach to peace, third edition. USA.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Kumarian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Press Inc. </w:t>
      </w:r>
    </w:p>
    <w:p w:rsidR="006D7599" w:rsidRPr="00BE2633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R.P.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Barston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, “Modern Diplomacy, Longman, N.Y, 1997”,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1,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dikutip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Sukawarsini</w:t>
      </w:r>
      <w:proofErr w:type="spell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Djelantik</w:t>
      </w:r>
      <w:proofErr w:type="spell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2008</w:t>
      </w:r>
      <w:r w:rsidRPr="00BE263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Diplomasi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Praktik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>, Jogjakarta.</w:t>
      </w:r>
      <w:proofErr w:type="gram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Graha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599" w:rsidRPr="00BE2633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R.P.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Barston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, “Modern Diplomacy, Longman, N.Y, 1997”,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1,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dikutip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Sukawarsini</w:t>
      </w:r>
      <w:proofErr w:type="spell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Djelantik</w:t>
      </w:r>
      <w:proofErr w:type="spell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2008</w:t>
      </w:r>
      <w:r w:rsidRPr="00BE263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Diplomasi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Praktik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>, Jogjakarta.</w:t>
      </w:r>
      <w:proofErr w:type="gram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Graha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D7599" w:rsidRPr="00BE2633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Liliweri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Alo</w:t>
      </w:r>
      <w:proofErr w:type="spellEnd"/>
      <w:proofErr w:type="gramStart"/>
      <w:r w:rsidRPr="00BE2633">
        <w:rPr>
          <w:rFonts w:ascii="Times New Roman" w:hAnsi="Times New Roman" w:cs="Times New Roman"/>
          <w:bCs/>
          <w:sz w:val="24"/>
          <w:szCs w:val="24"/>
        </w:rPr>
        <w:t>,  “</w:t>
      </w:r>
      <w:proofErr w:type="spellStart"/>
      <w:proofErr w:type="gramEnd"/>
      <w:r w:rsidRPr="00BE2633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Verbal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Nonverbal”. 2005, Bandung: PT Citra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Aditya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Bakti</w:t>
      </w:r>
      <w:proofErr w:type="spellEnd"/>
    </w:p>
    <w:p w:rsidR="006D7599" w:rsidRPr="00A36CB8" w:rsidRDefault="006D7599" w:rsidP="006D7599">
      <w:pPr>
        <w:pStyle w:val="ListParagraph"/>
        <w:tabs>
          <w:tab w:val="left" w:pos="2835"/>
          <w:tab w:val="left" w:pos="3119"/>
        </w:tabs>
        <w:spacing w:before="120" w:after="100" w:afterAutospacing="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CB8">
        <w:rPr>
          <w:rFonts w:ascii="Times New Roman" w:hAnsi="Times New Roman" w:cs="Times New Roman"/>
          <w:sz w:val="24"/>
          <w:szCs w:val="24"/>
        </w:rPr>
        <w:t xml:space="preserve">K.J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II”,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CB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tahrir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azhari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1988), Aye Chan, “The Development of a Muslim Enclave in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Arakan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Rakhine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) State of Burma (Myanmar)”, 2005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Dr. Robert H. Lauer,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A36CB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2001)</w:t>
      </w:r>
    </w:p>
    <w:p w:rsidR="006D7599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Rizka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Argadianti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Rachmah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Zico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Efraindio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Terabaikan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; </w:t>
      </w:r>
      <w:r w:rsidRPr="00BE2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263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B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sz w:val="24"/>
          <w:szCs w:val="24"/>
        </w:rPr>
        <w:t>Pengungsi</w:t>
      </w:r>
      <w:proofErr w:type="spellEnd"/>
      <w:r w:rsidRPr="00B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BE2633">
        <w:rPr>
          <w:rFonts w:ascii="Times New Roman" w:hAnsi="Times New Roman" w:cs="Times New Roman"/>
          <w:sz w:val="24"/>
          <w:szCs w:val="24"/>
        </w:rPr>
        <w:t xml:space="preserve"> Di Indonesia”, (Jakarta; </w:t>
      </w:r>
      <w:r w:rsidRPr="00BE2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263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E2633">
        <w:rPr>
          <w:rFonts w:ascii="Times New Roman" w:hAnsi="Times New Roman" w:cs="Times New Roman"/>
          <w:sz w:val="24"/>
          <w:szCs w:val="24"/>
        </w:rPr>
        <w:t>, 2016)</w:t>
      </w:r>
    </w:p>
    <w:p w:rsidR="006D7599" w:rsidRPr="00C85135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D7599" w:rsidRPr="00C85135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C85135"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6D7599" w:rsidRPr="00BE2633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E2633">
        <w:rPr>
          <w:rFonts w:ascii="Times New Roman" w:hAnsi="Times New Roman" w:cs="Times New Roman"/>
          <w:bCs/>
          <w:sz w:val="24"/>
          <w:szCs w:val="24"/>
        </w:rPr>
        <w:t xml:space="preserve">Windy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Dermawan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, “Maritime Diplomacy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Keamanan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Maritim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Indonesia”,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Wacana</w:t>
      </w:r>
      <w:proofErr w:type="spell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Politik</w:t>
      </w:r>
      <w:proofErr w:type="spell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ISSN 2502 – 9185</w:t>
      </w:r>
      <w:r w:rsidRPr="00BE2633">
        <w:rPr>
          <w:rFonts w:ascii="Times New Roman" w:hAnsi="Times New Roman" w:cs="Times New Roman"/>
          <w:bCs/>
          <w:sz w:val="24"/>
          <w:szCs w:val="24"/>
        </w:rPr>
        <w:t xml:space="preserve">, Vol. 1, No. 2,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Oktober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2016</w:t>
      </w:r>
    </w:p>
    <w:p w:rsidR="006D7599" w:rsidRPr="00BE2633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Darity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Jr., William A, “International Encyclopedia of the Social Sciences.” </w:t>
      </w:r>
      <w:proofErr w:type="gramStart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2n ed.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3.</w:t>
      </w:r>
      <w:proofErr w:type="gram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2005, New York</w:t>
      </w:r>
    </w:p>
    <w:p w:rsidR="006D7599" w:rsidRPr="00BE2633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633">
        <w:rPr>
          <w:rFonts w:ascii="Times New Roman" w:hAnsi="Times New Roman" w:cs="Times New Roman"/>
          <w:bCs/>
          <w:sz w:val="24"/>
          <w:szCs w:val="24"/>
        </w:rPr>
        <w:lastRenderedPageBreak/>
        <w:t>Dewi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Novianti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Sigit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Tripambudi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Tumbuhnya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Prasangka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Etnis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di Yogyakarta</w:t>
      </w:r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Jurnal</w:t>
      </w:r>
      <w:proofErr w:type="spell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Ilmu</w:t>
      </w:r>
      <w:proofErr w:type="spellEnd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i/>
          <w:iCs/>
          <w:sz w:val="24"/>
          <w:szCs w:val="24"/>
        </w:rPr>
        <w:t>Komunikasi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Vol. 12 No. 2 2014,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124</w:t>
      </w:r>
    </w:p>
    <w:p w:rsidR="006D7599" w:rsidRPr="00A36CB8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Resta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Konitiarani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>, “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Pdip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Partai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Demokrasi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Perjuangan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Kuota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Calon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Legislatif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Perempuan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, program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sebelas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33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BE2633">
        <w:rPr>
          <w:rFonts w:ascii="Times New Roman" w:hAnsi="Times New Roman" w:cs="Times New Roman"/>
          <w:bCs/>
          <w:sz w:val="24"/>
          <w:szCs w:val="24"/>
        </w:rPr>
        <w:t>, 2016 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Fatma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Ardani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Rakhine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Di Myanmar”, Journal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of International Relations, Volume 1,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D7599" w:rsidRPr="00A36CB8" w:rsidRDefault="006D7599" w:rsidP="006D7599">
      <w:pPr>
        <w:pStyle w:val="FootnoteText"/>
        <w:spacing w:before="12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Lay Yang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Ardli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Johan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,”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CB8">
        <w:rPr>
          <w:rFonts w:ascii="Times New Roman" w:hAnsi="Times New Roman" w:cs="Times New Roman"/>
          <w:sz w:val="24"/>
          <w:szCs w:val="24"/>
        </w:rPr>
        <w:t xml:space="preserve">Indonesia 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pengungsi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2015 (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konstruktivis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)”, 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Global Insight Journal,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1, no 1,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april-september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D7599" w:rsidRPr="00BE2633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Allard K. Lowenstein “After Long Ordeal At Sea,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Find Humanity In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6CB8">
        <w:rPr>
          <w:rFonts w:ascii="Times New Roman" w:hAnsi="Times New Roman" w:cs="Times New Roman"/>
          <w:sz w:val="24"/>
          <w:szCs w:val="24"/>
        </w:rPr>
        <w:t>Indonesia ”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>, International Human Rights Clinic, 2015</w:t>
      </w:r>
    </w:p>
    <w:p w:rsidR="006D7599" w:rsidRDefault="006D7599" w:rsidP="006D7599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D7599" w:rsidRPr="00C85135" w:rsidRDefault="006D7599" w:rsidP="006D7599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85135">
        <w:rPr>
          <w:rFonts w:ascii="Times New Roman" w:hAnsi="Times New Roman" w:cs="Times New Roman"/>
          <w:b/>
          <w:sz w:val="24"/>
          <w:szCs w:val="24"/>
        </w:rPr>
        <w:t>TESIS/SKRIPSI:</w:t>
      </w:r>
    </w:p>
    <w:p w:rsidR="006D7599" w:rsidRPr="00BE2633" w:rsidRDefault="006D7599" w:rsidP="006D7599">
      <w:pPr>
        <w:pStyle w:val="ListParagraph"/>
        <w:tabs>
          <w:tab w:val="left" w:pos="2835"/>
          <w:tab w:val="left" w:pos="3119"/>
        </w:tabs>
        <w:spacing w:before="120" w:after="100" w:afterAutospacing="1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CB8">
        <w:rPr>
          <w:rFonts w:ascii="Times New Roman" w:hAnsi="Times New Roman" w:cs="Times New Roman"/>
          <w:sz w:val="24"/>
          <w:szCs w:val="24"/>
        </w:rPr>
        <w:t>ZULKIFLI.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solusi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perbatasan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Negara. </w:t>
      </w:r>
      <w:proofErr w:type="spellStart"/>
      <w:proofErr w:type="gramStart"/>
      <w:r w:rsidRPr="00A36CB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>: Indonesia”</w:t>
      </w:r>
      <w:r w:rsidRPr="00A36CB8">
        <w:rPr>
          <w:rFonts w:ascii="Times New Roman" w:hAnsi="Times New Roman" w:cs="Times New Roman"/>
          <w:sz w:val="24"/>
          <w:szCs w:val="24"/>
        </w:rPr>
        <w:t xml:space="preserve"> (Jakarta,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Indonesia, 2012).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6D7599" w:rsidRDefault="006D7599" w:rsidP="006D7599">
      <w:pPr>
        <w:pStyle w:val="ListParagraph"/>
        <w:tabs>
          <w:tab w:val="left" w:pos="2835"/>
          <w:tab w:val="left" w:pos="3119"/>
        </w:tabs>
        <w:spacing w:before="120" w:after="100" w:afterAutospacing="1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599" w:rsidRDefault="006D7599" w:rsidP="006D7599">
      <w:pPr>
        <w:pStyle w:val="ListParagraph"/>
        <w:tabs>
          <w:tab w:val="left" w:pos="2835"/>
          <w:tab w:val="left" w:pos="3119"/>
        </w:tabs>
        <w:spacing w:before="120" w:after="100" w:afterAutospacing="1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599" w:rsidRPr="00C85135" w:rsidRDefault="006D7599" w:rsidP="006D7599">
      <w:pPr>
        <w:pStyle w:val="ListParagraph"/>
        <w:tabs>
          <w:tab w:val="left" w:pos="2835"/>
          <w:tab w:val="left" w:pos="3119"/>
        </w:tabs>
        <w:spacing w:before="120" w:after="100" w:afterAutospacing="1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85135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6D7599" w:rsidRPr="00A36CB8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Giovanni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Dessy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Austriningrum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Relasi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Negara-Negara Asia Tenggara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6CB8">
        <w:rPr>
          <w:rFonts w:ascii="Times New Roman" w:hAnsi="Times New Roman" w:cs="Times New Roman"/>
          <w:i/>
          <w:sz w:val="24"/>
          <w:szCs w:val="24"/>
        </w:rPr>
        <w:t>Serikat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 http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://giovanni-d-a-fisip10.web.unair.ac.id  </w:t>
      </w:r>
    </w:p>
    <w:p w:rsidR="006D7599" w:rsidRPr="00A36CB8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Fact about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CB8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arakan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http://www.rohingya.org/index.php option=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com_content&amp;task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view&amp;id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=14&amp;itemid=27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A36CB8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Diazpradana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Asasi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(HAM),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Ciri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Teorinya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 xml:space="preserve">https://diazpradana.wordpress.com/2015/04/01/hak-asasi-manusia-ham-ciri-dan-teorinya/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proofErr w:type="gramStart"/>
      <w:r w:rsidRPr="00A36CB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A36CB8" w:rsidRDefault="006D7599" w:rsidP="006D7599">
      <w:pPr>
        <w:spacing w:before="120" w:after="100" w:afterAutospacing="1"/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Damang</w:t>
      </w:r>
      <w:proofErr w:type="spellEnd"/>
      <w:r w:rsidRPr="00A36CB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S.H., M.H</w:t>
      </w:r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Asasi</w:t>
      </w:r>
      <w:proofErr w:type="spellEnd"/>
      <w:r w:rsidRPr="00A3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http://www.negarahukum.com/hukum/konsep-hak-asasi-manusia.html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proofErr w:type="gramStart"/>
      <w:r w:rsidRPr="00A36CB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A36CB8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lastRenderedPageBreak/>
        <w:t>Human Security in Theory and Practice</w:t>
      </w:r>
      <w:r w:rsidRPr="00A36CB8">
        <w:rPr>
          <w:rFonts w:ascii="Times New Roman" w:hAnsi="Times New Roman" w:cs="Times New Roman"/>
          <w:i/>
          <w:sz w:val="24"/>
          <w:szCs w:val="24"/>
        </w:rPr>
        <w:t>, Application of the Human Security Concept and the United Nations Trust Fund for Human Security</w:t>
      </w:r>
      <w:r w:rsidRPr="00A36CB8">
        <w:rPr>
          <w:rFonts w:ascii="Times New Roman" w:hAnsi="Times New Roman" w:cs="Times New Roman"/>
          <w:sz w:val="24"/>
          <w:szCs w:val="24"/>
        </w:rPr>
        <w:t xml:space="preserve"> http://hdr.undp.org/en/media/HS_Handbook_2009.pdf%3E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A36CB8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United Nations Development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Human Development Report Office, </w:t>
      </w:r>
      <w:r w:rsidRPr="00A36CB8">
        <w:rPr>
          <w:rFonts w:ascii="Times New Roman" w:hAnsi="Times New Roman" w:cs="Times New Roman"/>
          <w:i/>
          <w:sz w:val="24"/>
          <w:szCs w:val="24"/>
        </w:rPr>
        <w:t xml:space="preserve">HUMAN SECURITY </w:t>
      </w:r>
      <w:r w:rsidRPr="00A36CB8">
        <w:rPr>
          <w:rFonts w:ascii="Times New Roman" w:hAnsi="Times New Roman" w:cs="Times New Roman"/>
          <w:sz w:val="24"/>
          <w:szCs w:val="24"/>
        </w:rPr>
        <w:t xml:space="preserve">http://hdr.undp.org/sites/default/files/human_security_guidance_note_r-nhdrs.pdf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C85135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85135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Penghukuman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5135">
        <w:rPr>
          <w:rFonts w:ascii="Times New Roman" w:hAnsi="Times New Roman" w:cs="Times New Roman"/>
          <w:sz w:val="24"/>
          <w:szCs w:val="24"/>
        </w:rPr>
        <w:t>Genosida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 http</w:t>
      </w:r>
      <w:proofErr w:type="gramEnd"/>
      <w:r w:rsidRPr="00C85135">
        <w:rPr>
          <w:rFonts w:ascii="Times New Roman" w:hAnsi="Times New Roman" w:cs="Times New Roman"/>
          <w:sz w:val="24"/>
          <w:szCs w:val="24"/>
        </w:rPr>
        <w:t xml:space="preserve">://www.balitbangham.go.id/po-content/peraturan/Konvensi%20Kejahatan%20Genosida.pdf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C85135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8513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Zainal</w:t>
      </w:r>
      <w:proofErr w:type="spellEnd"/>
      <w:r w:rsidRPr="00C8513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513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Abidin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C85135"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i/>
          <w:sz w:val="24"/>
          <w:szCs w:val="24"/>
        </w:rPr>
        <w:t>Genosida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85135"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i/>
          <w:sz w:val="24"/>
          <w:szCs w:val="24"/>
        </w:rPr>
        <w:t>Kemanusiaan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85135"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i/>
          <w:sz w:val="24"/>
          <w:szCs w:val="24"/>
        </w:rPr>
        <w:t>Perang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 R KUHP 2015” </w:t>
      </w:r>
      <w:r w:rsidRPr="00C85135">
        <w:rPr>
          <w:rFonts w:ascii="Times New Roman" w:hAnsi="Times New Roman" w:cs="Times New Roman"/>
          <w:sz w:val="24"/>
          <w:szCs w:val="24"/>
        </w:rPr>
        <w:t xml:space="preserve">No </w:t>
      </w:r>
      <w:r w:rsidRPr="00C85135">
        <w:rPr>
          <w:rFonts w:ascii="Times New Roman" w:hAnsi="Times New Roman" w:cs="Times New Roman"/>
          <w:bCs/>
          <w:sz w:val="24"/>
          <w:szCs w:val="24"/>
        </w:rPr>
        <w:t>http://reformasikuhp.org/kejahatan-genosida-kejahatan-terhadap-kemanusiaan-dan-kejahatan-perang-dalam-r-kuhp-2015/</w:t>
      </w:r>
      <w:r w:rsidRPr="00C85135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</w:t>
      </w:r>
      <w:r w:rsidRPr="00C85135">
        <w:rPr>
          <w:rFonts w:ascii="Times New Roman" w:hAnsi="Times New Roman" w:cs="Times New Roman"/>
          <w:bCs/>
          <w:sz w:val="24"/>
          <w:szCs w:val="24"/>
        </w:rPr>
        <w:t>017</w:t>
      </w:r>
    </w:p>
    <w:p w:rsidR="006D7599" w:rsidRPr="00C85135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8513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Lewis A.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Coser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http://crateridea.blog.uns.ac.id/2016/03/21/teori-konflik-lewis-a-coser/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C85135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85135">
        <w:rPr>
          <w:rFonts w:ascii="Times New Roman" w:hAnsi="Times New Roman" w:cs="Times New Roman"/>
          <w:sz w:val="24"/>
          <w:szCs w:val="24"/>
        </w:rPr>
        <w:t xml:space="preserve">Berlin </w:t>
      </w:r>
      <w:proofErr w:type="spellStart"/>
      <w:proofErr w:type="gramStart"/>
      <w:r w:rsidRPr="00C85135">
        <w:rPr>
          <w:rFonts w:ascii="Times New Roman" w:hAnsi="Times New Roman" w:cs="Times New Roman"/>
          <w:sz w:val="24"/>
          <w:szCs w:val="24"/>
        </w:rPr>
        <w:t>Sibarani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 BAHASA</w:t>
      </w:r>
      <w:proofErr w:type="gramEnd"/>
      <w:r w:rsidRPr="00C85135">
        <w:rPr>
          <w:rFonts w:ascii="Times New Roman" w:hAnsi="Times New Roman" w:cs="Times New Roman"/>
          <w:sz w:val="24"/>
          <w:szCs w:val="24"/>
        </w:rPr>
        <w:t xml:space="preserve">, ETNISITAS DAN POTENSINYA TERHADAP KONFLIK http://digilib.unimed.ac.id/998/1/FullText.pdf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C85135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8513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Subagyo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5135">
        <w:rPr>
          <w:rFonts w:ascii="Times New Roman" w:hAnsi="Times New Roman" w:cs="Times New Roman"/>
          <w:sz w:val="24"/>
          <w:szCs w:val="24"/>
        </w:rPr>
        <w:t>S.IP.,</w:t>
      </w:r>
      <w:proofErr w:type="gram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M.</w:t>
      </w:r>
      <w:r w:rsidRPr="00C85135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  TEORI-TEORI KERJASAMA INTERNASIONAL</w:t>
      </w:r>
      <w:r w:rsidRPr="00C85135">
        <w:rPr>
          <w:rFonts w:ascii="Times New Roman" w:hAnsi="Times New Roman" w:cs="Times New Roman"/>
          <w:sz w:val="24"/>
          <w:szCs w:val="24"/>
        </w:rPr>
        <w:t xml:space="preserve"> https://agussubagyo1978.files.wordpress.com/2015/02/presentasi-teori-teori-kerjasama-2011.pdf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C85135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8513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RI–Myanmar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https://www.kemlu.go.id/yangon/id/berita-agenda/berita-perwakilan/Pages/Hubungan-RI-Myanmar-Sepanjang-Masa.aspx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C85135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8513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Bilateral Indonesia – Myanmar http://www.updategeh.com/2017/09/hubungan-bilateral-indonesia-myanmar.html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C85135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8513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Dessy</w:t>
      </w:r>
      <w:proofErr w:type="spellEnd"/>
      <w:r w:rsidRPr="00C8513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513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Raufiana</w:t>
      </w:r>
      <w:proofErr w:type="spellEnd"/>
      <w:r w:rsidRPr="00C8513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S.I.P </w:t>
      </w:r>
      <w:r w:rsidRPr="00C85135">
        <w:rPr>
          <w:rFonts w:ascii="Times New Roman" w:hAnsi="Times New Roman" w:cs="Times New Roman"/>
          <w:i/>
          <w:caps/>
          <w:sz w:val="24"/>
          <w:szCs w:val="24"/>
        </w:rPr>
        <w:t>PERAN INDONESIA DALAM PENANGANAN IMIGRAN ROHINGYA</w:t>
      </w:r>
    </w:p>
    <w:p w:rsidR="006D7599" w:rsidRPr="00C85135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85135">
        <w:rPr>
          <w:rFonts w:ascii="Times New Roman" w:hAnsi="Times New Roman" w:cs="Times New Roman"/>
          <w:sz w:val="24"/>
          <w:szCs w:val="24"/>
        </w:rPr>
        <w:t xml:space="preserve">Anonym,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135">
        <w:rPr>
          <w:rFonts w:ascii="Times New Roman" w:hAnsi="Times New Roman" w:cs="Times New Roman"/>
          <w:sz w:val="24"/>
          <w:szCs w:val="24"/>
        </w:rPr>
        <w:t xml:space="preserve">Indonesia 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imigran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 http://cepp.fisip.ui.ac.id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C85135" w:rsidRDefault="006D7599" w:rsidP="006D7599">
      <w:pPr>
        <w:pStyle w:val="FootnoteText"/>
        <w:spacing w:before="120" w:after="100" w:afterAutospacing="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85135">
        <w:rPr>
          <w:rFonts w:ascii="Times New Roman" w:hAnsi="Times New Roman" w:cs="Times New Roman"/>
          <w:sz w:val="24"/>
          <w:szCs w:val="24"/>
        </w:rPr>
        <w:lastRenderedPageBreak/>
        <w:t>AyatAyatAdit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r w:rsidRPr="00C85135">
        <w:rPr>
          <w:rFonts w:ascii="Times New Roman" w:hAnsi="Times New Roman" w:cs="Times New Roman"/>
          <w:i/>
          <w:sz w:val="24"/>
          <w:szCs w:val="24"/>
        </w:rPr>
        <w:t xml:space="preserve">Burma di </w:t>
      </w:r>
      <w:proofErr w:type="spellStart"/>
      <w:r w:rsidRPr="00C85135">
        <w:rPr>
          <w:rFonts w:ascii="Times New Roman" w:hAnsi="Times New Roman" w:cs="Times New Roman"/>
          <w:i/>
          <w:sz w:val="24"/>
          <w:szCs w:val="24"/>
        </w:rPr>
        <w:t>Bawah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i/>
          <w:sz w:val="24"/>
          <w:szCs w:val="24"/>
        </w:rPr>
        <w:t>Kekuasaan</w:t>
      </w:r>
      <w:proofErr w:type="spellEnd"/>
      <w:r w:rsidRPr="00C85135">
        <w:rPr>
          <w:rFonts w:ascii="Times New Roman" w:hAnsi="Times New Roman" w:cs="Times New Roman"/>
          <w:i/>
          <w:sz w:val="24"/>
          <w:szCs w:val="24"/>
        </w:rPr>
        <w:t xml:space="preserve"> Ne Win</w:t>
      </w:r>
      <w:r w:rsidRPr="00C85135">
        <w:rPr>
          <w:rFonts w:ascii="Times New Roman" w:hAnsi="Times New Roman" w:cs="Times New Roman"/>
          <w:sz w:val="24"/>
          <w:szCs w:val="24"/>
        </w:rPr>
        <w:t xml:space="preserve"> https://ayatayatadit.wordpress.com/2015/11/15/burma-di-bawah-kekuasaan-ne-win/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proofErr w:type="gramStart"/>
      <w:r w:rsidRPr="00C85135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proofErr w:type="gramEnd"/>
      <w:r w:rsidRPr="00C8513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C85135" w:rsidRDefault="006D7599" w:rsidP="006D7599">
      <w:pPr>
        <w:tabs>
          <w:tab w:val="left" w:pos="709"/>
        </w:tabs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8513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Menlu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Myanmar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Counsellor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Myanmar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Daw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r w:rsidRPr="00C851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Aung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Suu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Kyi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” https://www.kemlu.go.id/id/berita/berita-perwakilan/Pages/Menlu-RI-Menuju-Myanmar-untuk-Bertemu-State-Counsellor-Myanmar-Daw-Aung-San-Suu-Kyi.aspx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C85135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8513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Menlu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Serahkan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Formula 4+1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Rakhine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State </w:t>
      </w:r>
      <w:r w:rsidRPr="00C851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Counsellor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Myanmar”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https://www.kemlu.go.id/id/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C8513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C85135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spacing w:before="120" w:after="100" w:afterAutospacing="1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Andylala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Pengungsi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Bangladesh.”http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://www.voaindonesia.com/content/ pemerintahindonesia-siapkan-lokasi-baru-pengungsi-rohingya-dan-bangladesh/2808703.html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Myanmar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Indonesia”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  <w:t>https://www.kemlu.go.id/id/berita/Pages/Pemerintah-Myanmar-Apresiasi-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Bantuan-Kemanusiaan-Indonesia-.aspx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Bantu Myanmar,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Menlu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Luncurkan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”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https://www.kemlu.go.id/id/berita/berita-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/Pages/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-Bantu-Myanmar,-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Menlu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Luncurkan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-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Program-Bantuan-Kemanusiaan.aspx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“PMI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lebaran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” http://nasional.republika.co.id </w:t>
      </w:r>
      <w:r w:rsidRPr="00A36CB8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/17/09/19/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tragedi-rohingya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/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12/08/13/m8ogdf-pmi-kirim-bantuan-ke-rohingya-setelah-lebaran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>Anonym” http://lpbi-nu.org/nu-kirim-bantuan-kemanusiaan-untuk-rohingya-ke-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bangladesh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36CB8">
        <w:rPr>
          <w:rFonts w:ascii="Times New Roman" w:hAnsi="Times New Roman" w:cs="Times New Roman"/>
          <w:sz w:val="24"/>
          <w:szCs w:val="24"/>
        </w:rPr>
        <w:t>?print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pStyle w:val="FootnoteText"/>
        <w:spacing w:before="12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6CB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Indonesia di Myanmar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Masuki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  <w:t>http://www.dw.com/id/rumah-sakit-indonesia-di-myanmar-masuki-tahap-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/a-41515036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“Indonesia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Rakhine</w:t>
      </w:r>
      <w:proofErr w:type="gramStart"/>
      <w:r w:rsidRPr="00A36CB8">
        <w:rPr>
          <w:rFonts w:ascii="Times New Roman" w:hAnsi="Times New Roman" w:cs="Times New Roman"/>
          <w:sz w:val="24"/>
          <w:szCs w:val="24"/>
        </w:rPr>
        <w:t>,Myanmar</w:t>
      </w:r>
      <w:proofErr w:type="spellEnd"/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”, http://nasional. </w:t>
      </w:r>
      <w:r w:rsidRPr="00A36CB8">
        <w:rPr>
          <w:rFonts w:ascii="Times New Roman" w:hAnsi="Times New Roman" w:cs="Times New Roman"/>
          <w:sz w:val="24"/>
          <w:szCs w:val="24"/>
        </w:rPr>
        <w:tab/>
        <w:t>kompas.com/read/2017/11/20/15285611/indonesia-mulai-bangun-rumah-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-di-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rakhine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myanmar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pStyle w:val="FootnoteText"/>
        <w:spacing w:before="12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lastRenderedPageBreak/>
        <w:t xml:space="preserve">“Indonesia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di Myanmar” </w:t>
      </w:r>
      <w:r w:rsidRPr="00A36CB8">
        <w:rPr>
          <w:rFonts w:ascii="Times New Roman" w:hAnsi="Times New Roman" w:cs="Times New Roman"/>
          <w:sz w:val="24"/>
          <w:szCs w:val="24"/>
        </w:rPr>
        <w:tab/>
        <w:t>https://dunia.tempo.co/read/627862/indonesia-bangun-sekolah-rohingya-</w:t>
      </w:r>
      <w:r w:rsidRPr="00A36CB8">
        <w:rPr>
          <w:rFonts w:ascii="Times New Roman" w:hAnsi="Times New Roman" w:cs="Times New Roman"/>
          <w:sz w:val="24"/>
          <w:szCs w:val="24"/>
        </w:rPr>
        <w:tab/>
        <w:t>di-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myanmar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599" w:rsidRPr="00A36CB8" w:rsidRDefault="006D7599" w:rsidP="006D7599">
      <w:pPr>
        <w:pStyle w:val="FootnoteText"/>
        <w:spacing w:before="12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Farhan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Syakir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kronologi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 2012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”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https://www.scribd.com/doc/143979561/Kronologi-Rohingya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21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Hanan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“Myanmar: Kami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”, </w:t>
      </w:r>
      <w:r w:rsidRPr="00A36CB8">
        <w:rPr>
          <w:rFonts w:ascii="Times New Roman" w:hAnsi="Times New Roman" w:cs="Times New Roman"/>
          <w:sz w:val="24"/>
          <w:szCs w:val="24"/>
        </w:rPr>
        <w:tab/>
        <w:t>http://www.laskarislam.com/t3320-myanmar-kami-tak-akui-rohingya-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sebagai-warga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Farhan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Syakir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kronologi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 2012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”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https://www.scribd.com/doc/143979561/Kronologi-Rohingya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21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Hanan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“Myanmar: Kami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”, </w:t>
      </w:r>
      <w:r w:rsidRPr="00A36CB8">
        <w:rPr>
          <w:rFonts w:ascii="Times New Roman" w:hAnsi="Times New Roman" w:cs="Times New Roman"/>
          <w:sz w:val="24"/>
          <w:szCs w:val="24"/>
        </w:rPr>
        <w:tab/>
        <w:t>http://www.laskarislam.com/t3320-myanmar-kami-tak-akui-rohingya-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sebagai-warga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pStyle w:val="FootnoteText"/>
        <w:spacing w:before="12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Burma’s Citizenship Law,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http://www.refworld.org/docid/3ae6ad458.html,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pStyle w:val="FootnoteText"/>
        <w:spacing w:before="12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Sitti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Rohadatul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Aisy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di Myanmar: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HAM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Stateless Person”, https://Www.Academia.Edu </w:t>
      </w:r>
      <w:r w:rsidRPr="00A36CB8">
        <w:rPr>
          <w:rFonts w:ascii="Times New Roman" w:hAnsi="Times New Roman" w:cs="Times New Roman"/>
          <w:sz w:val="24"/>
          <w:szCs w:val="24"/>
        </w:rPr>
        <w:tab/>
        <w:t>/30355344/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Etnis_Rohingya_Di_Myanmar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_-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r w:rsidRPr="00A36CB8">
        <w:rPr>
          <w:rFonts w:ascii="Times New Roman" w:hAnsi="Times New Roman" w:cs="Times New Roman"/>
          <w:sz w:val="24"/>
          <w:szCs w:val="24"/>
        </w:rPr>
        <w:tab/>
        <w:t>_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Analisis_Pelanggaran_Ham_Terhadap_Stateless_Person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21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pStyle w:val="FootnoteText"/>
        <w:spacing w:before="12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6CB8">
        <w:rPr>
          <w:rFonts w:ascii="Times New Roman" w:hAnsi="Times New Roman" w:cs="Times New Roman"/>
          <w:sz w:val="24"/>
          <w:szCs w:val="24"/>
        </w:rPr>
        <w:t xml:space="preserve">Ricky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Raymond,”Identity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Conflict, and Statelessness in Southeast Asia.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Study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Case The Predicament of </w:t>
      </w:r>
      <w:proofErr w:type="spellStart"/>
      <w:proofErr w:type="gram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, Thesis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calabria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Italy,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https://www.academia.edu,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. 121-124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21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pStyle w:val="FootnoteText"/>
        <w:spacing w:before="12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“Cultural Problem of Muslim in Burma”, www.rohingya.org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22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C85135" w:rsidRDefault="006D7599" w:rsidP="006D7599">
      <w:pPr>
        <w:pStyle w:val="Heading1"/>
        <w:shd w:val="clear" w:color="auto" w:fill="FFFFFF"/>
        <w:spacing w:before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lastRenderedPageBreak/>
        <w:t>Ruslan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Tambak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, “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Faktor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Ekonomi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Juga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Jadi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Alasan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Penindasan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Rohingya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”</w:t>
      </w:r>
      <w:proofErr w:type="gram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Http://Www.Rmol.Co/Read/2015/06/05/205097/Faktor-Ekonomi-</w:t>
      </w:r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Juga-Jadi-Alasan-Penindasan-Rohingya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24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Februari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2018</w:t>
      </w:r>
    </w:p>
    <w:p w:rsidR="006D7599" w:rsidRPr="00C85135" w:rsidRDefault="006D7599" w:rsidP="006D7599">
      <w:pPr>
        <w:pStyle w:val="Heading1"/>
        <w:shd w:val="clear" w:color="auto" w:fill="FFFFFF"/>
        <w:spacing w:before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85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Reza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Zaki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“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Menagih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Peran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Asean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Kasus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Rohingya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”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Http://Business-Law.Binus.Ac.Id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24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februari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2018</w:t>
      </w:r>
    </w:p>
    <w:p w:rsidR="006D7599" w:rsidRDefault="006D7599" w:rsidP="006D7599">
      <w:pPr>
        <w:pStyle w:val="Heading1"/>
        <w:shd w:val="clear" w:color="auto" w:fill="FFFFFF"/>
        <w:spacing w:before="120" w:after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Human Rights Watch, All You Can Do is Pray, April 2013,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http://www.hrw.org/sites/default/files/reports/burma0413_FullForWeb.pdf </w:t>
      </w:r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diakses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pada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22 </w:t>
      </w:r>
      <w:proofErr w:type="spellStart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>februari</w:t>
      </w:r>
      <w:proofErr w:type="spellEnd"/>
      <w:r w:rsidRPr="00C8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2018</w:t>
      </w:r>
    </w:p>
    <w:p w:rsidR="006D7599" w:rsidRPr="00C85135" w:rsidRDefault="006D7599" w:rsidP="006D7599"/>
    <w:p w:rsidR="006D7599" w:rsidRPr="00C85135" w:rsidRDefault="006D7599" w:rsidP="006D7599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85135">
        <w:rPr>
          <w:rFonts w:ascii="Times New Roman" w:hAnsi="Times New Roman" w:cs="Times New Roman"/>
          <w:b/>
          <w:sz w:val="24"/>
          <w:szCs w:val="24"/>
        </w:rPr>
        <w:t>BERITA:</w:t>
      </w:r>
    </w:p>
    <w:p w:rsidR="006D7599" w:rsidRPr="00A36CB8" w:rsidRDefault="006D7599" w:rsidP="006D7599">
      <w:pPr>
        <w:pStyle w:val="FootnoteText"/>
        <w:spacing w:before="12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Azyumardi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Azra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RI: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12 September 2017</w:t>
      </w:r>
    </w:p>
    <w:p w:rsidR="006D7599" w:rsidRPr="00A36CB8" w:rsidRDefault="006D7599" w:rsidP="006D7599">
      <w:pPr>
        <w:spacing w:before="120" w:after="100" w:afterAutospacing="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Menlu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Retno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Marsudi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Serahkan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Formula 4+1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Myanmar Demi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Atasi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tribun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jateng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5 September 2017</w:t>
      </w:r>
      <w:r w:rsidRPr="00A36C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Wikanto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CB8">
        <w:rPr>
          <w:rFonts w:ascii="Times New Roman" w:hAnsi="Times New Roman" w:cs="Times New Roman"/>
          <w:sz w:val="24"/>
          <w:szCs w:val="24"/>
        </w:rPr>
        <w:t>Arungbudoyo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“Bangladesh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Targetkan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Repatriasi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okezone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news,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Izkyan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Adiyudha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“UNHCR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Repatriasi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Pengungsi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Ditunda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Republika.Co.Id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Rakhine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Agama”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news,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Kiblat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“13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Kezhaliman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Budhis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Myanmar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”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t>Nasaka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forces detainees into construction work,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Kaladan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News,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10 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6D7599" w:rsidRPr="00A36CB8" w:rsidRDefault="006D7599" w:rsidP="006D7599">
      <w:pPr>
        <w:pStyle w:val="FootnoteText"/>
        <w:spacing w:before="12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CB8">
        <w:rPr>
          <w:rFonts w:ascii="Times New Roman" w:hAnsi="Times New Roman" w:cs="Times New Roman"/>
          <w:sz w:val="24"/>
          <w:szCs w:val="24"/>
        </w:rPr>
        <w:t>Syamina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2017.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 Villager Sentenced to Jail for Not Having Village out Pass,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Kaladan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News,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23 September 2006.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Noting report of civilians who witnessed the junta’s murder of laborers who were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unable to adequately perform their duties; A Global Alliance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Againts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Forced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Report of the Director General, 93</w:t>
      </w:r>
      <w:r w:rsidRPr="00A36C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Sess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Geneva,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  <w:t>2005,</w:t>
      </w:r>
    </w:p>
    <w:p w:rsidR="006D7599" w:rsidRPr="00A36CB8" w:rsidRDefault="006D7599" w:rsidP="006D7599">
      <w:pPr>
        <w:spacing w:before="120" w:after="100" w:afterAutospacing="1"/>
        <w:ind w:right="340"/>
        <w:rPr>
          <w:rFonts w:ascii="Times New Roman" w:hAnsi="Times New Roman" w:cs="Times New Roman"/>
          <w:sz w:val="24"/>
          <w:szCs w:val="24"/>
        </w:rPr>
      </w:pPr>
      <w:proofErr w:type="spellStart"/>
      <w:r w:rsidRPr="00A36CB8">
        <w:rPr>
          <w:rFonts w:ascii="Times New Roman" w:hAnsi="Times New Roman" w:cs="Times New Roman"/>
          <w:sz w:val="24"/>
          <w:szCs w:val="24"/>
        </w:rPr>
        <w:lastRenderedPageBreak/>
        <w:t>Nasaka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Extorts Huge Amounts for Marriage Permits,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Kaladan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r w:rsidRPr="00A36CB8">
        <w:rPr>
          <w:rFonts w:ascii="Times New Roman" w:hAnsi="Times New Roman" w:cs="Times New Roman"/>
          <w:sz w:val="24"/>
          <w:szCs w:val="24"/>
        </w:rPr>
        <w:tab/>
        <w:t xml:space="preserve">News,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28 September 2006</w:t>
      </w:r>
    </w:p>
    <w:p w:rsidR="006D7599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Riva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Dessthania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Suastha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Tameng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Non-</w:t>
      </w:r>
      <w:r w:rsidRPr="00A36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ASEAN”, CNN Indonesia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36CB8">
        <w:rPr>
          <w:rFonts w:ascii="Times New Roman" w:hAnsi="Times New Roman" w:cs="Times New Roman"/>
          <w:b/>
          <w:sz w:val="24"/>
          <w:szCs w:val="24"/>
        </w:rPr>
        <w:t>MAJALAH:</w:t>
      </w:r>
    </w:p>
    <w:p w:rsidR="006D7599" w:rsidRPr="00A36CB8" w:rsidRDefault="006D7599" w:rsidP="006D7599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A36CB8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A36CB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A36CB8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D7599" w:rsidRPr="003C2B73" w:rsidRDefault="006D7599" w:rsidP="006D7599">
      <w:pPr>
        <w:tabs>
          <w:tab w:val="left" w:pos="7167"/>
        </w:tabs>
        <w:rPr>
          <w:rFonts w:ascii="Times New Roman" w:hAnsi="Times New Roman" w:cs="Times New Roman"/>
          <w:sz w:val="24"/>
          <w:szCs w:val="24"/>
        </w:rPr>
      </w:pPr>
    </w:p>
    <w:p w:rsidR="006D7599" w:rsidRDefault="006D7599" w:rsidP="006D7599"/>
    <w:p w:rsidR="006D7599" w:rsidRDefault="006D7599" w:rsidP="006D7599"/>
    <w:p w:rsidR="006D7599" w:rsidRDefault="006D7599" w:rsidP="006D7599"/>
    <w:p w:rsidR="006D7599" w:rsidRDefault="006D7599" w:rsidP="006D7599"/>
    <w:p w:rsidR="006E38C6" w:rsidRDefault="006E38C6">
      <w:bookmarkStart w:id="0" w:name="_GoBack"/>
      <w:bookmarkEnd w:id="0"/>
    </w:p>
    <w:sectPr w:rsidR="006E38C6" w:rsidSect="006D7599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9"/>
    <w:rsid w:val="006D7599"/>
    <w:rsid w:val="006E38C6"/>
    <w:rsid w:val="00B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99"/>
  </w:style>
  <w:style w:type="paragraph" w:styleId="Heading1">
    <w:name w:val="heading 1"/>
    <w:basedOn w:val="Normal"/>
    <w:next w:val="Normal"/>
    <w:link w:val="Heading1Char"/>
    <w:uiPriority w:val="9"/>
    <w:qFormat/>
    <w:rsid w:val="006D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75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7599"/>
  </w:style>
  <w:style w:type="paragraph" w:styleId="FootnoteText">
    <w:name w:val="footnote text"/>
    <w:basedOn w:val="Normal"/>
    <w:link w:val="FootnoteTextChar"/>
    <w:uiPriority w:val="99"/>
    <w:unhideWhenUsed/>
    <w:rsid w:val="006D7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5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59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D7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99"/>
  </w:style>
  <w:style w:type="paragraph" w:styleId="Heading1">
    <w:name w:val="heading 1"/>
    <w:basedOn w:val="Normal"/>
    <w:next w:val="Normal"/>
    <w:link w:val="Heading1Char"/>
    <w:uiPriority w:val="9"/>
    <w:qFormat/>
    <w:rsid w:val="006D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75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7599"/>
  </w:style>
  <w:style w:type="paragraph" w:styleId="FootnoteText">
    <w:name w:val="footnote text"/>
    <w:basedOn w:val="Normal"/>
    <w:link w:val="FootnoteTextChar"/>
    <w:uiPriority w:val="99"/>
    <w:unhideWhenUsed/>
    <w:rsid w:val="006D7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5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59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D7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2018-10-12T06:24:00Z</dcterms:created>
  <dcterms:modified xsi:type="dcterms:W3CDTF">2018-10-12T06:24:00Z</dcterms:modified>
</cp:coreProperties>
</file>