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46" w:rsidRDefault="009D7E46" w:rsidP="009D7E46">
      <w:pPr>
        <w:framePr w:w="2924" w:wrap="auto" w:hAnchor="text" w:x="5131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DAFTAR PUSTAKA</w:t>
      </w:r>
    </w:p>
    <w:p w:rsidR="009D7E46" w:rsidRDefault="009D7E46" w:rsidP="009D7E46">
      <w:pPr>
        <w:framePr w:w="952" w:wrap="auto" w:hAnchor="text" w:x="2508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A.</w:t>
      </w:r>
    </w:p>
    <w:p w:rsidR="009D7E46" w:rsidRDefault="009D7E46" w:rsidP="009D7E46">
      <w:pPr>
        <w:framePr w:w="1282" w:wrap="auto" w:hAnchor="text" w:x="2988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Buku</w:t>
      </w:r>
    </w:p>
    <w:p w:rsidR="009D7E46" w:rsidRDefault="009D7E46" w:rsidP="009D7E46">
      <w:pPr>
        <w:framePr w:w="7947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Adrian Sutedi,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Kekuatan Hukum Berlakunya Sertifikat Sebagai Tanda</w:t>
      </w:r>
    </w:p>
    <w:p w:rsidR="009D7E46" w:rsidRDefault="009D7E46" w:rsidP="009D7E46">
      <w:pPr>
        <w:framePr w:w="7947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Bukti Hak atas Tanah, </w:t>
      </w:r>
      <w:r>
        <w:rPr>
          <w:rFonts w:ascii="Times New Roman" w:hAnsi="Times New Roman" w:cs="Times New Roman"/>
          <w:color w:val="000000"/>
          <w:sz w:val="21"/>
          <w:szCs w:val="21"/>
        </w:rPr>
        <w:t>Bina Cipta, Jakarta, 2006.</w:t>
      </w:r>
    </w:p>
    <w:p w:rsidR="009D7E46" w:rsidRDefault="009D7E46" w:rsidP="009D7E46">
      <w:pPr>
        <w:framePr w:w="1360" w:wrap="auto" w:hAnchor="text" w:x="2976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Politik</w:t>
      </w:r>
    </w:p>
    <w:p w:rsidR="009D7E46" w:rsidRDefault="009D7E46" w:rsidP="009D7E46">
      <w:pPr>
        <w:framePr w:w="5983" w:wrap="auto" w:hAnchor="text" w:x="3709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dan Kebijakan Hukum Pertanahan Serta</w:t>
      </w:r>
    </w:p>
    <w:p w:rsidR="009D7E46" w:rsidRDefault="009D7E46" w:rsidP="009D7E46">
      <w:pPr>
        <w:framePr w:w="5983" w:wrap="auto" w:hAnchor="text" w:x="3709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Permasalahannya, </w:t>
      </w:r>
      <w:r>
        <w:rPr>
          <w:rFonts w:ascii="Times New Roman" w:hAnsi="Times New Roman" w:cs="Times New Roman"/>
          <w:color w:val="000000"/>
          <w:sz w:val="21"/>
          <w:szCs w:val="21"/>
        </w:rPr>
        <w:t>BP. Cipta Jaya, Jakarta, 2006.</w:t>
      </w:r>
    </w:p>
    <w:p w:rsidR="009D7E46" w:rsidRDefault="009D7E46" w:rsidP="009D7E46">
      <w:pPr>
        <w:framePr w:w="1611" w:wrap="auto" w:hAnchor="text" w:x="9308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Berbagai</w:t>
      </w:r>
    </w:p>
    <w:p w:rsidR="009D7E46" w:rsidRDefault="009D7E46" w:rsidP="009D7E46">
      <w:pPr>
        <w:framePr w:w="7948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Bachtiar Effendie,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Kumpulan Tulisan Tentang Hukum Tanah, </w:t>
      </w:r>
      <w:r>
        <w:rPr>
          <w:rFonts w:ascii="Times New Roman" w:hAnsi="Times New Roman" w:cs="Times New Roman"/>
          <w:color w:val="000000"/>
          <w:sz w:val="21"/>
          <w:szCs w:val="21"/>
        </w:rPr>
        <w:t>Alumni,</w:t>
      </w:r>
    </w:p>
    <w:p w:rsidR="009D7E46" w:rsidRDefault="009D7E46" w:rsidP="009D7E46">
      <w:pPr>
        <w:framePr w:w="7948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Bandung, 1993.</w:t>
      </w:r>
    </w:p>
    <w:p w:rsidR="009D7E46" w:rsidRDefault="009D7E46" w:rsidP="009D7E46">
      <w:pPr>
        <w:framePr w:w="7436" w:wrap="auto" w:hAnchor="text" w:x="2976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Boedi Harsono,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Hukum Agraria Indonesia, </w:t>
      </w:r>
      <w:r>
        <w:rPr>
          <w:rFonts w:ascii="Times New Roman" w:hAnsi="Times New Roman" w:cs="Times New Roman"/>
          <w:color w:val="000000"/>
          <w:sz w:val="21"/>
          <w:szCs w:val="21"/>
        </w:rPr>
        <w:t>Djambatan, Jakarta, 2002.</w:t>
      </w:r>
    </w:p>
    <w:p w:rsidR="009D7E46" w:rsidRDefault="009D7E46" w:rsidP="009D7E46">
      <w:pPr>
        <w:framePr w:w="7947" w:wrap="auto" w:hAnchor="text" w:x="2976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Eddy Ruchiyat,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Politik Pertanahan Sebelum dan Sesudah Berlakunya</w:t>
      </w:r>
    </w:p>
    <w:p w:rsidR="009D7E46" w:rsidRDefault="009D7E46" w:rsidP="009D7E46">
      <w:pPr>
        <w:framePr w:w="7947" w:wrap="auto" w:hAnchor="text" w:x="2976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UUPA, </w:t>
      </w:r>
      <w:r>
        <w:rPr>
          <w:rFonts w:ascii="Times New Roman" w:hAnsi="Times New Roman" w:cs="Times New Roman"/>
          <w:color w:val="000000"/>
          <w:sz w:val="21"/>
          <w:szCs w:val="21"/>
        </w:rPr>
        <w:t>Alumni, Bandung, 1994.</w:t>
      </w:r>
    </w:p>
    <w:p w:rsidR="009D7E46" w:rsidRDefault="009D7E46" w:rsidP="009D7E46">
      <w:pPr>
        <w:framePr w:w="7948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Hasanuddin Rahman,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Seri Keterampilan Merancang Kontrak Bisnis,</w:t>
      </w:r>
    </w:p>
    <w:p w:rsidR="009D7E46" w:rsidRDefault="009D7E46" w:rsidP="009D7E46">
      <w:pPr>
        <w:framePr w:w="7948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Contract Drafting, </w:t>
      </w:r>
      <w:r>
        <w:rPr>
          <w:rFonts w:ascii="Times New Roman" w:hAnsi="Times New Roman" w:cs="Times New Roman"/>
          <w:color w:val="000000"/>
          <w:sz w:val="21"/>
          <w:szCs w:val="21"/>
        </w:rPr>
        <w:t>Citra Aditya Bakti, Bandung, 2003.</w:t>
      </w:r>
    </w:p>
    <w:p w:rsidR="009D7E46" w:rsidRDefault="009D7E46" w:rsidP="009D7E46">
      <w:pPr>
        <w:framePr w:w="7945" w:wrap="auto" w:hAnchor="text" w:x="2976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KUHPerdata Islam (Zaman Kekhalifaan Turki Usmani Versi Madzhab</w:t>
      </w:r>
    </w:p>
    <w:p w:rsidR="009D7E46" w:rsidRDefault="009D7E46" w:rsidP="009D7E46">
      <w:pPr>
        <w:framePr w:w="7945" w:wrap="auto" w:hAnchor="text" w:x="2976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Hanafi), Terjemahan Tajul Arifin, Achmad Suhirman, Djuhudiyat</w:t>
      </w:r>
    </w:p>
    <w:p w:rsidR="009D7E46" w:rsidRDefault="009D7E46" w:rsidP="009D7E46">
      <w:pPr>
        <w:framePr w:w="7945" w:wrap="auto" w:hAnchor="text" w:x="2976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Ahmad S., dan Deding Ishak IS, Diterjemahkan dari Judul Aslinya</w:t>
      </w:r>
    </w:p>
    <w:p w:rsidR="009D7E46" w:rsidRDefault="009D7E46" w:rsidP="009D7E46">
      <w:pPr>
        <w:framePr w:w="7945" w:wrap="auto" w:hAnchor="text" w:x="2976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“Majalah AL-hakam Al-Adliyah”, Bandung, 2002.</w:t>
      </w:r>
    </w:p>
    <w:p w:rsidR="009D7E46" w:rsidRDefault="009D7E46" w:rsidP="009D7E46">
      <w:pPr>
        <w:framePr w:w="7960" w:wrap="auto" w:hAnchor="text" w:x="2964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Maria S.W. Sumardjono,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Kebijakan Pertanahan Antara Regulasi dan</w:t>
      </w:r>
    </w:p>
    <w:p w:rsidR="009D7E46" w:rsidRDefault="009D7E46" w:rsidP="009D7E46">
      <w:pPr>
        <w:framePr w:w="7960" w:wrap="auto" w:hAnchor="text" w:x="2964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Implementasi, </w:t>
      </w:r>
      <w:r>
        <w:rPr>
          <w:rFonts w:ascii="Times New Roman" w:hAnsi="Times New Roman" w:cs="Times New Roman"/>
          <w:color w:val="000000"/>
          <w:sz w:val="21"/>
          <w:szCs w:val="21"/>
        </w:rPr>
        <w:t>Kompas, Jakarta, 2001.</w:t>
      </w:r>
    </w:p>
    <w:p w:rsidR="009D7E46" w:rsidRDefault="009D7E46" w:rsidP="009D7E46">
      <w:pPr>
        <w:framePr w:w="7957" w:wrap="auto" w:hAnchor="text" w:x="2964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Marihot Pahala Siahaan,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Bea Perolehan Hak atas Tanah dan Bangunan</w:t>
      </w:r>
    </w:p>
    <w:p w:rsidR="009D7E46" w:rsidRDefault="009D7E46" w:rsidP="009D7E46">
      <w:pPr>
        <w:framePr w:w="7957" w:wrap="auto" w:hAnchor="text" w:x="2964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Teori dan Praktek, </w:t>
      </w:r>
      <w:r>
        <w:rPr>
          <w:rFonts w:ascii="Times New Roman" w:hAnsi="Times New Roman" w:cs="Times New Roman"/>
          <w:color w:val="000000"/>
          <w:sz w:val="21"/>
          <w:szCs w:val="21"/>
        </w:rPr>
        <w:t>PT. Raja Grafindo Persada, Jakarta, 2003.</w:t>
      </w:r>
    </w:p>
    <w:p w:rsidR="009D7E46" w:rsidRDefault="009D7E46" w:rsidP="009D7E46">
      <w:pPr>
        <w:framePr w:w="7958" w:wrap="auto" w:hAnchor="text" w:x="2964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Mochtar Kusumaatmadja,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Konsep-konsep Hukum dalam Pembangunan,</w:t>
      </w:r>
    </w:p>
    <w:p w:rsidR="009D7E46" w:rsidRDefault="009D7E46" w:rsidP="009D7E46">
      <w:pPr>
        <w:framePr w:w="7958" w:wrap="auto" w:hAnchor="text" w:x="2964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</w:t>
      </w:r>
      <w:r>
        <w:rPr>
          <w:rFonts w:ascii="Times New Roman" w:hAnsi="Times New Roman" w:cs="Times New Roman"/>
          <w:color w:val="000000"/>
          <w:sz w:val="21"/>
          <w:szCs w:val="21"/>
        </w:rPr>
        <w:t>Penerbit Alumni, Bandung.</w:t>
      </w:r>
    </w:p>
    <w:p w:rsidR="009D7E46" w:rsidRDefault="009D7E46" w:rsidP="009D7E46">
      <w:pPr>
        <w:framePr w:w="7959" w:wrap="auto" w:hAnchor="text" w:x="2964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Muchsin dari David J Hayton,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Megarry’s Manual of The Law of Real</w:t>
      </w:r>
    </w:p>
    <w:p w:rsidR="009D7E46" w:rsidRDefault="009D7E46" w:rsidP="009D7E46">
      <w:pPr>
        <w:framePr w:w="7959" w:wrap="auto" w:hAnchor="text" w:x="2964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Property, </w:t>
      </w:r>
      <w:r>
        <w:rPr>
          <w:rFonts w:ascii="Times New Roman" w:hAnsi="Times New Roman" w:cs="Times New Roman"/>
          <w:color w:val="000000"/>
          <w:sz w:val="21"/>
          <w:szCs w:val="21"/>
        </w:rPr>
        <w:t>Sixt Edition, Stevens ans Sons Ltd., London, 1982.</w:t>
      </w:r>
    </w:p>
    <w:p w:rsidR="009D7E46" w:rsidRDefault="009D7E46" w:rsidP="009D7E46">
      <w:pPr>
        <w:framePr w:w="7956" w:wrap="auto" w:hAnchor="text" w:x="2964" w:y="1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Muchsin dari Nouruzzaman Effendi Dalam Rozali Abdullah dan Syamsir,</w:t>
      </w:r>
    </w:p>
    <w:p w:rsidR="009D7E46" w:rsidRDefault="009D7E46" w:rsidP="009D7E46">
      <w:pPr>
        <w:framePr w:w="7956" w:wrap="auto" w:hAnchor="text" w:x="2964" w:y="1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2002, Ikhyisar Materi Pokok Filsafat Hukum, Cetakan Pertama,</w:t>
      </w:r>
    </w:p>
    <w:p w:rsidR="009D7E46" w:rsidRDefault="009D7E46" w:rsidP="009D7E46">
      <w:pPr>
        <w:framePr w:w="7956" w:wrap="auto" w:hAnchor="text" w:x="2964" w:y="1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STIH IBLAM, Jakarta.</w:t>
      </w:r>
    </w:p>
    <w:p w:rsidR="009D7E46" w:rsidRDefault="009D7E46" w:rsidP="009D7E46">
      <w:pPr>
        <w:framePr w:w="7960" w:wrap="auto" w:hAnchor="text" w:x="2964" w:y="14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Nina Nurani,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Hukum Bisnis (Suatu Pengantar), </w:t>
      </w:r>
      <w:r>
        <w:rPr>
          <w:rFonts w:ascii="Times New Roman" w:hAnsi="Times New Roman" w:cs="Times New Roman"/>
          <w:color w:val="000000"/>
          <w:sz w:val="21"/>
          <w:szCs w:val="21"/>
        </w:rPr>
        <w:t>Insan Mandiri, Bandung,</w:t>
      </w:r>
    </w:p>
    <w:p w:rsidR="009D7E46" w:rsidRDefault="009D7E46" w:rsidP="009D7E46">
      <w:pPr>
        <w:framePr w:w="7960" w:wrap="auto" w:hAnchor="text" w:x="2964" w:y="14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2006.</w:t>
      </w:r>
    </w:p>
    <w:p w:rsidR="009D7E46" w:rsidRDefault="009D7E46" w:rsidP="009D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7E4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9D7E46" w:rsidRDefault="009D7E46" w:rsidP="009D7E46">
      <w:pPr>
        <w:framePr w:w="7956" w:wrap="auto" w:hAnchor="text" w:x="2964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R. Setiawan,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Pokok-Pokok Hukum Perikatan, </w:t>
      </w:r>
      <w:r>
        <w:rPr>
          <w:rFonts w:ascii="Times New Roman" w:hAnsi="Times New Roman" w:cs="Times New Roman"/>
          <w:color w:val="000000"/>
          <w:sz w:val="21"/>
          <w:szCs w:val="21"/>
        </w:rPr>
        <w:t>Putra A. Bardin, Bandung,</w:t>
      </w:r>
    </w:p>
    <w:p w:rsidR="009D7E46" w:rsidRDefault="009D7E46" w:rsidP="009D7E46">
      <w:pPr>
        <w:framePr w:w="7956" w:wrap="auto" w:hAnchor="text" w:x="2964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1999.</w:t>
      </w:r>
    </w:p>
    <w:p w:rsidR="009D7E46" w:rsidRDefault="009D7E46" w:rsidP="009D7E46">
      <w:pPr>
        <w:framePr w:w="7960" w:wrap="auto" w:hAnchor="text" w:x="2964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Soerjono Soekanto dan Sri Mamudji,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Penelitian Hukum Normatif – Suatu</w:t>
      </w:r>
    </w:p>
    <w:p w:rsidR="009D7E46" w:rsidRDefault="009D7E46" w:rsidP="009D7E46">
      <w:pPr>
        <w:framePr w:w="7960" w:wrap="auto" w:hAnchor="text" w:x="2964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Tinjauan Singkat, </w:t>
      </w:r>
      <w:r>
        <w:rPr>
          <w:rFonts w:ascii="Times New Roman" w:hAnsi="Times New Roman" w:cs="Times New Roman"/>
          <w:color w:val="000000"/>
          <w:sz w:val="21"/>
          <w:szCs w:val="21"/>
        </w:rPr>
        <w:t>PT RajaGrafindo Persada, Jakarta, 2001.</w:t>
      </w:r>
    </w:p>
    <w:p w:rsidR="009D7E46" w:rsidRDefault="009D7E46" w:rsidP="009D7E46">
      <w:pPr>
        <w:framePr w:w="7955" w:wrap="auto" w:hAnchor="text" w:x="2964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Subekti S.H.,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Pokok-pokok Hukum Perdata, </w:t>
      </w:r>
      <w:r>
        <w:rPr>
          <w:rFonts w:ascii="Times New Roman" w:hAnsi="Times New Roman" w:cs="Times New Roman"/>
          <w:color w:val="000000"/>
          <w:sz w:val="21"/>
          <w:szCs w:val="21"/>
        </w:rPr>
        <w:t>PT. Intermasa, Bandung,</w:t>
      </w:r>
    </w:p>
    <w:p w:rsidR="009D7E46" w:rsidRDefault="009D7E46" w:rsidP="009D7E46">
      <w:pPr>
        <w:framePr w:w="7955" w:wrap="auto" w:hAnchor="text" w:x="2964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1982.</w:t>
      </w:r>
    </w:p>
    <w:p w:rsidR="009D7E46" w:rsidRDefault="009D7E46" w:rsidP="009D7E46">
      <w:pPr>
        <w:framePr w:w="940" w:wrap="auto" w:hAnchor="text" w:x="2508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B.</w:t>
      </w:r>
    </w:p>
    <w:p w:rsidR="009D7E46" w:rsidRDefault="009D7E46" w:rsidP="009D7E46">
      <w:pPr>
        <w:framePr w:w="4072" w:wrap="auto" w:hAnchor="text" w:x="2988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Peraturan Perundang-undangan</w:t>
      </w:r>
    </w:p>
    <w:p w:rsidR="009D7E46" w:rsidRDefault="009D7E46" w:rsidP="009D7E46">
      <w:pPr>
        <w:framePr w:w="6081" w:wrap="auto" w:hAnchor="text" w:x="2964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Undang-Undang Dasar Republik Indonesia Tahun 1945</w:t>
      </w:r>
    </w:p>
    <w:p w:rsidR="009D7E46" w:rsidRDefault="009D7E46" w:rsidP="009D7E46">
      <w:pPr>
        <w:framePr w:w="4477" w:wrap="auto" w:hAnchor="text" w:x="2964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Kitab Undang-undang Hukum Perdata.</w:t>
      </w:r>
    </w:p>
    <w:p w:rsidR="009D7E46" w:rsidRDefault="009D7E46" w:rsidP="009D7E46">
      <w:pPr>
        <w:framePr w:w="7960" w:wrap="auto" w:hAnchor="text" w:x="2964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Undang-undang No. 5 Tahun 1960 tentang Peraturan Dasar Pokok-Pokok</w:t>
      </w:r>
    </w:p>
    <w:p w:rsidR="009D7E46" w:rsidRDefault="009D7E46" w:rsidP="009D7E46">
      <w:pPr>
        <w:framePr w:w="1509" w:wrap="auto" w:hAnchor="text" w:x="368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Agraria.</w:t>
      </w:r>
    </w:p>
    <w:p w:rsidR="009D7E46" w:rsidRDefault="009D7E46" w:rsidP="009D7E46">
      <w:pPr>
        <w:framePr w:w="7405" w:wrap="auto" w:hAnchor="text" w:x="2964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Pemerintah No. 24 Tahun 1997 tentang Pendaftaran Tanah.</w:t>
      </w:r>
    </w:p>
    <w:p w:rsidR="009D7E46" w:rsidRDefault="009D7E46" w:rsidP="009D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7E4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A46DB" w:rsidRDefault="009D7E46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7E46"/>
    <w:rsid w:val="007C2F69"/>
    <w:rsid w:val="008859FF"/>
    <w:rsid w:val="008C035D"/>
    <w:rsid w:val="009D7E46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46"/>
    <w:rPr>
      <w:rFonts w:asciiTheme="minorHAnsi" w:eastAsiaTheme="minorEastAsia" w:hAnsiTheme="minorHAnsi" w:cstheme="minorBid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2016-04-20T04:02:00Z</dcterms:created>
  <dcterms:modified xsi:type="dcterms:W3CDTF">2016-04-20T04:02:00Z</dcterms:modified>
</cp:coreProperties>
</file>