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10A" w:rsidRPr="000D2B08" w:rsidRDefault="00BB210A" w:rsidP="00BB21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B08">
        <w:rPr>
          <w:rFonts w:ascii="Times New Roman" w:hAnsi="Times New Roman" w:cs="Times New Roman"/>
          <w:b/>
          <w:sz w:val="24"/>
          <w:szCs w:val="24"/>
        </w:rPr>
        <w:t>BAB 1</w:t>
      </w:r>
    </w:p>
    <w:p w:rsidR="00BB210A" w:rsidRDefault="00BB210A" w:rsidP="00BB21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B08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BB210A" w:rsidRDefault="00BB210A" w:rsidP="00BB21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210A" w:rsidRDefault="00BB210A" w:rsidP="00BB210A">
      <w:pPr>
        <w:pStyle w:val="ListParagraph"/>
        <w:numPr>
          <w:ilvl w:val="1"/>
          <w:numId w:val="1"/>
        </w:num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A69B0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BA69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69B0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 w:rsidRPr="00BA69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69B0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Pr="00BA69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210A" w:rsidRDefault="00BB210A" w:rsidP="00BB210A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Belakangan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menyimak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massa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dicanangkan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menggandeng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pabrikan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indonesia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Honda, Toyota, Suzuki, Daihatsu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Datsun.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Low Cost Green Car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LCGC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diproyeksi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terjangkau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indonesia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terdengar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motif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kali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peluncuran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dilindungi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keberadaannya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41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diungkapkan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LCGC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percontohan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otomotif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kedepannya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terkendala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LCGC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tampaknya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kejanggalan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kontradiksi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tersirat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diperbincangkan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proyek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kota-kota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timbulnya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kemacetan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Ditengah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meminimalisir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menggiatkan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transportasi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Slogan-slogan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didengungkan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LCGC </w:t>
      </w:r>
      <w:r>
        <w:rPr>
          <w:rFonts w:ascii="Times New Roman" w:hAnsi="Times New Roman" w:cs="Times New Roman"/>
          <w:sz w:val="24"/>
          <w:szCs w:val="24"/>
        </w:rPr>
        <w:t xml:space="preserve"> yang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sepenuhnya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Benarkah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murah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Ramah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klarifikasi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filsafat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Low Cost Green Car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menerbitkan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PP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41/2013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Mei 2013.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1(c) PP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terjangkau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motor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silinder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1.200 cc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kilometer per liter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setaranya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PP No. 41/2013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dilengkapi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Perindustrian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No. 33/M-IND/2013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Terjangkau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juli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Permenperin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33/2013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dimaksudkan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otomotif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seiring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heat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terjangkau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LCGC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beromtor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keringanan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PPnBM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Permenperin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otomotif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LCGC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motor </w:t>
      </w:r>
      <w:proofErr w:type="spellStart"/>
      <w:r>
        <w:rPr>
          <w:rFonts w:ascii="Times New Roman" w:hAnsi="Times New Roman" w:cs="Times New Roman"/>
          <w:sz w:val="24"/>
          <w:szCs w:val="24"/>
        </w:rPr>
        <w:t>bakar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silinder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980 cc – 1200 cc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BBM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km/liter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motor </w:t>
      </w:r>
      <w:proofErr w:type="spellStart"/>
      <w:r>
        <w:rPr>
          <w:rFonts w:ascii="Times New Roman" w:hAnsi="Times New Roman" w:cs="Times New Roman"/>
          <w:sz w:val="24"/>
          <w:szCs w:val="24"/>
        </w:rPr>
        <w:t>bakar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(diesel)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silinder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1500 cc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(diesel)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silinder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1500 cc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BBM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20km/liter.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model,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logo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mencerminkan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Permenperin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LCGC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95 </w:t>
      </w:r>
      <w:proofErr w:type="spellStart"/>
      <w:r>
        <w:rPr>
          <w:rFonts w:ascii="Times New Roman" w:hAnsi="Times New Roman" w:cs="Times New Roman"/>
          <w:sz w:val="24"/>
          <w:szCs w:val="24"/>
        </w:rPr>
        <w:t>Juta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kantor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Pemegang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Rupiah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baku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penyesuaian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transmisi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otomatis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maksismum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10%.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Hal-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diramaikan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kampanye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Menperin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dll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LCGC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ivestasi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terciptanya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ribuan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terciptanya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murah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Memperin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LCGC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digulirkan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volume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dibukanya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ASEAN (AEC).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menteri-menteri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LCGC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Jabodetabek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LCGC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aRON-92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BBM </w:t>
      </w:r>
      <w:proofErr w:type="spellStart"/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LCGC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BBM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bersubsidu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menghemat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subsidi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APBN. </w:t>
      </w:r>
    </w:p>
    <w:p w:rsidR="00BB210A" w:rsidRDefault="00BB210A" w:rsidP="00BB210A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LCGC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LCGC </w:t>
      </w:r>
      <w:proofErr w:type="spellStart"/>
      <w:r>
        <w:rPr>
          <w:rFonts w:ascii="Times New Roman" w:hAnsi="Times New Roman" w:cs="Times New Roman"/>
          <w:sz w:val="24"/>
          <w:szCs w:val="24"/>
        </w:rPr>
        <w:t>sempat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LCGC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ramah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diminati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pecinta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otomotif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LCGC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10A" w:rsidRDefault="00BB210A" w:rsidP="00BB210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Fenomenologi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Fenomenologi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filsafat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Yunani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Phainomai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phainomenon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nampak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Fenemonologi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menanggapi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mengeksplorasi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Little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feomenologi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mengeksplorasi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sekelilingnya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menginterpretasikan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menginterpretasikan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dialaminya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interpretasi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</w:t>
      </w:r>
      <w:proofErr w:type="gramStart"/>
      <w:r>
        <w:rPr>
          <w:rFonts w:ascii="Times New Roman" w:hAnsi="Times New Roman" w:cs="Times New Roman"/>
          <w:sz w:val="24"/>
          <w:szCs w:val="24"/>
        </w:rPr>
        <w:t>lain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pemaknaan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estetis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Fenomenologi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mengkontruksi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konsep-konsep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intersubjektif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lanjut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b/>
          <w:sz w:val="24"/>
          <w:szCs w:val="24"/>
        </w:rPr>
        <w:t xml:space="preserve">FENOMENA MOBIL LCGC DI KALANGAN MASYARAKAT BANDUNG”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10A" w:rsidRDefault="00BB210A" w:rsidP="00BB210A">
      <w:pPr>
        <w:pStyle w:val="ListParagraph"/>
        <w:numPr>
          <w:ilvl w:val="0"/>
          <w:numId w:val="2"/>
        </w:numPr>
        <w:spacing w:line="48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210A" w:rsidRDefault="00BB210A" w:rsidP="00BB210A">
      <w:pPr>
        <w:pStyle w:val="ListParagraph"/>
        <w:spacing w:line="48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memfokuskan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Mobil LCGC di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Kalangan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Bandung”</w:t>
      </w:r>
    </w:p>
    <w:p w:rsidR="00BB210A" w:rsidRDefault="00BB210A" w:rsidP="00BB21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1.2.1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BB210A" w:rsidRDefault="00BB210A" w:rsidP="00BB210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B210A" w:rsidRDefault="00BB210A" w:rsidP="00BB210A">
      <w:pPr>
        <w:pStyle w:val="ListParagraph"/>
        <w:numPr>
          <w:ilvl w:val="0"/>
          <w:numId w:val="3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motif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pemakaian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LCGC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</w:t>
      </w:r>
    </w:p>
    <w:p w:rsidR="00BB210A" w:rsidRDefault="00BB210A" w:rsidP="00BB210A">
      <w:pPr>
        <w:pStyle w:val="ListParagraph"/>
        <w:numPr>
          <w:ilvl w:val="0"/>
          <w:numId w:val="3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LCGC </w:t>
      </w:r>
    </w:p>
    <w:p w:rsidR="00BB210A" w:rsidRDefault="00BB210A" w:rsidP="00BB210A">
      <w:pPr>
        <w:pStyle w:val="ListParagraph"/>
        <w:numPr>
          <w:ilvl w:val="0"/>
          <w:numId w:val="3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 </w:t>
      </w:r>
    </w:p>
    <w:p w:rsidR="00BB210A" w:rsidRDefault="00BB210A" w:rsidP="00BB210A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Kegunaan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210A" w:rsidRDefault="00BB210A" w:rsidP="00BB210A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1.3.1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BB210A" w:rsidRDefault="00BB210A" w:rsidP="00BB210A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diidentifikasikan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lain:</w:t>
      </w:r>
    </w:p>
    <w:p w:rsidR="00BB210A" w:rsidRDefault="00BB210A" w:rsidP="00BB210A">
      <w:pPr>
        <w:pStyle w:val="ListParagraph"/>
        <w:numPr>
          <w:ilvl w:val="0"/>
          <w:numId w:val="4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motif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pemakaian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LCGC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Bandung.</w:t>
      </w:r>
    </w:p>
    <w:p w:rsidR="00BB210A" w:rsidRDefault="00BB210A" w:rsidP="00BB210A">
      <w:pPr>
        <w:pStyle w:val="ListParagraph"/>
        <w:numPr>
          <w:ilvl w:val="0"/>
          <w:numId w:val="4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bandung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LCGC.</w:t>
      </w:r>
    </w:p>
    <w:p w:rsidR="00BB210A" w:rsidRDefault="00BB210A" w:rsidP="00BB210A">
      <w:pPr>
        <w:pStyle w:val="ListParagraph"/>
        <w:numPr>
          <w:ilvl w:val="0"/>
          <w:numId w:val="4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LCGC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Bandung. </w:t>
      </w:r>
    </w:p>
    <w:p w:rsidR="00BB210A" w:rsidRDefault="00BB210A" w:rsidP="00BB210A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1.3.2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Kegunaan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BB210A" w:rsidRDefault="00BB210A" w:rsidP="00BB210A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humas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golongan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10A" w:rsidRDefault="00BB210A" w:rsidP="00BB210A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B210A" w:rsidRDefault="00BB210A" w:rsidP="00BB210A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B210A" w:rsidRDefault="00BB210A" w:rsidP="00BB210A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B210A" w:rsidRDefault="00BB210A" w:rsidP="00BB210A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73AE4" w:rsidRDefault="00273AE4">
      <w:bookmarkStart w:id="0" w:name="_GoBack"/>
      <w:bookmarkEnd w:id="0"/>
    </w:p>
    <w:sectPr w:rsidR="00273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20006"/>
    <w:multiLevelType w:val="hybridMultilevel"/>
    <w:tmpl w:val="AF90CBEA"/>
    <w:lvl w:ilvl="0" w:tplc="7466FC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35196"/>
    <w:multiLevelType w:val="hybridMultilevel"/>
    <w:tmpl w:val="640460FC"/>
    <w:lvl w:ilvl="0" w:tplc="CF102770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A375D"/>
    <w:multiLevelType w:val="hybridMultilevel"/>
    <w:tmpl w:val="FC6A3298"/>
    <w:lvl w:ilvl="0" w:tplc="AF721F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475FDC"/>
    <w:multiLevelType w:val="multilevel"/>
    <w:tmpl w:val="D5F229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10A"/>
    <w:rsid w:val="00273AE4"/>
    <w:rsid w:val="00BB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1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1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1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ABDAN</dc:creator>
  <cp:lastModifiedBy>ABDAN</cp:lastModifiedBy>
  <cp:revision>1</cp:revision>
  <dcterms:created xsi:type="dcterms:W3CDTF">2018-07-26T03:29:00Z</dcterms:created>
  <dcterms:modified xsi:type="dcterms:W3CDTF">2018-07-26T03:30:00Z</dcterms:modified>
</cp:coreProperties>
</file>