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37" w:rsidRPr="00F509FE" w:rsidRDefault="005F6D37" w:rsidP="0051256B">
      <w:pPr>
        <w:spacing w:line="480" w:lineRule="auto"/>
        <w:jc w:val="center"/>
        <w:rPr>
          <w:rFonts w:ascii="Times New Roman" w:hAnsi="Times New Roman" w:cs="Times New Roman"/>
          <w:b/>
          <w:sz w:val="24"/>
          <w:szCs w:val="24"/>
        </w:rPr>
      </w:pPr>
      <w:r w:rsidRPr="00F509FE">
        <w:rPr>
          <w:rFonts w:ascii="Times New Roman" w:hAnsi="Times New Roman" w:cs="Times New Roman"/>
          <w:b/>
          <w:sz w:val="24"/>
          <w:szCs w:val="24"/>
        </w:rPr>
        <w:t>BAB I</w:t>
      </w:r>
    </w:p>
    <w:p w:rsidR="00A54FC2" w:rsidRPr="0051256B" w:rsidRDefault="00A54FC2" w:rsidP="0051256B">
      <w:pPr>
        <w:spacing w:line="480" w:lineRule="auto"/>
        <w:jc w:val="center"/>
        <w:rPr>
          <w:rFonts w:ascii="Times New Roman" w:hAnsi="Times New Roman" w:cs="Times New Roman"/>
          <w:b/>
          <w:sz w:val="28"/>
          <w:szCs w:val="28"/>
        </w:rPr>
      </w:pPr>
      <w:r w:rsidRPr="00F509FE">
        <w:rPr>
          <w:rFonts w:ascii="Times New Roman" w:hAnsi="Times New Roman" w:cs="Times New Roman"/>
          <w:b/>
          <w:sz w:val="24"/>
          <w:szCs w:val="24"/>
        </w:rPr>
        <w:t>PENDAHULUAN</w:t>
      </w:r>
    </w:p>
    <w:p w:rsidR="00A54FC2" w:rsidRPr="00FC5618" w:rsidRDefault="00FC5618" w:rsidP="00FC5618">
      <w:pPr>
        <w:pStyle w:val="ListParagraph"/>
        <w:numPr>
          <w:ilvl w:val="1"/>
          <w:numId w:val="1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A54FC2" w:rsidRPr="00FC5618">
        <w:rPr>
          <w:rFonts w:ascii="Times New Roman" w:hAnsi="Times New Roman" w:cs="Times New Roman"/>
          <w:b/>
          <w:sz w:val="24"/>
          <w:szCs w:val="24"/>
        </w:rPr>
        <w:t>Latar Belakang Penelitian</w:t>
      </w:r>
    </w:p>
    <w:p w:rsidR="005C0C6E" w:rsidRDefault="005C0C6E" w:rsidP="00CF6BA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Krisis keuangan </w:t>
      </w:r>
      <w:r w:rsidR="006E60FB">
        <w:rPr>
          <w:rFonts w:ascii="Times New Roman" w:hAnsi="Times New Roman" w:cs="Times New Roman"/>
          <w:sz w:val="24"/>
          <w:szCs w:val="24"/>
        </w:rPr>
        <w:t>g</w:t>
      </w:r>
      <w:r>
        <w:rPr>
          <w:rFonts w:ascii="Times New Roman" w:hAnsi="Times New Roman" w:cs="Times New Roman"/>
          <w:sz w:val="24"/>
          <w:szCs w:val="24"/>
        </w:rPr>
        <w:t>lobal yang terjadi beberapa tahun terakhir member</w:t>
      </w:r>
      <w:r w:rsidR="003058B7">
        <w:rPr>
          <w:rFonts w:ascii="Times New Roman" w:hAnsi="Times New Roman" w:cs="Times New Roman"/>
          <w:sz w:val="24"/>
          <w:szCs w:val="24"/>
        </w:rPr>
        <w:t>i</w:t>
      </w:r>
      <w:r>
        <w:rPr>
          <w:rFonts w:ascii="Times New Roman" w:hAnsi="Times New Roman" w:cs="Times New Roman"/>
          <w:sz w:val="24"/>
          <w:szCs w:val="24"/>
        </w:rPr>
        <w:t xml:space="preserve"> pelajaran berharga bahwa inovasi dalam produk, jasa dan aktivitas perbankan yang tidak diimbangi dengan penerapan Manajemen Risiko yang memadai dapat menimbulkan berbagai permasalahan mendasar pada </w:t>
      </w:r>
      <w:r w:rsidR="006E60FB">
        <w:rPr>
          <w:rFonts w:ascii="Times New Roman" w:hAnsi="Times New Roman" w:cs="Times New Roman"/>
          <w:sz w:val="24"/>
          <w:szCs w:val="24"/>
        </w:rPr>
        <w:t>b</w:t>
      </w:r>
      <w:r>
        <w:rPr>
          <w:rFonts w:ascii="Times New Roman" w:hAnsi="Times New Roman" w:cs="Times New Roman"/>
          <w:sz w:val="24"/>
          <w:szCs w:val="24"/>
        </w:rPr>
        <w:t>ank maupun sistem keuangan secara keseluruhan.</w:t>
      </w:r>
      <w:proofErr w:type="gramEnd"/>
      <w:r>
        <w:rPr>
          <w:rFonts w:ascii="Times New Roman" w:hAnsi="Times New Roman" w:cs="Times New Roman"/>
          <w:sz w:val="24"/>
          <w:szCs w:val="24"/>
        </w:rPr>
        <w:t xml:space="preserve"> Situasi lingkungan eksternal dan internal perbankan mengalami perkembangan pesat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diikuti oleh semakin kompleksnya risiko bagi kegiatan usaha perbankan.</w:t>
      </w:r>
    </w:p>
    <w:p w:rsidR="005C0C6E" w:rsidRDefault="005C0C6E" w:rsidP="0002002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Pengalaman dari krisis keuangan global tersebut mendorong perlunya peningkatan efektivitas penerapan Manajemen Risiko dan praktek tata kelola </w:t>
      </w:r>
      <w:r w:rsidR="006E60FB">
        <w:rPr>
          <w:rFonts w:ascii="Times New Roman" w:hAnsi="Times New Roman" w:cs="Times New Roman"/>
          <w:sz w:val="24"/>
          <w:szCs w:val="24"/>
        </w:rPr>
        <w:t>b</w:t>
      </w:r>
      <w:r>
        <w:rPr>
          <w:rFonts w:ascii="Times New Roman" w:hAnsi="Times New Roman" w:cs="Times New Roman"/>
          <w:sz w:val="24"/>
          <w:szCs w:val="24"/>
        </w:rPr>
        <w:t xml:space="preserve">ank yang sehat </w:t>
      </w:r>
      <w:r w:rsidRPr="005C0C6E">
        <w:rPr>
          <w:rFonts w:ascii="Times New Roman" w:hAnsi="Times New Roman" w:cs="Times New Roman"/>
          <w:i/>
          <w:sz w:val="24"/>
          <w:szCs w:val="24"/>
        </w:rPr>
        <w:t>(Good Corporate Governance)</w:t>
      </w:r>
      <w:r>
        <w:rPr>
          <w:rFonts w:ascii="Times New Roman" w:hAnsi="Times New Roman" w:cs="Times New Roman"/>
          <w:sz w:val="24"/>
          <w:szCs w:val="24"/>
        </w:rPr>
        <w:t>, tujuan</w:t>
      </w:r>
      <w:r w:rsidR="00B3769E">
        <w:rPr>
          <w:rFonts w:ascii="Times New Roman" w:hAnsi="Times New Roman" w:cs="Times New Roman"/>
          <w:sz w:val="24"/>
          <w:szCs w:val="24"/>
        </w:rPr>
        <w:t xml:space="preserve">nya adalah agar </w:t>
      </w:r>
      <w:r w:rsidR="006E60FB">
        <w:rPr>
          <w:rFonts w:ascii="Times New Roman" w:hAnsi="Times New Roman" w:cs="Times New Roman"/>
          <w:sz w:val="24"/>
          <w:szCs w:val="24"/>
        </w:rPr>
        <w:t>b</w:t>
      </w:r>
      <w:r w:rsidR="00B3769E">
        <w:rPr>
          <w:rFonts w:ascii="Times New Roman" w:hAnsi="Times New Roman" w:cs="Times New Roman"/>
          <w:sz w:val="24"/>
          <w:szCs w:val="24"/>
        </w:rPr>
        <w:t xml:space="preserve">ank mampu mengidentifikasi permasalahan secara lebih dini, melakukan tindak lanjut perbaikan yang sesuai dan cepat serta menerapkan GCG dan Manjemen Risiko yang lebih baik. </w:t>
      </w:r>
      <w:proofErr w:type="gramStart"/>
      <w:r w:rsidR="00B3769E">
        <w:rPr>
          <w:rFonts w:ascii="Times New Roman" w:hAnsi="Times New Roman" w:cs="Times New Roman"/>
          <w:sz w:val="24"/>
          <w:szCs w:val="24"/>
        </w:rPr>
        <w:t xml:space="preserve">Peningkatan fungsi identifikasi, pengukuran, pemantauan dan pengendalian risiko dimaksudkan agar aktivitas usaha yang dilakukan oleh </w:t>
      </w:r>
      <w:r w:rsidR="00F352D4">
        <w:rPr>
          <w:rFonts w:ascii="Times New Roman" w:hAnsi="Times New Roman" w:cs="Times New Roman"/>
          <w:sz w:val="24"/>
          <w:szCs w:val="24"/>
        </w:rPr>
        <w:t>b</w:t>
      </w:r>
      <w:r w:rsidR="00B3769E">
        <w:rPr>
          <w:rFonts w:ascii="Times New Roman" w:hAnsi="Times New Roman" w:cs="Times New Roman"/>
          <w:sz w:val="24"/>
          <w:szCs w:val="24"/>
        </w:rPr>
        <w:t xml:space="preserve">ank tidak menimbulkan kerugian yang melebihi kemampuan </w:t>
      </w:r>
      <w:r w:rsidR="00CC0AA8">
        <w:rPr>
          <w:rFonts w:ascii="Times New Roman" w:hAnsi="Times New Roman" w:cs="Times New Roman"/>
          <w:sz w:val="24"/>
          <w:szCs w:val="24"/>
        </w:rPr>
        <w:t>b</w:t>
      </w:r>
      <w:r w:rsidR="00B3769E">
        <w:rPr>
          <w:rFonts w:ascii="Times New Roman" w:hAnsi="Times New Roman" w:cs="Times New Roman"/>
          <w:sz w:val="24"/>
          <w:szCs w:val="24"/>
        </w:rPr>
        <w:t xml:space="preserve">ank atau yang dapat mengganggu kelangsungan usaha </w:t>
      </w:r>
      <w:r w:rsidR="00CC0AA8">
        <w:rPr>
          <w:rFonts w:ascii="Times New Roman" w:hAnsi="Times New Roman" w:cs="Times New Roman"/>
          <w:sz w:val="24"/>
          <w:szCs w:val="24"/>
        </w:rPr>
        <w:t>b</w:t>
      </w:r>
      <w:r w:rsidR="00B3769E">
        <w:rPr>
          <w:rFonts w:ascii="Times New Roman" w:hAnsi="Times New Roman" w:cs="Times New Roman"/>
          <w:sz w:val="24"/>
          <w:szCs w:val="24"/>
        </w:rPr>
        <w:t>ank.</w:t>
      </w:r>
      <w:proofErr w:type="gramEnd"/>
      <w:r w:rsidR="00B3769E">
        <w:rPr>
          <w:rFonts w:ascii="Times New Roman" w:hAnsi="Times New Roman" w:cs="Times New Roman"/>
          <w:sz w:val="24"/>
          <w:szCs w:val="24"/>
        </w:rPr>
        <w:t xml:space="preserve"> </w:t>
      </w:r>
      <w:proofErr w:type="gramStart"/>
      <w:r w:rsidR="00B3769E">
        <w:rPr>
          <w:rFonts w:ascii="Times New Roman" w:hAnsi="Times New Roman" w:cs="Times New Roman"/>
          <w:sz w:val="24"/>
          <w:szCs w:val="24"/>
        </w:rPr>
        <w:t xml:space="preserve">Risiko dalam konteks perbankan merupakan potensi terjadinya suatu peristiwa </w:t>
      </w:r>
      <w:r w:rsidR="00B3769E" w:rsidRPr="00B3769E">
        <w:rPr>
          <w:rFonts w:ascii="Times New Roman" w:hAnsi="Times New Roman" w:cs="Times New Roman"/>
          <w:i/>
          <w:sz w:val="24"/>
          <w:szCs w:val="24"/>
        </w:rPr>
        <w:t>(events)</w:t>
      </w:r>
      <w:r w:rsidR="00B3769E">
        <w:rPr>
          <w:rFonts w:ascii="Times New Roman" w:hAnsi="Times New Roman" w:cs="Times New Roman"/>
          <w:sz w:val="24"/>
          <w:szCs w:val="24"/>
        </w:rPr>
        <w:t xml:space="preserve"> yang dapat menimbulkan kerugian </w:t>
      </w:r>
      <w:r w:rsidR="00CC0AA8">
        <w:rPr>
          <w:rFonts w:ascii="Times New Roman" w:hAnsi="Times New Roman" w:cs="Times New Roman"/>
          <w:sz w:val="24"/>
          <w:szCs w:val="24"/>
        </w:rPr>
        <w:t>b</w:t>
      </w:r>
      <w:r w:rsidR="00B3769E">
        <w:rPr>
          <w:rFonts w:ascii="Times New Roman" w:hAnsi="Times New Roman" w:cs="Times New Roman"/>
          <w:sz w:val="24"/>
          <w:szCs w:val="24"/>
        </w:rPr>
        <w:t>ank, termasuk risiko yang dapat berimbas pada jatuhnya reputasi</w:t>
      </w:r>
      <w:r w:rsidR="00596A3B">
        <w:rPr>
          <w:rFonts w:ascii="Times New Roman" w:hAnsi="Times New Roman" w:cs="Times New Roman"/>
          <w:sz w:val="24"/>
          <w:szCs w:val="24"/>
        </w:rPr>
        <w:t xml:space="preserve"> </w:t>
      </w:r>
      <w:r w:rsidR="00CC0AA8">
        <w:rPr>
          <w:rFonts w:ascii="Times New Roman" w:hAnsi="Times New Roman" w:cs="Times New Roman"/>
          <w:sz w:val="24"/>
          <w:szCs w:val="24"/>
        </w:rPr>
        <w:t>b</w:t>
      </w:r>
      <w:r w:rsidR="00596A3B">
        <w:rPr>
          <w:rFonts w:ascii="Times New Roman" w:hAnsi="Times New Roman" w:cs="Times New Roman"/>
          <w:sz w:val="24"/>
          <w:szCs w:val="24"/>
        </w:rPr>
        <w:t>ank yang kemudian mendorong terjadinya</w:t>
      </w:r>
      <w:r w:rsidR="00CC0AA8">
        <w:rPr>
          <w:rFonts w:ascii="Times New Roman" w:hAnsi="Times New Roman" w:cs="Times New Roman"/>
          <w:sz w:val="24"/>
          <w:szCs w:val="24"/>
        </w:rPr>
        <w:t xml:space="preserve"> </w:t>
      </w:r>
      <w:r w:rsidR="00596A3B">
        <w:rPr>
          <w:rFonts w:ascii="Times New Roman" w:hAnsi="Times New Roman" w:cs="Times New Roman"/>
          <w:sz w:val="24"/>
          <w:szCs w:val="24"/>
        </w:rPr>
        <w:t>berbagai jenis risiko lainnya.</w:t>
      </w:r>
      <w:proofErr w:type="gramEnd"/>
    </w:p>
    <w:p w:rsidR="004E40FD" w:rsidRDefault="004E40FD" w:rsidP="005C0C6E">
      <w:pPr>
        <w:pStyle w:val="ListParagraph"/>
        <w:spacing w:line="480" w:lineRule="auto"/>
        <w:ind w:left="0" w:firstLine="450"/>
        <w:jc w:val="both"/>
        <w:rPr>
          <w:rFonts w:ascii="Times New Roman" w:hAnsi="Times New Roman" w:cs="Times New Roman"/>
          <w:sz w:val="24"/>
          <w:szCs w:val="24"/>
        </w:rPr>
        <w:sectPr w:rsidR="004E40FD" w:rsidSect="00DF3BE1">
          <w:headerReference w:type="default" r:id="rId8"/>
          <w:footerReference w:type="default" r:id="rId9"/>
          <w:footerReference w:type="first" r:id="rId10"/>
          <w:pgSz w:w="11907" w:h="16839" w:code="9"/>
          <w:pgMar w:top="2268" w:right="1701" w:bottom="1701" w:left="2268" w:header="720" w:footer="720" w:gutter="0"/>
          <w:pgNumType w:start="1"/>
          <w:cols w:space="720"/>
          <w:titlePg/>
          <w:docGrid w:linePitch="360"/>
        </w:sectPr>
      </w:pPr>
    </w:p>
    <w:p w:rsidR="00596A3B" w:rsidRDefault="00596A3B" w:rsidP="004E40F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Tingkat kesehatan pengelolaan </w:t>
      </w:r>
      <w:r w:rsidR="00CC0AA8">
        <w:rPr>
          <w:rFonts w:ascii="Times New Roman" w:hAnsi="Times New Roman" w:cs="Times New Roman"/>
          <w:sz w:val="24"/>
          <w:szCs w:val="24"/>
        </w:rPr>
        <w:t>b</w:t>
      </w:r>
      <w:r>
        <w:rPr>
          <w:rFonts w:ascii="Times New Roman" w:hAnsi="Times New Roman" w:cs="Times New Roman"/>
          <w:sz w:val="24"/>
          <w:szCs w:val="24"/>
        </w:rPr>
        <w:t xml:space="preserve">ank dan kelangsungan usaha </w:t>
      </w:r>
      <w:r w:rsidR="00CC0AA8">
        <w:rPr>
          <w:rFonts w:ascii="Times New Roman" w:hAnsi="Times New Roman" w:cs="Times New Roman"/>
          <w:sz w:val="24"/>
          <w:szCs w:val="24"/>
        </w:rPr>
        <w:t>b</w:t>
      </w:r>
      <w:r>
        <w:rPr>
          <w:rFonts w:ascii="Times New Roman" w:hAnsi="Times New Roman" w:cs="Times New Roman"/>
          <w:sz w:val="24"/>
          <w:szCs w:val="24"/>
        </w:rPr>
        <w:t xml:space="preserve">ank merupakan tanggung jawab sepenuhnya dari manajemen </w:t>
      </w:r>
      <w:r w:rsidR="00CC0AA8">
        <w:rPr>
          <w:rFonts w:ascii="Times New Roman" w:hAnsi="Times New Roman" w:cs="Times New Roman"/>
          <w:sz w:val="24"/>
          <w:szCs w:val="24"/>
        </w:rPr>
        <w:t>b</w:t>
      </w:r>
      <w:r>
        <w:rPr>
          <w:rFonts w:ascii="Times New Roman" w:hAnsi="Times New Roman" w:cs="Times New Roman"/>
          <w:sz w:val="24"/>
          <w:szCs w:val="24"/>
        </w:rPr>
        <w:t xml:space="preserve">ank, oleh karena itu </w:t>
      </w:r>
      <w:r w:rsidR="00CC0AA8">
        <w:rPr>
          <w:rFonts w:ascii="Times New Roman" w:hAnsi="Times New Roman" w:cs="Times New Roman"/>
          <w:sz w:val="24"/>
          <w:szCs w:val="24"/>
        </w:rPr>
        <w:t>b</w:t>
      </w:r>
      <w:r>
        <w:rPr>
          <w:rFonts w:ascii="Times New Roman" w:hAnsi="Times New Roman" w:cs="Times New Roman"/>
          <w:sz w:val="24"/>
          <w:szCs w:val="24"/>
        </w:rPr>
        <w:t xml:space="preserve">ank wajib memelihara dan memperbaiki tingkat kesehatannya dengan menerapkan prinsip kehati-hatian dan Manajemen Risiko dalam melaksanakan kegiatan usahanya termasuk melakukan penilaian sendiri </w:t>
      </w:r>
      <w:r w:rsidRPr="00596A3B">
        <w:rPr>
          <w:rFonts w:ascii="Times New Roman" w:hAnsi="Times New Roman" w:cs="Times New Roman"/>
          <w:i/>
          <w:sz w:val="24"/>
          <w:szCs w:val="24"/>
        </w:rPr>
        <w:t>(self assessment)</w:t>
      </w:r>
      <w:r>
        <w:rPr>
          <w:rFonts w:ascii="Times New Roman" w:hAnsi="Times New Roman" w:cs="Times New Roman"/>
          <w:sz w:val="24"/>
          <w:szCs w:val="24"/>
        </w:rPr>
        <w:t xml:space="preserve"> secara berkala terhadap tingkat kesehatannya dan mengambil langkah-langkah perbaikan secara efektif (PBI No.5/8/2003 Tanggal 19 Mei 2003).</w:t>
      </w:r>
    </w:p>
    <w:p w:rsidR="007544B1" w:rsidRDefault="00596A3B" w:rsidP="0002002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P</w:t>
      </w:r>
      <w:r w:rsidR="00CC0AA8">
        <w:rPr>
          <w:rFonts w:ascii="Times New Roman" w:hAnsi="Times New Roman" w:cs="Times New Roman"/>
          <w:sz w:val="24"/>
          <w:szCs w:val="24"/>
        </w:rPr>
        <w:t xml:space="preserve">eraturan </w:t>
      </w:r>
      <w:r>
        <w:rPr>
          <w:rFonts w:ascii="Times New Roman" w:hAnsi="Times New Roman" w:cs="Times New Roman"/>
          <w:sz w:val="24"/>
          <w:szCs w:val="24"/>
        </w:rPr>
        <w:t>B</w:t>
      </w:r>
      <w:r w:rsidR="00CC0AA8">
        <w:rPr>
          <w:rFonts w:ascii="Times New Roman" w:hAnsi="Times New Roman" w:cs="Times New Roman"/>
          <w:sz w:val="24"/>
          <w:szCs w:val="24"/>
        </w:rPr>
        <w:t xml:space="preserve">ank </w:t>
      </w:r>
      <w:r>
        <w:rPr>
          <w:rFonts w:ascii="Times New Roman" w:hAnsi="Times New Roman" w:cs="Times New Roman"/>
          <w:sz w:val="24"/>
          <w:szCs w:val="24"/>
        </w:rPr>
        <w:t>I</w:t>
      </w:r>
      <w:r w:rsidR="00CC0AA8">
        <w:rPr>
          <w:rFonts w:ascii="Times New Roman" w:hAnsi="Times New Roman" w:cs="Times New Roman"/>
          <w:sz w:val="24"/>
          <w:szCs w:val="24"/>
        </w:rPr>
        <w:t>ndonesia (PBI)</w:t>
      </w:r>
      <w:r>
        <w:rPr>
          <w:rFonts w:ascii="Times New Roman" w:hAnsi="Times New Roman" w:cs="Times New Roman"/>
          <w:sz w:val="24"/>
          <w:szCs w:val="24"/>
        </w:rPr>
        <w:t xml:space="preserve"> No.5/8/2003 ta</w:t>
      </w:r>
      <w:r w:rsidR="00D41372">
        <w:rPr>
          <w:rFonts w:ascii="Times New Roman" w:hAnsi="Times New Roman" w:cs="Times New Roman"/>
          <w:sz w:val="24"/>
          <w:szCs w:val="24"/>
        </w:rPr>
        <w:t>nggal 19 Mei 2003, Penilaian fak</w:t>
      </w:r>
      <w:r>
        <w:rPr>
          <w:rFonts w:ascii="Times New Roman" w:hAnsi="Times New Roman" w:cs="Times New Roman"/>
          <w:sz w:val="24"/>
          <w:szCs w:val="24"/>
        </w:rPr>
        <w:t xml:space="preserve">tor profil </w:t>
      </w:r>
      <w:r w:rsidR="00CC0AA8">
        <w:rPr>
          <w:rFonts w:ascii="Times New Roman" w:hAnsi="Times New Roman" w:cs="Times New Roman"/>
          <w:sz w:val="24"/>
          <w:szCs w:val="24"/>
        </w:rPr>
        <w:t>r</w:t>
      </w:r>
      <w:r>
        <w:rPr>
          <w:rFonts w:ascii="Times New Roman" w:hAnsi="Times New Roman" w:cs="Times New Roman"/>
          <w:sz w:val="24"/>
          <w:szCs w:val="24"/>
        </w:rPr>
        <w:t xml:space="preserve">isiko menurut Bank Indonesia merupakan penilaian terhadap </w:t>
      </w:r>
      <w:r w:rsidR="00CC0AA8">
        <w:rPr>
          <w:rFonts w:ascii="Times New Roman" w:hAnsi="Times New Roman" w:cs="Times New Roman"/>
          <w:sz w:val="24"/>
          <w:szCs w:val="24"/>
        </w:rPr>
        <w:t>r</w:t>
      </w:r>
      <w:r>
        <w:rPr>
          <w:rFonts w:ascii="Times New Roman" w:hAnsi="Times New Roman" w:cs="Times New Roman"/>
          <w:sz w:val="24"/>
          <w:szCs w:val="24"/>
        </w:rPr>
        <w:t>isiko inher</w:t>
      </w:r>
      <w:r w:rsidR="0051256B">
        <w:rPr>
          <w:rFonts w:ascii="Times New Roman" w:hAnsi="Times New Roman" w:cs="Times New Roman"/>
          <w:sz w:val="24"/>
          <w:szCs w:val="24"/>
        </w:rPr>
        <w:t>e</w:t>
      </w:r>
      <w:r>
        <w:rPr>
          <w:rFonts w:ascii="Times New Roman" w:hAnsi="Times New Roman" w:cs="Times New Roman"/>
          <w:sz w:val="24"/>
          <w:szCs w:val="24"/>
        </w:rPr>
        <w:t>n dan kualitas</w:t>
      </w:r>
      <w:r w:rsidR="007544B1">
        <w:rPr>
          <w:rFonts w:ascii="Times New Roman" w:hAnsi="Times New Roman" w:cs="Times New Roman"/>
          <w:sz w:val="24"/>
          <w:szCs w:val="24"/>
        </w:rPr>
        <w:t xml:space="preserve"> penerapan Manajemen Risiko dalam aktivitas operasional </w:t>
      </w:r>
      <w:r w:rsidR="00CC0AA8">
        <w:rPr>
          <w:rFonts w:ascii="Times New Roman" w:hAnsi="Times New Roman" w:cs="Times New Roman"/>
          <w:sz w:val="24"/>
          <w:szCs w:val="24"/>
        </w:rPr>
        <w:t>b</w:t>
      </w:r>
      <w:r w:rsidR="007544B1">
        <w:rPr>
          <w:rFonts w:ascii="Times New Roman" w:hAnsi="Times New Roman" w:cs="Times New Roman"/>
          <w:sz w:val="24"/>
          <w:szCs w:val="24"/>
        </w:rPr>
        <w:t>ank.</w:t>
      </w:r>
      <w:proofErr w:type="gramEnd"/>
      <w:r w:rsidR="007544B1">
        <w:rPr>
          <w:rFonts w:ascii="Times New Roman" w:hAnsi="Times New Roman" w:cs="Times New Roman"/>
          <w:sz w:val="24"/>
          <w:szCs w:val="24"/>
        </w:rPr>
        <w:t xml:space="preserve"> </w:t>
      </w:r>
      <w:proofErr w:type="gramStart"/>
      <w:r w:rsidR="007544B1">
        <w:rPr>
          <w:rFonts w:ascii="Times New Roman" w:hAnsi="Times New Roman" w:cs="Times New Roman"/>
          <w:sz w:val="24"/>
          <w:szCs w:val="24"/>
        </w:rPr>
        <w:t>Manajemen Risiko adalah serangkaian prosedur dan metodologi yang digunakan untuk mengidentifikasi, mengukur, memantau dan mengendalikan Risiko yang timbul dari kegiatan usaha Bank.</w:t>
      </w:r>
      <w:proofErr w:type="gramEnd"/>
      <w:r w:rsidR="007544B1">
        <w:rPr>
          <w:rFonts w:ascii="Times New Roman" w:hAnsi="Times New Roman" w:cs="Times New Roman"/>
          <w:sz w:val="24"/>
          <w:szCs w:val="24"/>
        </w:rPr>
        <w:t xml:space="preserve"> Risiko yang wajib dinilai terdiri atas 8 (delapan) jenis Risiko yaitu Risiko Kredit, Risiko Pasar, Risiko Likuiditas, Risiko Operasional, Risiko Hukum, Risiko Stratejik, Risiko Kepatuhan dan Risiko Reputasi.</w:t>
      </w:r>
      <w:r w:rsidR="00E61A9D">
        <w:rPr>
          <w:rFonts w:ascii="Times New Roman" w:hAnsi="Times New Roman" w:cs="Times New Roman"/>
          <w:sz w:val="24"/>
          <w:szCs w:val="24"/>
        </w:rPr>
        <w:t xml:space="preserve"> </w:t>
      </w:r>
      <w:proofErr w:type="gramStart"/>
      <w:r w:rsidR="00E61A9D">
        <w:rPr>
          <w:rFonts w:ascii="Times New Roman" w:hAnsi="Times New Roman" w:cs="Times New Roman"/>
          <w:sz w:val="24"/>
          <w:szCs w:val="24"/>
        </w:rPr>
        <w:t xml:space="preserve">Jenis risiko yang difokuskan pada penelitian disini yaitu Risiko </w:t>
      </w:r>
      <w:r w:rsidR="00221610">
        <w:rPr>
          <w:rFonts w:ascii="Times New Roman" w:hAnsi="Times New Roman" w:cs="Times New Roman"/>
          <w:sz w:val="24"/>
          <w:szCs w:val="24"/>
        </w:rPr>
        <w:t>Pasar</w:t>
      </w:r>
      <w:r w:rsidR="00E61A9D">
        <w:rPr>
          <w:rFonts w:ascii="Times New Roman" w:hAnsi="Times New Roman" w:cs="Times New Roman"/>
          <w:sz w:val="24"/>
          <w:szCs w:val="24"/>
        </w:rPr>
        <w:t>.</w:t>
      </w:r>
      <w:proofErr w:type="gramEnd"/>
    </w:p>
    <w:p w:rsidR="007976FE" w:rsidRDefault="007976FE" w:rsidP="0002002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Setiap bank wajib menerapkan Manajemen Risiko secara efektif.</w:t>
      </w:r>
      <w:proofErr w:type="gramEnd"/>
      <w:r>
        <w:rPr>
          <w:rFonts w:ascii="Times New Roman" w:hAnsi="Times New Roman" w:cs="Times New Roman"/>
          <w:sz w:val="24"/>
          <w:szCs w:val="24"/>
        </w:rPr>
        <w:t xml:space="preserve"> Penerapan Manajemen Risiko sebagaimana dimaksud antara lain </w:t>
      </w:r>
      <w:proofErr w:type="gramStart"/>
      <w:r>
        <w:rPr>
          <w:rFonts w:ascii="Times New Roman" w:hAnsi="Times New Roman" w:cs="Times New Roman"/>
          <w:sz w:val="24"/>
          <w:szCs w:val="24"/>
        </w:rPr>
        <w:t>mencakup :</w:t>
      </w:r>
      <w:proofErr w:type="gramEnd"/>
      <w:r>
        <w:rPr>
          <w:rFonts w:ascii="Times New Roman" w:hAnsi="Times New Roman" w:cs="Times New Roman"/>
          <w:sz w:val="24"/>
          <w:szCs w:val="24"/>
        </w:rPr>
        <w:t xml:space="preserve"> Pengawasan aktif dewan Komisaris dan Direksi; Kecukupan kebijakan, prosedur dan penetapan limit; Kecukupan proses identifikasi, pengukuran, pemantauan dan pengendalian </w:t>
      </w:r>
      <w:r w:rsidR="00CC0AA8">
        <w:rPr>
          <w:rFonts w:ascii="Times New Roman" w:hAnsi="Times New Roman" w:cs="Times New Roman"/>
          <w:sz w:val="24"/>
          <w:szCs w:val="24"/>
        </w:rPr>
        <w:t>r</w:t>
      </w:r>
      <w:r>
        <w:rPr>
          <w:rFonts w:ascii="Times New Roman" w:hAnsi="Times New Roman" w:cs="Times New Roman"/>
          <w:sz w:val="24"/>
          <w:szCs w:val="24"/>
        </w:rPr>
        <w:t>isiko serta sistem informasi Manajemen Risiko; Sistem pengendalian intern yang menyeluruh.</w:t>
      </w:r>
    </w:p>
    <w:p w:rsidR="00596A3B" w:rsidRDefault="007976FE" w:rsidP="0002002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Bank yang sehat adalah bank yang dapat menjalankan fungsi-fungsinya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Bank harus mempunyai modal yang cukup untuk menjaga assetnya dengan baik, dikelola dengan baik dan dioperasikan berdasarkan prinsip kehati-hatian, menghasilkan keuntungan yang cukup untuk mempertahankan kelangsungan</w:t>
      </w:r>
      <w:r w:rsidR="00B72517">
        <w:rPr>
          <w:rFonts w:ascii="Times New Roman" w:hAnsi="Times New Roman" w:cs="Times New Roman"/>
          <w:sz w:val="24"/>
          <w:szCs w:val="24"/>
        </w:rPr>
        <w:t xml:space="preserve"> usahanya serta memelihara likuiditasnya sehingga dapat memenuhi kewajibannya setiap saat.</w:t>
      </w:r>
      <w:proofErr w:type="gramEnd"/>
      <w:r w:rsidR="00B72517">
        <w:rPr>
          <w:rFonts w:ascii="Times New Roman" w:hAnsi="Times New Roman" w:cs="Times New Roman"/>
          <w:sz w:val="24"/>
          <w:szCs w:val="24"/>
        </w:rPr>
        <w:t xml:space="preserve"> Bank wajib melakukan penilaian tingkat kesehatan </w:t>
      </w:r>
      <w:r w:rsidR="00CC0AA8">
        <w:rPr>
          <w:rFonts w:ascii="Times New Roman" w:hAnsi="Times New Roman" w:cs="Times New Roman"/>
          <w:sz w:val="24"/>
          <w:szCs w:val="24"/>
        </w:rPr>
        <w:t>b</w:t>
      </w:r>
      <w:r w:rsidR="00B72517">
        <w:rPr>
          <w:rFonts w:ascii="Times New Roman" w:hAnsi="Times New Roman" w:cs="Times New Roman"/>
          <w:sz w:val="24"/>
          <w:szCs w:val="24"/>
        </w:rPr>
        <w:t xml:space="preserve">ank secara konsolidasi dengan menggunakan pendekatan risiko </w:t>
      </w:r>
      <w:r w:rsidR="00B72517" w:rsidRPr="00B72517">
        <w:rPr>
          <w:rFonts w:ascii="Times New Roman" w:hAnsi="Times New Roman" w:cs="Times New Roman"/>
          <w:i/>
          <w:sz w:val="24"/>
          <w:szCs w:val="24"/>
        </w:rPr>
        <w:t>(Risk-Based Bank Rating)</w:t>
      </w:r>
      <w:r w:rsidR="007544B1">
        <w:rPr>
          <w:rFonts w:ascii="Times New Roman" w:hAnsi="Times New Roman" w:cs="Times New Roman"/>
          <w:sz w:val="24"/>
          <w:szCs w:val="24"/>
        </w:rPr>
        <w:t xml:space="preserve"> </w:t>
      </w:r>
      <w:r w:rsidR="00B72517">
        <w:rPr>
          <w:rFonts w:ascii="Times New Roman" w:hAnsi="Times New Roman" w:cs="Times New Roman"/>
          <w:sz w:val="24"/>
          <w:szCs w:val="24"/>
        </w:rPr>
        <w:t>dengan fa</w:t>
      </w:r>
      <w:r w:rsidR="007357C3">
        <w:rPr>
          <w:rFonts w:ascii="Times New Roman" w:hAnsi="Times New Roman" w:cs="Times New Roman"/>
          <w:sz w:val="24"/>
          <w:szCs w:val="24"/>
        </w:rPr>
        <w:t>k</w:t>
      </w:r>
      <w:r w:rsidR="00B72517">
        <w:rPr>
          <w:rFonts w:ascii="Times New Roman" w:hAnsi="Times New Roman" w:cs="Times New Roman"/>
          <w:sz w:val="24"/>
          <w:szCs w:val="24"/>
        </w:rPr>
        <w:t xml:space="preserve">tor-faktor cakupan penilaian antara lain Profil Risiko </w:t>
      </w:r>
      <w:r w:rsidR="00B72517" w:rsidRPr="00B72517">
        <w:rPr>
          <w:rFonts w:ascii="Times New Roman" w:hAnsi="Times New Roman" w:cs="Times New Roman"/>
          <w:i/>
          <w:sz w:val="24"/>
          <w:szCs w:val="24"/>
        </w:rPr>
        <w:t>(Risk Profile),</w:t>
      </w:r>
      <w:r w:rsidR="00B72517">
        <w:rPr>
          <w:rFonts w:ascii="Times New Roman" w:hAnsi="Times New Roman" w:cs="Times New Roman"/>
          <w:sz w:val="24"/>
          <w:szCs w:val="24"/>
        </w:rPr>
        <w:t xml:space="preserve"> </w:t>
      </w:r>
      <w:r w:rsidR="00B72517" w:rsidRPr="00B72517">
        <w:rPr>
          <w:rFonts w:ascii="Times New Roman" w:hAnsi="Times New Roman" w:cs="Times New Roman"/>
          <w:i/>
          <w:sz w:val="24"/>
          <w:szCs w:val="24"/>
        </w:rPr>
        <w:t>Good Corporate Governance</w:t>
      </w:r>
      <w:r w:rsidR="00B72517">
        <w:rPr>
          <w:rFonts w:ascii="Times New Roman" w:hAnsi="Times New Roman" w:cs="Times New Roman"/>
          <w:sz w:val="24"/>
          <w:szCs w:val="24"/>
        </w:rPr>
        <w:t xml:space="preserve"> (GCG), </w:t>
      </w:r>
      <w:proofErr w:type="gramStart"/>
      <w:r w:rsidR="00B72517">
        <w:rPr>
          <w:rFonts w:ascii="Times New Roman" w:hAnsi="Times New Roman" w:cs="Times New Roman"/>
          <w:sz w:val="24"/>
          <w:szCs w:val="24"/>
        </w:rPr>
        <w:t>Rentabilitas</w:t>
      </w:r>
      <w:proofErr w:type="gramEnd"/>
      <w:r w:rsidR="00B72517">
        <w:rPr>
          <w:rFonts w:ascii="Times New Roman" w:hAnsi="Times New Roman" w:cs="Times New Roman"/>
          <w:sz w:val="24"/>
          <w:szCs w:val="24"/>
        </w:rPr>
        <w:t xml:space="preserve"> </w:t>
      </w:r>
      <w:r w:rsidR="00B72517" w:rsidRPr="00B72517">
        <w:rPr>
          <w:rFonts w:ascii="Times New Roman" w:hAnsi="Times New Roman" w:cs="Times New Roman"/>
          <w:i/>
          <w:sz w:val="24"/>
          <w:szCs w:val="24"/>
        </w:rPr>
        <w:t>(Earnings)</w:t>
      </w:r>
      <w:r w:rsidR="00B72517">
        <w:rPr>
          <w:rFonts w:ascii="Times New Roman" w:hAnsi="Times New Roman" w:cs="Times New Roman"/>
          <w:sz w:val="24"/>
          <w:szCs w:val="24"/>
        </w:rPr>
        <w:t xml:space="preserve"> dan Permodalan </w:t>
      </w:r>
      <w:r w:rsidR="00B72517" w:rsidRPr="00B72517">
        <w:rPr>
          <w:rFonts w:ascii="Times New Roman" w:hAnsi="Times New Roman" w:cs="Times New Roman"/>
          <w:i/>
          <w:sz w:val="24"/>
          <w:szCs w:val="24"/>
        </w:rPr>
        <w:t>(Capital)</w:t>
      </w:r>
      <w:r w:rsidR="00B72517">
        <w:rPr>
          <w:rFonts w:ascii="Times New Roman" w:hAnsi="Times New Roman" w:cs="Times New Roman"/>
          <w:sz w:val="24"/>
          <w:szCs w:val="24"/>
        </w:rPr>
        <w:t xml:space="preserve">. </w:t>
      </w:r>
      <w:proofErr w:type="gramStart"/>
      <w:r w:rsidR="00B72517">
        <w:rPr>
          <w:rFonts w:ascii="Times New Roman" w:hAnsi="Times New Roman" w:cs="Times New Roman"/>
          <w:sz w:val="24"/>
          <w:szCs w:val="24"/>
        </w:rPr>
        <w:t>Penilaian kesehata</w:t>
      </w:r>
      <w:r w:rsidR="00B72517" w:rsidRPr="003058B7">
        <w:rPr>
          <w:rFonts w:ascii="Times New Roman" w:hAnsi="Times New Roman" w:cs="Times New Roman"/>
          <w:color w:val="000000" w:themeColor="text1"/>
          <w:sz w:val="24"/>
          <w:szCs w:val="24"/>
        </w:rPr>
        <w:t xml:space="preserve">n </w:t>
      </w:r>
      <w:r w:rsidR="00CE4E90" w:rsidRPr="003058B7">
        <w:rPr>
          <w:rFonts w:ascii="Times New Roman" w:hAnsi="Times New Roman" w:cs="Times New Roman"/>
          <w:color w:val="000000" w:themeColor="text1"/>
          <w:sz w:val="24"/>
          <w:szCs w:val="24"/>
        </w:rPr>
        <w:t>B</w:t>
      </w:r>
      <w:r w:rsidR="00B72517" w:rsidRPr="003058B7">
        <w:rPr>
          <w:rFonts w:ascii="Times New Roman" w:hAnsi="Times New Roman" w:cs="Times New Roman"/>
          <w:color w:val="000000" w:themeColor="text1"/>
          <w:sz w:val="24"/>
          <w:szCs w:val="24"/>
        </w:rPr>
        <w:t>ank</w:t>
      </w:r>
      <w:r w:rsidR="000B6C82" w:rsidRPr="003058B7">
        <w:rPr>
          <w:rFonts w:ascii="Times New Roman" w:hAnsi="Times New Roman" w:cs="Times New Roman"/>
          <w:color w:val="000000" w:themeColor="text1"/>
          <w:sz w:val="24"/>
          <w:szCs w:val="24"/>
        </w:rPr>
        <w:t xml:space="preserve"> </w:t>
      </w:r>
      <w:r w:rsidR="00CE4E90" w:rsidRPr="003058B7">
        <w:rPr>
          <w:rFonts w:ascii="Times New Roman" w:hAnsi="Times New Roman" w:cs="Times New Roman"/>
          <w:color w:val="000000" w:themeColor="text1"/>
          <w:sz w:val="24"/>
          <w:szCs w:val="24"/>
        </w:rPr>
        <w:t>Mandiri</w:t>
      </w:r>
      <w:r w:rsidR="000B6C82" w:rsidRPr="003058B7">
        <w:rPr>
          <w:rFonts w:ascii="Times New Roman" w:hAnsi="Times New Roman" w:cs="Times New Roman"/>
          <w:color w:val="000000" w:themeColor="text1"/>
          <w:sz w:val="24"/>
          <w:szCs w:val="24"/>
        </w:rPr>
        <w:t xml:space="preserve"> me</w:t>
      </w:r>
      <w:r w:rsidR="000B6C82">
        <w:rPr>
          <w:rFonts w:ascii="Times New Roman" w:hAnsi="Times New Roman" w:cs="Times New Roman"/>
          <w:sz w:val="24"/>
          <w:szCs w:val="24"/>
        </w:rPr>
        <w:t xml:space="preserve">ncerminkan kondisi </w:t>
      </w:r>
      <w:r w:rsidR="00CC0AA8">
        <w:rPr>
          <w:rFonts w:ascii="Times New Roman" w:hAnsi="Times New Roman" w:cs="Times New Roman"/>
          <w:sz w:val="24"/>
          <w:szCs w:val="24"/>
        </w:rPr>
        <w:t>b</w:t>
      </w:r>
      <w:r w:rsidR="000B6C82">
        <w:rPr>
          <w:rFonts w:ascii="Times New Roman" w:hAnsi="Times New Roman" w:cs="Times New Roman"/>
          <w:sz w:val="24"/>
          <w:szCs w:val="24"/>
        </w:rPr>
        <w:t xml:space="preserve">ank yang secara umum cukup sehat sehingga dinilai mampu menghadapi pengaruh negatif yang signifikan dari </w:t>
      </w:r>
      <w:r w:rsidR="00C55469">
        <w:rPr>
          <w:rFonts w:ascii="Times New Roman" w:hAnsi="Times New Roman" w:cs="Times New Roman"/>
          <w:sz w:val="24"/>
          <w:szCs w:val="24"/>
        </w:rPr>
        <w:t>perubahan kondisi bisnis dan fak</w:t>
      </w:r>
      <w:r w:rsidR="000B6C82">
        <w:rPr>
          <w:rFonts w:ascii="Times New Roman" w:hAnsi="Times New Roman" w:cs="Times New Roman"/>
          <w:sz w:val="24"/>
          <w:szCs w:val="24"/>
        </w:rPr>
        <w:t>tor eksternal lainnya.</w:t>
      </w:r>
      <w:proofErr w:type="gramEnd"/>
    </w:p>
    <w:p w:rsidR="00751C86" w:rsidRDefault="000B6C82" w:rsidP="0002002E">
      <w:pPr>
        <w:pStyle w:val="ListParagraph"/>
        <w:spacing w:line="480" w:lineRule="auto"/>
        <w:ind w:left="0" w:firstLine="720"/>
        <w:jc w:val="both"/>
        <w:rPr>
          <w:rFonts w:ascii="Times New Roman" w:eastAsia="Times New Roman" w:hAnsi="Times New Roman" w:cs="Times New Roman"/>
          <w:color w:val="000000" w:themeColor="text1"/>
          <w:sz w:val="24"/>
          <w:szCs w:val="24"/>
        </w:rPr>
      </w:pPr>
      <w:proofErr w:type="gramStart"/>
      <w:r>
        <w:rPr>
          <w:rFonts w:ascii="Times New Roman" w:hAnsi="Times New Roman" w:cs="Times New Roman"/>
          <w:sz w:val="24"/>
          <w:szCs w:val="24"/>
        </w:rPr>
        <w:t xml:space="preserve">Bassel II (lembaga yang mengatur perbankan internasional) </w:t>
      </w:r>
      <w:r w:rsidRPr="00F444E8">
        <w:rPr>
          <w:rFonts w:ascii="Times New Roman" w:hAnsi="Times New Roman" w:cs="Times New Roman"/>
          <w:sz w:val="24"/>
          <w:szCs w:val="24"/>
        </w:rPr>
        <w:t xml:space="preserve">mendefinisikan risiko </w:t>
      </w:r>
      <w:r w:rsidR="00F444E8">
        <w:rPr>
          <w:rFonts w:ascii="Times New Roman" w:hAnsi="Times New Roman" w:cs="Times New Roman"/>
          <w:sz w:val="24"/>
          <w:szCs w:val="24"/>
        </w:rPr>
        <w:t>pasar</w:t>
      </w:r>
      <w:r w:rsidRPr="00F444E8">
        <w:rPr>
          <w:rFonts w:ascii="Times New Roman" w:hAnsi="Times New Roman" w:cs="Times New Roman"/>
          <w:sz w:val="24"/>
          <w:szCs w:val="24"/>
        </w:rPr>
        <w:t xml:space="preserve"> sebagai risiko yang timbul karena </w:t>
      </w:r>
      <w:r w:rsidR="00F444E8">
        <w:rPr>
          <w:rFonts w:ascii="Times New Roman" w:hAnsi="Times New Roman" w:cs="Times New Roman"/>
          <w:sz w:val="24"/>
          <w:szCs w:val="24"/>
        </w:rPr>
        <w:t>penurunan harga pasar, yang terjadi karena adanya perubahan faktor pasar dan berpotensi merugikan posisi portofolio bank.</w:t>
      </w:r>
      <w:proofErr w:type="gramEnd"/>
      <w:r>
        <w:rPr>
          <w:rFonts w:ascii="Times New Roman" w:hAnsi="Times New Roman" w:cs="Times New Roman"/>
          <w:sz w:val="24"/>
          <w:szCs w:val="24"/>
        </w:rPr>
        <w:t xml:space="preserve"> </w:t>
      </w:r>
      <w:proofErr w:type="gramStart"/>
      <w:r w:rsidR="00F444E8">
        <w:rPr>
          <w:rFonts w:ascii="Times New Roman" w:hAnsi="Times New Roman" w:cs="Times New Roman"/>
          <w:sz w:val="24"/>
          <w:szCs w:val="24"/>
        </w:rPr>
        <w:t>Faktor pasar dimaksud adalah suku bunga, nilai tukar, harga saham dan harga komoditas.</w:t>
      </w:r>
      <w:proofErr w:type="gramEnd"/>
      <w:r w:rsidR="00F444E8">
        <w:rPr>
          <w:rFonts w:ascii="Times New Roman" w:hAnsi="Times New Roman" w:cs="Times New Roman"/>
          <w:sz w:val="24"/>
          <w:szCs w:val="24"/>
        </w:rPr>
        <w:t xml:space="preserve"> Faktor pasar dapat berubah diluar control bank. </w:t>
      </w:r>
      <w:proofErr w:type="gramStart"/>
      <w:r w:rsidR="00F444E8">
        <w:rPr>
          <w:rFonts w:ascii="Times New Roman" w:hAnsi="Times New Roman" w:cs="Times New Roman"/>
          <w:sz w:val="24"/>
          <w:szCs w:val="24"/>
        </w:rPr>
        <w:t xml:space="preserve">Risiko pasar dapar terjadi pada </w:t>
      </w:r>
      <w:r w:rsidR="00F444E8" w:rsidRPr="00F444E8">
        <w:rPr>
          <w:rFonts w:ascii="Times New Roman" w:hAnsi="Times New Roman" w:cs="Times New Roman"/>
          <w:i/>
          <w:sz w:val="24"/>
          <w:szCs w:val="24"/>
        </w:rPr>
        <w:t>Book Banking</w:t>
      </w:r>
      <w:r w:rsidR="00F444E8">
        <w:rPr>
          <w:rFonts w:ascii="Times New Roman" w:hAnsi="Times New Roman" w:cs="Times New Roman"/>
          <w:sz w:val="24"/>
          <w:szCs w:val="24"/>
        </w:rPr>
        <w:t xml:space="preserve"> maupun </w:t>
      </w:r>
      <w:r w:rsidR="00F444E8" w:rsidRPr="00F444E8">
        <w:rPr>
          <w:rFonts w:ascii="Times New Roman" w:hAnsi="Times New Roman" w:cs="Times New Roman"/>
          <w:i/>
          <w:sz w:val="24"/>
          <w:szCs w:val="24"/>
        </w:rPr>
        <w:t>Trading Book</w:t>
      </w:r>
      <w:r w:rsidR="00CC2379">
        <w:rPr>
          <w:rFonts w:ascii="Times New Roman" w:hAnsi="Times New Roman" w:cs="Times New Roman"/>
          <w:i/>
          <w:sz w:val="24"/>
          <w:szCs w:val="24"/>
        </w:rPr>
        <w:t>.</w:t>
      </w:r>
      <w:proofErr w:type="gramEnd"/>
      <w:r w:rsidR="00F444E8">
        <w:rPr>
          <w:rFonts w:ascii="Times New Roman" w:hAnsi="Times New Roman" w:cs="Times New Roman"/>
          <w:sz w:val="24"/>
          <w:szCs w:val="24"/>
        </w:rPr>
        <w:t xml:space="preserve"> </w:t>
      </w:r>
      <w:r w:rsidR="00CC2379">
        <w:rPr>
          <w:rFonts w:ascii="Times New Roman" w:hAnsi="Times New Roman" w:cs="Times New Roman"/>
          <w:sz w:val="24"/>
          <w:szCs w:val="24"/>
        </w:rPr>
        <w:t xml:space="preserve">Pada </w:t>
      </w:r>
      <w:r w:rsidR="00CC2379" w:rsidRPr="00CC2379">
        <w:rPr>
          <w:rFonts w:ascii="Times New Roman" w:hAnsi="Times New Roman" w:cs="Times New Roman"/>
          <w:i/>
          <w:sz w:val="24"/>
          <w:szCs w:val="24"/>
        </w:rPr>
        <w:t>Trading Book</w:t>
      </w:r>
      <w:r w:rsidR="00CC2379">
        <w:rPr>
          <w:rFonts w:ascii="Times New Roman" w:hAnsi="Times New Roman" w:cs="Times New Roman"/>
          <w:sz w:val="24"/>
          <w:szCs w:val="24"/>
        </w:rPr>
        <w:t xml:space="preserve">, dampak risiko pasar langsung mempegaruhi laba/rugi, sedangkan pada </w:t>
      </w:r>
      <w:r w:rsidR="00CC2379" w:rsidRPr="00CC2379">
        <w:rPr>
          <w:rFonts w:ascii="Times New Roman" w:hAnsi="Times New Roman" w:cs="Times New Roman"/>
          <w:i/>
          <w:sz w:val="24"/>
          <w:szCs w:val="24"/>
        </w:rPr>
        <w:t>Banking Book</w:t>
      </w:r>
      <w:r w:rsidR="00CC2379">
        <w:rPr>
          <w:rFonts w:ascii="Times New Roman" w:hAnsi="Times New Roman" w:cs="Times New Roman"/>
          <w:sz w:val="24"/>
          <w:szCs w:val="24"/>
        </w:rPr>
        <w:t xml:space="preserve"> dampak risiko pasar secara tidak langsung mempengaruhi perolehan NII </w:t>
      </w:r>
      <w:r w:rsidR="00CC2379" w:rsidRPr="00CC2379">
        <w:rPr>
          <w:rFonts w:ascii="Times New Roman" w:hAnsi="Times New Roman" w:cs="Times New Roman"/>
          <w:i/>
          <w:sz w:val="24"/>
          <w:szCs w:val="24"/>
        </w:rPr>
        <w:t>(Net Interest Income)</w:t>
      </w:r>
      <w:r w:rsidR="00CC2379">
        <w:rPr>
          <w:rFonts w:ascii="Times New Roman" w:hAnsi="Times New Roman" w:cs="Times New Roman"/>
          <w:sz w:val="24"/>
          <w:szCs w:val="24"/>
        </w:rPr>
        <w:t xml:space="preserve">, nilai ekonomis dari modal </w:t>
      </w:r>
      <w:r w:rsidR="00CC2379" w:rsidRPr="00CC2379">
        <w:rPr>
          <w:rFonts w:ascii="Times New Roman" w:hAnsi="Times New Roman" w:cs="Times New Roman"/>
          <w:i/>
          <w:sz w:val="24"/>
          <w:szCs w:val="24"/>
        </w:rPr>
        <w:t>(economic value of equity)</w:t>
      </w:r>
      <w:r w:rsidR="00CC2379">
        <w:rPr>
          <w:rFonts w:ascii="Times New Roman" w:hAnsi="Times New Roman" w:cs="Times New Roman"/>
          <w:sz w:val="24"/>
          <w:szCs w:val="24"/>
        </w:rPr>
        <w:t xml:space="preserve"> ataupun modal.</w:t>
      </w:r>
    </w:p>
    <w:p w:rsidR="00CA1DA1" w:rsidRDefault="00985660" w:rsidP="00BA0374">
      <w:pPr>
        <w:pStyle w:val="ListParagraph"/>
        <w:spacing w:line="480" w:lineRule="auto"/>
        <w:ind w:left="0" w:firstLine="720"/>
        <w:jc w:val="both"/>
        <w:rPr>
          <w:rFonts w:ascii="Times New Roman" w:eastAsia="Times New Roman" w:hAnsi="Times New Roman" w:cs="Times New Roman"/>
          <w:color w:val="000000" w:themeColor="text1"/>
          <w:sz w:val="24"/>
          <w:szCs w:val="24"/>
        </w:rPr>
      </w:pPr>
      <w:r w:rsidRPr="00985660">
        <w:rPr>
          <w:rFonts w:ascii="Times New Roman" w:eastAsia="Times New Roman" w:hAnsi="Times New Roman" w:cs="Times New Roman"/>
          <w:i/>
          <w:color w:val="000000" w:themeColor="text1"/>
          <w:sz w:val="24"/>
          <w:szCs w:val="24"/>
        </w:rPr>
        <w:lastRenderedPageBreak/>
        <w:t>Bankers</w:t>
      </w:r>
      <w:r>
        <w:rPr>
          <w:rFonts w:ascii="Times New Roman" w:eastAsia="Times New Roman" w:hAnsi="Times New Roman" w:cs="Times New Roman"/>
          <w:color w:val="000000" w:themeColor="text1"/>
          <w:sz w:val="24"/>
          <w:szCs w:val="24"/>
        </w:rPr>
        <w:t xml:space="preserve"> agar memelihara tingkat risiko untuk meminimalisir dan mitigasi risiko serta dapat dilihat bahwa model volatilitas dari penelitian bisa menjadi salah satu alternatif alat untuk menghitung risiko di industri perbankan </w:t>
      </w:r>
      <w:r w:rsidR="0016325F">
        <w:rPr>
          <w:rFonts w:ascii="Times New Roman" w:eastAsia="Times New Roman" w:hAnsi="Times New Roman" w:cs="Times New Roman"/>
          <w:color w:val="000000" w:themeColor="text1"/>
          <w:sz w:val="24"/>
          <w:szCs w:val="24"/>
        </w:rPr>
        <w:t xml:space="preserve">selain menggunakan perhitungan </w:t>
      </w:r>
      <w:r w:rsidR="0016325F" w:rsidRPr="0016325F">
        <w:rPr>
          <w:rFonts w:ascii="Times New Roman" w:eastAsia="Times New Roman" w:hAnsi="Times New Roman" w:cs="Times New Roman"/>
          <w:i/>
          <w:color w:val="000000" w:themeColor="text1"/>
          <w:sz w:val="24"/>
          <w:szCs w:val="24"/>
        </w:rPr>
        <w:t>Historical Simulation</w:t>
      </w:r>
      <w:r w:rsidR="0016325F">
        <w:rPr>
          <w:rFonts w:ascii="Times New Roman" w:eastAsia="Times New Roman" w:hAnsi="Times New Roman" w:cs="Times New Roman"/>
          <w:color w:val="000000" w:themeColor="text1"/>
          <w:sz w:val="24"/>
          <w:szCs w:val="24"/>
        </w:rPr>
        <w:t xml:space="preserve"> serta </w:t>
      </w:r>
      <w:r w:rsidR="0016325F" w:rsidRPr="0016325F">
        <w:rPr>
          <w:rFonts w:ascii="Times New Roman" w:eastAsia="Times New Roman" w:hAnsi="Times New Roman" w:cs="Times New Roman"/>
          <w:i/>
          <w:color w:val="000000" w:themeColor="text1"/>
          <w:sz w:val="24"/>
          <w:szCs w:val="24"/>
        </w:rPr>
        <w:t>Monte Carlo</w:t>
      </w:r>
      <w:r w:rsidR="0016325F">
        <w:rPr>
          <w:rFonts w:ascii="Times New Roman" w:eastAsia="Times New Roman" w:hAnsi="Times New Roman" w:cs="Times New Roman"/>
          <w:i/>
          <w:color w:val="000000" w:themeColor="text1"/>
          <w:sz w:val="24"/>
          <w:szCs w:val="24"/>
        </w:rPr>
        <w:t xml:space="preserve"> Simulation</w:t>
      </w:r>
      <w:r w:rsidR="0016325F">
        <w:rPr>
          <w:rFonts w:ascii="Times New Roman" w:eastAsia="Times New Roman" w:hAnsi="Times New Roman" w:cs="Times New Roman"/>
          <w:color w:val="000000" w:themeColor="text1"/>
          <w:sz w:val="24"/>
          <w:szCs w:val="24"/>
        </w:rPr>
        <w:t xml:space="preserve"> yang hanya bisa digunakan untuk validasi model dan bukan untuk perhitungan risiko sebenarnya</w:t>
      </w:r>
      <w:r w:rsidR="002D2B1D">
        <w:rPr>
          <w:rFonts w:ascii="Times New Roman" w:eastAsia="Times New Roman" w:hAnsi="Times New Roman" w:cs="Times New Roman"/>
          <w:color w:val="000000" w:themeColor="text1"/>
          <w:sz w:val="24"/>
          <w:szCs w:val="24"/>
        </w:rPr>
        <w:t>.</w:t>
      </w:r>
      <w:r w:rsidR="0016325F">
        <w:rPr>
          <w:rFonts w:ascii="Times New Roman" w:eastAsia="Times New Roman" w:hAnsi="Times New Roman" w:cs="Times New Roman"/>
          <w:color w:val="000000" w:themeColor="text1"/>
          <w:sz w:val="24"/>
          <w:szCs w:val="24"/>
        </w:rPr>
        <w:t xml:space="preserve"> </w:t>
      </w:r>
      <w:r w:rsidR="00DB08D0">
        <w:rPr>
          <w:rFonts w:ascii="Times New Roman" w:eastAsia="Times New Roman" w:hAnsi="Times New Roman" w:cs="Times New Roman"/>
          <w:color w:val="000000" w:themeColor="text1"/>
          <w:sz w:val="24"/>
          <w:szCs w:val="24"/>
        </w:rPr>
        <w:t xml:space="preserve">Setiap transaksi keuangan selalu terjadi fluktuasi / volatilitas baik itu kenaikan atau penurunan </w:t>
      </w:r>
      <w:proofErr w:type="gramStart"/>
      <w:r w:rsidR="00DB08D0">
        <w:rPr>
          <w:rFonts w:ascii="Times New Roman" w:eastAsia="Times New Roman" w:hAnsi="Times New Roman" w:cs="Times New Roman"/>
          <w:color w:val="000000" w:themeColor="text1"/>
          <w:sz w:val="24"/>
          <w:szCs w:val="24"/>
        </w:rPr>
        <w:t>dana</w:t>
      </w:r>
      <w:proofErr w:type="gramEnd"/>
      <w:r w:rsidR="00DB08D0">
        <w:rPr>
          <w:rFonts w:ascii="Times New Roman" w:eastAsia="Times New Roman" w:hAnsi="Times New Roman" w:cs="Times New Roman"/>
          <w:color w:val="000000" w:themeColor="text1"/>
          <w:sz w:val="24"/>
          <w:szCs w:val="24"/>
        </w:rPr>
        <w:t xml:space="preserve"> maupun pinjaman. </w:t>
      </w:r>
      <w:proofErr w:type="gramStart"/>
      <w:r w:rsidR="00DB08D0">
        <w:rPr>
          <w:rFonts w:ascii="Times New Roman" w:eastAsia="Times New Roman" w:hAnsi="Times New Roman" w:cs="Times New Roman"/>
          <w:color w:val="000000" w:themeColor="text1"/>
          <w:sz w:val="24"/>
          <w:szCs w:val="24"/>
        </w:rPr>
        <w:t>Model volatilitas adalah model yang berguna untuk melihat fluktuasi data, fluktuasi mengintepretasikan tinggi rendahnya risiko dimana semakin tinggi volatilitas semakin tinggi pula risikonya.</w:t>
      </w:r>
      <w:proofErr w:type="gramEnd"/>
    </w:p>
    <w:p w:rsidR="0079399D" w:rsidRDefault="004C74D5" w:rsidP="00BA0374">
      <w:pPr>
        <w:pStyle w:val="ListParagraph"/>
        <w:spacing w:line="480" w:lineRule="auto"/>
        <w:ind w:left="0" w:firstLine="72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Kinerja tahun 2016 merupakan tahun yang berat untuk Bank Mandiri dan perekonomian nasional.</w:t>
      </w:r>
      <w:proofErr w:type="gramEnd"/>
      <w:r>
        <w:rPr>
          <w:rFonts w:ascii="Times New Roman" w:eastAsia="Times New Roman" w:hAnsi="Times New Roman" w:cs="Times New Roman"/>
          <w:color w:val="000000" w:themeColor="text1"/>
          <w:sz w:val="24"/>
          <w:szCs w:val="24"/>
        </w:rPr>
        <w:t xml:space="preserve"> Isu utama tahun 2016 adalah NPL </w:t>
      </w:r>
      <w:r w:rsidRPr="004C74D5">
        <w:rPr>
          <w:rFonts w:ascii="Times New Roman" w:eastAsia="Times New Roman" w:hAnsi="Times New Roman" w:cs="Times New Roman"/>
          <w:i/>
          <w:color w:val="000000" w:themeColor="text1"/>
          <w:sz w:val="24"/>
          <w:szCs w:val="24"/>
        </w:rPr>
        <w:t>(Non Performing Loan)</w:t>
      </w:r>
      <w:r>
        <w:rPr>
          <w:rFonts w:ascii="Times New Roman" w:eastAsia="Times New Roman" w:hAnsi="Times New Roman" w:cs="Times New Roman"/>
          <w:color w:val="000000" w:themeColor="text1"/>
          <w:sz w:val="24"/>
          <w:szCs w:val="24"/>
        </w:rPr>
        <w:t xml:space="preserve"> mengalami peningkatan menjadi 3.9%,</w:t>
      </w:r>
      <w:r w:rsidR="00F2746E">
        <w:rPr>
          <w:rFonts w:ascii="Times New Roman" w:eastAsia="Times New Roman" w:hAnsi="Times New Roman" w:cs="Times New Roman"/>
          <w:color w:val="000000" w:themeColor="text1"/>
          <w:sz w:val="24"/>
          <w:szCs w:val="24"/>
        </w:rPr>
        <w:t xml:space="preserve"> </w:t>
      </w:r>
      <w:r w:rsidR="00BC679B">
        <w:rPr>
          <w:rFonts w:ascii="Times New Roman" w:eastAsia="Times New Roman" w:hAnsi="Times New Roman" w:cs="Times New Roman"/>
          <w:color w:val="000000" w:themeColor="text1"/>
          <w:sz w:val="24"/>
          <w:szCs w:val="24"/>
        </w:rPr>
        <w:t xml:space="preserve">karena banyak </w:t>
      </w:r>
      <w:r>
        <w:rPr>
          <w:rFonts w:ascii="Times New Roman" w:eastAsia="Times New Roman" w:hAnsi="Times New Roman" w:cs="Times New Roman"/>
          <w:color w:val="000000" w:themeColor="text1"/>
          <w:sz w:val="24"/>
          <w:szCs w:val="24"/>
        </w:rPr>
        <w:t xml:space="preserve">debitur mengalami </w:t>
      </w:r>
      <w:r w:rsidR="00BC679B">
        <w:rPr>
          <w:rFonts w:ascii="Times New Roman" w:eastAsia="Times New Roman" w:hAnsi="Times New Roman" w:cs="Times New Roman"/>
          <w:color w:val="000000" w:themeColor="text1"/>
          <w:sz w:val="24"/>
          <w:szCs w:val="24"/>
        </w:rPr>
        <w:t xml:space="preserve">krisis dan ada permasalahan manajemen sehingga terjadi </w:t>
      </w:r>
      <w:r>
        <w:rPr>
          <w:rFonts w:ascii="Times New Roman" w:eastAsia="Times New Roman" w:hAnsi="Times New Roman" w:cs="Times New Roman"/>
          <w:color w:val="000000" w:themeColor="text1"/>
          <w:sz w:val="24"/>
          <w:szCs w:val="24"/>
        </w:rPr>
        <w:t xml:space="preserve">penurunan kualitas. </w:t>
      </w:r>
      <w:proofErr w:type="gramStart"/>
      <w:r>
        <w:rPr>
          <w:rFonts w:ascii="Times New Roman" w:eastAsia="Times New Roman" w:hAnsi="Times New Roman" w:cs="Times New Roman"/>
          <w:color w:val="000000" w:themeColor="text1"/>
          <w:sz w:val="24"/>
          <w:szCs w:val="24"/>
        </w:rPr>
        <w:t>Laba Bank Mandiri menurun sebesar 35% dari tahun sebelumnya atau sebesar Rp. 13 Trilyun.</w:t>
      </w:r>
      <w:proofErr w:type="gramEnd"/>
      <w:r>
        <w:rPr>
          <w:rFonts w:ascii="Times New Roman" w:eastAsia="Times New Roman" w:hAnsi="Times New Roman" w:cs="Times New Roman"/>
          <w:color w:val="000000" w:themeColor="text1"/>
          <w:sz w:val="24"/>
          <w:szCs w:val="24"/>
        </w:rPr>
        <w:t xml:space="preserve"> </w:t>
      </w:r>
      <w:r w:rsidR="00BC679B">
        <w:rPr>
          <w:rFonts w:ascii="Times New Roman" w:eastAsia="Times New Roman" w:hAnsi="Times New Roman" w:cs="Times New Roman"/>
          <w:color w:val="000000" w:themeColor="text1"/>
          <w:sz w:val="24"/>
          <w:szCs w:val="24"/>
        </w:rPr>
        <w:t xml:space="preserve">Secara global terjadi tekanan yang cukup keras </w:t>
      </w:r>
      <w:r w:rsidR="007F618D">
        <w:rPr>
          <w:rFonts w:ascii="Times New Roman" w:eastAsia="Times New Roman" w:hAnsi="Times New Roman" w:cs="Times New Roman"/>
          <w:color w:val="000000" w:themeColor="text1"/>
          <w:sz w:val="24"/>
          <w:szCs w:val="24"/>
        </w:rPr>
        <w:t>yang ber</w:t>
      </w:r>
      <w:r w:rsidR="00BC679B">
        <w:rPr>
          <w:rFonts w:ascii="Times New Roman" w:eastAsia="Times New Roman" w:hAnsi="Times New Roman" w:cs="Times New Roman"/>
          <w:color w:val="000000" w:themeColor="text1"/>
          <w:sz w:val="24"/>
          <w:szCs w:val="24"/>
        </w:rPr>
        <w:t>awal dari tahun 2013 harga komoditas turun secara internasional yang berimbas ke Negara Indonesia yang bergantung pada ekspor sumber daya seperti batubara yang harganya kian menurun lalu melebar ke seluruh sektor ekonomi sehingga pertumbuhan ekonomi Indonesia mengalami penurunan dari kisaran 6% menjadi kisaran 5%</w:t>
      </w:r>
      <w:r w:rsidR="0076577F">
        <w:rPr>
          <w:rFonts w:ascii="Times New Roman" w:eastAsia="Times New Roman" w:hAnsi="Times New Roman" w:cs="Times New Roman"/>
          <w:color w:val="000000" w:themeColor="text1"/>
          <w:sz w:val="24"/>
          <w:szCs w:val="24"/>
        </w:rPr>
        <w:t xml:space="preserve">, seluruh dunia pun ada </w:t>
      </w:r>
      <w:r w:rsidR="0076577F" w:rsidRPr="0076577F">
        <w:rPr>
          <w:rFonts w:ascii="Times New Roman" w:eastAsia="Times New Roman" w:hAnsi="Times New Roman" w:cs="Times New Roman"/>
          <w:i/>
          <w:color w:val="000000" w:themeColor="text1"/>
          <w:sz w:val="24"/>
          <w:szCs w:val="24"/>
        </w:rPr>
        <w:t>trend</w:t>
      </w:r>
      <w:r w:rsidR="0076577F">
        <w:rPr>
          <w:rFonts w:ascii="Times New Roman" w:eastAsia="Times New Roman" w:hAnsi="Times New Roman" w:cs="Times New Roman"/>
          <w:color w:val="000000" w:themeColor="text1"/>
          <w:sz w:val="24"/>
          <w:szCs w:val="24"/>
        </w:rPr>
        <w:t xml:space="preserve">nya namun pertumbuhan ekonomi di Indonesia masih tergolong baik karena bisa tumbuh 5%. Pertumbuhan yang melambat berdampak pada sektor-sektor ekonomi yang terus melemah terutama </w:t>
      </w:r>
      <w:r w:rsidR="0076577F">
        <w:rPr>
          <w:rFonts w:ascii="Times New Roman" w:eastAsia="Times New Roman" w:hAnsi="Times New Roman" w:cs="Times New Roman"/>
          <w:color w:val="000000" w:themeColor="text1"/>
          <w:sz w:val="24"/>
          <w:szCs w:val="24"/>
        </w:rPr>
        <w:lastRenderedPageBreak/>
        <w:t xml:space="preserve">komoditas </w:t>
      </w:r>
      <w:r w:rsidR="007A20C1">
        <w:rPr>
          <w:rFonts w:ascii="Times New Roman" w:eastAsia="Times New Roman" w:hAnsi="Times New Roman" w:cs="Times New Roman"/>
          <w:color w:val="000000" w:themeColor="text1"/>
          <w:sz w:val="24"/>
          <w:szCs w:val="24"/>
        </w:rPr>
        <w:t xml:space="preserve">ekspor </w:t>
      </w:r>
      <w:r w:rsidR="0076577F">
        <w:rPr>
          <w:rFonts w:ascii="Times New Roman" w:eastAsia="Times New Roman" w:hAnsi="Times New Roman" w:cs="Times New Roman"/>
          <w:color w:val="000000" w:themeColor="text1"/>
          <w:sz w:val="24"/>
          <w:szCs w:val="24"/>
        </w:rPr>
        <w:t xml:space="preserve">sumber daya </w:t>
      </w:r>
      <w:r w:rsidR="007A20C1">
        <w:rPr>
          <w:rFonts w:ascii="Times New Roman" w:eastAsia="Times New Roman" w:hAnsi="Times New Roman" w:cs="Times New Roman"/>
          <w:color w:val="000000" w:themeColor="text1"/>
          <w:sz w:val="24"/>
          <w:szCs w:val="24"/>
        </w:rPr>
        <w:t>yang</w:t>
      </w:r>
      <w:r w:rsidR="0076577F">
        <w:rPr>
          <w:rFonts w:ascii="Times New Roman" w:eastAsia="Times New Roman" w:hAnsi="Times New Roman" w:cs="Times New Roman"/>
          <w:color w:val="000000" w:themeColor="text1"/>
          <w:sz w:val="24"/>
          <w:szCs w:val="24"/>
        </w:rPr>
        <w:t xml:space="preserve"> berimbas pada kemampuan bayar debitur untuk melunasi kredit</w:t>
      </w:r>
      <w:r w:rsidR="007A20C1">
        <w:rPr>
          <w:rFonts w:ascii="Times New Roman" w:eastAsia="Times New Roman" w:hAnsi="Times New Roman" w:cs="Times New Roman"/>
          <w:color w:val="000000" w:themeColor="text1"/>
          <w:sz w:val="24"/>
          <w:szCs w:val="24"/>
        </w:rPr>
        <w:t xml:space="preserve"> sehingga NPL Bank Mandiri naik mencapai 3.9%, maka Bank Mandiri harus membuat pencadangan yang cukup besar. </w:t>
      </w:r>
      <w:proofErr w:type="gramStart"/>
      <w:r w:rsidR="007A20C1">
        <w:rPr>
          <w:rFonts w:ascii="Times New Roman" w:eastAsia="Times New Roman" w:hAnsi="Times New Roman" w:cs="Times New Roman"/>
          <w:color w:val="000000" w:themeColor="text1"/>
          <w:sz w:val="24"/>
          <w:szCs w:val="24"/>
        </w:rPr>
        <w:t>Pencadangan bertujuan untuk meng</w:t>
      </w:r>
      <w:r w:rsidR="007A20C1" w:rsidRPr="007A20C1">
        <w:rPr>
          <w:rFonts w:ascii="Times New Roman" w:eastAsia="Times New Roman" w:hAnsi="Times New Roman" w:cs="Times New Roman"/>
          <w:i/>
          <w:color w:val="000000" w:themeColor="text1"/>
          <w:sz w:val="24"/>
          <w:szCs w:val="24"/>
        </w:rPr>
        <w:t>cover</w:t>
      </w:r>
      <w:r w:rsidR="007A20C1">
        <w:rPr>
          <w:rFonts w:ascii="Times New Roman" w:eastAsia="Times New Roman" w:hAnsi="Times New Roman" w:cs="Times New Roman"/>
          <w:color w:val="000000" w:themeColor="text1"/>
          <w:sz w:val="24"/>
          <w:szCs w:val="24"/>
        </w:rPr>
        <w:t xml:space="preserve"> debitur-debitur yang mengalami penurunan kualitas kredit sehingga laba Bank Mandiri menjadi turun 35% atau menjadi Rp.13.8 Trilyun.</w:t>
      </w:r>
      <w:proofErr w:type="gramEnd"/>
      <w:r w:rsidR="007A20C1">
        <w:rPr>
          <w:rFonts w:ascii="Times New Roman" w:eastAsia="Times New Roman" w:hAnsi="Times New Roman" w:cs="Times New Roman"/>
          <w:color w:val="000000" w:themeColor="text1"/>
          <w:sz w:val="24"/>
          <w:szCs w:val="24"/>
        </w:rPr>
        <w:t xml:space="preserve"> </w:t>
      </w:r>
    </w:p>
    <w:p w:rsidR="00525F25" w:rsidRPr="00525F25" w:rsidRDefault="0079399D" w:rsidP="00BA0374">
      <w:pPr>
        <w:pStyle w:val="ListParagraph"/>
        <w:spacing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Kualitas kredit yang kurang terjaga dan perlu diperbaiki dan dikembalikan kepada jalurnya</w:t>
      </w:r>
      <w:r w:rsidR="007A20C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dengan mendisiplinkan </w:t>
      </w:r>
      <w:r w:rsidRPr="0079399D">
        <w:rPr>
          <w:rFonts w:ascii="Times New Roman" w:eastAsia="Times New Roman" w:hAnsi="Times New Roman" w:cs="Times New Roman"/>
          <w:i/>
          <w:color w:val="000000" w:themeColor="text1"/>
          <w:sz w:val="24"/>
          <w:szCs w:val="24"/>
        </w:rPr>
        <w:t>risk management</w:t>
      </w:r>
      <w:r>
        <w:rPr>
          <w:rFonts w:ascii="Times New Roman" w:eastAsia="Times New Roman" w:hAnsi="Times New Roman" w:cs="Times New Roman"/>
          <w:color w:val="000000" w:themeColor="text1"/>
          <w:sz w:val="24"/>
          <w:szCs w:val="24"/>
        </w:rPr>
        <w:t xml:space="preserve"> yang kuat dan melakukan kehati-hatian dalam pertumbuhan sehingga pertumbuhannya berkesinambungan </w:t>
      </w:r>
      <w:r w:rsidRPr="0079399D">
        <w:rPr>
          <w:rFonts w:ascii="Times New Roman" w:eastAsia="Times New Roman" w:hAnsi="Times New Roman" w:cs="Times New Roman"/>
          <w:i/>
          <w:color w:val="000000" w:themeColor="text1"/>
          <w:sz w:val="24"/>
          <w:szCs w:val="24"/>
        </w:rPr>
        <w:t>(sustain)</w:t>
      </w:r>
      <w:r>
        <w:rPr>
          <w:rFonts w:ascii="Times New Roman" w:eastAsia="Times New Roman" w:hAnsi="Times New Roman" w:cs="Times New Roman"/>
          <w:color w:val="000000" w:themeColor="text1"/>
          <w:sz w:val="24"/>
          <w:szCs w:val="24"/>
        </w:rPr>
        <w:t xml:space="preserve">. Sisi positif Bank Mandiri di tahun 2016 </w:t>
      </w:r>
      <w:r w:rsidR="00525F25">
        <w:rPr>
          <w:rFonts w:ascii="Times New Roman" w:eastAsia="Times New Roman" w:hAnsi="Times New Roman" w:cs="Times New Roman"/>
          <w:color w:val="000000" w:themeColor="text1"/>
          <w:sz w:val="24"/>
          <w:szCs w:val="24"/>
        </w:rPr>
        <w:t>diantaranya</w:t>
      </w:r>
      <w:r w:rsidR="00433000">
        <w:rPr>
          <w:rFonts w:ascii="Times New Roman" w:eastAsia="Times New Roman" w:hAnsi="Times New Roman" w:cs="Times New Roman"/>
          <w:color w:val="000000" w:themeColor="text1"/>
          <w:sz w:val="24"/>
          <w:szCs w:val="24"/>
        </w:rPr>
        <w:t xml:space="preserve"> asset bertambah menjadi Rp. 1.039 Trilyun, pertumbuhan mencapai 11% dari 9% pertumbuhan pasar. Pendapatan profit sebelum pencadangan mencapai Rp. 23 Trilyun, apabila tahun 2017 bisa mencadangkan lebih rendah lagi maka profit bisa kembali normal seperti tahun-tahun sebelumnya.</w:t>
      </w:r>
    </w:p>
    <w:p w:rsidR="00F2746E" w:rsidRDefault="00433000" w:rsidP="00BA0374">
      <w:pPr>
        <w:pStyle w:val="ListParagraph"/>
        <w:spacing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Bank Mandiri Cabang Bandung Buahbatu dalam </w:t>
      </w:r>
      <w:r w:rsidR="00CA1DA1">
        <w:rPr>
          <w:rFonts w:ascii="Times New Roman" w:eastAsia="Times New Roman" w:hAnsi="Times New Roman" w:cs="Times New Roman"/>
          <w:color w:val="000000" w:themeColor="text1"/>
          <w:sz w:val="24"/>
          <w:szCs w:val="24"/>
        </w:rPr>
        <w:t xml:space="preserve">tahun 2016 terjadi </w:t>
      </w:r>
      <w:r w:rsidR="00F2746E">
        <w:rPr>
          <w:rFonts w:ascii="Times New Roman" w:eastAsia="Times New Roman" w:hAnsi="Times New Roman" w:cs="Times New Roman"/>
          <w:color w:val="000000" w:themeColor="text1"/>
          <w:sz w:val="24"/>
          <w:szCs w:val="24"/>
        </w:rPr>
        <w:t>volatilitas</w:t>
      </w:r>
      <w:r w:rsidR="00CA1DA1">
        <w:rPr>
          <w:rFonts w:ascii="Times New Roman" w:eastAsia="Times New Roman" w:hAnsi="Times New Roman" w:cs="Times New Roman"/>
          <w:color w:val="000000" w:themeColor="text1"/>
          <w:sz w:val="24"/>
          <w:szCs w:val="24"/>
        </w:rPr>
        <w:t xml:space="preserve"> posisi Dana Pihak Ketiga (DPK) dimana terjadi lonjakkan</w:t>
      </w:r>
      <w:r w:rsidR="00F2746E">
        <w:rPr>
          <w:rFonts w:ascii="Times New Roman" w:eastAsia="Times New Roman" w:hAnsi="Times New Roman" w:cs="Times New Roman"/>
          <w:color w:val="000000" w:themeColor="text1"/>
          <w:sz w:val="24"/>
          <w:szCs w:val="24"/>
        </w:rPr>
        <w:t xml:space="preserve"> posisi saldo yang cukup tinggi, seperti produk tabungan dan giro mengalami fluktuasi pada </w:t>
      </w:r>
      <w:r w:rsidR="00835208">
        <w:rPr>
          <w:rFonts w:ascii="Times New Roman" w:eastAsia="Times New Roman" w:hAnsi="Times New Roman" w:cs="Times New Roman"/>
          <w:color w:val="000000" w:themeColor="text1"/>
          <w:sz w:val="24"/>
          <w:szCs w:val="24"/>
        </w:rPr>
        <w:t>akhir</w:t>
      </w:r>
      <w:r w:rsidR="00F2746E">
        <w:rPr>
          <w:rFonts w:ascii="Times New Roman" w:eastAsia="Times New Roman" w:hAnsi="Times New Roman" w:cs="Times New Roman"/>
          <w:color w:val="000000" w:themeColor="text1"/>
          <w:sz w:val="24"/>
          <w:szCs w:val="24"/>
        </w:rPr>
        <w:t xml:space="preserve"> semester I di tahun 2016, kemudian produk deposito terlihat ada lonjakkan fluktuasi disetiap triwulan tahun 2016. Produk tabungan mengal</w:t>
      </w:r>
      <w:r w:rsidR="00CF5ED7">
        <w:rPr>
          <w:rFonts w:ascii="Times New Roman" w:eastAsia="Times New Roman" w:hAnsi="Times New Roman" w:cs="Times New Roman"/>
          <w:color w:val="000000" w:themeColor="text1"/>
          <w:sz w:val="24"/>
          <w:szCs w:val="24"/>
        </w:rPr>
        <w:t xml:space="preserve">ami penurunan tajam namun bulan selanjutnya kembali ke posisi semula bahkan melebihi dari posisi sebelum terjadi penurunan </w:t>
      </w:r>
      <w:proofErr w:type="gramStart"/>
      <w:r w:rsidR="00CF5ED7">
        <w:rPr>
          <w:rFonts w:ascii="Times New Roman" w:eastAsia="Times New Roman" w:hAnsi="Times New Roman" w:cs="Times New Roman"/>
          <w:color w:val="000000" w:themeColor="text1"/>
          <w:sz w:val="24"/>
          <w:szCs w:val="24"/>
        </w:rPr>
        <w:t>dana</w:t>
      </w:r>
      <w:proofErr w:type="gramEnd"/>
      <w:r w:rsidR="00CF5ED7">
        <w:rPr>
          <w:rFonts w:ascii="Times New Roman" w:eastAsia="Times New Roman" w:hAnsi="Times New Roman" w:cs="Times New Roman"/>
          <w:color w:val="000000" w:themeColor="text1"/>
          <w:sz w:val="24"/>
          <w:szCs w:val="24"/>
        </w:rPr>
        <w:t xml:space="preserve"> tabungan. </w:t>
      </w:r>
      <w:proofErr w:type="gramStart"/>
      <w:r w:rsidR="00CF5ED7">
        <w:rPr>
          <w:rFonts w:ascii="Times New Roman" w:eastAsia="Times New Roman" w:hAnsi="Times New Roman" w:cs="Times New Roman"/>
          <w:color w:val="000000" w:themeColor="text1"/>
          <w:sz w:val="24"/>
          <w:szCs w:val="24"/>
        </w:rPr>
        <w:t xml:space="preserve">Posisi saldo giro kebalikan dari produk tabungan yaitu terjadinya kenaikan atau penambahan saldo di bulan Juni </w:t>
      </w:r>
      <w:r w:rsidR="00CF5ED7">
        <w:rPr>
          <w:rFonts w:ascii="Times New Roman" w:eastAsia="Times New Roman" w:hAnsi="Times New Roman" w:cs="Times New Roman"/>
          <w:color w:val="000000" w:themeColor="text1"/>
          <w:sz w:val="24"/>
          <w:szCs w:val="24"/>
        </w:rPr>
        <w:lastRenderedPageBreak/>
        <w:t xml:space="preserve">namun pada bulan Juli mengalami penurunan drastis melebihi batas posisi saldo giro bulan Mei </w:t>
      </w:r>
      <w:r w:rsidR="00F2746E">
        <w:rPr>
          <w:rFonts w:ascii="Times New Roman" w:eastAsia="Times New Roman" w:hAnsi="Times New Roman" w:cs="Times New Roman"/>
          <w:color w:val="000000" w:themeColor="text1"/>
          <w:sz w:val="24"/>
          <w:szCs w:val="24"/>
        </w:rPr>
        <w:t>sebagaimana terlihat di Gambar 1.1 dibawah ini.</w:t>
      </w:r>
      <w:proofErr w:type="gramEnd"/>
    </w:p>
    <w:p w:rsidR="00CA1DA1" w:rsidRPr="00204F51" w:rsidRDefault="004F6594" w:rsidP="008A1D04">
      <w:pPr>
        <w:spacing w:line="480" w:lineRule="auto"/>
        <w:jc w:val="center"/>
        <w:rPr>
          <w:rFonts w:ascii="Times New Roman" w:eastAsia="Times New Roman" w:hAnsi="Times New Roman" w:cs="Times New Roman"/>
          <w:color w:val="000000" w:themeColor="text1"/>
          <w:sz w:val="24"/>
          <w:szCs w:val="24"/>
        </w:rPr>
      </w:pPr>
      <w:r>
        <w:rPr>
          <w:noProof/>
        </w:rPr>
        <w:drawing>
          <wp:inline distT="0" distB="0" distL="0" distR="0">
            <wp:extent cx="1884680" cy="1571625"/>
            <wp:effectExtent l="19050" t="0" r="20320" b="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204F51">
        <w:rPr>
          <w:noProof/>
        </w:rPr>
        <w:drawing>
          <wp:inline distT="0" distB="0" distL="0" distR="0">
            <wp:extent cx="1790700" cy="157162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04F51">
        <w:rPr>
          <w:noProof/>
        </w:rPr>
        <w:drawing>
          <wp:inline distT="0" distB="0" distL="0" distR="0">
            <wp:extent cx="1884680" cy="1676400"/>
            <wp:effectExtent l="19050" t="0" r="2032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04F51">
        <w:rPr>
          <w:noProof/>
        </w:rPr>
        <w:drawing>
          <wp:inline distT="0" distB="0" distL="0" distR="0">
            <wp:extent cx="1771650" cy="1714500"/>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3B79" w:rsidRPr="00C07DA7" w:rsidRDefault="007F3B79" w:rsidP="007F3B79">
      <w:pPr>
        <w:pStyle w:val="ListParagraph"/>
        <w:spacing w:line="240" w:lineRule="auto"/>
        <w:ind w:left="0"/>
        <w:jc w:val="center"/>
        <w:rPr>
          <w:rFonts w:ascii="Times New Roman" w:eastAsia="Times New Roman" w:hAnsi="Times New Roman" w:cs="Times New Roman"/>
          <w:b/>
          <w:color w:val="000000" w:themeColor="text1"/>
          <w:sz w:val="24"/>
          <w:szCs w:val="24"/>
        </w:rPr>
      </w:pPr>
      <w:r w:rsidRPr="00C07DA7">
        <w:rPr>
          <w:rFonts w:ascii="Times New Roman" w:eastAsia="Times New Roman" w:hAnsi="Times New Roman" w:cs="Times New Roman"/>
          <w:b/>
          <w:color w:val="000000" w:themeColor="text1"/>
          <w:sz w:val="24"/>
          <w:szCs w:val="24"/>
        </w:rPr>
        <w:t>Gambar 1.1</w:t>
      </w:r>
    </w:p>
    <w:p w:rsidR="007F3B79" w:rsidRDefault="007F3B79" w:rsidP="007F3B79">
      <w:pPr>
        <w:pStyle w:val="ListParagraph"/>
        <w:spacing w:line="240" w:lineRule="auto"/>
        <w:ind w:left="0"/>
        <w:jc w:val="center"/>
        <w:rPr>
          <w:rFonts w:ascii="Times New Roman" w:eastAsia="Times New Roman" w:hAnsi="Times New Roman" w:cs="Times New Roman"/>
          <w:b/>
          <w:color w:val="000000" w:themeColor="text1"/>
          <w:sz w:val="24"/>
          <w:szCs w:val="24"/>
        </w:rPr>
      </w:pPr>
      <w:r w:rsidRPr="00C07DA7">
        <w:rPr>
          <w:rFonts w:ascii="Times New Roman" w:eastAsia="Times New Roman" w:hAnsi="Times New Roman" w:cs="Times New Roman"/>
          <w:b/>
          <w:color w:val="000000" w:themeColor="text1"/>
          <w:sz w:val="24"/>
          <w:szCs w:val="24"/>
        </w:rPr>
        <w:t xml:space="preserve">Posisi Dana Pihak Ketiga (DPK) </w:t>
      </w:r>
      <w:r>
        <w:rPr>
          <w:rFonts w:ascii="Times New Roman" w:eastAsia="Times New Roman" w:hAnsi="Times New Roman" w:cs="Times New Roman"/>
          <w:b/>
          <w:color w:val="000000" w:themeColor="text1"/>
          <w:sz w:val="24"/>
          <w:szCs w:val="24"/>
        </w:rPr>
        <w:t>tahun 2016</w:t>
      </w:r>
    </w:p>
    <w:p w:rsidR="007F3B79" w:rsidRDefault="007F3B79" w:rsidP="007F3B79">
      <w:pPr>
        <w:pStyle w:val="ListParagraph"/>
        <w:spacing w:line="240" w:lineRule="auto"/>
        <w:ind w:left="0"/>
        <w:jc w:val="center"/>
        <w:rPr>
          <w:rFonts w:ascii="Times New Roman" w:eastAsia="Times New Roman" w:hAnsi="Times New Roman" w:cs="Times New Roman"/>
          <w:color w:val="000000" w:themeColor="text1"/>
          <w:sz w:val="24"/>
          <w:szCs w:val="24"/>
        </w:rPr>
      </w:pPr>
      <w:r w:rsidRPr="00C07DA7">
        <w:rPr>
          <w:rFonts w:ascii="Times New Roman" w:eastAsia="Times New Roman" w:hAnsi="Times New Roman" w:cs="Times New Roman"/>
          <w:b/>
          <w:color w:val="000000" w:themeColor="text1"/>
          <w:sz w:val="24"/>
          <w:szCs w:val="24"/>
        </w:rPr>
        <w:t>Bank Mandiri Cabang Bandung Buahbatu</w:t>
      </w:r>
    </w:p>
    <w:p w:rsidR="00CC3BC2" w:rsidRPr="006B67E4" w:rsidRDefault="00CC3BC2" w:rsidP="005C0C6E">
      <w:pPr>
        <w:pStyle w:val="ListParagraph"/>
        <w:spacing w:line="480" w:lineRule="auto"/>
        <w:ind w:left="0" w:firstLine="450"/>
        <w:jc w:val="both"/>
        <w:rPr>
          <w:rFonts w:ascii="Times New Roman" w:hAnsi="Times New Roman" w:cs="Times New Roman"/>
          <w:sz w:val="24"/>
          <w:szCs w:val="24"/>
        </w:rPr>
      </w:pPr>
    </w:p>
    <w:p w:rsidR="00D37E47" w:rsidRPr="006B67E4" w:rsidRDefault="006B67E4" w:rsidP="005C0C6E">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Tahun 2015 Bank Mandiri Cabang Bandung Buahbatu </w:t>
      </w:r>
      <w:r>
        <w:rPr>
          <w:rFonts w:ascii="Times New Roman" w:eastAsia="Times New Roman" w:hAnsi="Times New Roman" w:cs="Times New Roman"/>
          <w:color w:val="000000" w:themeColor="text1"/>
          <w:sz w:val="24"/>
          <w:szCs w:val="24"/>
        </w:rPr>
        <w:t xml:space="preserve">terjadi lonjakkan posisi saldo </w:t>
      </w:r>
      <w:r w:rsidR="000B48A7">
        <w:rPr>
          <w:rFonts w:ascii="Times New Roman" w:eastAsia="Times New Roman" w:hAnsi="Times New Roman" w:cs="Times New Roman"/>
          <w:color w:val="000000" w:themeColor="text1"/>
          <w:sz w:val="24"/>
          <w:szCs w:val="24"/>
        </w:rPr>
        <w:t xml:space="preserve">Dana Pihak Ketiga (DPK) </w:t>
      </w:r>
      <w:r>
        <w:rPr>
          <w:rFonts w:ascii="Times New Roman" w:eastAsia="Times New Roman" w:hAnsi="Times New Roman" w:cs="Times New Roman"/>
          <w:color w:val="000000" w:themeColor="text1"/>
          <w:sz w:val="24"/>
          <w:szCs w:val="24"/>
        </w:rPr>
        <w:t xml:space="preserve">yang cukup tinggi, </w:t>
      </w:r>
      <w:r w:rsidR="000B48A7">
        <w:rPr>
          <w:rFonts w:ascii="Times New Roman" w:eastAsia="Times New Roman" w:hAnsi="Times New Roman" w:cs="Times New Roman"/>
          <w:color w:val="000000" w:themeColor="text1"/>
          <w:sz w:val="24"/>
          <w:szCs w:val="24"/>
        </w:rPr>
        <w:t>salah satu</w:t>
      </w:r>
      <w:r>
        <w:rPr>
          <w:rFonts w:ascii="Times New Roman" w:eastAsia="Times New Roman" w:hAnsi="Times New Roman" w:cs="Times New Roman"/>
          <w:color w:val="000000" w:themeColor="text1"/>
          <w:sz w:val="24"/>
          <w:szCs w:val="24"/>
        </w:rPr>
        <w:t xml:space="preserve"> produk </w:t>
      </w:r>
      <w:r w:rsidR="000B48A7">
        <w:rPr>
          <w:rFonts w:ascii="Times New Roman" w:eastAsia="Times New Roman" w:hAnsi="Times New Roman" w:cs="Times New Roman"/>
          <w:color w:val="000000" w:themeColor="text1"/>
          <w:sz w:val="24"/>
          <w:szCs w:val="24"/>
        </w:rPr>
        <w:t xml:space="preserve">DPK tersebuat yaitu produk </w:t>
      </w:r>
      <w:r>
        <w:rPr>
          <w:rFonts w:ascii="Times New Roman" w:eastAsia="Times New Roman" w:hAnsi="Times New Roman" w:cs="Times New Roman"/>
          <w:color w:val="000000" w:themeColor="text1"/>
          <w:sz w:val="24"/>
          <w:szCs w:val="24"/>
        </w:rPr>
        <w:t xml:space="preserve">giro </w:t>
      </w:r>
      <w:r w:rsidR="000B48A7">
        <w:rPr>
          <w:rFonts w:ascii="Times New Roman" w:eastAsia="Times New Roman" w:hAnsi="Times New Roman" w:cs="Times New Roman"/>
          <w:color w:val="000000" w:themeColor="text1"/>
          <w:sz w:val="24"/>
          <w:szCs w:val="24"/>
        </w:rPr>
        <w:t xml:space="preserve">yang </w:t>
      </w:r>
      <w:r>
        <w:rPr>
          <w:rFonts w:ascii="Times New Roman" w:eastAsia="Times New Roman" w:hAnsi="Times New Roman" w:cs="Times New Roman"/>
          <w:color w:val="000000" w:themeColor="text1"/>
          <w:sz w:val="24"/>
          <w:szCs w:val="24"/>
        </w:rPr>
        <w:t xml:space="preserve">mengalami fluktuasi </w:t>
      </w:r>
      <w:r w:rsidR="000B48A7">
        <w:rPr>
          <w:rFonts w:ascii="Times New Roman" w:eastAsia="Times New Roman" w:hAnsi="Times New Roman" w:cs="Times New Roman"/>
          <w:color w:val="000000" w:themeColor="text1"/>
          <w:sz w:val="24"/>
          <w:szCs w:val="24"/>
        </w:rPr>
        <w:t xml:space="preserve">disetiap bulannya, </w:t>
      </w:r>
      <w:r>
        <w:rPr>
          <w:rFonts w:ascii="Times New Roman" w:eastAsia="Times New Roman" w:hAnsi="Times New Roman" w:cs="Times New Roman"/>
          <w:color w:val="000000" w:themeColor="text1"/>
          <w:sz w:val="24"/>
          <w:szCs w:val="24"/>
        </w:rPr>
        <w:t>akhir semester I di tahun 201</w:t>
      </w:r>
      <w:r w:rsidR="000B48A7">
        <w:rPr>
          <w:rFonts w:ascii="Times New Roman" w:eastAsia="Times New Roman" w:hAnsi="Times New Roman" w:cs="Times New Roman"/>
          <w:color w:val="000000" w:themeColor="text1"/>
          <w:sz w:val="24"/>
          <w:szCs w:val="24"/>
        </w:rPr>
        <w:t>5 mengalami peningkatan dana giro yang tinggi, kemudian mengalami penurunan dana giro secara bertahap sampai triwulan ke-III tahun 2015 dan diakhir tahun 2015 posisi saldo giro meningkat kembali melebihi posisi saldo giro semester I tahun 2015. P</w:t>
      </w:r>
      <w:r>
        <w:rPr>
          <w:rFonts w:ascii="Times New Roman" w:eastAsia="Times New Roman" w:hAnsi="Times New Roman" w:cs="Times New Roman"/>
          <w:color w:val="000000" w:themeColor="text1"/>
          <w:sz w:val="24"/>
          <w:szCs w:val="24"/>
        </w:rPr>
        <w:t xml:space="preserve">roduk deposito terlihat ada lonjakkan fluktuasi </w:t>
      </w:r>
      <w:r w:rsidR="009000C9">
        <w:rPr>
          <w:rFonts w:ascii="Times New Roman" w:eastAsia="Times New Roman" w:hAnsi="Times New Roman" w:cs="Times New Roman"/>
          <w:color w:val="000000" w:themeColor="text1"/>
          <w:sz w:val="24"/>
          <w:szCs w:val="24"/>
        </w:rPr>
        <w:t xml:space="preserve">pada bulan April 2015 mengalami peningkatan </w:t>
      </w:r>
      <w:proofErr w:type="gramStart"/>
      <w:r w:rsidR="009000C9">
        <w:rPr>
          <w:rFonts w:ascii="Times New Roman" w:eastAsia="Times New Roman" w:hAnsi="Times New Roman" w:cs="Times New Roman"/>
          <w:color w:val="000000" w:themeColor="text1"/>
          <w:sz w:val="24"/>
          <w:szCs w:val="24"/>
        </w:rPr>
        <w:t>dana</w:t>
      </w:r>
      <w:proofErr w:type="gramEnd"/>
      <w:r w:rsidR="009000C9">
        <w:rPr>
          <w:rFonts w:ascii="Times New Roman" w:eastAsia="Times New Roman" w:hAnsi="Times New Roman" w:cs="Times New Roman"/>
          <w:color w:val="000000" w:themeColor="text1"/>
          <w:sz w:val="24"/>
          <w:szCs w:val="24"/>
        </w:rPr>
        <w:t xml:space="preserve"> secara bertahap sampai bulan </w:t>
      </w:r>
      <w:r w:rsidR="009000C9">
        <w:rPr>
          <w:rFonts w:ascii="Times New Roman" w:eastAsia="Times New Roman" w:hAnsi="Times New Roman" w:cs="Times New Roman"/>
          <w:color w:val="000000" w:themeColor="text1"/>
          <w:sz w:val="24"/>
          <w:szCs w:val="24"/>
        </w:rPr>
        <w:lastRenderedPageBreak/>
        <w:t>Juli 2015, satu bulan kemudian mengalami penurunan</w:t>
      </w: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 xml:space="preserve">Produk tabungan </w:t>
      </w:r>
      <w:r w:rsidR="009000C9">
        <w:rPr>
          <w:rFonts w:ascii="Times New Roman" w:eastAsia="Times New Roman" w:hAnsi="Times New Roman" w:cs="Times New Roman"/>
          <w:color w:val="000000" w:themeColor="text1"/>
          <w:sz w:val="24"/>
          <w:szCs w:val="24"/>
        </w:rPr>
        <w:t xml:space="preserve">rata-rata </w:t>
      </w:r>
      <w:r>
        <w:rPr>
          <w:rFonts w:ascii="Times New Roman" w:eastAsia="Times New Roman" w:hAnsi="Times New Roman" w:cs="Times New Roman"/>
          <w:color w:val="000000" w:themeColor="text1"/>
          <w:sz w:val="24"/>
          <w:szCs w:val="24"/>
        </w:rPr>
        <w:t xml:space="preserve">mengalami </w:t>
      </w:r>
      <w:r w:rsidR="009000C9">
        <w:rPr>
          <w:rFonts w:ascii="Times New Roman" w:eastAsia="Times New Roman" w:hAnsi="Times New Roman" w:cs="Times New Roman"/>
          <w:color w:val="000000" w:themeColor="text1"/>
          <w:sz w:val="24"/>
          <w:szCs w:val="24"/>
        </w:rPr>
        <w:t xml:space="preserve">peningkatan setiap </w:t>
      </w:r>
      <w:r>
        <w:rPr>
          <w:rFonts w:ascii="Times New Roman" w:eastAsia="Times New Roman" w:hAnsi="Times New Roman" w:cs="Times New Roman"/>
          <w:color w:val="000000" w:themeColor="text1"/>
          <w:sz w:val="24"/>
          <w:szCs w:val="24"/>
        </w:rPr>
        <w:t>bulan</w:t>
      </w:r>
      <w:r w:rsidR="009000C9">
        <w:rPr>
          <w:rFonts w:ascii="Times New Roman" w:eastAsia="Times New Roman" w:hAnsi="Times New Roman" w:cs="Times New Roman"/>
          <w:color w:val="000000" w:themeColor="text1"/>
          <w:sz w:val="24"/>
          <w:szCs w:val="24"/>
        </w:rPr>
        <w:t xml:space="preserve">nya dari awal tahun sampai akhir tahun 2015 </w:t>
      </w:r>
      <w:r>
        <w:rPr>
          <w:rFonts w:ascii="Times New Roman" w:eastAsia="Times New Roman" w:hAnsi="Times New Roman" w:cs="Times New Roman"/>
          <w:color w:val="000000" w:themeColor="text1"/>
          <w:sz w:val="24"/>
          <w:szCs w:val="24"/>
        </w:rPr>
        <w:t>sebagaimana terlihat di Gambar 1.2 dibawah ini.</w:t>
      </w:r>
      <w:proofErr w:type="gramEnd"/>
    </w:p>
    <w:p w:rsidR="006B67E4" w:rsidRDefault="00315732" w:rsidP="001B60C9">
      <w:pPr>
        <w:pStyle w:val="ListParagraph"/>
        <w:spacing w:line="480" w:lineRule="auto"/>
        <w:ind w:left="900"/>
        <w:jc w:val="center"/>
        <w:rPr>
          <w:rFonts w:ascii="Times New Roman" w:hAnsi="Times New Roman" w:cs="Times New Roman"/>
          <w:sz w:val="24"/>
          <w:szCs w:val="24"/>
        </w:rPr>
      </w:pPr>
      <w:r>
        <w:rPr>
          <w:noProof/>
        </w:rPr>
        <w:drawing>
          <wp:inline distT="0" distB="0" distL="0" distR="0">
            <wp:extent cx="1819275" cy="1781175"/>
            <wp:effectExtent l="19050" t="0" r="9525"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000C9">
        <w:rPr>
          <w:noProof/>
        </w:rPr>
        <w:drawing>
          <wp:inline distT="0" distB="0" distL="0" distR="0">
            <wp:extent cx="1743075" cy="17811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9000C9">
        <w:rPr>
          <w:noProof/>
        </w:rPr>
        <w:drawing>
          <wp:inline distT="0" distB="0" distL="0" distR="0">
            <wp:extent cx="1819275" cy="15716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drawing>
          <wp:inline distT="0" distB="0" distL="0" distR="0">
            <wp:extent cx="1743075" cy="1590675"/>
            <wp:effectExtent l="19050" t="0" r="9525" b="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31FE1" w:rsidRPr="00C07DA7" w:rsidRDefault="00631FE1" w:rsidP="00631FE1">
      <w:pPr>
        <w:pStyle w:val="ListParagraph"/>
        <w:spacing w:line="240" w:lineRule="auto"/>
        <w:ind w:left="0"/>
        <w:jc w:val="center"/>
        <w:rPr>
          <w:rFonts w:ascii="Times New Roman" w:eastAsia="Times New Roman" w:hAnsi="Times New Roman" w:cs="Times New Roman"/>
          <w:b/>
          <w:color w:val="000000" w:themeColor="text1"/>
          <w:sz w:val="24"/>
          <w:szCs w:val="24"/>
        </w:rPr>
      </w:pPr>
      <w:r w:rsidRPr="00C07DA7">
        <w:rPr>
          <w:rFonts w:ascii="Times New Roman" w:eastAsia="Times New Roman" w:hAnsi="Times New Roman" w:cs="Times New Roman"/>
          <w:b/>
          <w:color w:val="000000" w:themeColor="text1"/>
          <w:sz w:val="24"/>
          <w:szCs w:val="24"/>
        </w:rPr>
        <w:t>Gambar 1.</w:t>
      </w:r>
      <w:r>
        <w:rPr>
          <w:rFonts w:ascii="Times New Roman" w:eastAsia="Times New Roman" w:hAnsi="Times New Roman" w:cs="Times New Roman"/>
          <w:b/>
          <w:color w:val="000000" w:themeColor="text1"/>
          <w:sz w:val="24"/>
          <w:szCs w:val="24"/>
        </w:rPr>
        <w:t>2</w:t>
      </w:r>
    </w:p>
    <w:p w:rsidR="00631FE1" w:rsidRDefault="00631FE1" w:rsidP="00631FE1">
      <w:pPr>
        <w:pStyle w:val="ListParagraph"/>
        <w:spacing w:line="240" w:lineRule="auto"/>
        <w:ind w:left="0"/>
        <w:jc w:val="center"/>
        <w:rPr>
          <w:rFonts w:ascii="Times New Roman" w:eastAsia="Times New Roman" w:hAnsi="Times New Roman" w:cs="Times New Roman"/>
          <w:b/>
          <w:color w:val="000000" w:themeColor="text1"/>
          <w:sz w:val="24"/>
          <w:szCs w:val="24"/>
        </w:rPr>
      </w:pPr>
      <w:r w:rsidRPr="00C07DA7">
        <w:rPr>
          <w:rFonts w:ascii="Times New Roman" w:eastAsia="Times New Roman" w:hAnsi="Times New Roman" w:cs="Times New Roman"/>
          <w:b/>
          <w:color w:val="000000" w:themeColor="text1"/>
          <w:sz w:val="24"/>
          <w:szCs w:val="24"/>
        </w:rPr>
        <w:t xml:space="preserve">Posisi Dana Pihak Ketiga (DPK) </w:t>
      </w:r>
      <w:r>
        <w:rPr>
          <w:rFonts w:ascii="Times New Roman" w:eastAsia="Times New Roman" w:hAnsi="Times New Roman" w:cs="Times New Roman"/>
          <w:b/>
          <w:color w:val="000000" w:themeColor="text1"/>
          <w:sz w:val="24"/>
          <w:szCs w:val="24"/>
        </w:rPr>
        <w:t>tahun 2015</w:t>
      </w:r>
    </w:p>
    <w:p w:rsidR="009000C9" w:rsidRDefault="00631FE1" w:rsidP="00631FE1">
      <w:pPr>
        <w:pStyle w:val="ListParagraph"/>
        <w:spacing w:line="480" w:lineRule="auto"/>
        <w:ind w:left="0"/>
        <w:jc w:val="center"/>
        <w:rPr>
          <w:rFonts w:ascii="Times New Roman" w:hAnsi="Times New Roman" w:cs="Times New Roman"/>
          <w:sz w:val="24"/>
          <w:szCs w:val="24"/>
        </w:rPr>
      </w:pPr>
      <w:r w:rsidRPr="00C07DA7">
        <w:rPr>
          <w:rFonts w:ascii="Times New Roman" w:eastAsia="Times New Roman" w:hAnsi="Times New Roman" w:cs="Times New Roman"/>
          <w:b/>
          <w:color w:val="000000" w:themeColor="text1"/>
          <w:sz w:val="24"/>
          <w:szCs w:val="24"/>
        </w:rPr>
        <w:t>Bank Mandiri Cabang Bandung Buahbatu</w:t>
      </w:r>
    </w:p>
    <w:p w:rsidR="00631FE1" w:rsidRDefault="00631FE1" w:rsidP="005C0C6E">
      <w:pPr>
        <w:pStyle w:val="ListParagraph"/>
        <w:spacing w:line="480" w:lineRule="auto"/>
        <w:ind w:left="0" w:firstLine="450"/>
        <w:jc w:val="both"/>
        <w:rPr>
          <w:rFonts w:ascii="Times New Roman" w:hAnsi="Times New Roman" w:cs="Times New Roman"/>
          <w:sz w:val="24"/>
          <w:szCs w:val="24"/>
        </w:rPr>
      </w:pPr>
    </w:p>
    <w:p w:rsidR="009000C9" w:rsidRDefault="009000C9" w:rsidP="005C0C6E">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Tahun 2014</w:t>
      </w:r>
      <w:r w:rsidR="00631FE1">
        <w:rPr>
          <w:rFonts w:ascii="Times New Roman" w:hAnsi="Times New Roman" w:cs="Times New Roman"/>
          <w:sz w:val="24"/>
          <w:szCs w:val="24"/>
        </w:rPr>
        <w:t xml:space="preserve"> Bank Mandiri Cabang Bandung Buahbatu </w:t>
      </w:r>
      <w:r w:rsidR="00631FE1">
        <w:rPr>
          <w:rFonts w:ascii="Times New Roman" w:eastAsia="Times New Roman" w:hAnsi="Times New Roman" w:cs="Times New Roman"/>
          <w:color w:val="000000" w:themeColor="text1"/>
          <w:sz w:val="24"/>
          <w:szCs w:val="24"/>
        </w:rPr>
        <w:t xml:space="preserve">terjadi lonjakkan posisi saldo Dana Pihak Ketiga (DPK) yang cukup tinggi, </w:t>
      </w:r>
      <w:r w:rsidR="007E6938">
        <w:rPr>
          <w:rFonts w:ascii="Times New Roman" w:eastAsia="Times New Roman" w:hAnsi="Times New Roman" w:cs="Times New Roman"/>
          <w:color w:val="000000" w:themeColor="text1"/>
          <w:sz w:val="24"/>
          <w:szCs w:val="24"/>
        </w:rPr>
        <w:t>produk tabungan</w:t>
      </w:r>
      <w:r w:rsidR="00631FE1">
        <w:rPr>
          <w:rFonts w:ascii="Times New Roman" w:eastAsia="Times New Roman" w:hAnsi="Times New Roman" w:cs="Times New Roman"/>
          <w:color w:val="000000" w:themeColor="text1"/>
          <w:sz w:val="24"/>
          <w:szCs w:val="24"/>
        </w:rPr>
        <w:t xml:space="preserve"> </w:t>
      </w:r>
      <w:r w:rsidR="007E6938">
        <w:rPr>
          <w:rFonts w:ascii="Times New Roman" w:eastAsia="Times New Roman" w:hAnsi="Times New Roman" w:cs="Times New Roman"/>
          <w:color w:val="000000" w:themeColor="text1"/>
          <w:sz w:val="24"/>
          <w:szCs w:val="24"/>
        </w:rPr>
        <w:t>m</w:t>
      </w:r>
      <w:r w:rsidR="00631FE1">
        <w:rPr>
          <w:rFonts w:ascii="Times New Roman" w:eastAsia="Times New Roman" w:hAnsi="Times New Roman" w:cs="Times New Roman"/>
          <w:color w:val="000000" w:themeColor="text1"/>
          <w:sz w:val="24"/>
          <w:szCs w:val="24"/>
        </w:rPr>
        <w:t xml:space="preserve">engalami fluktuasi disetiap bulannya, </w:t>
      </w:r>
      <w:r w:rsidR="007E6938">
        <w:rPr>
          <w:rFonts w:ascii="Times New Roman" w:eastAsia="Times New Roman" w:hAnsi="Times New Roman" w:cs="Times New Roman"/>
          <w:color w:val="000000" w:themeColor="text1"/>
          <w:sz w:val="24"/>
          <w:szCs w:val="24"/>
        </w:rPr>
        <w:t xml:space="preserve">perubahan tertinggi pada bulan Oktober 2014. Produk </w:t>
      </w:r>
      <w:r w:rsidR="00631FE1">
        <w:rPr>
          <w:rFonts w:ascii="Times New Roman" w:eastAsia="Times New Roman" w:hAnsi="Times New Roman" w:cs="Times New Roman"/>
          <w:color w:val="000000" w:themeColor="text1"/>
          <w:sz w:val="24"/>
          <w:szCs w:val="24"/>
        </w:rPr>
        <w:t xml:space="preserve">giro </w:t>
      </w:r>
      <w:r w:rsidR="007E6938">
        <w:rPr>
          <w:rFonts w:ascii="Times New Roman" w:eastAsia="Times New Roman" w:hAnsi="Times New Roman" w:cs="Times New Roman"/>
          <w:color w:val="000000" w:themeColor="text1"/>
          <w:sz w:val="24"/>
          <w:szCs w:val="24"/>
        </w:rPr>
        <w:t xml:space="preserve">terdapat peningkatan </w:t>
      </w:r>
      <w:proofErr w:type="gramStart"/>
      <w:r w:rsidR="007E6938">
        <w:rPr>
          <w:rFonts w:ascii="Times New Roman" w:eastAsia="Times New Roman" w:hAnsi="Times New Roman" w:cs="Times New Roman"/>
          <w:color w:val="000000" w:themeColor="text1"/>
          <w:sz w:val="24"/>
          <w:szCs w:val="24"/>
        </w:rPr>
        <w:t>dana</w:t>
      </w:r>
      <w:proofErr w:type="gramEnd"/>
      <w:r w:rsidR="007E6938">
        <w:rPr>
          <w:rFonts w:ascii="Times New Roman" w:eastAsia="Times New Roman" w:hAnsi="Times New Roman" w:cs="Times New Roman"/>
          <w:color w:val="000000" w:themeColor="text1"/>
          <w:sz w:val="24"/>
          <w:szCs w:val="24"/>
        </w:rPr>
        <w:t xml:space="preserve"> dibulan November 2014 namun bulan Desember 2014 mengalami penurunan. </w:t>
      </w:r>
      <w:proofErr w:type="gramStart"/>
      <w:r w:rsidR="007E6938">
        <w:rPr>
          <w:rFonts w:ascii="Times New Roman" w:eastAsia="Times New Roman" w:hAnsi="Times New Roman" w:cs="Times New Roman"/>
          <w:color w:val="000000" w:themeColor="text1"/>
          <w:sz w:val="24"/>
          <w:szCs w:val="24"/>
        </w:rPr>
        <w:t>Produk Deposito selama tahun 2014 mengalami kenaikan secara bertahap dari setiap bulannya.</w:t>
      </w:r>
      <w:proofErr w:type="gramEnd"/>
      <w:r w:rsidR="007E6938">
        <w:rPr>
          <w:rFonts w:ascii="Times New Roman" w:eastAsia="Times New Roman" w:hAnsi="Times New Roman" w:cs="Times New Roman"/>
          <w:color w:val="000000" w:themeColor="text1"/>
          <w:sz w:val="24"/>
          <w:szCs w:val="24"/>
        </w:rPr>
        <w:t xml:space="preserve"> </w:t>
      </w:r>
      <w:proofErr w:type="gramStart"/>
      <w:r w:rsidR="007E6938">
        <w:rPr>
          <w:rFonts w:ascii="Times New Roman" w:eastAsia="Times New Roman" w:hAnsi="Times New Roman" w:cs="Times New Roman"/>
          <w:color w:val="000000" w:themeColor="text1"/>
          <w:sz w:val="24"/>
          <w:szCs w:val="24"/>
        </w:rPr>
        <w:t xml:space="preserve">Secara keseluruhan </w:t>
      </w:r>
      <w:r w:rsidR="007E6938">
        <w:rPr>
          <w:rFonts w:ascii="Times New Roman" w:eastAsia="Times New Roman" w:hAnsi="Times New Roman" w:cs="Times New Roman"/>
          <w:color w:val="000000" w:themeColor="text1"/>
          <w:sz w:val="24"/>
          <w:szCs w:val="24"/>
        </w:rPr>
        <w:lastRenderedPageBreak/>
        <w:t>produk DPK ditahun 2014 mengalami peningkatan secara bertahap</w:t>
      </w:r>
      <w:r w:rsidR="00631FE1">
        <w:rPr>
          <w:rFonts w:ascii="Times New Roman" w:eastAsia="Times New Roman" w:hAnsi="Times New Roman" w:cs="Times New Roman"/>
          <w:color w:val="000000" w:themeColor="text1"/>
          <w:sz w:val="24"/>
          <w:szCs w:val="24"/>
        </w:rPr>
        <w:t xml:space="preserve"> sebagaimana terlihat di Gambar 1.3 dibawah ini.</w:t>
      </w:r>
      <w:proofErr w:type="gramEnd"/>
    </w:p>
    <w:p w:rsidR="00631FE1" w:rsidRDefault="007E6938" w:rsidP="001B60C9">
      <w:pPr>
        <w:pStyle w:val="ListParagraph"/>
        <w:spacing w:line="480" w:lineRule="auto"/>
        <w:ind w:left="450"/>
        <w:jc w:val="center"/>
        <w:rPr>
          <w:rFonts w:ascii="Times New Roman" w:hAnsi="Times New Roman" w:cs="Times New Roman"/>
          <w:sz w:val="24"/>
          <w:szCs w:val="24"/>
        </w:rPr>
      </w:pPr>
      <w:r>
        <w:rPr>
          <w:noProof/>
        </w:rPr>
        <w:drawing>
          <wp:inline distT="0" distB="0" distL="0" distR="0">
            <wp:extent cx="1866900" cy="1743075"/>
            <wp:effectExtent l="19050" t="0" r="1905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extent cx="1857375" cy="1743075"/>
            <wp:effectExtent l="19050" t="0" r="9525"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extent cx="1866900" cy="1666875"/>
            <wp:effectExtent l="19050" t="0" r="19050"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rPr>
        <w:drawing>
          <wp:inline distT="0" distB="0" distL="0" distR="0">
            <wp:extent cx="1857375" cy="1666875"/>
            <wp:effectExtent l="19050" t="0" r="9525"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E6938" w:rsidRPr="00C07DA7" w:rsidRDefault="007E6938" w:rsidP="007E6938">
      <w:pPr>
        <w:pStyle w:val="ListParagraph"/>
        <w:spacing w:line="240" w:lineRule="auto"/>
        <w:ind w:left="0"/>
        <w:jc w:val="center"/>
        <w:rPr>
          <w:rFonts w:ascii="Times New Roman" w:eastAsia="Times New Roman" w:hAnsi="Times New Roman" w:cs="Times New Roman"/>
          <w:b/>
          <w:color w:val="000000" w:themeColor="text1"/>
          <w:sz w:val="24"/>
          <w:szCs w:val="24"/>
        </w:rPr>
      </w:pPr>
      <w:r w:rsidRPr="00C07DA7">
        <w:rPr>
          <w:rFonts w:ascii="Times New Roman" w:eastAsia="Times New Roman" w:hAnsi="Times New Roman" w:cs="Times New Roman"/>
          <w:b/>
          <w:color w:val="000000" w:themeColor="text1"/>
          <w:sz w:val="24"/>
          <w:szCs w:val="24"/>
        </w:rPr>
        <w:t>Gambar 1.</w:t>
      </w:r>
      <w:r>
        <w:rPr>
          <w:rFonts w:ascii="Times New Roman" w:eastAsia="Times New Roman" w:hAnsi="Times New Roman" w:cs="Times New Roman"/>
          <w:b/>
          <w:color w:val="000000" w:themeColor="text1"/>
          <w:sz w:val="24"/>
          <w:szCs w:val="24"/>
        </w:rPr>
        <w:t>3</w:t>
      </w:r>
    </w:p>
    <w:p w:rsidR="007E6938" w:rsidRDefault="007E6938" w:rsidP="007E6938">
      <w:pPr>
        <w:pStyle w:val="ListParagraph"/>
        <w:spacing w:line="240" w:lineRule="auto"/>
        <w:ind w:left="0"/>
        <w:jc w:val="center"/>
        <w:rPr>
          <w:rFonts w:ascii="Times New Roman" w:eastAsia="Times New Roman" w:hAnsi="Times New Roman" w:cs="Times New Roman"/>
          <w:b/>
          <w:color w:val="000000" w:themeColor="text1"/>
          <w:sz w:val="24"/>
          <w:szCs w:val="24"/>
        </w:rPr>
      </w:pPr>
      <w:r w:rsidRPr="00C07DA7">
        <w:rPr>
          <w:rFonts w:ascii="Times New Roman" w:eastAsia="Times New Roman" w:hAnsi="Times New Roman" w:cs="Times New Roman"/>
          <w:b/>
          <w:color w:val="000000" w:themeColor="text1"/>
          <w:sz w:val="24"/>
          <w:szCs w:val="24"/>
        </w:rPr>
        <w:t xml:space="preserve">Posisi Dana Pihak Ketiga (DPK) </w:t>
      </w:r>
      <w:r>
        <w:rPr>
          <w:rFonts w:ascii="Times New Roman" w:eastAsia="Times New Roman" w:hAnsi="Times New Roman" w:cs="Times New Roman"/>
          <w:b/>
          <w:color w:val="000000" w:themeColor="text1"/>
          <w:sz w:val="24"/>
          <w:szCs w:val="24"/>
        </w:rPr>
        <w:t>tahun 2014</w:t>
      </w:r>
    </w:p>
    <w:p w:rsidR="00631FE1" w:rsidRDefault="007E6938" w:rsidP="007E6938">
      <w:pPr>
        <w:pStyle w:val="ListParagraph"/>
        <w:spacing w:line="480" w:lineRule="auto"/>
        <w:ind w:left="0"/>
        <w:jc w:val="center"/>
        <w:rPr>
          <w:rFonts w:ascii="Times New Roman" w:hAnsi="Times New Roman" w:cs="Times New Roman"/>
          <w:sz w:val="24"/>
          <w:szCs w:val="24"/>
        </w:rPr>
      </w:pPr>
      <w:r w:rsidRPr="00C07DA7">
        <w:rPr>
          <w:rFonts w:ascii="Times New Roman" w:eastAsia="Times New Roman" w:hAnsi="Times New Roman" w:cs="Times New Roman"/>
          <w:b/>
          <w:color w:val="000000" w:themeColor="text1"/>
          <w:sz w:val="24"/>
          <w:szCs w:val="24"/>
        </w:rPr>
        <w:t>Bank Mandiri Cabang Bandung Buahbatu</w:t>
      </w:r>
    </w:p>
    <w:p w:rsidR="00A7189F" w:rsidRDefault="00A7189F" w:rsidP="005C0C6E">
      <w:pPr>
        <w:pStyle w:val="ListParagraph"/>
        <w:spacing w:line="480" w:lineRule="auto"/>
        <w:ind w:left="0" w:firstLine="450"/>
        <w:jc w:val="both"/>
        <w:rPr>
          <w:rFonts w:ascii="Times New Roman" w:hAnsi="Times New Roman" w:cs="Times New Roman"/>
          <w:sz w:val="24"/>
          <w:szCs w:val="24"/>
        </w:rPr>
      </w:pPr>
    </w:p>
    <w:p w:rsidR="005326D8" w:rsidRDefault="00D818E6" w:rsidP="005C0C6E">
      <w:pPr>
        <w:pStyle w:val="ListParagraph"/>
        <w:spacing w:line="480" w:lineRule="auto"/>
        <w:ind w:left="0" w:firstLine="450"/>
        <w:jc w:val="both"/>
        <w:rPr>
          <w:rFonts w:ascii="Times New Roman" w:hAnsi="Times New Roman" w:cs="Times New Roman"/>
          <w:b/>
          <w:sz w:val="24"/>
          <w:szCs w:val="24"/>
        </w:rPr>
      </w:pPr>
      <w:r>
        <w:rPr>
          <w:rFonts w:ascii="Times New Roman" w:hAnsi="Times New Roman" w:cs="Times New Roman"/>
          <w:sz w:val="24"/>
          <w:szCs w:val="24"/>
        </w:rPr>
        <w:t>Berdasarkan latar belakang tersebut maka</w:t>
      </w:r>
      <w:r w:rsidR="005326D8">
        <w:rPr>
          <w:rFonts w:ascii="Times New Roman" w:hAnsi="Times New Roman" w:cs="Times New Roman"/>
          <w:sz w:val="24"/>
          <w:szCs w:val="24"/>
        </w:rPr>
        <w:t xml:space="preserve"> penulis </w:t>
      </w:r>
      <w:r>
        <w:rPr>
          <w:rFonts w:ascii="Times New Roman" w:hAnsi="Times New Roman" w:cs="Times New Roman"/>
          <w:sz w:val="24"/>
          <w:szCs w:val="24"/>
        </w:rPr>
        <w:t>m</w:t>
      </w:r>
      <w:r w:rsidR="005326D8">
        <w:rPr>
          <w:rFonts w:ascii="Times New Roman" w:hAnsi="Times New Roman" w:cs="Times New Roman"/>
          <w:sz w:val="24"/>
          <w:szCs w:val="24"/>
        </w:rPr>
        <w:t xml:space="preserve">elakukan penelitian </w:t>
      </w:r>
      <w:r>
        <w:rPr>
          <w:rFonts w:ascii="Times New Roman" w:hAnsi="Times New Roman" w:cs="Times New Roman"/>
          <w:sz w:val="24"/>
          <w:szCs w:val="24"/>
        </w:rPr>
        <w:t>ini mengambil</w:t>
      </w:r>
      <w:r w:rsidR="005326D8">
        <w:rPr>
          <w:rFonts w:ascii="Times New Roman" w:hAnsi="Times New Roman" w:cs="Times New Roman"/>
          <w:sz w:val="24"/>
          <w:szCs w:val="24"/>
        </w:rPr>
        <w:t xml:space="preserve"> </w:t>
      </w:r>
      <w:proofErr w:type="gramStart"/>
      <w:r w:rsidR="005326D8">
        <w:rPr>
          <w:rFonts w:ascii="Times New Roman" w:hAnsi="Times New Roman" w:cs="Times New Roman"/>
          <w:sz w:val="24"/>
          <w:szCs w:val="24"/>
        </w:rPr>
        <w:t>judul :</w:t>
      </w:r>
      <w:proofErr w:type="gramEnd"/>
      <w:r w:rsidR="005326D8">
        <w:rPr>
          <w:rFonts w:ascii="Times New Roman" w:hAnsi="Times New Roman" w:cs="Times New Roman"/>
          <w:sz w:val="24"/>
          <w:szCs w:val="24"/>
        </w:rPr>
        <w:t xml:space="preserve"> </w:t>
      </w:r>
      <w:r w:rsidR="00CC3BC2">
        <w:rPr>
          <w:rFonts w:ascii="Times New Roman" w:hAnsi="Times New Roman" w:cs="Times New Roman"/>
          <w:b/>
          <w:sz w:val="24"/>
          <w:szCs w:val="24"/>
        </w:rPr>
        <w:t xml:space="preserve">Perbandingan </w:t>
      </w:r>
      <w:r w:rsidR="004979B2">
        <w:rPr>
          <w:rFonts w:ascii="Times New Roman" w:hAnsi="Times New Roman" w:cs="Times New Roman"/>
          <w:b/>
          <w:sz w:val="24"/>
          <w:szCs w:val="24"/>
        </w:rPr>
        <w:t xml:space="preserve">Produk Dana Pihak Ketiga (DPK) Dalam </w:t>
      </w:r>
      <w:r w:rsidR="0020760B">
        <w:rPr>
          <w:rFonts w:ascii="Times New Roman" w:hAnsi="Times New Roman" w:cs="Times New Roman"/>
          <w:b/>
          <w:sz w:val="24"/>
          <w:szCs w:val="24"/>
        </w:rPr>
        <w:t>Upay</w:t>
      </w:r>
      <w:r w:rsidR="004979B2">
        <w:rPr>
          <w:rFonts w:ascii="Times New Roman" w:hAnsi="Times New Roman" w:cs="Times New Roman"/>
          <w:b/>
          <w:sz w:val="24"/>
          <w:szCs w:val="24"/>
        </w:rPr>
        <w:t>a Pengelolaan</w:t>
      </w:r>
      <w:r w:rsidR="00EC18A7">
        <w:rPr>
          <w:rFonts w:ascii="Times New Roman" w:hAnsi="Times New Roman" w:cs="Times New Roman"/>
          <w:b/>
          <w:sz w:val="24"/>
          <w:szCs w:val="24"/>
        </w:rPr>
        <w:t xml:space="preserve"> </w:t>
      </w:r>
      <w:r w:rsidR="00CC3BC2">
        <w:rPr>
          <w:rFonts w:ascii="Times New Roman" w:hAnsi="Times New Roman" w:cs="Times New Roman"/>
          <w:b/>
          <w:sz w:val="24"/>
          <w:szCs w:val="24"/>
        </w:rPr>
        <w:t>R</w:t>
      </w:r>
      <w:r w:rsidR="005326D8" w:rsidRPr="00452D17">
        <w:rPr>
          <w:rFonts w:ascii="Times New Roman" w:hAnsi="Times New Roman" w:cs="Times New Roman"/>
          <w:b/>
          <w:sz w:val="24"/>
          <w:szCs w:val="24"/>
        </w:rPr>
        <w:t xml:space="preserve">isiko </w:t>
      </w:r>
      <w:r w:rsidR="00CC3BC2">
        <w:rPr>
          <w:rFonts w:ascii="Times New Roman" w:hAnsi="Times New Roman" w:cs="Times New Roman"/>
          <w:b/>
          <w:sz w:val="24"/>
          <w:szCs w:val="24"/>
        </w:rPr>
        <w:t>Pasar</w:t>
      </w:r>
      <w:r w:rsidR="005326D8" w:rsidRPr="00452D17">
        <w:rPr>
          <w:rFonts w:ascii="Times New Roman" w:hAnsi="Times New Roman" w:cs="Times New Roman"/>
          <w:b/>
          <w:sz w:val="24"/>
          <w:szCs w:val="24"/>
        </w:rPr>
        <w:t xml:space="preserve"> </w:t>
      </w:r>
      <w:r w:rsidR="00CC1E68">
        <w:rPr>
          <w:rFonts w:ascii="Times New Roman" w:hAnsi="Times New Roman" w:cs="Times New Roman"/>
          <w:b/>
          <w:sz w:val="24"/>
          <w:szCs w:val="24"/>
        </w:rPr>
        <w:t xml:space="preserve">pada </w:t>
      </w:r>
      <w:r w:rsidR="00133691">
        <w:rPr>
          <w:rFonts w:ascii="Times New Roman" w:hAnsi="Times New Roman" w:cs="Times New Roman"/>
          <w:b/>
          <w:sz w:val="24"/>
          <w:szCs w:val="24"/>
        </w:rPr>
        <w:t xml:space="preserve">PT. </w:t>
      </w:r>
      <w:r w:rsidR="005326D8" w:rsidRPr="00452D17">
        <w:rPr>
          <w:rFonts w:ascii="Times New Roman" w:hAnsi="Times New Roman" w:cs="Times New Roman"/>
          <w:b/>
          <w:sz w:val="24"/>
          <w:szCs w:val="24"/>
        </w:rPr>
        <w:t>Ban</w:t>
      </w:r>
      <w:r w:rsidR="00CC1E68">
        <w:rPr>
          <w:rFonts w:ascii="Times New Roman" w:hAnsi="Times New Roman" w:cs="Times New Roman"/>
          <w:b/>
          <w:sz w:val="24"/>
          <w:szCs w:val="24"/>
        </w:rPr>
        <w:t xml:space="preserve">k Mandiri </w:t>
      </w:r>
      <w:r w:rsidR="00133691">
        <w:rPr>
          <w:rFonts w:ascii="Times New Roman" w:hAnsi="Times New Roman" w:cs="Times New Roman"/>
          <w:b/>
          <w:sz w:val="24"/>
          <w:szCs w:val="24"/>
        </w:rPr>
        <w:t xml:space="preserve">(Persero) Tbk </w:t>
      </w:r>
      <w:r w:rsidR="00CC1E68">
        <w:rPr>
          <w:rFonts w:ascii="Times New Roman" w:hAnsi="Times New Roman" w:cs="Times New Roman"/>
          <w:b/>
          <w:sz w:val="24"/>
          <w:szCs w:val="24"/>
        </w:rPr>
        <w:t>Cabang Bandung Buahbatu</w:t>
      </w:r>
      <w:r w:rsidR="005326D8" w:rsidRPr="00452D17">
        <w:rPr>
          <w:rFonts w:ascii="Times New Roman" w:hAnsi="Times New Roman" w:cs="Times New Roman"/>
          <w:b/>
          <w:sz w:val="24"/>
          <w:szCs w:val="24"/>
        </w:rPr>
        <w:t>.</w:t>
      </w:r>
    </w:p>
    <w:p w:rsidR="00BA0374" w:rsidRDefault="00BA0374" w:rsidP="005C0C6E">
      <w:pPr>
        <w:pStyle w:val="ListParagraph"/>
        <w:spacing w:line="480" w:lineRule="auto"/>
        <w:ind w:left="0" w:firstLine="450"/>
        <w:jc w:val="both"/>
        <w:rPr>
          <w:rFonts w:ascii="Times New Roman" w:hAnsi="Times New Roman" w:cs="Times New Roman"/>
          <w:b/>
          <w:sz w:val="24"/>
          <w:szCs w:val="24"/>
        </w:rPr>
      </w:pPr>
    </w:p>
    <w:p w:rsidR="005C0C6E" w:rsidRPr="00FC5618" w:rsidRDefault="00FC5618" w:rsidP="00FC5618">
      <w:pPr>
        <w:pStyle w:val="ListParagraph"/>
        <w:numPr>
          <w:ilvl w:val="1"/>
          <w:numId w:val="1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5C0C6E" w:rsidRPr="00FC5618">
        <w:rPr>
          <w:rFonts w:ascii="Times New Roman" w:hAnsi="Times New Roman" w:cs="Times New Roman"/>
          <w:b/>
          <w:sz w:val="24"/>
          <w:szCs w:val="24"/>
        </w:rPr>
        <w:t>Identifikasi Masalah</w:t>
      </w:r>
    </w:p>
    <w:p w:rsidR="008B47AF" w:rsidRDefault="00D33C3C" w:rsidP="00D60CC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pembahasan di atas, kajian identifikasi permasalahan di dalam penelitian ini dapat disimpulkan sebagai berikut:</w:t>
      </w:r>
    </w:p>
    <w:p w:rsidR="00D33C3C" w:rsidRDefault="00BD28C5" w:rsidP="007F3B79">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Krisis keuangan global mendorong perlunya peningkatan efektivitas penerapan Manajemen Risiko dan praktek tata kelola bank yang sehat </w:t>
      </w:r>
      <w:r w:rsidRPr="005C0C6E">
        <w:rPr>
          <w:rFonts w:ascii="Times New Roman" w:hAnsi="Times New Roman" w:cs="Times New Roman"/>
          <w:i/>
          <w:sz w:val="24"/>
          <w:szCs w:val="24"/>
        </w:rPr>
        <w:t>(Good Corporate Governance)</w:t>
      </w:r>
      <w:r>
        <w:rPr>
          <w:rFonts w:ascii="Times New Roman" w:hAnsi="Times New Roman" w:cs="Times New Roman"/>
          <w:i/>
          <w:sz w:val="24"/>
          <w:szCs w:val="24"/>
        </w:rPr>
        <w:t>.</w:t>
      </w:r>
    </w:p>
    <w:p w:rsidR="00BD28C5" w:rsidRDefault="00BD28C5" w:rsidP="007F3B79">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Peningkatan fungsi identifikasi, pengukuran, pemantauan dan pengendalian risiko dimaksudkan agar aktivitas usaha yang dilakukan oleh bank tidak menimbulkan kerugian yang melebihi kemampuan bank atau yang dapat mengganggu kelangsungan usaha bank.</w:t>
      </w:r>
    </w:p>
    <w:p w:rsidR="00F35FDC" w:rsidRDefault="00F35FDC" w:rsidP="007F3B79">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Produk </w:t>
      </w:r>
      <w:r w:rsidR="00DD0D1C">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 xml:space="preserve">abungan </w:t>
      </w:r>
      <w:r w:rsidR="00DD0D1C">
        <w:rPr>
          <w:rFonts w:ascii="Times New Roman" w:eastAsia="Times New Roman" w:hAnsi="Times New Roman" w:cs="Times New Roman"/>
          <w:color w:val="000000" w:themeColor="text1"/>
          <w:sz w:val="24"/>
          <w:szCs w:val="24"/>
        </w:rPr>
        <w:t xml:space="preserve">Bank Mandiri Cabang Bandung Buahbatu </w:t>
      </w:r>
      <w:r>
        <w:rPr>
          <w:rFonts w:ascii="Times New Roman" w:eastAsia="Times New Roman" w:hAnsi="Times New Roman" w:cs="Times New Roman"/>
          <w:color w:val="000000" w:themeColor="text1"/>
          <w:sz w:val="24"/>
          <w:szCs w:val="24"/>
        </w:rPr>
        <w:t>mengalami pen</w:t>
      </w:r>
      <w:r w:rsidR="00DD0D1C">
        <w:rPr>
          <w:rFonts w:ascii="Times New Roman" w:eastAsia="Times New Roman" w:hAnsi="Times New Roman" w:cs="Times New Roman"/>
          <w:color w:val="000000" w:themeColor="text1"/>
          <w:sz w:val="24"/>
          <w:szCs w:val="24"/>
        </w:rPr>
        <w:t>ingkatan</w:t>
      </w:r>
      <w:r>
        <w:rPr>
          <w:rFonts w:ascii="Times New Roman" w:eastAsia="Times New Roman" w:hAnsi="Times New Roman" w:cs="Times New Roman"/>
          <w:color w:val="000000" w:themeColor="text1"/>
          <w:sz w:val="24"/>
          <w:szCs w:val="24"/>
        </w:rPr>
        <w:t xml:space="preserve"> </w:t>
      </w:r>
      <w:r w:rsidR="00DD0D1C">
        <w:rPr>
          <w:rFonts w:ascii="Times New Roman" w:eastAsia="Times New Roman" w:hAnsi="Times New Roman" w:cs="Times New Roman"/>
          <w:color w:val="000000" w:themeColor="text1"/>
          <w:sz w:val="24"/>
          <w:szCs w:val="24"/>
        </w:rPr>
        <w:t>selama tiga tahun terakhir, namun pada tahun 2015 mengalami penurunan dan tahun 2016 meningkat kembali</w:t>
      </w:r>
      <w:r>
        <w:rPr>
          <w:rFonts w:ascii="Times New Roman" w:eastAsia="Times New Roman" w:hAnsi="Times New Roman" w:cs="Times New Roman"/>
          <w:color w:val="000000" w:themeColor="text1"/>
          <w:sz w:val="24"/>
          <w:szCs w:val="24"/>
        </w:rPr>
        <w:t xml:space="preserve"> melebihi dari posisi </w:t>
      </w:r>
      <w:r w:rsidR="00DD0D1C">
        <w:rPr>
          <w:rFonts w:ascii="Times New Roman" w:eastAsia="Times New Roman" w:hAnsi="Times New Roman" w:cs="Times New Roman"/>
          <w:color w:val="000000" w:themeColor="text1"/>
          <w:sz w:val="24"/>
          <w:szCs w:val="24"/>
        </w:rPr>
        <w:t>akhir tahun sebelumnya</w:t>
      </w:r>
      <w:r>
        <w:rPr>
          <w:rFonts w:ascii="Times New Roman" w:eastAsia="Times New Roman" w:hAnsi="Times New Roman" w:cs="Times New Roman"/>
          <w:color w:val="000000" w:themeColor="text1"/>
          <w:sz w:val="24"/>
          <w:szCs w:val="24"/>
        </w:rPr>
        <w:t>.</w:t>
      </w:r>
    </w:p>
    <w:p w:rsidR="00FD1CD7" w:rsidRPr="00FD1CD7" w:rsidRDefault="00FD1CD7" w:rsidP="007F3B79">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Produk </w:t>
      </w:r>
      <w:r w:rsidR="00DD0D1C">
        <w:rPr>
          <w:rFonts w:ascii="Times New Roman" w:hAnsi="Times New Roman" w:cs="Times New Roman"/>
          <w:sz w:val="24"/>
          <w:szCs w:val="24"/>
        </w:rPr>
        <w:t>Giro</w:t>
      </w:r>
      <w:r>
        <w:rPr>
          <w:rFonts w:ascii="Times New Roman" w:hAnsi="Times New Roman" w:cs="Times New Roman"/>
          <w:sz w:val="24"/>
          <w:szCs w:val="24"/>
        </w:rPr>
        <w:t xml:space="preserve"> Bank Mandiri Cabang Bandung Buahbatu </w:t>
      </w:r>
      <w:r w:rsidR="00DD0D1C">
        <w:rPr>
          <w:rFonts w:ascii="Times New Roman" w:hAnsi="Times New Roman" w:cs="Times New Roman"/>
          <w:sz w:val="24"/>
          <w:szCs w:val="24"/>
        </w:rPr>
        <w:t xml:space="preserve">mengalami fluktuasi tertinggi yaitu peningkatan </w:t>
      </w:r>
      <w:proofErr w:type="gramStart"/>
      <w:r w:rsidR="00DD0D1C">
        <w:rPr>
          <w:rFonts w:ascii="Times New Roman" w:hAnsi="Times New Roman" w:cs="Times New Roman"/>
          <w:sz w:val="24"/>
          <w:szCs w:val="24"/>
        </w:rPr>
        <w:t>dana</w:t>
      </w:r>
      <w:proofErr w:type="gramEnd"/>
      <w:r w:rsidR="00DD0D1C">
        <w:rPr>
          <w:rFonts w:ascii="Times New Roman" w:hAnsi="Times New Roman" w:cs="Times New Roman"/>
          <w:sz w:val="24"/>
          <w:szCs w:val="24"/>
        </w:rPr>
        <w:t xml:space="preserve"> pada bulan Oktober 2014 dan penurunan dana di</w:t>
      </w:r>
      <w:r>
        <w:rPr>
          <w:rFonts w:ascii="Times New Roman" w:hAnsi="Times New Roman" w:cs="Times New Roman"/>
          <w:sz w:val="24"/>
          <w:szCs w:val="24"/>
        </w:rPr>
        <w:t xml:space="preserve"> </w:t>
      </w:r>
      <w:r w:rsidR="00DD0D1C">
        <w:rPr>
          <w:rFonts w:ascii="Times New Roman" w:hAnsi="Times New Roman" w:cs="Times New Roman"/>
          <w:sz w:val="24"/>
          <w:szCs w:val="24"/>
        </w:rPr>
        <w:t>bulan September 2015</w:t>
      </w:r>
      <w:r>
        <w:rPr>
          <w:rFonts w:ascii="Times New Roman" w:eastAsia="Times New Roman" w:hAnsi="Times New Roman" w:cs="Times New Roman"/>
          <w:color w:val="000000" w:themeColor="text1"/>
          <w:sz w:val="24"/>
          <w:szCs w:val="24"/>
        </w:rPr>
        <w:t>.</w:t>
      </w:r>
    </w:p>
    <w:p w:rsidR="00FD1CD7" w:rsidRDefault="00FD1CD7" w:rsidP="007F3B79">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Produk </w:t>
      </w:r>
      <w:r w:rsidR="00DD0D1C">
        <w:rPr>
          <w:rFonts w:ascii="Times New Roman" w:hAnsi="Times New Roman" w:cs="Times New Roman"/>
          <w:sz w:val="24"/>
          <w:szCs w:val="24"/>
        </w:rPr>
        <w:t>Deposito</w:t>
      </w:r>
      <w:r>
        <w:rPr>
          <w:rFonts w:ascii="Times New Roman" w:hAnsi="Times New Roman" w:cs="Times New Roman"/>
          <w:sz w:val="24"/>
          <w:szCs w:val="24"/>
        </w:rPr>
        <w:t xml:space="preserve"> Bank Mandiri Cabang Bandung Buahbatu </w:t>
      </w:r>
      <w:r w:rsidR="00405733">
        <w:rPr>
          <w:rFonts w:ascii="Times New Roman" w:hAnsi="Times New Roman" w:cs="Times New Roman"/>
          <w:sz w:val="24"/>
          <w:szCs w:val="24"/>
        </w:rPr>
        <w:t xml:space="preserve">untuk posisi setiap akhir tahunnya dalam tiga tahun terakhir fluktuasinya sangat kecil, namun fluktuasi tertinggi berada </w:t>
      </w:r>
      <w:r>
        <w:rPr>
          <w:rFonts w:ascii="Times New Roman" w:hAnsi="Times New Roman" w:cs="Times New Roman"/>
          <w:sz w:val="24"/>
          <w:szCs w:val="24"/>
        </w:rPr>
        <w:t xml:space="preserve">pada </w:t>
      </w:r>
      <w:r w:rsidR="00405733">
        <w:rPr>
          <w:rFonts w:ascii="Times New Roman" w:hAnsi="Times New Roman" w:cs="Times New Roman"/>
          <w:sz w:val="24"/>
          <w:szCs w:val="24"/>
        </w:rPr>
        <w:t>bulan Juli sampai September 2016</w:t>
      </w:r>
      <w:r>
        <w:rPr>
          <w:rFonts w:ascii="Times New Roman" w:hAnsi="Times New Roman" w:cs="Times New Roman"/>
          <w:sz w:val="24"/>
          <w:szCs w:val="24"/>
        </w:rPr>
        <w:t xml:space="preserve"> mengalami pen</w:t>
      </w:r>
      <w:r w:rsidR="00405733">
        <w:rPr>
          <w:rFonts w:ascii="Times New Roman" w:hAnsi="Times New Roman" w:cs="Times New Roman"/>
          <w:sz w:val="24"/>
          <w:szCs w:val="24"/>
        </w:rPr>
        <w:t>urunan</w:t>
      </w:r>
      <w:r>
        <w:rPr>
          <w:rFonts w:ascii="Times New Roman" w:hAnsi="Times New Roman" w:cs="Times New Roman"/>
          <w:sz w:val="24"/>
          <w:szCs w:val="24"/>
        </w:rPr>
        <w:t xml:space="preserve"> saldo</w:t>
      </w:r>
      <w:r w:rsidR="00405733">
        <w:rPr>
          <w:rFonts w:ascii="Times New Roman" w:hAnsi="Times New Roman" w:cs="Times New Roman"/>
          <w:sz w:val="24"/>
          <w:szCs w:val="24"/>
        </w:rPr>
        <w:t>.</w:t>
      </w:r>
    </w:p>
    <w:p w:rsidR="00FD1CD7" w:rsidRDefault="00405733" w:rsidP="007F3B79">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Secara keseluruhan Dana Pihak Ketiga</w:t>
      </w:r>
      <w:r w:rsidR="00FD1CD7">
        <w:rPr>
          <w:rFonts w:ascii="Times New Roman" w:hAnsi="Times New Roman" w:cs="Times New Roman"/>
          <w:sz w:val="24"/>
          <w:szCs w:val="24"/>
        </w:rPr>
        <w:t xml:space="preserve"> Bank Mandiri Cabang Bandung Buahbatu </w:t>
      </w:r>
      <w:r>
        <w:rPr>
          <w:rFonts w:ascii="Times New Roman" w:hAnsi="Times New Roman" w:cs="Times New Roman"/>
          <w:sz w:val="24"/>
          <w:szCs w:val="24"/>
        </w:rPr>
        <w:t xml:space="preserve">mengalami peningkatan dalam tiga tahun terakhir ini yaitu dari </w:t>
      </w:r>
      <w:r w:rsidR="00B348A1">
        <w:rPr>
          <w:rFonts w:ascii="Times New Roman" w:hAnsi="Times New Roman" w:cs="Times New Roman"/>
          <w:sz w:val="24"/>
          <w:szCs w:val="24"/>
        </w:rPr>
        <w:t xml:space="preserve">tahun </w:t>
      </w:r>
      <w:r>
        <w:rPr>
          <w:rFonts w:ascii="Times New Roman" w:hAnsi="Times New Roman" w:cs="Times New Roman"/>
          <w:sz w:val="24"/>
          <w:szCs w:val="24"/>
        </w:rPr>
        <w:t xml:space="preserve">2014 sampai tahun </w:t>
      </w:r>
      <w:r w:rsidR="00B348A1">
        <w:rPr>
          <w:rFonts w:ascii="Times New Roman" w:hAnsi="Times New Roman" w:cs="Times New Roman"/>
          <w:sz w:val="24"/>
          <w:szCs w:val="24"/>
        </w:rPr>
        <w:t>2016</w:t>
      </w:r>
      <w:r>
        <w:rPr>
          <w:rFonts w:ascii="Times New Roman" w:hAnsi="Times New Roman" w:cs="Times New Roman"/>
          <w:sz w:val="24"/>
          <w:szCs w:val="24"/>
        </w:rPr>
        <w:t>.</w:t>
      </w:r>
    </w:p>
    <w:p w:rsidR="00F3699D" w:rsidRDefault="00F3699D" w:rsidP="00F3699D">
      <w:pPr>
        <w:pStyle w:val="ListParagraph"/>
        <w:spacing w:line="480" w:lineRule="auto"/>
        <w:ind w:left="1080"/>
        <w:jc w:val="both"/>
        <w:rPr>
          <w:rFonts w:ascii="Times New Roman" w:hAnsi="Times New Roman" w:cs="Times New Roman"/>
          <w:sz w:val="24"/>
          <w:szCs w:val="24"/>
        </w:rPr>
      </w:pPr>
    </w:p>
    <w:p w:rsidR="00315732" w:rsidRDefault="00315732" w:rsidP="00F3699D">
      <w:pPr>
        <w:pStyle w:val="ListParagraph"/>
        <w:spacing w:line="480" w:lineRule="auto"/>
        <w:ind w:left="1080"/>
        <w:jc w:val="both"/>
        <w:rPr>
          <w:rFonts w:ascii="Times New Roman" w:hAnsi="Times New Roman" w:cs="Times New Roman"/>
          <w:sz w:val="24"/>
          <w:szCs w:val="24"/>
        </w:rPr>
      </w:pPr>
    </w:p>
    <w:p w:rsidR="008B47AF" w:rsidRPr="008B1581" w:rsidRDefault="008B47AF" w:rsidP="00FC5618">
      <w:pPr>
        <w:pStyle w:val="ListParagraph"/>
        <w:numPr>
          <w:ilvl w:val="1"/>
          <w:numId w:val="16"/>
        </w:numPr>
        <w:spacing w:line="480" w:lineRule="auto"/>
        <w:ind w:left="720" w:hanging="720"/>
        <w:jc w:val="both"/>
        <w:rPr>
          <w:rFonts w:ascii="Times New Roman" w:hAnsi="Times New Roman" w:cs="Times New Roman"/>
          <w:b/>
          <w:sz w:val="24"/>
          <w:szCs w:val="24"/>
        </w:rPr>
      </w:pPr>
      <w:r w:rsidRPr="008B1581">
        <w:rPr>
          <w:rFonts w:ascii="Times New Roman" w:hAnsi="Times New Roman" w:cs="Times New Roman"/>
          <w:b/>
          <w:sz w:val="24"/>
          <w:szCs w:val="24"/>
        </w:rPr>
        <w:lastRenderedPageBreak/>
        <w:t>Rumusan Masalah</w:t>
      </w:r>
    </w:p>
    <w:p w:rsidR="008B47AF" w:rsidRDefault="008B47AF" w:rsidP="008B158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identifikasi masalah diatas maka dapat dirumuskan bahwa rumusan masalah dalam penelitian ini </w:t>
      </w:r>
      <w:proofErr w:type="gramStart"/>
      <w:r>
        <w:rPr>
          <w:rFonts w:ascii="Times New Roman" w:hAnsi="Times New Roman" w:cs="Times New Roman"/>
          <w:sz w:val="24"/>
          <w:szCs w:val="24"/>
        </w:rPr>
        <w:t>adalah :</w:t>
      </w:r>
      <w:proofErr w:type="gramEnd"/>
    </w:p>
    <w:p w:rsidR="008B47AF" w:rsidRDefault="004E27D8" w:rsidP="007F3B79">
      <w:pPr>
        <w:pStyle w:val="ListParagraph"/>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w:t>
      </w:r>
      <w:r w:rsidR="00B70725">
        <w:rPr>
          <w:rFonts w:ascii="Times New Roman" w:hAnsi="Times New Roman" w:cs="Times New Roman"/>
          <w:sz w:val="24"/>
          <w:szCs w:val="24"/>
        </w:rPr>
        <w:t xml:space="preserve"> </w:t>
      </w:r>
      <w:r w:rsidR="00417B7C">
        <w:rPr>
          <w:rFonts w:ascii="Times New Roman" w:hAnsi="Times New Roman" w:cs="Times New Roman"/>
          <w:sz w:val="24"/>
          <w:szCs w:val="24"/>
        </w:rPr>
        <w:t>kondisi</w:t>
      </w:r>
      <w:r w:rsidR="00143794">
        <w:rPr>
          <w:rFonts w:ascii="Times New Roman" w:hAnsi="Times New Roman" w:cs="Times New Roman"/>
          <w:sz w:val="24"/>
          <w:szCs w:val="24"/>
        </w:rPr>
        <w:t xml:space="preserve"> produk </w:t>
      </w:r>
      <w:r>
        <w:rPr>
          <w:rFonts w:ascii="Times New Roman" w:hAnsi="Times New Roman" w:cs="Times New Roman"/>
          <w:sz w:val="24"/>
          <w:szCs w:val="24"/>
        </w:rPr>
        <w:t>Dana Pihak Ketiga</w:t>
      </w:r>
      <w:r w:rsidR="007F3B79">
        <w:rPr>
          <w:rFonts w:ascii="Times New Roman" w:hAnsi="Times New Roman" w:cs="Times New Roman"/>
          <w:sz w:val="24"/>
          <w:szCs w:val="24"/>
        </w:rPr>
        <w:t xml:space="preserve"> di Bank Mandiri Cabang Bandung Buahbatu.</w:t>
      </w:r>
    </w:p>
    <w:p w:rsidR="004E27D8" w:rsidRDefault="004E27D8" w:rsidP="007F3B79">
      <w:pPr>
        <w:pStyle w:val="ListParagraph"/>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Adakah perbedaan antara </w:t>
      </w:r>
      <w:r w:rsidR="004F1FE8">
        <w:rPr>
          <w:rFonts w:ascii="Times New Roman" w:hAnsi="Times New Roman" w:cs="Times New Roman"/>
          <w:sz w:val="24"/>
          <w:szCs w:val="24"/>
        </w:rPr>
        <w:t>produk Giro dan Tabungan dalam pengelolaan</w:t>
      </w:r>
      <w:r w:rsidR="00A7038F">
        <w:rPr>
          <w:rFonts w:ascii="Times New Roman" w:hAnsi="Times New Roman" w:cs="Times New Roman"/>
          <w:sz w:val="24"/>
          <w:szCs w:val="24"/>
        </w:rPr>
        <w:t xml:space="preserve"> </w:t>
      </w:r>
      <w:r>
        <w:rPr>
          <w:rFonts w:ascii="Times New Roman" w:hAnsi="Times New Roman" w:cs="Times New Roman"/>
          <w:sz w:val="24"/>
          <w:szCs w:val="24"/>
        </w:rPr>
        <w:t>risiko pasar di Bank Mandiri Cabang Bandung Buahbatu.</w:t>
      </w:r>
    </w:p>
    <w:p w:rsidR="008B47AF" w:rsidRDefault="00143794" w:rsidP="007F3B79">
      <w:pPr>
        <w:pStyle w:val="ListParagraph"/>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Adakah perbedaan antara </w:t>
      </w:r>
      <w:r w:rsidR="004F1FE8">
        <w:rPr>
          <w:rFonts w:ascii="Times New Roman" w:hAnsi="Times New Roman" w:cs="Times New Roman"/>
          <w:sz w:val="24"/>
          <w:szCs w:val="24"/>
        </w:rPr>
        <w:t>produk Giro dan Deposito dalam pengelolaan</w:t>
      </w:r>
      <w:r w:rsidR="00A7038F">
        <w:rPr>
          <w:rFonts w:ascii="Times New Roman" w:hAnsi="Times New Roman" w:cs="Times New Roman"/>
          <w:sz w:val="24"/>
          <w:szCs w:val="24"/>
        </w:rPr>
        <w:t xml:space="preserve"> </w:t>
      </w:r>
      <w:r>
        <w:rPr>
          <w:rFonts w:ascii="Times New Roman" w:hAnsi="Times New Roman" w:cs="Times New Roman"/>
          <w:sz w:val="24"/>
          <w:szCs w:val="24"/>
        </w:rPr>
        <w:t xml:space="preserve">risiko pasar </w:t>
      </w:r>
      <w:r w:rsidR="007F3B79">
        <w:rPr>
          <w:rFonts w:ascii="Times New Roman" w:hAnsi="Times New Roman" w:cs="Times New Roman"/>
          <w:sz w:val="24"/>
          <w:szCs w:val="24"/>
        </w:rPr>
        <w:t>di Bank Mandiri Cabang Bandung Buahbatu.</w:t>
      </w:r>
    </w:p>
    <w:p w:rsidR="00B5142C" w:rsidRDefault="00143794" w:rsidP="007F3B79">
      <w:pPr>
        <w:pStyle w:val="ListParagraph"/>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Adakah perbedaan antara </w:t>
      </w:r>
      <w:r w:rsidR="004F1FE8">
        <w:rPr>
          <w:rFonts w:ascii="Times New Roman" w:hAnsi="Times New Roman" w:cs="Times New Roman"/>
          <w:sz w:val="24"/>
          <w:szCs w:val="24"/>
        </w:rPr>
        <w:t>produk Tabungan dan Deposito dalam pengelolaan</w:t>
      </w:r>
      <w:r>
        <w:rPr>
          <w:rFonts w:ascii="Times New Roman" w:hAnsi="Times New Roman" w:cs="Times New Roman"/>
          <w:sz w:val="24"/>
          <w:szCs w:val="24"/>
        </w:rPr>
        <w:t xml:space="preserve"> risiko pasar </w:t>
      </w:r>
      <w:r w:rsidR="00B5142C">
        <w:rPr>
          <w:rFonts w:ascii="Times New Roman" w:hAnsi="Times New Roman" w:cs="Times New Roman"/>
          <w:sz w:val="24"/>
          <w:szCs w:val="24"/>
        </w:rPr>
        <w:t>di Bank Mandiri Cabang Bandung Buahbatu.</w:t>
      </w:r>
    </w:p>
    <w:p w:rsidR="002E111E" w:rsidRPr="002E111E" w:rsidRDefault="002E111E" w:rsidP="002E111E">
      <w:pPr>
        <w:pStyle w:val="ListParagraph"/>
        <w:spacing w:line="480" w:lineRule="auto"/>
        <w:ind w:left="450" w:firstLine="270"/>
        <w:rPr>
          <w:rFonts w:ascii="Times New Roman" w:hAnsi="Times New Roman" w:cs="Times New Roman"/>
          <w:sz w:val="24"/>
          <w:szCs w:val="24"/>
        </w:rPr>
      </w:pPr>
    </w:p>
    <w:p w:rsidR="00A54FC2" w:rsidRPr="00CF6BA0" w:rsidRDefault="00863D7F" w:rsidP="00FC5618">
      <w:pPr>
        <w:pStyle w:val="ListParagraph"/>
        <w:numPr>
          <w:ilvl w:val="1"/>
          <w:numId w:val="16"/>
        </w:numPr>
        <w:spacing w:line="480" w:lineRule="auto"/>
        <w:rPr>
          <w:rFonts w:ascii="Times New Roman" w:hAnsi="Times New Roman" w:cs="Times New Roman"/>
          <w:b/>
          <w:sz w:val="24"/>
          <w:szCs w:val="24"/>
        </w:rPr>
      </w:pPr>
      <w:r w:rsidRPr="00CF6BA0">
        <w:rPr>
          <w:rFonts w:ascii="Times New Roman" w:hAnsi="Times New Roman" w:cs="Times New Roman"/>
          <w:b/>
          <w:sz w:val="24"/>
          <w:szCs w:val="24"/>
        </w:rPr>
        <w:t xml:space="preserve"> Tujuan Penelitian</w:t>
      </w:r>
    </w:p>
    <w:p w:rsidR="005C0C6E" w:rsidRDefault="00CF6BA0" w:rsidP="005C0C6E">
      <w:pPr>
        <w:pStyle w:val="ListParagraph"/>
        <w:rPr>
          <w:rFonts w:ascii="Times New Roman" w:hAnsi="Times New Roman" w:cs="Times New Roman"/>
          <w:sz w:val="24"/>
          <w:szCs w:val="24"/>
        </w:rPr>
      </w:pPr>
      <w:r>
        <w:rPr>
          <w:rFonts w:ascii="Times New Roman" w:hAnsi="Times New Roman" w:cs="Times New Roman"/>
          <w:sz w:val="24"/>
          <w:szCs w:val="24"/>
        </w:rPr>
        <w:t xml:space="preserve">Tujuan yang ingin dicapai dalam penelitian ini </w:t>
      </w:r>
      <w:proofErr w:type="gramStart"/>
      <w:r>
        <w:rPr>
          <w:rFonts w:ascii="Times New Roman" w:hAnsi="Times New Roman" w:cs="Times New Roman"/>
          <w:sz w:val="24"/>
          <w:szCs w:val="24"/>
        </w:rPr>
        <w:t>adalah :</w:t>
      </w:r>
      <w:proofErr w:type="gramEnd"/>
    </w:p>
    <w:p w:rsidR="00CF6BA0" w:rsidRDefault="00CF6BA0" w:rsidP="005C0C6E">
      <w:pPr>
        <w:pStyle w:val="ListParagraph"/>
        <w:rPr>
          <w:rFonts w:ascii="Times New Roman" w:hAnsi="Times New Roman" w:cs="Times New Roman"/>
          <w:sz w:val="24"/>
          <w:szCs w:val="24"/>
        </w:rPr>
      </w:pPr>
    </w:p>
    <w:p w:rsidR="008B1581" w:rsidRDefault="002A0681" w:rsidP="007C435F">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w:t>
      </w:r>
      <w:r w:rsidR="004E27D8">
        <w:rPr>
          <w:rFonts w:ascii="Times New Roman" w:hAnsi="Times New Roman" w:cs="Times New Roman"/>
          <w:sz w:val="24"/>
          <w:szCs w:val="24"/>
        </w:rPr>
        <w:t>gambarkan produk Dana Pihak Ketiga</w:t>
      </w:r>
      <w:r w:rsidR="008D5996">
        <w:rPr>
          <w:rFonts w:ascii="Times New Roman" w:hAnsi="Times New Roman" w:cs="Times New Roman"/>
          <w:sz w:val="24"/>
          <w:szCs w:val="24"/>
        </w:rPr>
        <w:t xml:space="preserve"> di Bank Mandiri Cabang Bandung Buahbatu.</w:t>
      </w:r>
    </w:p>
    <w:p w:rsidR="004E27D8" w:rsidRDefault="004E27D8" w:rsidP="007C435F">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Mengukur perbedaan </w:t>
      </w:r>
      <w:r w:rsidR="003D3B96">
        <w:rPr>
          <w:rFonts w:ascii="Times New Roman" w:hAnsi="Times New Roman" w:cs="Times New Roman"/>
          <w:sz w:val="24"/>
          <w:szCs w:val="24"/>
        </w:rPr>
        <w:t>produk Giro dan Tabungan dalam pengelolaan</w:t>
      </w:r>
      <w:r w:rsidR="00B86CEA">
        <w:rPr>
          <w:rFonts w:ascii="Times New Roman" w:hAnsi="Times New Roman" w:cs="Times New Roman"/>
          <w:sz w:val="24"/>
          <w:szCs w:val="24"/>
        </w:rPr>
        <w:t xml:space="preserve"> </w:t>
      </w:r>
      <w:r>
        <w:rPr>
          <w:rFonts w:ascii="Times New Roman" w:hAnsi="Times New Roman" w:cs="Times New Roman"/>
          <w:sz w:val="24"/>
          <w:szCs w:val="24"/>
        </w:rPr>
        <w:t>risiko pasar di Bank Mandiri Cabang Bandung Buahbatu.</w:t>
      </w:r>
    </w:p>
    <w:p w:rsidR="008B1581" w:rsidRDefault="002A0681" w:rsidP="007C435F">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Mengukur</w:t>
      </w:r>
      <w:r w:rsidR="008B1581">
        <w:rPr>
          <w:rFonts w:ascii="Times New Roman" w:hAnsi="Times New Roman" w:cs="Times New Roman"/>
          <w:sz w:val="24"/>
          <w:szCs w:val="24"/>
        </w:rPr>
        <w:t xml:space="preserve"> </w:t>
      </w:r>
      <w:r w:rsidR="00B9471F">
        <w:rPr>
          <w:rFonts w:ascii="Times New Roman" w:hAnsi="Times New Roman" w:cs="Times New Roman"/>
          <w:sz w:val="24"/>
          <w:szCs w:val="24"/>
        </w:rPr>
        <w:t xml:space="preserve">perbedaan </w:t>
      </w:r>
      <w:r w:rsidR="003D3B96">
        <w:rPr>
          <w:rFonts w:ascii="Times New Roman" w:hAnsi="Times New Roman" w:cs="Times New Roman"/>
          <w:sz w:val="24"/>
          <w:szCs w:val="24"/>
        </w:rPr>
        <w:t>produk Giro dan Deposito dalam pengelolaan</w:t>
      </w:r>
      <w:r w:rsidR="00B86CEA">
        <w:rPr>
          <w:rFonts w:ascii="Times New Roman" w:hAnsi="Times New Roman" w:cs="Times New Roman"/>
          <w:sz w:val="24"/>
          <w:szCs w:val="24"/>
        </w:rPr>
        <w:t xml:space="preserve"> </w:t>
      </w:r>
      <w:r w:rsidR="00B9471F">
        <w:rPr>
          <w:rFonts w:ascii="Times New Roman" w:hAnsi="Times New Roman" w:cs="Times New Roman"/>
          <w:sz w:val="24"/>
          <w:szCs w:val="24"/>
        </w:rPr>
        <w:t xml:space="preserve">risiko pasar </w:t>
      </w:r>
      <w:r w:rsidR="008D5996">
        <w:rPr>
          <w:rFonts w:ascii="Times New Roman" w:hAnsi="Times New Roman" w:cs="Times New Roman"/>
          <w:sz w:val="24"/>
          <w:szCs w:val="24"/>
        </w:rPr>
        <w:t>di Bank Mandiri Cabang Bandung Buahbatu.</w:t>
      </w:r>
    </w:p>
    <w:p w:rsidR="00B5142C" w:rsidRDefault="00B5142C" w:rsidP="007C435F">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Mengukur perbedaan </w:t>
      </w:r>
      <w:r w:rsidR="00F63F3C">
        <w:rPr>
          <w:rFonts w:ascii="Times New Roman" w:hAnsi="Times New Roman" w:cs="Times New Roman"/>
          <w:sz w:val="24"/>
          <w:szCs w:val="24"/>
        </w:rPr>
        <w:t>produk Tabungan dan Deposito dalam pengelolaan</w:t>
      </w:r>
      <w:r w:rsidR="00B86CEA">
        <w:rPr>
          <w:rFonts w:ascii="Times New Roman" w:hAnsi="Times New Roman" w:cs="Times New Roman"/>
          <w:sz w:val="24"/>
          <w:szCs w:val="24"/>
        </w:rPr>
        <w:t xml:space="preserve"> </w:t>
      </w:r>
      <w:r w:rsidR="00B9471F">
        <w:rPr>
          <w:rFonts w:ascii="Times New Roman" w:hAnsi="Times New Roman" w:cs="Times New Roman"/>
          <w:sz w:val="24"/>
          <w:szCs w:val="24"/>
        </w:rPr>
        <w:t>risiko pasar di Bank Mandiri Cabang Bandung Buahbatu.</w:t>
      </w:r>
    </w:p>
    <w:p w:rsidR="008B1581" w:rsidRDefault="008B1581" w:rsidP="00CF6BA0">
      <w:pPr>
        <w:pStyle w:val="ListParagraph"/>
        <w:spacing w:line="480" w:lineRule="auto"/>
        <w:ind w:left="1440"/>
        <w:jc w:val="both"/>
        <w:rPr>
          <w:rFonts w:ascii="Times New Roman" w:hAnsi="Times New Roman" w:cs="Times New Roman"/>
          <w:sz w:val="24"/>
          <w:szCs w:val="24"/>
        </w:rPr>
      </w:pPr>
    </w:p>
    <w:p w:rsidR="005C0C6E" w:rsidRPr="00CF6BA0" w:rsidRDefault="00A54FC2" w:rsidP="00FC5618">
      <w:pPr>
        <w:pStyle w:val="ListParagraph"/>
        <w:numPr>
          <w:ilvl w:val="1"/>
          <w:numId w:val="16"/>
        </w:numPr>
        <w:spacing w:line="480" w:lineRule="auto"/>
        <w:ind w:left="720" w:hanging="720"/>
        <w:rPr>
          <w:rFonts w:ascii="Times New Roman" w:hAnsi="Times New Roman" w:cs="Times New Roman"/>
          <w:b/>
          <w:sz w:val="24"/>
          <w:szCs w:val="24"/>
        </w:rPr>
      </w:pPr>
      <w:r w:rsidRPr="00CF6BA0">
        <w:rPr>
          <w:rFonts w:ascii="Times New Roman" w:hAnsi="Times New Roman" w:cs="Times New Roman"/>
          <w:b/>
          <w:sz w:val="24"/>
          <w:szCs w:val="24"/>
        </w:rPr>
        <w:lastRenderedPageBreak/>
        <w:t>Manfaat Penelitia</w:t>
      </w:r>
      <w:r w:rsidR="00CF6BA0" w:rsidRPr="00CF6BA0">
        <w:rPr>
          <w:rFonts w:ascii="Times New Roman" w:hAnsi="Times New Roman" w:cs="Times New Roman"/>
          <w:b/>
          <w:sz w:val="24"/>
          <w:szCs w:val="24"/>
        </w:rPr>
        <w:t>n</w:t>
      </w:r>
    </w:p>
    <w:p w:rsidR="00CF6BA0" w:rsidRDefault="00930E68" w:rsidP="00930E6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masalah yang telah dirumuskan, penelitian ini dilakukan dengan maksud untuk memperoleh gambaran fakta-fakta empiris yang dapat dijadikan temuan diantara produk </w:t>
      </w:r>
      <w:r w:rsidR="00FC5618">
        <w:rPr>
          <w:rFonts w:ascii="Times New Roman" w:hAnsi="Times New Roman" w:cs="Times New Roman"/>
          <w:sz w:val="24"/>
          <w:szCs w:val="24"/>
        </w:rPr>
        <w:t>Dana Pihak Ketiga (</w:t>
      </w:r>
      <w:r>
        <w:rPr>
          <w:rFonts w:ascii="Times New Roman" w:hAnsi="Times New Roman" w:cs="Times New Roman"/>
          <w:sz w:val="24"/>
          <w:szCs w:val="24"/>
        </w:rPr>
        <w:t>tabungan, giro dan deposito</w:t>
      </w:r>
      <w:r w:rsidR="00FC5618">
        <w:rPr>
          <w:rFonts w:ascii="Times New Roman" w:hAnsi="Times New Roman" w:cs="Times New Roman"/>
          <w:sz w:val="24"/>
          <w:szCs w:val="24"/>
        </w:rPr>
        <w:t>)</w:t>
      </w:r>
      <w:r>
        <w:rPr>
          <w:rFonts w:ascii="Times New Roman" w:hAnsi="Times New Roman" w:cs="Times New Roman"/>
          <w:sz w:val="24"/>
          <w:szCs w:val="24"/>
        </w:rPr>
        <w:t xml:space="preserve"> manakah yang memiliki </w:t>
      </w:r>
      <w:r w:rsidR="00EA4150">
        <w:rPr>
          <w:rFonts w:ascii="Times New Roman" w:hAnsi="Times New Roman" w:cs="Times New Roman"/>
          <w:sz w:val="24"/>
          <w:szCs w:val="24"/>
        </w:rPr>
        <w:t xml:space="preserve">volatilitas dan </w:t>
      </w:r>
      <w:r w:rsidR="00EA4150" w:rsidRPr="00A7189F">
        <w:rPr>
          <w:rFonts w:ascii="Times New Roman" w:hAnsi="Times New Roman" w:cs="Times New Roman"/>
          <w:i/>
          <w:sz w:val="24"/>
          <w:szCs w:val="24"/>
        </w:rPr>
        <w:t>V</w:t>
      </w:r>
      <w:r w:rsidR="00A7189F" w:rsidRPr="00A7189F">
        <w:rPr>
          <w:rFonts w:ascii="Times New Roman" w:hAnsi="Times New Roman" w:cs="Times New Roman"/>
          <w:i/>
          <w:sz w:val="24"/>
          <w:szCs w:val="24"/>
        </w:rPr>
        <w:t xml:space="preserve">alue </w:t>
      </w:r>
      <w:r w:rsidR="00EA4150" w:rsidRPr="00A7189F">
        <w:rPr>
          <w:rFonts w:ascii="Times New Roman" w:hAnsi="Times New Roman" w:cs="Times New Roman"/>
          <w:i/>
          <w:sz w:val="24"/>
          <w:szCs w:val="24"/>
        </w:rPr>
        <w:t>a</w:t>
      </w:r>
      <w:r w:rsidR="00A7189F" w:rsidRPr="00A7189F">
        <w:rPr>
          <w:rFonts w:ascii="Times New Roman" w:hAnsi="Times New Roman" w:cs="Times New Roman"/>
          <w:i/>
          <w:sz w:val="24"/>
          <w:szCs w:val="24"/>
        </w:rPr>
        <w:t xml:space="preserve">t </w:t>
      </w:r>
      <w:r w:rsidR="00EA4150" w:rsidRPr="00A7189F">
        <w:rPr>
          <w:rFonts w:ascii="Times New Roman" w:hAnsi="Times New Roman" w:cs="Times New Roman"/>
          <w:i/>
          <w:sz w:val="24"/>
          <w:szCs w:val="24"/>
        </w:rPr>
        <w:t>R</w:t>
      </w:r>
      <w:r w:rsidR="00A7189F" w:rsidRPr="00A7189F">
        <w:rPr>
          <w:rFonts w:ascii="Times New Roman" w:hAnsi="Times New Roman" w:cs="Times New Roman"/>
          <w:i/>
          <w:sz w:val="24"/>
          <w:szCs w:val="24"/>
        </w:rPr>
        <w:t>isk</w:t>
      </w:r>
      <w:r w:rsidR="00EA4150">
        <w:rPr>
          <w:rFonts w:ascii="Times New Roman" w:hAnsi="Times New Roman" w:cs="Times New Roman"/>
          <w:sz w:val="24"/>
          <w:szCs w:val="24"/>
        </w:rPr>
        <w:t xml:space="preserve"> yang</w:t>
      </w:r>
      <w:r>
        <w:rPr>
          <w:rFonts w:ascii="Times New Roman" w:hAnsi="Times New Roman" w:cs="Times New Roman"/>
          <w:sz w:val="24"/>
          <w:szCs w:val="24"/>
        </w:rPr>
        <w:t xml:space="preserve"> tinggi</w:t>
      </w:r>
      <w:r w:rsidR="00FC5618">
        <w:rPr>
          <w:rFonts w:ascii="Times New Roman" w:hAnsi="Times New Roman" w:cs="Times New Roman"/>
          <w:sz w:val="24"/>
          <w:szCs w:val="24"/>
        </w:rPr>
        <w:t>.</w:t>
      </w:r>
      <w:proofErr w:type="gramEnd"/>
    </w:p>
    <w:p w:rsidR="00FC5618" w:rsidRDefault="00FC5618" w:rsidP="00930E68">
      <w:pPr>
        <w:pStyle w:val="ListParagraph"/>
        <w:spacing w:line="480" w:lineRule="auto"/>
        <w:ind w:left="0" w:firstLine="720"/>
        <w:jc w:val="both"/>
        <w:rPr>
          <w:rFonts w:ascii="Times New Roman" w:hAnsi="Times New Roman" w:cs="Times New Roman"/>
          <w:sz w:val="24"/>
          <w:szCs w:val="24"/>
        </w:rPr>
      </w:pPr>
    </w:p>
    <w:p w:rsidR="00FC5618" w:rsidRPr="00FC5618" w:rsidRDefault="00FC5618" w:rsidP="00FC5618">
      <w:pPr>
        <w:pStyle w:val="ListParagraph"/>
        <w:numPr>
          <w:ilvl w:val="2"/>
          <w:numId w:val="16"/>
        </w:numPr>
        <w:spacing w:line="480" w:lineRule="auto"/>
        <w:jc w:val="both"/>
        <w:rPr>
          <w:rFonts w:ascii="Times New Roman" w:hAnsi="Times New Roman" w:cs="Times New Roman"/>
          <w:b/>
          <w:sz w:val="24"/>
          <w:szCs w:val="24"/>
        </w:rPr>
      </w:pPr>
      <w:r w:rsidRPr="00FC5618">
        <w:rPr>
          <w:rFonts w:ascii="Times New Roman" w:hAnsi="Times New Roman" w:cs="Times New Roman"/>
          <w:b/>
          <w:sz w:val="24"/>
          <w:szCs w:val="24"/>
        </w:rPr>
        <w:t>Manfaat Teoritis</w:t>
      </w:r>
    </w:p>
    <w:p w:rsidR="00FC5618" w:rsidRDefault="00414D93" w:rsidP="0040573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 sumbangan peng</w:t>
      </w:r>
      <w:r w:rsidR="00EA4150">
        <w:rPr>
          <w:rFonts w:ascii="Times New Roman" w:hAnsi="Times New Roman" w:cs="Times New Roman"/>
          <w:sz w:val="24"/>
          <w:szCs w:val="24"/>
        </w:rPr>
        <w:t>e</w:t>
      </w:r>
      <w:r>
        <w:rPr>
          <w:rFonts w:ascii="Times New Roman" w:hAnsi="Times New Roman" w:cs="Times New Roman"/>
          <w:sz w:val="24"/>
          <w:szCs w:val="24"/>
        </w:rPr>
        <w:t>mbangan ilmu manajemen, khususnya manajemen keuangan dan m</w:t>
      </w:r>
      <w:r w:rsidR="00FC5618">
        <w:rPr>
          <w:rFonts w:ascii="Times New Roman" w:hAnsi="Times New Roman" w:cs="Times New Roman"/>
          <w:sz w:val="24"/>
          <w:szCs w:val="24"/>
        </w:rPr>
        <w:t xml:space="preserve">emberikan pengetahuan mengenai perbedaan produk </w:t>
      </w:r>
      <w:r w:rsidR="00D947CE">
        <w:rPr>
          <w:rFonts w:ascii="Times New Roman" w:hAnsi="Times New Roman" w:cs="Times New Roman"/>
          <w:sz w:val="24"/>
          <w:szCs w:val="24"/>
        </w:rPr>
        <w:t>D</w:t>
      </w:r>
      <w:r w:rsidR="00FC5618">
        <w:rPr>
          <w:rFonts w:ascii="Times New Roman" w:hAnsi="Times New Roman" w:cs="Times New Roman"/>
          <w:sz w:val="24"/>
          <w:szCs w:val="24"/>
        </w:rPr>
        <w:t xml:space="preserve">ana </w:t>
      </w:r>
      <w:r w:rsidR="00D947CE">
        <w:rPr>
          <w:rFonts w:ascii="Times New Roman" w:hAnsi="Times New Roman" w:cs="Times New Roman"/>
          <w:sz w:val="24"/>
          <w:szCs w:val="24"/>
        </w:rPr>
        <w:t>P</w:t>
      </w:r>
      <w:r w:rsidR="00FC5618">
        <w:rPr>
          <w:rFonts w:ascii="Times New Roman" w:hAnsi="Times New Roman" w:cs="Times New Roman"/>
          <w:sz w:val="24"/>
          <w:szCs w:val="24"/>
        </w:rPr>
        <w:t xml:space="preserve">ihak </w:t>
      </w:r>
      <w:r w:rsidR="00D947CE">
        <w:rPr>
          <w:rFonts w:ascii="Times New Roman" w:hAnsi="Times New Roman" w:cs="Times New Roman"/>
          <w:sz w:val="24"/>
          <w:szCs w:val="24"/>
        </w:rPr>
        <w:t>K</w:t>
      </w:r>
      <w:r w:rsidR="00FC5618">
        <w:rPr>
          <w:rFonts w:ascii="Times New Roman" w:hAnsi="Times New Roman" w:cs="Times New Roman"/>
          <w:sz w:val="24"/>
          <w:szCs w:val="24"/>
        </w:rPr>
        <w:t>etiga</w:t>
      </w:r>
      <w:r w:rsidR="00A510A0">
        <w:rPr>
          <w:rFonts w:ascii="Times New Roman" w:hAnsi="Times New Roman" w:cs="Times New Roman"/>
          <w:sz w:val="24"/>
          <w:szCs w:val="24"/>
        </w:rPr>
        <w:t xml:space="preserve"> dalam mengelola risiko pasar</w:t>
      </w:r>
      <w:r w:rsidR="00FC5618">
        <w:rPr>
          <w:rFonts w:ascii="Times New Roman" w:hAnsi="Times New Roman" w:cs="Times New Roman"/>
          <w:sz w:val="24"/>
          <w:szCs w:val="24"/>
        </w:rPr>
        <w:t>.</w:t>
      </w:r>
      <w:proofErr w:type="gramEnd"/>
    </w:p>
    <w:p w:rsidR="007E6938" w:rsidRPr="00FC5618" w:rsidRDefault="007E6938" w:rsidP="00FC5618">
      <w:pPr>
        <w:pStyle w:val="ListParagraph"/>
        <w:spacing w:line="480" w:lineRule="auto"/>
        <w:jc w:val="both"/>
        <w:rPr>
          <w:rFonts w:ascii="Times New Roman" w:hAnsi="Times New Roman" w:cs="Times New Roman"/>
          <w:sz w:val="24"/>
          <w:szCs w:val="24"/>
        </w:rPr>
      </w:pPr>
    </w:p>
    <w:p w:rsidR="006F2051" w:rsidRDefault="00FC5618" w:rsidP="006F2051">
      <w:pPr>
        <w:pStyle w:val="ListParagraph"/>
        <w:numPr>
          <w:ilvl w:val="2"/>
          <w:numId w:val="16"/>
        </w:numPr>
        <w:spacing w:line="480" w:lineRule="auto"/>
        <w:jc w:val="both"/>
        <w:rPr>
          <w:rFonts w:ascii="Times New Roman" w:hAnsi="Times New Roman" w:cs="Times New Roman"/>
          <w:b/>
          <w:sz w:val="24"/>
          <w:szCs w:val="24"/>
        </w:rPr>
      </w:pPr>
      <w:r w:rsidRPr="00FC5618">
        <w:rPr>
          <w:rFonts w:ascii="Times New Roman" w:hAnsi="Times New Roman" w:cs="Times New Roman"/>
          <w:b/>
          <w:sz w:val="24"/>
          <w:szCs w:val="24"/>
        </w:rPr>
        <w:t>Manfaat Praktis</w:t>
      </w:r>
    </w:p>
    <w:p w:rsidR="00F2746E" w:rsidRPr="005C0C6E" w:rsidRDefault="007016F1" w:rsidP="00F93AC0">
      <w:pPr>
        <w:pStyle w:val="ListParagraph"/>
        <w:spacing w:line="480" w:lineRule="auto"/>
        <w:ind w:left="0" w:firstLine="720"/>
        <w:jc w:val="both"/>
        <w:rPr>
          <w:rFonts w:ascii="Times New Roman" w:hAnsi="Times New Roman" w:cs="Times New Roman"/>
          <w:sz w:val="24"/>
          <w:szCs w:val="24"/>
        </w:rPr>
      </w:pPr>
      <w:r w:rsidRPr="006F2051">
        <w:rPr>
          <w:rFonts w:ascii="Times New Roman" w:hAnsi="Times New Roman" w:cs="Times New Roman"/>
          <w:sz w:val="24"/>
          <w:szCs w:val="24"/>
        </w:rPr>
        <w:t>H</w:t>
      </w:r>
      <w:r w:rsidR="00930E68" w:rsidRPr="006F2051">
        <w:rPr>
          <w:rFonts w:ascii="Times New Roman" w:hAnsi="Times New Roman" w:cs="Times New Roman"/>
          <w:sz w:val="24"/>
          <w:szCs w:val="24"/>
        </w:rPr>
        <w:t>asil</w:t>
      </w:r>
      <w:r w:rsidRPr="006F2051">
        <w:rPr>
          <w:rFonts w:ascii="Times New Roman" w:hAnsi="Times New Roman" w:cs="Times New Roman"/>
          <w:sz w:val="24"/>
          <w:szCs w:val="24"/>
        </w:rPr>
        <w:t xml:space="preserve"> riset ini diharapkan dapat memberikan alternatif solusi, sehingga diperoleh pendekatan internal terbaik, dengan memperoleh </w:t>
      </w:r>
      <w:proofErr w:type="gramStart"/>
      <w:r w:rsidRPr="006F2051">
        <w:rPr>
          <w:rFonts w:ascii="Times New Roman" w:hAnsi="Times New Roman" w:cs="Times New Roman"/>
          <w:sz w:val="24"/>
          <w:szCs w:val="24"/>
        </w:rPr>
        <w:t>cara</w:t>
      </w:r>
      <w:proofErr w:type="gramEnd"/>
      <w:r w:rsidRPr="006F2051">
        <w:rPr>
          <w:rFonts w:ascii="Times New Roman" w:hAnsi="Times New Roman" w:cs="Times New Roman"/>
          <w:sz w:val="24"/>
          <w:szCs w:val="24"/>
        </w:rPr>
        <w:t xml:space="preserve"> dan nilai perhitungan </w:t>
      </w:r>
      <w:r w:rsidR="00414D93">
        <w:rPr>
          <w:rFonts w:ascii="Times New Roman" w:hAnsi="Times New Roman" w:cs="Times New Roman"/>
          <w:sz w:val="24"/>
          <w:szCs w:val="24"/>
        </w:rPr>
        <w:t xml:space="preserve">volatilitas dan </w:t>
      </w:r>
      <w:r w:rsidRPr="006F2051">
        <w:rPr>
          <w:rFonts w:ascii="Times New Roman" w:hAnsi="Times New Roman" w:cs="Times New Roman"/>
          <w:i/>
          <w:sz w:val="24"/>
          <w:szCs w:val="24"/>
        </w:rPr>
        <w:t>Value at Risk</w:t>
      </w:r>
      <w:r w:rsidRPr="006F2051">
        <w:rPr>
          <w:rFonts w:ascii="Times New Roman" w:hAnsi="Times New Roman" w:cs="Times New Roman"/>
          <w:sz w:val="24"/>
          <w:szCs w:val="24"/>
        </w:rPr>
        <w:t xml:space="preserve"> (Va</w:t>
      </w:r>
      <w:r w:rsidR="006A10FE" w:rsidRPr="006F2051">
        <w:rPr>
          <w:rFonts w:ascii="Times New Roman" w:hAnsi="Times New Roman" w:cs="Times New Roman"/>
          <w:sz w:val="24"/>
          <w:szCs w:val="24"/>
        </w:rPr>
        <w:t>R</w:t>
      </w:r>
      <w:r w:rsidRPr="006F2051">
        <w:rPr>
          <w:rFonts w:ascii="Times New Roman" w:hAnsi="Times New Roman" w:cs="Times New Roman"/>
          <w:sz w:val="24"/>
          <w:szCs w:val="24"/>
        </w:rPr>
        <w:t>) sebagai batasan maksimal jumlah kerugian yang dapat ditolerir, maka manajemen Bank dapat mengambil langkah-langkah selanjutnya dalam memitigasi risiko.</w:t>
      </w:r>
      <w:r w:rsidR="006F2051">
        <w:rPr>
          <w:rFonts w:ascii="Times New Roman" w:hAnsi="Times New Roman" w:cs="Times New Roman"/>
          <w:sz w:val="24"/>
          <w:szCs w:val="24"/>
        </w:rPr>
        <w:t xml:space="preserve"> </w:t>
      </w:r>
      <w:r>
        <w:rPr>
          <w:rFonts w:ascii="Times New Roman" w:hAnsi="Times New Roman" w:cs="Times New Roman"/>
          <w:sz w:val="24"/>
          <w:szCs w:val="24"/>
        </w:rPr>
        <w:t xml:space="preserve">Riset ini diharapkan dapat berkontribusi terhadap manajemen risiko yang dapat dilakukan untuk memitigasi risiko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w:t>
      </w:r>
      <w:r w:rsidR="00414D93">
        <w:rPr>
          <w:rFonts w:ascii="Times New Roman" w:hAnsi="Times New Roman" w:cs="Times New Roman"/>
          <w:sz w:val="24"/>
          <w:szCs w:val="24"/>
        </w:rPr>
        <w:t xml:space="preserve"> </w:t>
      </w:r>
      <w:r w:rsidR="00A7189F">
        <w:rPr>
          <w:rFonts w:ascii="Times New Roman" w:hAnsi="Times New Roman" w:cs="Times New Roman"/>
          <w:sz w:val="24"/>
          <w:szCs w:val="24"/>
        </w:rPr>
        <w:t>serta hasilnya dapat dijadikan</w:t>
      </w:r>
      <w:r w:rsidR="00414D93">
        <w:rPr>
          <w:rFonts w:ascii="Times New Roman" w:hAnsi="Times New Roman" w:cs="Times New Roman"/>
          <w:sz w:val="24"/>
          <w:szCs w:val="24"/>
        </w:rPr>
        <w:t xml:space="preserve"> </w:t>
      </w:r>
      <w:r w:rsidR="00414D93">
        <w:rPr>
          <w:rFonts w:ascii="Times New Roman" w:hAnsi="Times New Roman" w:cs="Times New Roman"/>
          <w:i/>
          <w:sz w:val="24"/>
          <w:szCs w:val="24"/>
        </w:rPr>
        <w:t>E</w:t>
      </w:r>
      <w:r w:rsidR="00414D93" w:rsidRPr="00414D93">
        <w:rPr>
          <w:rFonts w:ascii="Times New Roman" w:hAnsi="Times New Roman" w:cs="Times New Roman"/>
          <w:i/>
          <w:sz w:val="24"/>
          <w:szCs w:val="24"/>
        </w:rPr>
        <w:t xml:space="preserve">arly </w:t>
      </w:r>
      <w:r w:rsidR="00414D93">
        <w:rPr>
          <w:rFonts w:ascii="Times New Roman" w:hAnsi="Times New Roman" w:cs="Times New Roman"/>
          <w:i/>
          <w:sz w:val="24"/>
          <w:szCs w:val="24"/>
        </w:rPr>
        <w:t>W</w:t>
      </w:r>
      <w:r w:rsidR="00414D93" w:rsidRPr="00414D93">
        <w:rPr>
          <w:rFonts w:ascii="Times New Roman" w:hAnsi="Times New Roman" w:cs="Times New Roman"/>
          <w:i/>
          <w:sz w:val="24"/>
          <w:szCs w:val="24"/>
        </w:rPr>
        <w:t xml:space="preserve">arning </w:t>
      </w:r>
      <w:r w:rsidR="00414D93">
        <w:rPr>
          <w:rFonts w:ascii="Times New Roman" w:hAnsi="Times New Roman" w:cs="Times New Roman"/>
          <w:i/>
          <w:sz w:val="24"/>
          <w:szCs w:val="24"/>
        </w:rPr>
        <w:t>S</w:t>
      </w:r>
      <w:r w:rsidR="00414D93" w:rsidRPr="00414D93">
        <w:rPr>
          <w:rFonts w:ascii="Times New Roman" w:hAnsi="Times New Roman" w:cs="Times New Roman"/>
          <w:i/>
          <w:sz w:val="24"/>
          <w:szCs w:val="24"/>
        </w:rPr>
        <w:t>ystem</w:t>
      </w:r>
      <w:r w:rsidR="00414D93">
        <w:rPr>
          <w:rFonts w:ascii="Times New Roman" w:hAnsi="Times New Roman" w:cs="Times New Roman"/>
          <w:i/>
          <w:sz w:val="24"/>
          <w:szCs w:val="24"/>
        </w:rPr>
        <w:t xml:space="preserve"> </w:t>
      </w:r>
      <w:r w:rsidR="00414D93">
        <w:rPr>
          <w:rFonts w:ascii="Times New Roman" w:hAnsi="Times New Roman" w:cs="Times New Roman"/>
          <w:sz w:val="24"/>
          <w:szCs w:val="24"/>
        </w:rPr>
        <w:t>(EWS)</w:t>
      </w:r>
      <w:r>
        <w:rPr>
          <w:rFonts w:ascii="Times New Roman" w:hAnsi="Times New Roman" w:cs="Times New Roman"/>
          <w:sz w:val="24"/>
          <w:szCs w:val="24"/>
        </w:rPr>
        <w:t>.</w:t>
      </w:r>
      <w:r w:rsidR="00414D93">
        <w:rPr>
          <w:rFonts w:ascii="Times New Roman" w:hAnsi="Times New Roman" w:cs="Times New Roman"/>
          <w:sz w:val="24"/>
          <w:szCs w:val="24"/>
        </w:rPr>
        <w:t xml:space="preserve"> </w:t>
      </w:r>
    </w:p>
    <w:sectPr w:rsidR="00F2746E" w:rsidRPr="005C0C6E" w:rsidSect="00DC0ECA">
      <w:headerReference w:type="default" r:id="rId23"/>
      <w:footerReference w:type="default" r:id="rId24"/>
      <w:pgSz w:w="11907" w:h="16839" w:code="9"/>
      <w:pgMar w:top="2275" w:right="1699" w:bottom="1699" w:left="2275"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8E2" w:rsidRDefault="007D58E2" w:rsidP="000857D9">
      <w:pPr>
        <w:spacing w:after="0" w:line="240" w:lineRule="auto"/>
      </w:pPr>
      <w:r>
        <w:separator/>
      </w:r>
    </w:p>
  </w:endnote>
  <w:endnote w:type="continuationSeparator" w:id="1">
    <w:p w:rsidR="007D58E2" w:rsidRDefault="007D58E2" w:rsidP="00085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979"/>
      <w:docPartObj>
        <w:docPartGallery w:val="Page Numbers (Bottom of Page)"/>
        <w:docPartUnique/>
      </w:docPartObj>
    </w:sdtPr>
    <w:sdtContent>
      <w:p w:rsidR="000857D9" w:rsidRDefault="00B62CF5">
        <w:pPr>
          <w:pStyle w:val="Footer"/>
          <w:jc w:val="center"/>
        </w:pPr>
        <w:fldSimple w:instr=" PAGE   \* MERGEFORMAT ">
          <w:r w:rsidR="00DF3BE1">
            <w:rPr>
              <w:noProof/>
            </w:rPr>
            <w:t>1</w:t>
          </w:r>
        </w:fldSimple>
      </w:p>
    </w:sdtContent>
  </w:sdt>
  <w:p w:rsidR="000857D9" w:rsidRDefault="000857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601"/>
      <w:docPartObj>
        <w:docPartGallery w:val="Page Numbers (Bottom of Page)"/>
        <w:docPartUnique/>
      </w:docPartObj>
    </w:sdtPr>
    <w:sdtContent>
      <w:p w:rsidR="00DF3BE1" w:rsidRDefault="00B62CF5">
        <w:pPr>
          <w:pStyle w:val="Footer"/>
          <w:jc w:val="center"/>
        </w:pPr>
        <w:r w:rsidRPr="00DC0ECA">
          <w:rPr>
            <w:rFonts w:ascii="Times New Roman" w:hAnsi="Times New Roman" w:cs="Times New Roman"/>
          </w:rPr>
          <w:fldChar w:fldCharType="begin"/>
        </w:r>
        <w:r w:rsidR="00D437A5" w:rsidRPr="00DC0ECA">
          <w:rPr>
            <w:rFonts w:ascii="Times New Roman" w:hAnsi="Times New Roman" w:cs="Times New Roman"/>
          </w:rPr>
          <w:instrText xml:space="preserve"> PAGE   \* MERGEFORMAT </w:instrText>
        </w:r>
        <w:r w:rsidRPr="00DC0ECA">
          <w:rPr>
            <w:rFonts w:ascii="Times New Roman" w:hAnsi="Times New Roman" w:cs="Times New Roman"/>
          </w:rPr>
          <w:fldChar w:fldCharType="separate"/>
        </w:r>
        <w:r w:rsidR="001B60C9">
          <w:rPr>
            <w:rFonts w:ascii="Times New Roman" w:hAnsi="Times New Roman" w:cs="Times New Roman"/>
            <w:noProof/>
          </w:rPr>
          <w:t>1</w:t>
        </w:r>
        <w:r w:rsidRPr="00DC0ECA">
          <w:rPr>
            <w:rFonts w:ascii="Times New Roman" w:hAnsi="Times New Roman" w:cs="Times New Roman"/>
          </w:rPr>
          <w:fldChar w:fldCharType="end"/>
        </w:r>
      </w:p>
    </w:sdtContent>
  </w:sdt>
  <w:p w:rsidR="00DF3BE1" w:rsidRDefault="00DF3B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FD" w:rsidRDefault="004E40FD">
    <w:pPr>
      <w:pStyle w:val="Footer"/>
      <w:jc w:val="center"/>
    </w:pPr>
  </w:p>
  <w:p w:rsidR="004E40FD" w:rsidRDefault="004E40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8E2" w:rsidRDefault="007D58E2" w:rsidP="000857D9">
      <w:pPr>
        <w:spacing w:after="0" w:line="240" w:lineRule="auto"/>
      </w:pPr>
      <w:r>
        <w:separator/>
      </w:r>
    </w:p>
  </w:footnote>
  <w:footnote w:type="continuationSeparator" w:id="1">
    <w:p w:rsidR="007D58E2" w:rsidRDefault="007D58E2" w:rsidP="00085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600"/>
      <w:docPartObj>
        <w:docPartGallery w:val="Page Numbers (Top of Page)"/>
        <w:docPartUnique/>
      </w:docPartObj>
    </w:sdtPr>
    <w:sdtContent>
      <w:p w:rsidR="00DF3BE1" w:rsidRDefault="00B62CF5">
        <w:pPr>
          <w:pStyle w:val="Header"/>
          <w:jc w:val="center"/>
        </w:pPr>
        <w:fldSimple w:instr=" PAGE   \* MERGEFORMAT ">
          <w:r w:rsidR="00DF3BE1">
            <w:rPr>
              <w:noProof/>
            </w:rPr>
            <w:t>1</w:t>
          </w:r>
        </w:fldSimple>
      </w:p>
    </w:sdtContent>
  </w:sdt>
  <w:p w:rsidR="004E40FD" w:rsidRDefault="004E40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FD" w:rsidRPr="00DC0ECA" w:rsidRDefault="00B62CF5">
    <w:pPr>
      <w:pStyle w:val="Header"/>
      <w:jc w:val="right"/>
      <w:rPr>
        <w:rFonts w:ascii="Times New Roman" w:hAnsi="Times New Roman" w:cs="Times New Roman"/>
      </w:rPr>
    </w:pPr>
    <w:r w:rsidRPr="00DC0ECA">
      <w:rPr>
        <w:rFonts w:ascii="Times New Roman" w:hAnsi="Times New Roman" w:cs="Times New Roman"/>
      </w:rPr>
      <w:fldChar w:fldCharType="begin"/>
    </w:r>
    <w:r w:rsidR="00D437A5" w:rsidRPr="00DC0ECA">
      <w:rPr>
        <w:rFonts w:ascii="Times New Roman" w:hAnsi="Times New Roman" w:cs="Times New Roman"/>
      </w:rPr>
      <w:instrText xml:space="preserve"> PAGE   \* MERGEFORMAT </w:instrText>
    </w:r>
    <w:r w:rsidRPr="00DC0ECA">
      <w:rPr>
        <w:rFonts w:ascii="Times New Roman" w:hAnsi="Times New Roman" w:cs="Times New Roman"/>
      </w:rPr>
      <w:fldChar w:fldCharType="separate"/>
    </w:r>
    <w:r w:rsidR="001B60C9">
      <w:rPr>
        <w:rFonts w:ascii="Times New Roman" w:hAnsi="Times New Roman" w:cs="Times New Roman"/>
        <w:noProof/>
      </w:rPr>
      <w:t>11</w:t>
    </w:r>
    <w:r w:rsidRPr="00DC0ECA">
      <w:rPr>
        <w:rFonts w:ascii="Times New Roman" w:hAnsi="Times New Roman" w:cs="Times New Roman"/>
      </w:rPr>
      <w:fldChar w:fldCharType="end"/>
    </w:r>
  </w:p>
  <w:p w:rsidR="004E40FD" w:rsidRDefault="004E40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91D"/>
    <w:multiLevelType w:val="hybridMultilevel"/>
    <w:tmpl w:val="FB241B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A5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E8123C"/>
    <w:multiLevelType w:val="hybridMultilevel"/>
    <w:tmpl w:val="55F883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C4661E"/>
    <w:multiLevelType w:val="multilevel"/>
    <w:tmpl w:val="9BF8E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664DC4"/>
    <w:multiLevelType w:val="multilevel"/>
    <w:tmpl w:val="7BFE2574"/>
    <w:lvl w:ilvl="0">
      <w:start w:val="1"/>
      <w:numFmt w:val="none"/>
      <w:lvlText w:val=""/>
      <w:lvlJc w:val="left"/>
      <w:pPr>
        <w:ind w:left="360" w:hanging="360"/>
      </w:pPr>
      <w:rPr>
        <w:rFonts w:hint="default"/>
      </w:rPr>
    </w:lvl>
    <w:lvl w:ilvl="1">
      <w:start w:val="1"/>
      <w:numFmt w:val="decimal"/>
      <w:lvlText w:val="%2%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51E3985"/>
    <w:multiLevelType w:val="multilevel"/>
    <w:tmpl w:val="9FCCFFEE"/>
    <w:lvl w:ilvl="0">
      <w:start w:val="1"/>
      <w:numFmt w:val="none"/>
      <w:lvlText w:val=""/>
      <w:lvlJc w:val="left"/>
      <w:pPr>
        <w:ind w:left="360" w:hanging="360"/>
      </w:pPr>
      <w:rPr>
        <w:rFonts w:hint="default"/>
      </w:rPr>
    </w:lvl>
    <w:lvl w:ilvl="1">
      <w:start w:val="1"/>
      <w:numFmt w:val="decimal"/>
      <w:lvlText w:val="%2%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DC109C"/>
    <w:multiLevelType w:val="multilevel"/>
    <w:tmpl w:val="D38418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FB3742"/>
    <w:multiLevelType w:val="multilevel"/>
    <w:tmpl w:val="11D8DB52"/>
    <w:lvl w:ilvl="0">
      <w:start w:val="1"/>
      <w:numFmt w:val="decimal"/>
      <w:lvlText w:val="%1."/>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A4C43DF"/>
    <w:multiLevelType w:val="multilevel"/>
    <w:tmpl w:val="E4565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206E6B"/>
    <w:multiLevelType w:val="hybridMultilevel"/>
    <w:tmpl w:val="6CC419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366107"/>
    <w:multiLevelType w:val="hybridMultilevel"/>
    <w:tmpl w:val="9B2A4B34"/>
    <w:lvl w:ilvl="0" w:tplc="7A5A3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FA3B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1E5D40"/>
    <w:multiLevelType w:val="multilevel"/>
    <w:tmpl w:val="7324B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F919B7"/>
    <w:multiLevelType w:val="hybridMultilevel"/>
    <w:tmpl w:val="6CC419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504672"/>
    <w:multiLevelType w:val="hybridMultilevel"/>
    <w:tmpl w:val="79BCC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E0591A"/>
    <w:multiLevelType w:val="hybridMultilevel"/>
    <w:tmpl w:val="15583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1"/>
  </w:num>
  <w:num w:numId="4">
    <w:abstractNumId w:val="1"/>
  </w:num>
  <w:num w:numId="5">
    <w:abstractNumId w:val="7"/>
  </w:num>
  <w:num w:numId="6">
    <w:abstractNumId w:val="5"/>
  </w:num>
  <w:num w:numId="7">
    <w:abstractNumId w:val="4"/>
  </w:num>
  <w:num w:numId="8">
    <w:abstractNumId w:val="2"/>
  </w:num>
  <w:num w:numId="9">
    <w:abstractNumId w:val="13"/>
  </w:num>
  <w:num w:numId="10">
    <w:abstractNumId w:val="9"/>
  </w:num>
  <w:num w:numId="11">
    <w:abstractNumId w:val="10"/>
  </w:num>
  <w:num w:numId="12">
    <w:abstractNumId w:val="0"/>
  </w:num>
  <w:num w:numId="13">
    <w:abstractNumId w:val="14"/>
  </w:num>
  <w:num w:numId="14">
    <w:abstractNumId w:val="15"/>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4FC2"/>
    <w:rsid w:val="00010F11"/>
    <w:rsid w:val="0002002E"/>
    <w:rsid w:val="00041CA0"/>
    <w:rsid w:val="000436F9"/>
    <w:rsid w:val="000752C6"/>
    <w:rsid w:val="00082C8D"/>
    <w:rsid w:val="000857D9"/>
    <w:rsid w:val="000A0B72"/>
    <w:rsid w:val="000B1ED5"/>
    <w:rsid w:val="000B48A7"/>
    <w:rsid w:val="000B6C82"/>
    <w:rsid w:val="0010539D"/>
    <w:rsid w:val="00133691"/>
    <w:rsid w:val="00143794"/>
    <w:rsid w:val="0014564E"/>
    <w:rsid w:val="0015301E"/>
    <w:rsid w:val="0015739B"/>
    <w:rsid w:val="0016325F"/>
    <w:rsid w:val="001801F2"/>
    <w:rsid w:val="001A0D9D"/>
    <w:rsid w:val="001B60C9"/>
    <w:rsid w:val="001B675C"/>
    <w:rsid w:val="001D4625"/>
    <w:rsid w:val="001D7228"/>
    <w:rsid w:val="001E1571"/>
    <w:rsid w:val="001F79B6"/>
    <w:rsid w:val="00204F51"/>
    <w:rsid w:val="0020760B"/>
    <w:rsid w:val="00221610"/>
    <w:rsid w:val="00246BCF"/>
    <w:rsid w:val="002641DB"/>
    <w:rsid w:val="002947FD"/>
    <w:rsid w:val="00295FF2"/>
    <w:rsid w:val="002A0681"/>
    <w:rsid w:val="002B60BB"/>
    <w:rsid w:val="002C7B05"/>
    <w:rsid w:val="002D2B1D"/>
    <w:rsid w:val="002D322E"/>
    <w:rsid w:val="002D60DA"/>
    <w:rsid w:val="002E111E"/>
    <w:rsid w:val="00301455"/>
    <w:rsid w:val="003058B7"/>
    <w:rsid w:val="00315732"/>
    <w:rsid w:val="00340D49"/>
    <w:rsid w:val="0035598A"/>
    <w:rsid w:val="00356EB0"/>
    <w:rsid w:val="00363CCC"/>
    <w:rsid w:val="00371C1B"/>
    <w:rsid w:val="00381CA6"/>
    <w:rsid w:val="00384B5C"/>
    <w:rsid w:val="00385E93"/>
    <w:rsid w:val="00394C15"/>
    <w:rsid w:val="003C38E3"/>
    <w:rsid w:val="003D3B96"/>
    <w:rsid w:val="00405733"/>
    <w:rsid w:val="0040639D"/>
    <w:rsid w:val="00414D93"/>
    <w:rsid w:val="00417B7C"/>
    <w:rsid w:val="00433000"/>
    <w:rsid w:val="00452D17"/>
    <w:rsid w:val="00477B7C"/>
    <w:rsid w:val="00487FC2"/>
    <w:rsid w:val="004979B2"/>
    <w:rsid w:val="004A6531"/>
    <w:rsid w:val="004B615B"/>
    <w:rsid w:val="004C47F9"/>
    <w:rsid w:val="004C74D5"/>
    <w:rsid w:val="004E27D8"/>
    <w:rsid w:val="004E40FD"/>
    <w:rsid w:val="004F1FE8"/>
    <w:rsid w:val="004F6594"/>
    <w:rsid w:val="005011FF"/>
    <w:rsid w:val="0051256B"/>
    <w:rsid w:val="00515083"/>
    <w:rsid w:val="00523351"/>
    <w:rsid w:val="00525F25"/>
    <w:rsid w:val="005308BA"/>
    <w:rsid w:val="005326D8"/>
    <w:rsid w:val="00547F75"/>
    <w:rsid w:val="005701A4"/>
    <w:rsid w:val="005730B6"/>
    <w:rsid w:val="00586AE9"/>
    <w:rsid w:val="00596A3B"/>
    <w:rsid w:val="005A2700"/>
    <w:rsid w:val="005C0C6E"/>
    <w:rsid w:val="005C22DA"/>
    <w:rsid w:val="005D2E92"/>
    <w:rsid w:val="005F1FDE"/>
    <w:rsid w:val="005F6D37"/>
    <w:rsid w:val="00602A55"/>
    <w:rsid w:val="00604754"/>
    <w:rsid w:val="0061265B"/>
    <w:rsid w:val="006134F2"/>
    <w:rsid w:val="00616B42"/>
    <w:rsid w:val="0062080F"/>
    <w:rsid w:val="00631FE1"/>
    <w:rsid w:val="00663B85"/>
    <w:rsid w:val="0069350C"/>
    <w:rsid w:val="006A10FE"/>
    <w:rsid w:val="006B67E4"/>
    <w:rsid w:val="006C11F7"/>
    <w:rsid w:val="006C32CF"/>
    <w:rsid w:val="006E2A17"/>
    <w:rsid w:val="006E60FB"/>
    <w:rsid w:val="006F2051"/>
    <w:rsid w:val="007016F1"/>
    <w:rsid w:val="007215BE"/>
    <w:rsid w:val="007357C3"/>
    <w:rsid w:val="00745FDC"/>
    <w:rsid w:val="00751C86"/>
    <w:rsid w:val="00753274"/>
    <w:rsid w:val="007544B1"/>
    <w:rsid w:val="007546D2"/>
    <w:rsid w:val="0076577F"/>
    <w:rsid w:val="00774BC4"/>
    <w:rsid w:val="007877BA"/>
    <w:rsid w:val="0079399D"/>
    <w:rsid w:val="007976FE"/>
    <w:rsid w:val="007A20C1"/>
    <w:rsid w:val="007C435F"/>
    <w:rsid w:val="007D196B"/>
    <w:rsid w:val="007D58E2"/>
    <w:rsid w:val="007D7065"/>
    <w:rsid w:val="007E6938"/>
    <w:rsid w:val="007F3B79"/>
    <w:rsid w:val="007F618D"/>
    <w:rsid w:val="00821019"/>
    <w:rsid w:val="00830FA4"/>
    <w:rsid w:val="00835208"/>
    <w:rsid w:val="00844CDC"/>
    <w:rsid w:val="00852B50"/>
    <w:rsid w:val="00854F8A"/>
    <w:rsid w:val="00863D7F"/>
    <w:rsid w:val="00891938"/>
    <w:rsid w:val="008A1D04"/>
    <w:rsid w:val="008B1581"/>
    <w:rsid w:val="008B47AF"/>
    <w:rsid w:val="008D5996"/>
    <w:rsid w:val="008D620A"/>
    <w:rsid w:val="009000C9"/>
    <w:rsid w:val="00930E68"/>
    <w:rsid w:val="00933AAF"/>
    <w:rsid w:val="00951C29"/>
    <w:rsid w:val="00983063"/>
    <w:rsid w:val="00985660"/>
    <w:rsid w:val="00993A6B"/>
    <w:rsid w:val="009A329C"/>
    <w:rsid w:val="009C09A0"/>
    <w:rsid w:val="009D7325"/>
    <w:rsid w:val="00A03575"/>
    <w:rsid w:val="00A10DDD"/>
    <w:rsid w:val="00A12472"/>
    <w:rsid w:val="00A328E0"/>
    <w:rsid w:val="00A3405B"/>
    <w:rsid w:val="00A44969"/>
    <w:rsid w:val="00A4797B"/>
    <w:rsid w:val="00A510A0"/>
    <w:rsid w:val="00A54FC2"/>
    <w:rsid w:val="00A7038F"/>
    <w:rsid w:val="00A7189F"/>
    <w:rsid w:val="00A84569"/>
    <w:rsid w:val="00AC0AF2"/>
    <w:rsid w:val="00AC43F2"/>
    <w:rsid w:val="00AF3D82"/>
    <w:rsid w:val="00B14524"/>
    <w:rsid w:val="00B21CE2"/>
    <w:rsid w:val="00B348A1"/>
    <w:rsid w:val="00B3769E"/>
    <w:rsid w:val="00B463AC"/>
    <w:rsid w:val="00B5142C"/>
    <w:rsid w:val="00B62CF5"/>
    <w:rsid w:val="00B70725"/>
    <w:rsid w:val="00B70BEB"/>
    <w:rsid w:val="00B72517"/>
    <w:rsid w:val="00B86CEA"/>
    <w:rsid w:val="00B9471F"/>
    <w:rsid w:val="00BA0374"/>
    <w:rsid w:val="00BA37EA"/>
    <w:rsid w:val="00BB0E46"/>
    <w:rsid w:val="00BC679B"/>
    <w:rsid w:val="00BD2444"/>
    <w:rsid w:val="00BD28C5"/>
    <w:rsid w:val="00BD2E82"/>
    <w:rsid w:val="00BD433C"/>
    <w:rsid w:val="00BD722F"/>
    <w:rsid w:val="00BE4118"/>
    <w:rsid w:val="00BE5790"/>
    <w:rsid w:val="00BE75A4"/>
    <w:rsid w:val="00C062C5"/>
    <w:rsid w:val="00C07DA7"/>
    <w:rsid w:val="00C3178A"/>
    <w:rsid w:val="00C40BEE"/>
    <w:rsid w:val="00C55469"/>
    <w:rsid w:val="00C63671"/>
    <w:rsid w:val="00C77EB0"/>
    <w:rsid w:val="00C873A5"/>
    <w:rsid w:val="00CA1DA1"/>
    <w:rsid w:val="00CB2573"/>
    <w:rsid w:val="00CC0AA8"/>
    <w:rsid w:val="00CC1CBA"/>
    <w:rsid w:val="00CC1E68"/>
    <w:rsid w:val="00CC2379"/>
    <w:rsid w:val="00CC3BC2"/>
    <w:rsid w:val="00CE4E90"/>
    <w:rsid w:val="00CF5ED7"/>
    <w:rsid w:val="00CF6BA0"/>
    <w:rsid w:val="00D11FA3"/>
    <w:rsid w:val="00D16579"/>
    <w:rsid w:val="00D2462B"/>
    <w:rsid w:val="00D3343F"/>
    <w:rsid w:val="00D33C3C"/>
    <w:rsid w:val="00D37E47"/>
    <w:rsid w:val="00D41372"/>
    <w:rsid w:val="00D437A5"/>
    <w:rsid w:val="00D54617"/>
    <w:rsid w:val="00D60CC9"/>
    <w:rsid w:val="00D711EC"/>
    <w:rsid w:val="00D818E6"/>
    <w:rsid w:val="00D86D95"/>
    <w:rsid w:val="00D913D0"/>
    <w:rsid w:val="00D947CE"/>
    <w:rsid w:val="00DA6186"/>
    <w:rsid w:val="00DB08D0"/>
    <w:rsid w:val="00DC0ECA"/>
    <w:rsid w:val="00DD0467"/>
    <w:rsid w:val="00DD0D1C"/>
    <w:rsid w:val="00DF3BE1"/>
    <w:rsid w:val="00E159AA"/>
    <w:rsid w:val="00E1650D"/>
    <w:rsid w:val="00E16A95"/>
    <w:rsid w:val="00E61A9D"/>
    <w:rsid w:val="00E665D5"/>
    <w:rsid w:val="00E75862"/>
    <w:rsid w:val="00E76D1A"/>
    <w:rsid w:val="00E95D4B"/>
    <w:rsid w:val="00E96158"/>
    <w:rsid w:val="00EA1F44"/>
    <w:rsid w:val="00EA4150"/>
    <w:rsid w:val="00EB587A"/>
    <w:rsid w:val="00EC18A7"/>
    <w:rsid w:val="00EC1A6D"/>
    <w:rsid w:val="00ED54C3"/>
    <w:rsid w:val="00EE5EDD"/>
    <w:rsid w:val="00F10D2A"/>
    <w:rsid w:val="00F1114D"/>
    <w:rsid w:val="00F2746E"/>
    <w:rsid w:val="00F27F2A"/>
    <w:rsid w:val="00F352D4"/>
    <w:rsid w:val="00F35FDC"/>
    <w:rsid w:val="00F3699D"/>
    <w:rsid w:val="00F444E8"/>
    <w:rsid w:val="00F509FE"/>
    <w:rsid w:val="00F60C6C"/>
    <w:rsid w:val="00F63F3C"/>
    <w:rsid w:val="00F823BE"/>
    <w:rsid w:val="00F83096"/>
    <w:rsid w:val="00F93AC0"/>
    <w:rsid w:val="00FC29D1"/>
    <w:rsid w:val="00FC5618"/>
    <w:rsid w:val="00FD1CD7"/>
    <w:rsid w:val="00FD3D44"/>
    <w:rsid w:val="00FE1EFA"/>
    <w:rsid w:val="00FE6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FC2"/>
    <w:pPr>
      <w:ind w:left="720"/>
      <w:contextualSpacing/>
    </w:pPr>
  </w:style>
  <w:style w:type="character" w:styleId="Hyperlink">
    <w:name w:val="Hyperlink"/>
    <w:basedOn w:val="DefaultParagraphFont"/>
    <w:uiPriority w:val="99"/>
    <w:unhideWhenUsed/>
    <w:rsid w:val="005326D8"/>
    <w:rPr>
      <w:color w:val="0000FF" w:themeColor="hyperlink"/>
      <w:u w:val="single"/>
    </w:rPr>
  </w:style>
  <w:style w:type="character" w:styleId="FollowedHyperlink">
    <w:name w:val="FollowedHyperlink"/>
    <w:basedOn w:val="DefaultParagraphFont"/>
    <w:uiPriority w:val="99"/>
    <w:semiHidden/>
    <w:unhideWhenUsed/>
    <w:rsid w:val="0051256B"/>
    <w:rPr>
      <w:color w:val="800080" w:themeColor="followedHyperlink"/>
      <w:u w:val="single"/>
    </w:rPr>
  </w:style>
  <w:style w:type="paragraph" w:styleId="Header">
    <w:name w:val="header"/>
    <w:basedOn w:val="Normal"/>
    <w:link w:val="HeaderChar"/>
    <w:uiPriority w:val="99"/>
    <w:unhideWhenUsed/>
    <w:rsid w:val="00085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7D9"/>
  </w:style>
  <w:style w:type="paragraph" w:styleId="Footer">
    <w:name w:val="footer"/>
    <w:basedOn w:val="Normal"/>
    <w:link w:val="FooterChar"/>
    <w:uiPriority w:val="99"/>
    <w:unhideWhenUsed/>
    <w:rsid w:val="00085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7D9"/>
  </w:style>
  <w:style w:type="paragraph" w:styleId="BalloonText">
    <w:name w:val="Balloon Text"/>
    <w:basedOn w:val="Normal"/>
    <w:link w:val="BalloonTextChar"/>
    <w:uiPriority w:val="99"/>
    <w:semiHidden/>
    <w:unhideWhenUsed/>
    <w:rsid w:val="0061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20File\MM%2031%20-%202015\Tesis\Anggara\olahan%20DPK.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A%20File\MM%2031%20-%202015\Tesis\Anggara\Pra%20Sidang\olahan%20DPK.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A%20File\MM%2031%20-%202015\Tesis\Anggara\Pra%20Sidang\olahan%20DPK.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A%20File\MM%2031%20-%202015\Tesis\Anggara\Pra%20Sidang\olahan%20DPK.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A%20File\MM%2031%20-%202015\Tesis\Anggara\olahan%20DPK.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A%20File\MM%2031%20-%202015\Tesis\Anggara\olahan%20DPK.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A%20File\MM%2031%20-%202015\Tesis\Anggara\olahan%20DPK.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A%20File\MM%2031%20-%202015\Tesis\Anggara\Pra%20Sidang\olahan%20DPK.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A%20File\MM%2031%20-%202015\Tesis\Anggara\Pra%20Sidang\olahan%20DPK.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A%20File\MM%2031%20-%202015\Tesis\Anggara\Pra%20Sidang\olahan%20DPK.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A%20File\MM%2031%20-%202015\Tesis\Anggara\Pra%20Sidang\olahan%20DPK.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A%20File\MM%2031%20-%202015\Tesis\Anggara\Pra%20Sidang\olahan%20DP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latin typeface="Times New Roman" pitchFamily="18" charset="0"/>
                <a:cs typeface="Times New Roman" pitchFamily="18" charset="0"/>
              </a:rPr>
              <a:t>tabungan 2016 (jt)</a:t>
            </a:r>
          </a:p>
        </c:rich>
      </c:tx>
      <c:layout/>
    </c:title>
    <c:plotArea>
      <c:layout/>
      <c:lineChart>
        <c:grouping val="stacked"/>
        <c:ser>
          <c:idx val="0"/>
          <c:order val="0"/>
          <c:tx>
            <c:v>tabungan 2016 (milyar)</c:v>
          </c:tx>
          <c:marker>
            <c:symbol val="none"/>
          </c:marker>
          <c:cat>
            <c:strRef>
              <c:f>Tab!$A$2:$A$13</c:f>
              <c:strCache>
                <c:ptCount val="12"/>
                <c:pt idx="0">
                  <c:v>31 Jan</c:v>
                </c:pt>
                <c:pt idx="1">
                  <c:v>29 Feb</c:v>
                </c:pt>
                <c:pt idx="2">
                  <c:v>31 Mar</c:v>
                </c:pt>
                <c:pt idx="3">
                  <c:v>30 Apr</c:v>
                </c:pt>
                <c:pt idx="4">
                  <c:v>31 Mei</c:v>
                </c:pt>
                <c:pt idx="5">
                  <c:v>30 Jun</c:v>
                </c:pt>
                <c:pt idx="6">
                  <c:v>31 Juli</c:v>
                </c:pt>
                <c:pt idx="7">
                  <c:v>31 Agt</c:v>
                </c:pt>
                <c:pt idx="8">
                  <c:v>30 Sep</c:v>
                </c:pt>
                <c:pt idx="9">
                  <c:v>31 Okt</c:v>
                </c:pt>
                <c:pt idx="10">
                  <c:v>30 Nov</c:v>
                </c:pt>
                <c:pt idx="11">
                  <c:v>31 Des</c:v>
                </c:pt>
              </c:strCache>
            </c:strRef>
          </c:cat>
          <c:val>
            <c:numRef>
              <c:f>Tab!$B$2:$B$13</c:f>
              <c:numCache>
                <c:formatCode>_(* #,##0.00_);_(* \(#,##0.00\);_(* "-"??_);_(@_)</c:formatCode>
                <c:ptCount val="12"/>
                <c:pt idx="0">
                  <c:v>240040.20275672004</c:v>
                </c:pt>
                <c:pt idx="1">
                  <c:v>229971.39875633968</c:v>
                </c:pt>
                <c:pt idx="2">
                  <c:v>233605.50616686002</c:v>
                </c:pt>
                <c:pt idx="3">
                  <c:v>230796.58930558007</c:v>
                </c:pt>
                <c:pt idx="4">
                  <c:v>221989.41002567011</c:v>
                </c:pt>
                <c:pt idx="5">
                  <c:v>111631.63990173998</c:v>
                </c:pt>
                <c:pt idx="6">
                  <c:v>246109.35780643998</c:v>
                </c:pt>
                <c:pt idx="7">
                  <c:v>251446.77788752111</c:v>
                </c:pt>
                <c:pt idx="8">
                  <c:v>257560.55580465996</c:v>
                </c:pt>
                <c:pt idx="9">
                  <c:v>255040.1818652699</c:v>
                </c:pt>
                <c:pt idx="10">
                  <c:v>254295.51109048972</c:v>
                </c:pt>
                <c:pt idx="11">
                  <c:v>271004.10259419453</c:v>
                </c:pt>
              </c:numCache>
            </c:numRef>
          </c:val>
        </c:ser>
        <c:marker val="1"/>
        <c:axId val="61946880"/>
        <c:axId val="61952768"/>
      </c:lineChart>
      <c:catAx>
        <c:axId val="61946880"/>
        <c:scaling>
          <c:orientation val="minMax"/>
        </c:scaling>
        <c:axPos val="b"/>
        <c:tickLblPos val="nextTo"/>
        <c:txPr>
          <a:bodyPr/>
          <a:lstStyle/>
          <a:p>
            <a:pPr>
              <a:defRPr sz="800" baseline="0">
                <a:latin typeface="Times New Roman" pitchFamily="18" charset="0"/>
                <a:cs typeface="Times New Roman" pitchFamily="18" charset="0"/>
              </a:defRPr>
            </a:pPr>
            <a:endParaRPr lang="en-US"/>
          </a:p>
        </c:txPr>
        <c:crossAx val="61952768"/>
        <c:crosses val="autoZero"/>
        <c:auto val="1"/>
        <c:lblAlgn val="ctr"/>
        <c:lblOffset val="100"/>
      </c:catAx>
      <c:valAx>
        <c:axId val="61952768"/>
        <c:scaling>
          <c:orientation val="minMax"/>
        </c:scaling>
        <c:axPos val="l"/>
        <c:majorGridlines/>
        <c:numFmt formatCode="_(* #,##0.00_);_(* \(#,##0.00\);_(* &quot;-&quot;??_);_(@_)" sourceLinked="1"/>
        <c:tickLblPos val="nextTo"/>
        <c:txPr>
          <a:bodyPr/>
          <a:lstStyle/>
          <a:p>
            <a:pPr>
              <a:defRPr sz="800" baseline="0">
                <a:latin typeface="Times New Roman" pitchFamily="18" charset="0"/>
                <a:cs typeface="Times New Roman" pitchFamily="18" charset="0"/>
              </a:defRPr>
            </a:pPr>
            <a:endParaRPr lang="en-US"/>
          </a:p>
        </c:txPr>
        <c:crossAx val="61946880"/>
        <c:crosses val="autoZero"/>
        <c:crossBetween val="between"/>
      </c:valAx>
    </c:plotArea>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latin typeface="Times New Roman" pitchFamily="18" charset="0"/>
                <a:cs typeface="Times New Roman" pitchFamily="18" charset="0"/>
              </a:rPr>
              <a:t>giro 2014 (jt)</a:t>
            </a:r>
          </a:p>
        </c:rich>
      </c:tx>
      <c:layout/>
    </c:title>
    <c:plotArea>
      <c:layout/>
      <c:lineChart>
        <c:grouping val="stacked"/>
        <c:ser>
          <c:idx val="0"/>
          <c:order val="0"/>
          <c:marker>
            <c:symbol val="none"/>
          </c:marker>
          <c:cat>
            <c:strRef>
              <c:f>Giro!$L$2:$L$13</c:f>
              <c:strCache>
                <c:ptCount val="12"/>
                <c:pt idx="0">
                  <c:v>31 Jan</c:v>
                </c:pt>
                <c:pt idx="1">
                  <c:v>28 Feb</c:v>
                </c:pt>
                <c:pt idx="2">
                  <c:v>31 Mar</c:v>
                </c:pt>
                <c:pt idx="3">
                  <c:v>30 Apr</c:v>
                </c:pt>
                <c:pt idx="4">
                  <c:v>31 Mei</c:v>
                </c:pt>
                <c:pt idx="5">
                  <c:v>30 Jun</c:v>
                </c:pt>
                <c:pt idx="6">
                  <c:v>31 Juli</c:v>
                </c:pt>
                <c:pt idx="7">
                  <c:v>31 Agt</c:v>
                </c:pt>
                <c:pt idx="8">
                  <c:v>30 Sep</c:v>
                </c:pt>
                <c:pt idx="9">
                  <c:v>31 Okt</c:v>
                </c:pt>
                <c:pt idx="10">
                  <c:v>30 Nov</c:v>
                </c:pt>
                <c:pt idx="11">
                  <c:v>31 Des</c:v>
                </c:pt>
              </c:strCache>
            </c:strRef>
          </c:cat>
          <c:val>
            <c:numRef>
              <c:f>Giro!$M$2:$M$13</c:f>
              <c:numCache>
                <c:formatCode>_(* #,##0.00_);_(* \(#,##0.00\);_(* "-"??_);_(@_)</c:formatCode>
                <c:ptCount val="12"/>
                <c:pt idx="0">
                  <c:v>16470.136446619996</c:v>
                </c:pt>
                <c:pt idx="1">
                  <c:v>17184.620700089996</c:v>
                </c:pt>
                <c:pt idx="2">
                  <c:v>13039.403654260001</c:v>
                </c:pt>
                <c:pt idx="3">
                  <c:v>13135.266763940001</c:v>
                </c:pt>
                <c:pt idx="4">
                  <c:v>14155.609219919999</c:v>
                </c:pt>
                <c:pt idx="5">
                  <c:v>13089.885077019997</c:v>
                </c:pt>
                <c:pt idx="6">
                  <c:v>16924.512184650077</c:v>
                </c:pt>
                <c:pt idx="7">
                  <c:v>13919.366117679949</c:v>
                </c:pt>
                <c:pt idx="8">
                  <c:v>16159.10041031004</c:v>
                </c:pt>
                <c:pt idx="9">
                  <c:v>11670.778530659993</c:v>
                </c:pt>
                <c:pt idx="10">
                  <c:v>25735.547904280025</c:v>
                </c:pt>
                <c:pt idx="11">
                  <c:v>18966.394239740002</c:v>
                </c:pt>
              </c:numCache>
            </c:numRef>
          </c:val>
        </c:ser>
        <c:marker val="1"/>
        <c:axId val="67593728"/>
        <c:axId val="67703168"/>
      </c:lineChart>
      <c:catAx>
        <c:axId val="67593728"/>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67703168"/>
        <c:crosses val="autoZero"/>
        <c:auto val="1"/>
        <c:lblAlgn val="ctr"/>
        <c:lblOffset val="100"/>
      </c:catAx>
      <c:valAx>
        <c:axId val="67703168"/>
        <c:scaling>
          <c:orientation val="minMax"/>
        </c:scaling>
        <c:axPos val="l"/>
        <c:majorGridlines/>
        <c:numFmt formatCode="_(* #,##0.00_);_(* \(#,##0.00\);_(* &quot;-&quot;??_);_(@_)" sourceLinked="1"/>
        <c:tickLblPos val="nextTo"/>
        <c:txPr>
          <a:bodyPr/>
          <a:lstStyle/>
          <a:p>
            <a:pPr>
              <a:defRPr sz="800">
                <a:latin typeface="Times New Roman" pitchFamily="18" charset="0"/>
                <a:cs typeface="Times New Roman" pitchFamily="18" charset="0"/>
              </a:defRPr>
            </a:pPr>
            <a:endParaRPr lang="en-US"/>
          </a:p>
        </c:txPr>
        <c:crossAx val="67593728"/>
        <c:crosses val="autoZero"/>
        <c:crossBetween val="between"/>
      </c:valAx>
    </c:plotArea>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latin typeface="Times New Roman" pitchFamily="18" charset="0"/>
                <a:cs typeface="Times New Roman" pitchFamily="18" charset="0"/>
              </a:rPr>
              <a:t>deposito 2014 (jt)</a:t>
            </a:r>
          </a:p>
        </c:rich>
      </c:tx>
      <c:layout/>
    </c:title>
    <c:plotArea>
      <c:layout/>
      <c:lineChart>
        <c:grouping val="stacked"/>
        <c:ser>
          <c:idx val="0"/>
          <c:order val="0"/>
          <c:marker>
            <c:symbol val="none"/>
          </c:marker>
          <c:cat>
            <c:strRef>
              <c:f>Depo!$A$18:$A$29</c:f>
              <c:strCache>
                <c:ptCount val="12"/>
                <c:pt idx="0">
                  <c:v>31 Jan</c:v>
                </c:pt>
                <c:pt idx="1">
                  <c:v>28 Feb</c:v>
                </c:pt>
                <c:pt idx="2">
                  <c:v>31 Mar</c:v>
                </c:pt>
                <c:pt idx="3">
                  <c:v>30 Apr</c:v>
                </c:pt>
                <c:pt idx="4">
                  <c:v>31 Mei</c:v>
                </c:pt>
                <c:pt idx="5">
                  <c:v>30 Jun</c:v>
                </c:pt>
                <c:pt idx="6">
                  <c:v>31 Juli</c:v>
                </c:pt>
                <c:pt idx="7">
                  <c:v>31 Agt</c:v>
                </c:pt>
                <c:pt idx="8">
                  <c:v>30 Sep</c:v>
                </c:pt>
                <c:pt idx="9">
                  <c:v>31 Okt</c:v>
                </c:pt>
                <c:pt idx="10">
                  <c:v>30 Nov</c:v>
                </c:pt>
                <c:pt idx="11">
                  <c:v>31 Des</c:v>
                </c:pt>
              </c:strCache>
            </c:strRef>
          </c:cat>
          <c:val>
            <c:numRef>
              <c:f>Depo!$B$18:$B$29</c:f>
              <c:numCache>
                <c:formatCode>_(* #,##0.00_);_(* \(#,##0.00\);_(* "-"??_);_(@_)</c:formatCode>
                <c:ptCount val="12"/>
                <c:pt idx="0">
                  <c:v>78850.548862999989</c:v>
                </c:pt>
                <c:pt idx="1">
                  <c:v>91358.889484669984</c:v>
                </c:pt>
                <c:pt idx="2">
                  <c:v>84704.060258600002</c:v>
                </c:pt>
                <c:pt idx="3">
                  <c:v>87317.182833819417</c:v>
                </c:pt>
                <c:pt idx="4">
                  <c:v>90677.965596429567</c:v>
                </c:pt>
                <c:pt idx="5">
                  <c:v>92278.296357999978</c:v>
                </c:pt>
                <c:pt idx="6">
                  <c:v>99344.660845019418</c:v>
                </c:pt>
                <c:pt idx="7">
                  <c:v>98886.826908770003</c:v>
                </c:pt>
                <c:pt idx="8">
                  <c:v>116114.61537306965</c:v>
                </c:pt>
                <c:pt idx="9">
                  <c:v>117863.84603784965</c:v>
                </c:pt>
                <c:pt idx="10">
                  <c:v>116048.83774561</c:v>
                </c:pt>
                <c:pt idx="11">
                  <c:v>121227.73767100938</c:v>
                </c:pt>
              </c:numCache>
            </c:numRef>
          </c:val>
        </c:ser>
        <c:marker val="1"/>
        <c:axId val="67707648"/>
        <c:axId val="67732608"/>
      </c:lineChart>
      <c:catAx>
        <c:axId val="67707648"/>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67732608"/>
        <c:crosses val="autoZero"/>
        <c:auto val="1"/>
        <c:lblAlgn val="ctr"/>
        <c:lblOffset val="100"/>
      </c:catAx>
      <c:valAx>
        <c:axId val="67732608"/>
        <c:scaling>
          <c:orientation val="minMax"/>
        </c:scaling>
        <c:axPos val="l"/>
        <c:majorGridlines/>
        <c:numFmt formatCode="_(* #,##0.00_);_(* \(#,##0.00\);_(* &quot;-&quot;??_);_(@_)" sourceLinked="1"/>
        <c:tickLblPos val="nextTo"/>
        <c:txPr>
          <a:bodyPr/>
          <a:lstStyle/>
          <a:p>
            <a:pPr>
              <a:defRPr sz="800">
                <a:latin typeface="Times New Roman" pitchFamily="18" charset="0"/>
                <a:cs typeface="Times New Roman" pitchFamily="18" charset="0"/>
              </a:defRPr>
            </a:pPr>
            <a:endParaRPr lang="en-US"/>
          </a:p>
        </c:txPr>
        <c:crossAx val="67707648"/>
        <c:crosses val="autoZero"/>
        <c:crossBetween val="between"/>
      </c:valAx>
    </c:plotArea>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latin typeface="Times New Roman" pitchFamily="18" charset="0"/>
                <a:cs typeface="Times New Roman" pitchFamily="18" charset="0"/>
              </a:defRPr>
            </a:pPr>
            <a:r>
              <a:rPr lang="en-US" sz="900">
                <a:latin typeface="Times New Roman" pitchFamily="18" charset="0"/>
                <a:cs typeface="Times New Roman" pitchFamily="18" charset="0"/>
              </a:rPr>
              <a:t>DPK</a:t>
            </a:r>
            <a:r>
              <a:rPr lang="en-US" sz="1000">
                <a:latin typeface="Times New Roman" pitchFamily="18" charset="0"/>
                <a:cs typeface="Times New Roman" pitchFamily="18" charset="0"/>
              </a:rPr>
              <a:t> 2014 (jt)</a:t>
            </a:r>
          </a:p>
        </c:rich>
      </c:tx>
      <c:layout/>
    </c:title>
    <c:plotArea>
      <c:layout/>
      <c:lineChart>
        <c:grouping val="stacked"/>
        <c:ser>
          <c:idx val="0"/>
          <c:order val="0"/>
          <c:marker>
            <c:symbol val="none"/>
          </c:marker>
          <c:cat>
            <c:strRef>
              <c:f>Tab!$A$62:$A$73</c:f>
              <c:strCache>
                <c:ptCount val="12"/>
                <c:pt idx="0">
                  <c:v>31 Jan</c:v>
                </c:pt>
                <c:pt idx="1">
                  <c:v>28 Feb</c:v>
                </c:pt>
                <c:pt idx="2">
                  <c:v>31 Mar</c:v>
                </c:pt>
                <c:pt idx="3">
                  <c:v>30 Apr</c:v>
                </c:pt>
                <c:pt idx="4">
                  <c:v>31 Mei</c:v>
                </c:pt>
                <c:pt idx="5">
                  <c:v>30 Jun</c:v>
                </c:pt>
                <c:pt idx="6">
                  <c:v>31 Juli</c:v>
                </c:pt>
                <c:pt idx="7">
                  <c:v>31 Agt</c:v>
                </c:pt>
                <c:pt idx="8">
                  <c:v>30 Sep</c:v>
                </c:pt>
                <c:pt idx="9">
                  <c:v>31 Okt</c:v>
                </c:pt>
                <c:pt idx="10">
                  <c:v>30 Nov</c:v>
                </c:pt>
                <c:pt idx="11">
                  <c:v>31 Des</c:v>
                </c:pt>
              </c:strCache>
            </c:strRef>
          </c:cat>
          <c:val>
            <c:numRef>
              <c:f>Tab!$B$62:$B$73</c:f>
              <c:numCache>
                <c:formatCode>_(* #,##0.00_);_(* \(#,##0.00\);_(* "-"??_);_(@_)</c:formatCode>
                <c:ptCount val="12"/>
                <c:pt idx="0">
                  <c:v>306604.46795666986</c:v>
                </c:pt>
                <c:pt idx="1">
                  <c:v>311794.48135149002</c:v>
                </c:pt>
                <c:pt idx="2">
                  <c:v>300511.06069238001</c:v>
                </c:pt>
                <c:pt idx="3">
                  <c:v>300933.71392869996</c:v>
                </c:pt>
                <c:pt idx="4">
                  <c:v>298050.46485059999</c:v>
                </c:pt>
                <c:pt idx="5">
                  <c:v>296725.70979244</c:v>
                </c:pt>
                <c:pt idx="6">
                  <c:v>312440.27997950022</c:v>
                </c:pt>
                <c:pt idx="7">
                  <c:v>301980.67725198984</c:v>
                </c:pt>
                <c:pt idx="8">
                  <c:v>328873.17878815986</c:v>
                </c:pt>
                <c:pt idx="9">
                  <c:v>334926.51710868004</c:v>
                </c:pt>
                <c:pt idx="10">
                  <c:v>335465.65982448787</c:v>
                </c:pt>
                <c:pt idx="11">
                  <c:v>349277.18143994</c:v>
                </c:pt>
              </c:numCache>
            </c:numRef>
          </c:val>
        </c:ser>
        <c:marker val="1"/>
        <c:axId val="67830144"/>
        <c:axId val="67831680"/>
      </c:lineChart>
      <c:catAx>
        <c:axId val="67830144"/>
        <c:scaling>
          <c:orientation val="minMax"/>
        </c:scaling>
        <c:axPos val="b"/>
        <c:numFmt formatCode="General" sourceLinked="1"/>
        <c:tickLblPos val="nextTo"/>
        <c:txPr>
          <a:bodyPr/>
          <a:lstStyle/>
          <a:p>
            <a:pPr>
              <a:defRPr sz="800">
                <a:latin typeface="Times New Roman" pitchFamily="18" charset="0"/>
                <a:cs typeface="Times New Roman" pitchFamily="18" charset="0"/>
              </a:defRPr>
            </a:pPr>
            <a:endParaRPr lang="en-US"/>
          </a:p>
        </c:txPr>
        <c:crossAx val="67831680"/>
        <c:crosses val="autoZero"/>
        <c:auto val="1"/>
        <c:lblAlgn val="ctr"/>
        <c:lblOffset val="100"/>
      </c:catAx>
      <c:valAx>
        <c:axId val="67831680"/>
        <c:scaling>
          <c:orientation val="minMax"/>
        </c:scaling>
        <c:axPos val="l"/>
        <c:majorGridlines/>
        <c:numFmt formatCode="_(* #,##0.00_);_(* \(#,##0.00\);_(* &quot;-&quot;??_);_(@_)" sourceLinked="1"/>
        <c:tickLblPos val="nextTo"/>
        <c:txPr>
          <a:bodyPr/>
          <a:lstStyle/>
          <a:p>
            <a:pPr>
              <a:defRPr sz="800">
                <a:latin typeface="Times New Roman" pitchFamily="18" charset="0"/>
                <a:cs typeface="Times New Roman" pitchFamily="18" charset="0"/>
              </a:defRPr>
            </a:pPr>
            <a:endParaRPr lang="en-US"/>
          </a:p>
        </c:txPr>
        <c:crossAx val="67830144"/>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latin typeface="Times New Roman" pitchFamily="18" charset="0"/>
                <a:cs typeface="Times New Roman" pitchFamily="18" charset="0"/>
              </a:rPr>
              <a:t>giro 2016 (jt)</a:t>
            </a:r>
          </a:p>
        </c:rich>
      </c:tx>
      <c:layout/>
    </c:title>
    <c:plotArea>
      <c:layout/>
      <c:lineChart>
        <c:grouping val="stacked"/>
        <c:ser>
          <c:idx val="0"/>
          <c:order val="0"/>
          <c:tx>
            <c:v>giro 2016 (jt)</c:v>
          </c:tx>
          <c:marker>
            <c:symbol val="none"/>
          </c:marker>
          <c:cat>
            <c:strRef>
              <c:f>Giro!$A$2:$A$13</c:f>
              <c:strCache>
                <c:ptCount val="12"/>
                <c:pt idx="0">
                  <c:v>31 Jan</c:v>
                </c:pt>
                <c:pt idx="1">
                  <c:v>29 Feb</c:v>
                </c:pt>
                <c:pt idx="2">
                  <c:v>31 Mar</c:v>
                </c:pt>
                <c:pt idx="3">
                  <c:v>30 Apr</c:v>
                </c:pt>
                <c:pt idx="4">
                  <c:v>31 Mei</c:v>
                </c:pt>
                <c:pt idx="5">
                  <c:v>30 Jun</c:v>
                </c:pt>
                <c:pt idx="6">
                  <c:v>31 Juli</c:v>
                </c:pt>
                <c:pt idx="7">
                  <c:v>31 Agt</c:v>
                </c:pt>
                <c:pt idx="8">
                  <c:v>30 Sep</c:v>
                </c:pt>
                <c:pt idx="9">
                  <c:v>31 Okt</c:v>
                </c:pt>
                <c:pt idx="10">
                  <c:v>30 Nov</c:v>
                </c:pt>
                <c:pt idx="11">
                  <c:v>31 Des</c:v>
                </c:pt>
              </c:strCache>
            </c:strRef>
          </c:cat>
          <c:val>
            <c:numRef>
              <c:f>Giro!$B$2:$B$13</c:f>
              <c:numCache>
                <c:formatCode>_(* #,##0.00_);_(* \(#,##0.00\);_(* "-"??_);_(@_)</c:formatCode>
                <c:ptCount val="12"/>
                <c:pt idx="0">
                  <c:v>23750.735232759995</c:v>
                </c:pt>
                <c:pt idx="1">
                  <c:v>23580.579033020003</c:v>
                </c:pt>
                <c:pt idx="2">
                  <c:v>22161.418818839997</c:v>
                </c:pt>
                <c:pt idx="3">
                  <c:v>23224.199884549995</c:v>
                </c:pt>
                <c:pt idx="4">
                  <c:v>22982.336349220001</c:v>
                </c:pt>
                <c:pt idx="5">
                  <c:v>30841.612374539654</c:v>
                </c:pt>
                <c:pt idx="6">
                  <c:v>25690.187269559996</c:v>
                </c:pt>
                <c:pt idx="7">
                  <c:v>21957.428043889995</c:v>
                </c:pt>
                <c:pt idx="8">
                  <c:v>20569.009792649998</c:v>
                </c:pt>
                <c:pt idx="9">
                  <c:v>19986.569241830184</c:v>
                </c:pt>
                <c:pt idx="10">
                  <c:v>22652.788513859901</c:v>
                </c:pt>
                <c:pt idx="11">
                  <c:v>21898.0889258961</c:v>
                </c:pt>
              </c:numCache>
            </c:numRef>
          </c:val>
        </c:ser>
        <c:marker val="1"/>
        <c:axId val="62001920"/>
        <c:axId val="62003456"/>
      </c:lineChart>
      <c:catAx>
        <c:axId val="62001920"/>
        <c:scaling>
          <c:orientation val="minMax"/>
        </c:scaling>
        <c:axPos val="b"/>
        <c:tickLblPos val="nextTo"/>
        <c:txPr>
          <a:bodyPr/>
          <a:lstStyle/>
          <a:p>
            <a:pPr>
              <a:defRPr sz="800" baseline="0">
                <a:latin typeface="Times New Roman" pitchFamily="18" charset="0"/>
                <a:cs typeface="Times New Roman" pitchFamily="18" charset="0"/>
              </a:defRPr>
            </a:pPr>
            <a:endParaRPr lang="en-US"/>
          </a:p>
        </c:txPr>
        <c:crossAx val="62003456"/>
        <c:crosses val="autoZero"/>
        <c:auto val="1"/>
        <c:lblAlgn val="ctr"/>
        <c:lblOffset val="100"/>
      </c:catAx>
      <c:valAx>
        <c:axId val="62003456"/>
        <c:scaling>
          <c:orientation val="minMax"/>
        </c:scaling>
        <c:axPos val="l"/>
        <c:majorGridlines/>
        <c:numFmt formatCode="_(* #,##0.00_);_(* \(#,##0.00\);_(* &quot;-&quot;??_);_(@_)" sourceLinked="1"/>
        <c:tickLblPos val="nextTo"/>
        <c:txPr>
          <a:bodyPr/>
          <a:lstStyle/>
          <a:p>
            <a:pPr>
              <a:defRPr sz="800" baseline="0">
                <a:latin typeface="Times New Roman" pitchFamily="18" charset="0"/>
                <a:cs typeface="Times New Roman" pitchFamily="18" charset="0"/>
              </a:defRPr>
            </a:pPr>
            <a:endParaRPr lang="en-US"/>
          </a:p>
        </c:txPr>
        <c:crossAx val="62001920"/>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latin typeface="Times New Roman" pitchFamily="18" charset="0"/>
                <a:cs typeface="Times New Roman" pitchFamily="18" charset="0"/>
              </a:rPr>
              <a:t>deposito 2016 (jt)</a:t>
            </a:r>
          </a:p>
        </c:rich>
      </c:tx>
      <c:layout/>
    </c:title>
    <c:plotArea>
      <c:layout/>
      <c:lineChart>
        <c:grouping val="stacked"/>
        <c:ser>
          <c:idx val="0"/>
          <c:order val="0"/>
          <c:tx>
            <c:v>deposito 2016 (jt)</c:v>
          </c:tx>
          <c:marker>
            <c:symbol val="none"/>
          </c:marker>
          <c:cat>
            <c:strRef>
              <c:f>Depo!$A$2:$A$13</c:f>
              <c:strCache>
                <c:ptCount val="12"/>
                <c:pt idx="0">
                  <c:v>31 Jan</c:v>
                </c:pt>
                <c:pt idx="1">
                  <c:v>29 Feb</c:v>
                </c:pt>
                <c:pt idx="2">
                  <c:v>31 Mar</c:v>
                </c:pt>
                <c:pt idx="3">
                  <c:v>30 Apr</c:v>
                </c:pt>
                <c:pt idx="4">
                  <c:v>31 Mei</c:v>
                </c:pt>
                <c:pt idx="5">
                  <c:v>30 Jun</c:v>
                </c:pt>
                <c:pt idx="6">
                  <c:v>31 Juli</c:v>
                </c:pt>
                <c:pt idx="7">
                  <c:v>31 Agt</c:v>
                </c:pt>
                <c:pt idx="8">
                  <c:v>30 Sep</c:v>
                </c:pt>
                <c:pt idx="9">
                  <c:v>31 Okt</c:v>
                </c:pt>
                <c:pt idx="10">
                  <c:v>30 Nov</c:v>
                </c:pt>
                <c:pt idx="11">
                  <c:v>31 Des</c:v>
                </c:pt>
              </c:strCache>
            </c:strRef>
          </c:cat>
          <c:val>
            <c:numRef>
              <c:f>Depo!$B$2:$B$13</c:f>
              <c:numCache>
                <c:formatCode>_(* #,##0.00_);_(* \(#,##0.00\);_(* "-"??_);_(@_)</c:formatCode>
                <c:ptCount val="12"/>
                <c:pt idx="0">
                  <c:v>126969.52539869152</c:v>
                </c:pt>
                <c:pt idx="1">
                  <c:v>124786.85644695042</c:v>
                </c:pt>
                <c:pt idx="2">
                  <c:v>120490.01934432001</c:v>
                </c:pt>
                <c:pt idx="3">
                  <c:v>120571.92866835002</c:v>
                </c:pt>
                <c:pt idx="4">
                  <c:v>121611.10674834999</c:v>
                </c:pt>
                <c:pt idx="5">
                  <c:v>128441.09769688002</c:v>
                </c:pt>
                <c:pt idx="6">
                  <c:v>129795.42403453002</c:v>
                </c:pt>
                <c:pt idx="7">
                  <c:v>122471.27682660999</c:v>
                </c:pt>
                <c:pt idx="8">
                  <c:v>118041.54171562</c:v>
                </c:pt>
                <c:pt idx="9">
                  <c:v>121519.89199523002</c:v>
                </c:pt>
                <c:pt idx="10">
                  <c:v>119450.85517043048</c:v>
                </c:pt>
                <c:pt idx="11">
                  <c:v>119496.02930112001</c:v>
                </c:pt>
              </c:numCache>
            </c:numRef>
          </c:val>
        </c:ser>
        <c:marker val="1"/>
        <c:axId val="27280896"/>
        <c:axId val="27282432"/>
      </c:lineChart>
      <c:catAx>
        <c:axId val="27280896"/>
        <c:scaling>
          <c:orientation val="minMax"/>
        </c:scaling>
        <c:axPos val="b"/>
        <c:tickLblPos val="nextTo"/>
        <c:txPr>
          <a:bodyPr/>
          <a:lstStyle/>
          <a:p>
            <a:pPr>
              <a:defRPr sz="800" baseline="0">
                <a:latin typeface="Times New Roman" pitchFamily="18" charset="0"/>
                <a:cs typeface="Times New Roman" pitchFamily="18" charset="0"/>
              </a:defRPr>
            </a:pPr>
            <a:endParaRPr lang="en-US"/>
          </a:p>
        </c:txPr>
        <c:crossAx val="27282432"/>
        <c:crosses val="autoZero"/>
        <c:auto val="1"/>
        <c:lblAlgn val="ctr"/>
        <c:lblOffset val="100"/>
      </c:catAx>
      <c:valAx>
        <c:axId val="27282432"/>
        <c:scaling>
          <c:orientation val="minMax"/>
        </c:scaling>
        <c:axPos val="l"/>
        <c:majorGridlines/>
        <c:numFmt formatCode="_(* #,##0.00_);_(* \(#,##0.00\);_(* &quot;-&quot;??_);_(@_)" sourceLinked="1"/>
        <c:tickLblPos val="nextTo"/>
        <c:txPr>
          <a:bodyPr/>
          <a:lstStyle/>
          <a:p>
            <a:pPr>
              <a:defRPr sz="800" baseline="0">
                <a:latin typeface="Times New Roman" pitchFamily="18" charset="0"/>
                <a:cs typeface="Times New Roman" pitchFamily="18" charset="0"/>
              </a:defRPr>
            </a:pPr>
            <a:endParaRPr lang="en-US"/>
          </a:p>
        </c:txPr>
        <c:crossAx val="27280896"/>
        <c:crosses val="autoZero"/>
        <c:crossBetween val="between"/>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latin typeface="Times New Roman" pitchFamily="18" charset="0"/>
                <a:cs typeface="Times New Roman" pitchFamily="18" charset="0"/>
              </a:defRPr>
            </a:pPr>
            <a:r>
              <a:rPr lang="en-US" sz="900">
                <a:latin typeface="Times New Roman" pitchFamily="18" charset="0"/>
                <a:cs typeface="Times New Roman" pitchFamily="18" charset="0"/>
              </a:rPr>
              <a:t>DPK</a:t>
            </a:r>
            <a:r>
              <a:rPr lang="en-US" sz="1000">
                <a:latin typeface="Times New Roman" pitchFamily="18" charset="0"/>
                <a:cs typeface="Times New Roman" pitchFamily="18" charset="0"/>
              </a:rPr>
              <a:t> 2016 (jt)</a:t>
            </a:r>
          </a:p>
        </c:rich>
      </c:tx>
      <c:layout/>
    </c:title>
    <c:plotArea>
      <c:layout/>
      <c:lineChart>
        <c:grouping val="stacked"/>
        <c:ser>
          <c:idx val="0"/>
          <c:order val="0"/>
          <c:tx>
            <c:v>DPK 2016 (jt)</c:v>
          </c:tx>
          <c:marker>
            <c:symbol val="none"/>
          </c:marker>
          <c:cat>
            <c:strRef>
              <c:f>Tab!$A$36:$A$47</c:f>
              <c:strCache>
                <c:ptCount val="12"/>
                <c:pt idx="0">
                  <c:v>31 Jan</c:v>
                </c:pt>
                <c:pt idx="1">
                  <c:v>29 Feb</c:v>
                </c:pt>
                <c:pt idx="2">
                  <c:v>31 Mar</c:v>
                </c:pt>
                <c:pt idx="3">
                  <c:v>30 Apr</c:v>
                </c:pt>
                <c:pt idx="4">
                  <c:v>31 Mei</c:v>
                </c:pt>
                <c:pt idx="5">
                  <c:v>30 Jun</c:v>
                </c:pt>
                <c:pt idx="6">
                  <c:v>31 Juli</c:v>
                </c:pt>
                <c:pt idx="7">
                  <c:v>31 Agt</c:v>
                </c:pt>
                <c:pt idx="8">
                  <c:v>30 Sep</c:v>
                </c:pt>
                <c:pt idx="9">
                  <c:v>31 Okt</c:v>
                </c:pt>
                <c:pt idx="10">
                  <c:v>30 Nov</c:v>
                </c:pt>
                <c:pt idx="11">
                  <c:v>31 Des</c:v>
                </c:pt>
              </c:strCache>
            </c:strRef>
          </c:cat>
          <c:val>
            <c:numRef>
              <c:f>Tab!$B$36:$B$47</c:f>
              <c:numCache>
                <c:formatCode>_(* #,##0.00_);_(* \(#,##0.00\);_(* "-"??_);_(@_)</c:formatCode>
                <c:ptCount val="12"/>
                <c:pt idx="0">
                  <c:v>390760.46338817844</c:v>
                </c:pt>
                <c:pt idx="1">
                  <c:v>378338.83423630992</c:v>
                </c:pt>
                <c:pt idx="2">
                  <c:v>376256.94433002028</c:v>
                </c:pt>
                <c:pt idx="3">
                  <c:v>374592.71785847994</c:v>
                </c:pt>
                <c:pt idx="4">
                  <c:v>366582.85312323994</c:v>
                </c:pt>
                <c:pt idx="5">
                  <c:v>270914.34997316002</c:v>
                </c:pt>
                <c:pt idx="6">
                  <c:v>401594.96911053022</c:v>
                </c:pt>
                <c:pt idx="7">
                  <c:v>395875.48275801999</c:v>
                </c:pt>
                <c:pt idx="8">
                  <c:v>396171.10731293005</c:v>
                </c:pt>
                <c:pt idx="9">
                  <c:v>396546.6431023305</c:v>
                </c:pt>
                <c:pt idx="10">
                  <c:v>396399.15477477969</c:v>
                </c:pt>
                <c:pt idx="11">
                  <c:v>412398.22082121106</c:v>
                </c:pt>
              </c:numCache>
            </c:numRef>
          </c:val>
        </c:ser>
        <c:marker val="1"/>
        <c:axId val="27290240"/>
        <c:axId val="62019840"/>
      </c:lineChart>
      <c:catAx>
        <c:axId val="27290240"/>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62019840"/>
        <c:crosses val="autoZero"/>
        <c:auto val="1"/>
        <c:lblAlgn val="ctr"/>
        <c:lblOffset val="100"/>
      </c:catAx>
      <c:valAx>
        <c:axId val="62019840"/>
        <c:scaling>
          <c:orientation val="minMax"/>
        </c:scaling>
        <c:axPos val="l"/>
        <c:majorGridlines/>
        <c:numFmt formatCode="_(* #,##0.00_);_(* \(#,##0.00\);_(* &quot;-&quot;??_);_(@_)" sourceLinked="1"/>
        <c:tickLblPos val="nextTo"/>
        <c:txPr>
          <a:bodyPr/>
          <a:lstStyle/>
          <a:p>
            <a:pPr>
              <a:defRPr sz="800">
                <a:latin typeface="Times New Roman" pitchFamily="18" charset="0"/>
                <a:cs typeface="Times New Roman" pitchFamily="18" charset="0"/>
              </a:defRPr>
            </a:pPr>
            <a:endParaRPr lang="en-US"/>
          </a:p>
        </c:txPr>
        <c:crossAx val="27290240"/>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latin typeface="Times New Roman" pitchFamily="18" charset="0"/>
                <a:cs typeface="Times New Roman" pitchFamily="18" charset="0"/>
              </a:rPr>
              <a:t>deposito 2015 (jt)</a:t>
            </a:r>
          </a:p>
        </c:rich>
      </c:tx>
      <c:layout/>
    </c:title>
    <c:plotArea>
      <c:layout/>
      <c:lineChart>
        <c:grouping val="stacked"/>
        <c:ser>
          <c:idx val="0"/>
          <c:order val="0"/>
          <c:marker>
            <c:symbol val="none"/>
          </c:marker>
          <c:cat>
            <c:strRef>
              <c:f>Depo!$L$2:$L$13</c:f>
              <c:strCache>
                <c:ptCount val="12"/>
                <c:pt idx="0">
                  <c:v>31 Jan</c:v>
                </c:pt>
                <c:pt idx="1">
                  <c:v>28 Feb</c:v>
                </c:pt>
                <c:pt idx="2">
                  <c:v>31 Mar</c:v>
                </c:pt>
                <c:pt idx="3">
                  <c:v>30 Apr</c:v>
                </c:pt>
                <c:pt idx="4">
                  <c:v>31 Mei</c:v>
                </c:pt>
                <c:pt idx="5">
                  <c:v>30 Jun</c:v>
                </c:pt>
                <c:pt idx="6">
                  <c:v>31 Juli</c:v>
                </c:pt>
                <c:pt idx="7">
                  <c:v>31 Agt</c:v>
                </c:pt>
                <c:pt idx="8">
                  <c:v>30 Sep</c:v>
                </c:pt>
                <c:pt idx="9">
                  <c:v>31 Okt</c:v>
                </c:pt>
                <c:pt idx="10">
                  <c:v>30 Nov</c:v>
                </c:pt>
                <c:pt idx="11">
                  <c:v>31 Des</c:v>
                </c:pt>
              </c:strCache>
            </c:strRef>
          </c:cat>
          <c:val>
            <c:numRef>
              <c:f>Depo!$M$2:$M$13</c:f>
              <c:numCache>
                <c:formatCode>_(* #,##0.00_);_(* \(#,##0.00\);_(* "-"??_);_(@_)</c:formatCode>
                <c:ptCount val="12"/>
                <c:pt idx="0">
                  <c:v>114485.48888563001</c:v>
                </c:pt>
                <c:pt idx="1">
                  <c:v>117091.89656606001</c:v>
                </c:pt>
                <c:pt idx="2">
                  <c:v>123905.80374407001</c:v>
                </c:pt>
                <c:pt idx="3">
                  <c:v>122205.61177432</c:v>
                </c:pt>
                <c:pt idx="4">
                  <c:v>127817.80904447002</c:v>
                </c:pt>
                <c:pt idx="5">
                  <c:v>133727.22366592998</c:v>
                </c:pt>
                <c:pt idx="6">
                  <c:v>142362.78696665002</c:v>
                </c:pt>
                <c:pt idx="7">
                  <c:v>122112.82736209035</c:v>
                </c:pt>
                <c:pt idx="8">
                  <c:v>120973.06761763</c:v>
                </c:pt>
                <c:pt idx="9">
                  <c:v>118632.85764842997</c:v>
                </c:pt>
                <c:pt idx="10">
                  <c:v>120354.55045816999</c:v>
                </c:pt>
                <c:pt idx="11">
                  <c:v>119841.62028574999</c:v>
                </c:pt>
              </c:numCache>
            </c:numRef>
          </c:val>
        </c:ser>
        <c:marker val="1"/>
        <c:axId val="62053376"/>
        <c:axId val="67072768"/>
      </c:lineChart>
      <c:catAx>
        <c:axId val="62053376"/>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67072768"/>
        <c:crosses val="autoZero"/>
        <c:auto val="1"/>
        <c:lblAlgn val="ctr"/>
        <c:lblOffset val="100"/>
      </c:catAx>
      <c:valAx>
        <c:axId val="67072768"/>
        <c:scaling>
          <c:orientation val="minMax"/>
        </c:scaling>
        <c:axPos val="l"/>
        <c:majorGridlines/>
        <c:numFmt formatCode="_(* #,##0.00_);_(* \(#,##0.00\);_(* &quot;-&quot;??_);_(@_)" sourceLinked="1"/>
        <c:tickLblPos val="nextTo"/>
        <c:txPr>
          <a:bodyPr/>
          <a:lstStyle/>
          <a:p>
            <a:pPr>
              <a:defRPr sz="800">
                <a:latin typeface="Times New Roman" pitchFamily="18" charset="0"/>
                <a:cs typeface="Times New Roman" pitchFamily="18" charset="0"/>
              </a:defRPr>
            </a:pPr>
            <a:endParaRPr lang="en-US"/>
          </a:p>
        </c:txPr>
        <c:crossAx val="62053376"/>
        <c:crosses val="autoZero"/>
        <c:crossBetween val="between"/>
      </c:valAx>
    </c:plotArea>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latin typeface="Times New Roman" pitchFamily="18" charset="0"/>
                <a:cs typeface="Times New Roman" pitchFamily="18" charset="0"/>
              </a:rPr>
              <a:t>tabungan 2015 (jt)</a:t>
            </a:r>
          </a:p>
        </c:rich>
      </c:tx>
      <c:layout/>
    </c:title>
    <c:plotArea>
      <c:layout/>
      <c:lineChart>
        <c:grouping val="stacked"/>
        <c:ser>
          <c:idx val="0"/>
          <c:order val="0"/>
          <c:marker>
            <c:symbol val="none"/>
          </c:marker>
          <c:cat>
            <c:strRef>
              <c:f>Tab!$M$2:$M$13</c:f>
              <c:strCache>
                <c:ptCount val="12"/>
                <c:pt idx="0">
                  <c:v>31 Jan</c:v>
                </c:pt>
                <c:pt idx="1">
                  <c:v>28 Feb</c:v>
                </c:pt>
                <c:pt idx="2">
                  <c:v>31 Mar</c:v>
                </c:pt>
                <c:pt idx="3">
                  <c:v>30 Apr</c:v>
                </c:pt>
                <c:pt idx="4">
                  <c:v>31 Mei</c:v>
                </c:pt>
                <c:pt idx="5">
                  <c:v>30 Jun</c:v>
                </c:pt>
                <c:pt idx="6">
                  <c:v>31 Juli</c:v>
                </c:pt>
                <c:pt idx="7">
                  <c:v>31 Agt</c:v>
                </c:pt>
                <c:pt idx="8">
                  <c:v>30 Sep</c:v>
                </c:pt>
                <c:pt idx="9">
                  <c:v>31 Okt</c:v>
                </c:pt>
                <c:pt idx="10">
                  <c:v>30 Nov</c:v>
                </c:pt>
                <c:pt idx="11">
                  <c:v>31 Des</c:v>
                </c:pt>
              </c:strCache>
            </c:strRef>
          </c:cat>
          <c:val>
            <c:numRef>
              <c:f>Tab!$N$2:$N$13</c:f>
              <c:numCache>
                <c:formatCode>_(* #,##0.00_);_(* \(#,##0.00\);_(* "-"??_);_(@_)</c:formatCode>
                <c:ptCount val="12"/>
                <c:pt idx="0">
                  <c:v>207885.6568492701</c:v>
                </c:pt>
                <c:pt idx="1">
                  <c:v>204900.46413252901</c:v>
                </c:pt>
                <c:pt idx="2">
                  <c:v>205623.40945866998</c:v>
                </c:pt>
                <c:pt idx="3">
                  <c:v>206209.22043606968</c:v>
                </c:pt>
                <c:pt idx="4">
                  <c:v>197165.78760231999</c:v>
                </c:pt>
                <c:pt idx="5">
                  <c:v>207003.79208481067</c:v>
                </c:pt>
                <c:pt idx="6">
                  <c:v>211684.67100716993</c:v>
                </c:pt>
                <c:pt idx="7">
                  <c:v>217579.88270260935</c:v>
                </c:pt>
                <c:pt idx="8">
                  <c:v>228896.74154628004</c:v>
                </c:pt>
                <c:pt idx="9">
                  <c:v>235293.81860540001</c:v>
                </c:pt>
                <c:pt idx="10">
                  <c:v>236212.72201787995</c:v>
                </c:pt>
                <c:pt idx="11">
                  <c:v>254879.75821321007</c:v>
                </c:pt>
              </c:numCache>
            </c:numRef>
          </c:val>
        </c:ser>
        <c:marker val="1"/>
        <c:axId val="67095168"/>
        <c:axId val="67143168"/>
      </c:lineChart>
      <c:catAx>
        <c:axId val="67095168"/>
        <c:scaling>
          <c:orientation val="minMax"/>
        </c:scaling>
        <c:axPos val="b"/>
        <c:tickLblPos val="nextTo"/>
        <c:txPr>
          <a:bodyPr rot="-5400000" vert="horz"/>
          <a:lstStyle/>
          <a:p>
            <a:pPr>
              <a:defRPr sz="800">
                <a:latin typeface="Times New Roman" pitchFamily="18" charset="0"/>
                <a:cs typeface="Times New Roman" pitchFamily="18" charset="0"/>
              </a:defRPr>
            </a:pPr>
            <a:endParaRPr lang="en-US"/>
          </a:p>
        </c:txPr>
        <c:crossAx val="67143168"/>
        <c:crosses val="autoZero"/>
        <c:auto val="1"/>
        <c:lblAlgn val="ctr"/>
        <c:lblOffset val="100"/>
      </c:catAx>
      <c:valAx>
        <c:axId val="67143168"/>
        <c:scaling>
          <c:orientation val="minMax"/>
        </c:scaling>
        <c:axPos val="l"/>
        <c:majorGridlines/>
        <c:numFmt formatCode="_(* #,##0.00_);_(* \(#,##0.00\);_(* &quot;-&quot;??_);_(@_)" sourceLinked="1"/>
        <c:tickLblPos val="nextTo"/>
        <c:txPr>
          <a:bodyPr/>
          <a:lstStyle/>
          <a:p>
            <a:pPr>
              <a:defRPr sz="800">
                <a:latin typeface="Times New Roman" pitchFamily="18" charset="0"/>
                <a:cs typeface="Times New Roman" pitchFamily="18" charset="0"/>
              </a:defRPr>
            </a:pPr>
            <a:endParaRPr lang="en-US"/>
          </a:p>
        </c:txPr>
        <c:crossAx val="67095168"/>
        <c:crosses val="autoZero"/>
        <c:crossBetween val="between"/>
      </c:valAx>
    </c:plotArea>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latin typeface="Times New Roman" pitchFamily="18" charset="0"/>
                <a:cs typeface="Times New Roman" pitchFamily="18" charset="0"/>
              </a:rPr>
              <a:t>giro 2015 (jt)</a:t>
            </a:r>
          </a:p>
        </c:rich>
      </c:tx>
      <c:layout/>
    </c:title>
    <c:plotArea>
      <c:layout/>
      <c:lineChart>
        <c:grouping val="stacked"/>
        <c:ser>
          <c:idx val="0"/>
          <c:order val="0"/>
          <c:marker>
            <c:symbol val="none"/>
          </c:marker>
          <c:cat>
            <c:strRef>
              <c:f>Giro!$A$20:$A$31</c:f>
              <c:strCache>
                <c:ptCount val="12"/>
                <c:pt idx="0">
                  <c:v>31 Jan</c:v>
                </c:pt>
                <c:pt idx="1">
                  <c:v>28 Feb</c:v>
                </c:pt>
                <c:pt idx="2">
                  <c:v>31 Mar</c:v>
                </c:pt>
                <c:pt idx="3">
                  <c:v>30 Apr</c:v>
                </c:pt>
                <c:pt idx="4">
                  <c:v>31 Mei</c:v>
                </c:pt>
                <c:pt idx="5">
                  <c:v>30 Jun</c:v>
                </c:pt>
                <c:pt idx="6">
                  <c:v>31 Juli</c:v>
                </c:pt>
                <c:pt idx="7">
                  <c:v>31 Agt</c:v>
                </c:pt>
                <c:pt idx="8">
                  <c:v>30 Sep</c:v>
                </c:pt>
                <c:pt idx="9">
                  <c:v>31 Okt</c:v>
                </c:pt>
                <c:pt idx="10">
                  <c:v>30 Nov</c:v>
                </c:pt>
                <c:pt idx="11">
                  <c:v>31 Des</c:v>
                </c:pt>
              </c:strCache>
            </c:strRef>
          </c:cat>
          <c:val>
            <c:numRef>
              <c:f>Giro!$B$20:$B$31</c:f>
              <c:numCache>
                <c:formatCode>_(* #,##0.00_);_(* \(#,##0.00\);_(* "-"??_);_(@_)</c:formatCode>
                <c:ptCount val="12"/>
                <c:pt idx="0">
                  <c:v>21046.7948578</c:v>
                </c:pt>
                <c:pt idx="1">
                  <c:v>16580.316233829992</c:v>
                </c:pt>
                <c:pt idx="2">
                  <c:v>17608.130007369888</c:v>
                </c:pt>
                <c:pt idx="3">
                  <c:v>17039.511570099879</c:v>
                </c:pt>
                <c:pt idx="4">
                  <c:v>19973.007718249999</c:v>
                </c:pt>
                <c:pt idx="5">
                  <c:v>30629.990641799999</c:v>
                </c:pt>
                <c:pt idx="6">
                  <c:v>26992.182201369997</c:v>
                </c:pt>
                <c:pt idx="7">
                  <c:v>23999.35066421</c:v>
                </c:pt>
                <c:pt idx="8">
                  <c:v>19676.436068210001</c:v>
                </c:pt>
                <c:pt idx="9">
                  <c:v>24048.159379939818</c:v>
                </c:pt>
                <c:pt idx="10">
                  <c:v>22679.159224629992</c:v>
                </c:pt>
                <c:pt idx="11">
                  <c:v>32376.995080839995</c:v>
                </c:pt>
              </c:numCache>
            </c:numRef>
          </c:val>
        </c:ser>
        <c:marker val="1"/>
        <c:axId val="67021824"/>
        <c:axId val="67037824"/>
      </c:lineChart>
      <c:catAx>
        <c:axId val="67021824"/>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67037824"/>
        <c:crosses val="autoZero"/>
        <c:auto val="1"/>
        <c:lblAlgn val="ctr"/>
        <c:lblOffset val="100"/>
      </c:catAx>
      <c:valAx>
        <c:axId val="67037824"/>
        <c:scaling>
          <c:orientation val="minMax"/>
        </c:scaling>
        <c:axPos val="l"/>
        <c:majorGridlines/>
        <c:numFmt formatCode="_(* #,##0.00_);_(* \(#,##0.00\);_(* &quot;-&quot;??_);_(@_)" sourceLinked="1"/>
        <c:tickLblPos val="nextTo"/>
        <c:txPr>
          <a:bodyPr/>
          <a:lstStyle/>
          <a:p>
            <a:pPr>
              <a:defRPr sz="800">
                <a:latin typeface="Times New Roman" pitchFamily="18" charset="0"/>
                <a:cs typeface="Times New Roman" pitchFamily="18" charset="0"/>
              </a:defRPr>
            </a:pPr>
            <a:endParaRPr lang="en-US"/>
          </a:p>
        </c:txPr>
        <c:crossAx val="67021824"/>
        <c:crosses val="autoZero"/>
        <c:crossBetween val="between"/>
      </c:valAx>
    </c:plotArea>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latin typeface="Times New Roman" pitchFamily="18" charset="0"/>
                <a:cs typeface="Times New Roman" pitchFamily="18" charset="0"/>
              </a:defRPr>
            </a:pPr>
            <a:r>
              <a:rPr lang="en-US" sz="900">
                <a:latin typeface="Times New Roman" pitchFamily="18" charset="0"/>
                <a:cs typeface="Times New Roman" pitchFamily="18" charset="0"/>
              </a:rPr>
              <a:t>DPK</a:t>
            </a:r>
            <a:r>
              <a:rPr lang="en-US" sz="1000">
                <a:latin typeface="Times New Roman" pitchFamily="18" charset="0"/>
                <a:cs typeface="Times New Roman" pitchFamily="18" charset="0"/>
              </a:rPr>
              <a:t> 2015 (jt)</a:t>
            </a:r>
          </a:p>
        </c:rich>
      </c:tx>
      <c:layout/>
    </c:title>
    <c:plotArea>
      <c:layout/>
      <c:lineChart>
        <c:grouping val="stacked"/>
        <c:ser>
          <c:idx val="0"/>
          <c:order val="0"/>
          <c:marker>
            <c:symbol val="none"/>
          </c:marker>
          <c:cat>
            <c:strRef>
              <c:f>Tab!$A$49:$A$60</c:f>
              <c:strCache>
                <c:ptCount val="12"/>
                <c:pt idx="0">
                  <c:v>31 Jan</c:v>
                </c:pt>
                <c:pt idx="1">
                  <c:v>28 Feb</c:v>
                </c:pt>
                <c:pt idx="2">
                  <c:v>31 Mar</c:v>
                </c:pt>
                <c:pt idx="3">
                  <c:v>30 Apr</c:v>
                </c:pt>
                <c:pt idx="4">
                  <c:v>31 Mei</c:v>
                </c:pt>
                <c:pt idx="5">
                  <c:v>30 Jun</c:v>
                </c:pt>
                <c:pt idx="6">
                  <c:v>31 Juli</c:v>
                </c:pt>
                <c:pt idx="7">
                  <c:v>31 Agt</c:v>
                </c:pt>
                <c:pt idx="8">
                  <c:v>30 Sep</c:v>
                </c:pt>
                <c:pt idx="9">
                  <c:v>31 Okt</c:v>
                </c:pt>
                <c:pt idx="10">
                  <c:v>30 Nov</c:v>
                </c:pt>
                <c:pt idx="11">
                  <c:v>31 Des</c:v>
                </c:pt>
              </c:strCache>
            </c:strRef>
          </c:cat>
          <c:val>
            <c:numRef>
              <c:f>Tab!$B$49:$B$60</c:f>
              <c:numCache>
                <c:formatCode>_(* #,##0.00_);_(* \(#,##0.00\);_(* "-"??_);_(@_)</c:formatCode>
                <c:ptCount val="12"/>
                <c:pt idx="0">
                  <c:v>343417.94059269998</c:v>
                </c:pt>
                <c:pt idx="1">
                  <c:v>338572.67693242</c:v>
                </c:pt>
                <c:pt idx="2">
                  <c:v>347137.34321010998</c:v>
                </c:pt>
                <c:pt idx="3">
                  <c:v>345454.34378048999</c:v>
                </c:pt>
                <c:pt idx="4">
                  <c:v>344956.60436503985</c:v>
                </c:pt>
                <c:pt idx="5">
                  <c:v>371361.00639254</c:v>
                </c:pt>
                <c:pt idx="6">
                  <c:v>381039.64017518959</c:v>
                </c:pt>
                <c:pt idx="7">
                  <c:v>363692.06072891003</c:v>
                </c:pt>
                <c:pt idx="8">
                  <c:v>369546.24523212021</c:v>
                </c:pt>
                <c:pt idx="9">
                  <c:v>377974.83563377208</c:v>
                </c:pt>
                <c:pt idx="10">
                  <c:v>379246.43170068</c:v>
                </c:pt>
                <c:pt idx="11">
                  <c:v>407098.37357980153</c:v>
                </c:pt>
              </c:numCache>
            </c:numRef>
          </c:val>
        </c:ser>
        <c:marker val="1"/>
        <c:axId val="67129344"/>
        <c:axId val="67131648"/>
      </c:lineChart>
      <c:catAx>
        <c:axId val="67129344"/>
        <c:scaling>
          <c:orientation val="minMax"/>
        </c:scaling>
        <c:axPos val="b"/>
        <c:numFmt formatCode="General" sourceLinked="1"/>
        <c:tickLblPos val="nextTo"/>
        <c:txPr>
          <a:bodyPr/>
          <a:lstStyle/>
          <a:p>
            <a:pPr>
              <a:defRPr sz="800">
                <a:latin typeface="Times New Roman" pitchFamily="18" charset="0"/>
                <a:cs typeface="Times New Roman" pitchFamily="18" charset="0"/>
              </a:defRPr>
            </a:pPr>
            <a:endParaRPr lang="en-US"/>
          </a:p>
        </c:txPr>
        <c:crossAx val="67131648"/>
        <c:crosses val="autoZero"/>
        <c:auto val="1"/>
        <c:lblAlgn val="ctr"/>
        <c:lblOffset val="100"/>
      </c:catAx>
      <c:valAx>
        <c:axId val="67131648"/>
        <c:scaling>
          <c:orientation val="minMax"/>
        </c:scaling>
        <c:axPos val="l"/>
        <c:majorGridlines/>
        <c:numFmt formatCode="_(* #,##0.00_);_(* \(#,##0.00\);_(* &quot;-&quot;??_);_(@_)" sourceLinked="1"/>
        <c:tickLblPos val="nextTo"/>
        <c:txPr>
          <a:bodyPr/>
          <a:lstStyle/>
          <a:p>
            <a:pPr>
              <a:defRPr sz="800">
                <a:latin typeface="Times New Roman" pitchFamily="18" charset="0"/>
                <a:cs typeface="Times New Roman" pitchFamily="18" charset="0"/>
              </a:defRPr>
            </a:pPr>
            <a:endParaRPr lang="en-US"/>
          </a:p>
        </c:txPr>
        <c:crossAx val="67129344"/>
        <c:crosses val="autoZero"/>
        <c:crossBetween val="between"/>
      </c:valAx>
    </c:plotArea>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tabungan 2014 (jt)</a:t>
            </a:r>
          </a:p>
        </c:rich>
      </c:tx>
      <c:layout/>
    </c:title>
    <c:plotArea>
      <c:layout>
        <c:manualLayout>
          <c:layoutTarget val="inner"/>
          <c:xMode val="edge"/>
          <c:yMode val="edge"/>
          <c:x val="0.36990893995393492"/>
          <c:y val="0.14701662292213474"/>
          <c:w val="0.63909428629114073"/>
          <c:h val="0.60611082888832468"/>
        </c:manualLayout>
      </c:layout>
      <c:lineChart>
        <c:grouping val="stacked"/>
        <c:ser>
          <c:idx val="0"/>
          <c:order val="0"/>
          <c:marker>
            <c:symbol val="none"/>
          </c:marker>
          <c:cat>
            <c:strRef>
              <c:f>Tab!$X$2:$X$13</c:f>
              <c:strCache>
                <c:ptCount val="12"/>
                <c:pt idx="0">
                  <c:v>31 Jan</c:v>
                </c:pt>
                <c:pt idx="1">
                  <c:v>28 Feb</c:v>
                </c:pt>
                <c:pt idx="2">
                  <c:v>31 Mar</c:v>
                </c:pt>
                <c:pt idx="3">
                  <c:v>30 Apr</c:v>
                </c:pt>
                <c:pt idx="4">
                  <c:v>31 Mei</c:v>
                </c:pt>
                <c:pt idx="5">
                  <c:v>30 Jun</c:v>
                </c:pt>
                <c:pt idx="6">
                  <c:v>31 Juli</c:v>
                </c:pt>
                <c:pt idx="7">
                  <c:v>31 Agt</c:v>
                </c:pt>
                <c:pt idx="8">
                  <c:v>30 Sep</c:v>
                </c:pt>
                <c:pt idx="9">
                  <c:v>31 Okt</c:v>
                </c:pt>
                <c:pt idx="10">
                  <c:v>30 Nov</c:v>
                </c:pt>
                <c:pt idx="11">
                  <c:v>31 Des</c:v>
                </c:pt>
              </c:strCache>
            </c:strRef>
          </c:cat>
          <c:val>
            <c:numRef>
              <c:f>Tab!$Y$2:$Y$13</c:f>
              <c:numCache>
                <c:formatCode>_(* #,##0.00_);_(* \(#,##0.00\);_(* "-"??_);_(@_)</c:formatCode>
                <c:ptCount val="12"/>
                <c:pt idx="0">
                  <c:v>211283.78264704999</c:v>
                </c:pt>
                <c:pt idx="1">
                  <c:v>203250.97116672937</c:v>
                </c:pt>
                <c:pt idx="2">
                  <c:v>202767.59677952001</c:v>
                </c:pt>
                <c:pt idx="3">
                  <c:v>200481.26433093997</c:v>
                </c:pt>
                <c:pt idx="4">
                  <c:v>193216.89003424931</c:v>
                </c:pt>
                <c:pt idx="5">
                  <c:v>191357.52835742</c:v>
                </c:pt>
                <c:pt idx="6">
                  <c:v>196171.10694983098</c:v>
                </c:pt>
                <c:pt idx="7">
                  <c:v>189174.48422553999</c:v>
                </c:pt>
                <c:pt idx="8">
                  <c:v>196599.46300478</c:v>
                </c:pt>
                <c:pt idx="9">
                  <c:v>205391.89254017003</c:v>
                </c:pt>
                <c:pt idx="10">
                  <c:v>193681.27417460011</c:v>
                </c:pt>
                <c:pt idx="11">
                  <c:v>209083.04952919</c:v>
                </c:pt>
              </c:numCache>
            </c:numRef>
          </c:val>
        </c:ser>
        <c:marker val="1"/>
        <c:axId val="67676032"/>
        <c:axId val="67677568"/>
      </c:lineChart>
      <c:catAx>
        <c:axId val="67676032"/>
        <c:scaling>
          <c:orientation val="minMax"/>
        </c:scaling>
        <c:axPos val="b"/>
        <c:tickLblPos val="nextTo"/>
        <c:txPr>
          <a:bodyPr/>
          <a:lstStyle/>
          <a:p>
            <a:pPr>
              <a:defRPr sz="800"/>
            </a:pPr>
            <a:endParaRPr lang="en-US"/>
          </a:p>
        </c:txPr>
        <c:crossAx val="67677568"/>
        <c:crosses val="autoZero"/>
        <c:auto val="1"/>
        <c:lblAlgn val="ctr"/>
        <c:lblOffset val="100"/>
      </c:catAx>
      <c:valAx>
        <c:axId val="67677568"/>
        <c:scaling>
          <c:orientation val="minMax"/>
        </c:scaling>
        <c:axPos val="l"/>
        <c:majorGridlines/>
        <c:numFmt formatCode="_(* #,##0.00_);_(* \(#,##0.00\);_(* &quot;-&quot;??_);_(@_)" sourceLinked="1"/>
        <c:tickLblPos val="nextTo"/>
        <c:txPr>
          <a:bodyPr/>
          <a:lstStyle/>
          <a:p>
            <a:pPr>
              <a:defRPr sz="800">
                <a:latin typeface="Times New Roman" pitchFamily="18" charset="0"/>
                <a:cs typeface="Times New Roman" pitchFamily="18" charset="0"/>
              </a:defRPr>
            </a:pPr>
            <a:endParaRPr lang="en-US"/>
          </a:p>
        </c:txPr>
        <c:crossAx val="67676032"/>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0.56354</cdr:x>
      <cdr:y>0.21288</cdr:y>
    </cdr:from>
    <cdr:to>
      <cdr:x>0.7276</cdr:x>
      <cdr:y>0.56813</cdr:y>
    </cdr:to>
    <cdr:sp macro="" textlink="">
      <cdr:nvSpPr>
        <cdr:cNvPr id="2" name="Oval 1"/>
        <cdr:cNvSpPr/>
      </cdr:nvSpPr>
      <cdr:spPr>
        <a:xfrm xmlns:a="http://schemas.openxmlformats.org/drawingml/2006/main" flipH="1">
          <a:off x="1062099" y="334567"/>
          <a:ext cx="309201" cy="558319"/>
        </a:xfrm>
        <a:prstGeom xmlns:a="http://schemas.openxmlformats.org/drawingml/2006/main" prst="ellipse">
          <a:avLst/>
        </a:prstGeom>
        <a:noFill xmlns:a="http://schemas.openxmlformats.org/drawingml/2006/main"/>
        <a:ln xmlns:a="http://schemas.openxmlformats.org/drawingml/2006/main" w="12700">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0.xml><?xml version="1.0" encoding="utf-8"?>
<c:userShapes xmlns:c="http://schemas.openxmlformats.org/drawingml/2006/chart">
  <cdr:relSizeAnchor xmlns:cdr="http://schemas.openxmlformats.org/drawingml/2006/chartDrawing">
    <cdr:from>
      <cdr:x>0.38396</cdr:x>
      <cdr:y>0.33043</cdr:y>
    </cdr:from>
    <cdr:to>
      <cdr:x>0.51642</cdr:x>
      <cdr:y>0.55587</cdr:y>
    </cdr:to>
    <cdr:sp macro="" textlink="">
      <cdr:nvSpPr>
        <cdr:cNvPr id="2" name="Oval 1"/>
        <cdr:cNvSpPr/>
      </cdr:nvSpPr>
      <cdr:spPr>
        <a:xfrm xmlns:a="http://schemas.openxmlformats.org/drawingml/2006/main">
          <a:off x="713156" y="575964"/>
          <a:ext cx="246028" cy="392959"/>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0.73191</cdr:x>
      <cdr:y>0.2087</cdr:y>
    </cdr:from>
    <cdr:to>
      <cdr:x>0.9234</cdr:x>
      <cdr:y>0.55587</cdr:y>
    </cdr:to>
    <cdr:sp macro="" textlink="">
      <cdr:nvSpPr>
        <cdr:cNvPr id="3" name="Oval 2"/>
        <cdr:cNvSpPr/>
      </cdr:nvSpPr>
      <cdr:spPr>
        <a:xfrm xmlns:a="http://schemas.openxmlformats.org/drawingml/2006/main">
          <a:off x="1638299" y="457200"/>
          <a:ext cx="428625" cy="760579"/>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0.54359</cdr:x>
      <cdr:y>0.36612</cdr:y>
    </cdr:from>
    <cdr:to>
      <cdr:x>0.70256</cdr:x>
      <cdr:y>0.54479</cdr:y>
    </cdr:to>
    <cdr:sp macro="" textlink="">
      <cdr:nvSpPr>
        <cdr:cNvPr id="4" name="Oval 3"/>
        <cdr:cNvSpPr/>
      </cdr:nvSpPr>
      <cdr:spPr>
        <a:xfrm xmlns:a="http://schemas.openxmlformats.org/drawingml/2006/main">
          <a:off x="1009649" y="638175"/>
          <a:ext cx="295275" cy="311439"/>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drawings/drawing11.xml><?xml version="1.0" encoding="utf-8"?>
<c:userShapes xmlns:c="http://schemas.openxmlformats.org/drawingml/2006/chart">
  <cdr:relSizeAnchor xmlns:cdr="http://schemas.openxmlformats.org/drawingml/2006/chartDrawing">
    <cdr:from>
      <cdr:x>0.40138</cdr:x>
      <cdr:y>0.29911</cdr:y>
    </cdr:from>
    <cdr:to>
      <cdr:x>0.52895</cdr:x>
      <cdr:y>0.53058</cdr:y>
    </cdr:to>
    <cdr:sp macro="" textlink="">
      <cdr:nvSpPr>
        <cdr:cNvPr id="2" name="Oval 1"/>
        <cdr:cNvSpPr/>
      </cdr:nvSpPr>
      <cdr:spPr>
        <a:xfrm xmlns:a="http://schemas.openxmlformats.org/drawingml/2006/main">
          <a:off x="749345" y="498579"/>
          <a:ext cx="238160" cy="385832"/>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0.64344</cdr:x>
      <cdr:y>0.20089</cdr:y>
    </cdr:from>
    <cdr:to>
      <cdr:x>0.80612</cdr:x>
      <cdr:y>0.43237</cdr:y>
    </cdr:to>
    <cdr:sp macro="" textlink="">
      <cdr:nvSpPr>
        <cdr:cNvPr id="3" name="Oval 2"/>
        <cdr:cNvSpPr/>
      </cdr:nvSpPr>
      <cdr:spPr>
        <a:xfrm xmlns:a="http://schemas.openxmlformats.org/drawingml/2006/main">
          <a:off x="1201238" y="334859"/>
          <a:ext cx="303712" cy="385848"/>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drawings/drawing12.xml><?xml version="1.0" encoding="utf-8"?>
<c:userShapes xmlns:c="http://schemas.openxmlformats.org/drawingml/2006/chart">
  <cdr:relSizeAnchor xmlns:cdr="http://schemas.openxmlformats.org/drawingml/2006/chartDrawing">
    <cdr:from>
      <cdr:x>0.4155</cdr:x>
      <cdr:y>0.39428</cdr:y>
    </cdr:from>
    <cdr:to>
      <cdr:x>0.5389</cdr:x>
      <cdr:y>0.58112</cdr:y>
    </cdr:to>
    <cdr:sp macro="" textlink="">
      <cdr:nvSpPr>
        <cdr:cNvPr id="2" name="Oval 1"/>
        <cdr:cNvSpPr/>
      </cdr:nvSpPr>
      <cdr:spPr>
        <a:xfrm xmlns:a="http://schemas.openxmlformats.org/drawingml/2006/main">
          <a:off x="771731" y="657223"/>
          <a:ext cx="229200" cy="311439"/>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0.59149</cdr:x>
      <cdr:y>0.3125</cdr:y>
    </cdr:from>
    <cdr:to>
      <cdr:x>0.82128</cdr:x>
      <cdr:y>0.68237</cdr:y>
    </cdr:to>
    <cdr:sp macro="" textlink="">
      <cdr:nvSpPr>
        <cdr:cNvPr id="3" name="Oval 2"/>
        <cdr:cNvSpPr/>
      </cdr:nvSpPr>
      <cdr:spPr>
        <a:xfrm xmlns:a="http://schemas.openxmlformats.org/drawingml/2006/main">
          <a:off x="1323975" y="666751"/>
          <a:ext cx="514350" cy="789154"/>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0.54341</cdr:x>
      <cdr:y>0.26109</cdr:y>
    </cdr:from>
    <cdr:to>
      <cdr:x>0.74029</cdr:x>
      <cdr:y>0.53373</cdr:y>
    </cdr:to>
    <cdr:sp macro="" textlink="">
      <cdr:nvSpPr>
        <cdr:cNvPr id="2" name="Oval 1"/>
        <cdr:cNvSpPr/>
      </cdr:nvSpPr>
      <cdr:spPr>
        <a:xfrm xmlns:a="http://schemas.openxmlformats.org/drawingml/2006/main">
          <a:off x="973077" y="410328"/>
          <a:ext cx="352553" cy="428488"/>
        </a:xfrm>
        <a:prstGeom xmlns:a="http://schemas.openxmlformats.org/drawingml/2006/main" prst="ellipse">
          <a:avLst/>
        </a:prstGeom>
        <a:noFill xmlns:a="http://schemas.openxmlformats.org/drawingml/2006/main"/>
        <a:ln xmlns:a="http://schemas.openxmlformats.org/drawingml/2006/main" w="12700">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0.36036</cdr:x>
      <cdr:y>0.24785</cdr:y>
    </cdr:from>
    <cdr:to>
      <cdr:x>0.51622</cdr:x>
      <cdr:y>0.57006</cdr:y>
    </cdr:to>
    <cdr:sp macro="" textlink="">
      <cdr:nvSpPr>
        <cdr:cNvPr id="2" name="Oval 1"/>
        <cdr:cNvSpPr/>
      </cdr:nvSpPr>
      <cdr:spPr>
        <a:xfrm xmlns:a="http://schemas.openxmlformats.org/drawingml/2006/main">
          <a:off x="679166" y="415496"/>
          <a:ext cx="293746" cy="540153"/>
        </a:xfrm>
        <a:prstGeom xmlns:a="http://schemas.openxmlformats.org/drawingml/2006/main" prst="ellipse">
          <a:avLst/>
        </a:prstGeom>
        <a:noFill xmlns:a="http://schemas.openxmlformats.org/drawingml/2006/main"/>
        <a:ln xmlns:a="http://schemas.openxmlformats.org/drawingml/2006/main" w="12700">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0.53732</cdr:x>
      <cdr:y>0.17763</cdr:y>
    </cdr:from>
    <cdr:to>
      <cdr:x>0.62345</cdr:x>
      <cdr:y>0.55767</cdr:y>
    </cdr:to>
    <cdr:sp macro="" textlink="">
      <cdr:nvSpPr>
        <cdr:cNvPr id="3" name="Oval 2"/>
        <cdr:cNvSpPr/>
      </cdr:nvSpPr>
      <cdr:spPr>
        <a:xfrm xmlns:a="http://schemas.openxmlformats.org/drawingml/2006/main">
          <a:off x="1247775" y="409575"/>
          <a:ext cx="200025" cy="876300"/>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0.62756</cdr:x>
      <cdr:y>0.1588</cdr:y>
    </cdr:from>
    <cdr:to>
      <cdr:x>0.81351</cdr:x>
      <cdr:y>0.64855</cdr:y>
    </cdr:to>
    <cdr:sp macro="" textlink="">
      <cdr:nvSpPr>
        <cdr:cNvPr id="4" name="Oval 3"/>
        <cdr:cNvSpPr/>
      </cdr:nvSpPr>
      <cdr:spPr>
        <a:xfrm xmlns:a="http://schemas.openxmlformats.org/drawingml/2006/main">
          <a:off x="1374029" y="352425"/>
          <a:ext cx="407145" cy="1086918"/>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0.57492</cdr:x>
      <cdr:y>0.21461</cdr:y>
    </cdr:from>
    <cdr:to>
      <cdr:x>0.74227</cdr:x>
      <cdr:y>0.50267</cdr:y>
    </cdr:to>
    <cdr:sp macro="" textlink="">
      <cdr:nvSpPr>
        <cdr:cNvPr id="2" name="Oval 1"/>
        <cdr:cNvSpPr/>
      </cdr:nvSpPr>
      <cdr:spPr>
        <a:xfrm xmlns:a="http://schemas.openxmlformats.org/drawingml/2006/main">
          <a:off x="1018552" y="367949"/>
          <a:ext cx="296486" cy="493879"/>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0.55497</cdr:x>
      <cdr:y>0.19608</cdr:y>
    </cdr:from>
    <cdr:to>
      <cdr:x>0.79581</cdr:x>
      <cdr:y>0.39706</cdr:y>
    </cdr:to>
    <cdr:sp macro="" textlink="">
      <cdr:nvSpPr>
        <cdr:cNvPr id="2" name="Oval 1"/>
        <cdr:cNvSpPr/>
      </cdr:nvSpPr>
      <cdr:spPr>
        <a:xfrm xmlns:a="http://schemas.openxmlformats.org/drawingml/2006/main">
          <a:off x="1009650" y="381000"/>
          <a:ext cx="438150" cy="390525"/>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drawings/drawing6.xml><?xml version="1.0" encoding="utf-8"?>
<c:userShapes xmlns:c="http://schemas.openxmlformats.org/drawingml/2006/chart">
  <cdr:relSizeAnchor xmlns:cdr="http://schemas.openxmlformats.org/drawingml/2006/chartDrawing">
    <cdr:from>
      <cdr:x>0.76842</cdr:x>
      <cdr:y>0.20923</cdr:y>
    </cdr:from>
    <cdr:to>
      <cdr:x>0.91579</cdr:x>
      <cdr:y>0.38885</cdr:y>
    </cdr:to>
    <cdr:sp macro="" textlink="">
      <cdr:nvSpPr>
        <cdr:cNvPr id="2" name="Oval 1"/>
        <cdr:cNvSpPr/>
      </cdr:nvSpPr>
      <cdr:spPr>
        <a:xfrm xmlns:a="http://schemas.openxmlformats.org/drawingml/2006/main">
          <a:off x="1390644" y="372671"/>
          <a:ext cx="266703" cy="319935"/>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drawings/drawing7.xml><?xml version="1.0" encoding="utf-8"?>
<c:userShapes xmlns:c="http://schemas.openxmlformats.org/drawingml/2006/chart">
  <cdr:relSizeAnchor xmlns:cdr="http://schemas.openxmlformats.org/drawingml/2006/chartDrawing">
    <cdr:from>
      <cdr:x>0.55882</cdr:x>
      <cdr:y>0.16019</cdr:y>
    </cdr:from>
    <cdr:to>
      <cdr:x>0.7598</cdr:x>
      <cdr:y>0.57862</cdr:y>
    </cdr:to>
    <cdr:sp macro="" textlink="">
      <cdr:nvSpPr>
        <cdr:cNvPr id="2" name="Oval 1"/>
        <cdr:cNvSpPr/>
      </cdr:nvSpPr>
      <cdr:spPr>
        <a:xfrm xmlns:a="http://schemas.openxmlformats.org/drawingml/2006/main">
          <a:off x="1085849" y="314325"/>
          <a:ext cx="390525" cy="821017"/>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0.36932</cdr:x>
      <cdr:y>0.33981</cdr:y>
    </cdr:from>
    <cdr:to>
      <cdr:x>0.49677</cdr:x>
      <cdr:y>0.5534</cdr:y>
    </cdr:to>
    <cdr:sp macro="" textlink="">
      <cdr:nvSpPr>
        <cdr:cNvPr id="3" name="Oval 2"/>
        <cdr:cNvSpPr/>
      </cdr:nvSpPr>
      <cdr:spPr>
        <a:xfrm xmlns:a="http://schemas.openxmlformats.org/drawingml/2006/main">
          <a:off x="671891" y="556711"/>
          <a:ext cx="231867" cy="349924"/>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0.78431</cdr:x>
      <cdr:y>0.19418</cdr:y>
    </cdr:from>
    <cdr:to>
      <cdr:x>0.95588</cdr:x>
      <cdr:y>0.46602</cdr:y>
    </cdr:to>
    <cdr:sp macro="" textlink="">
      <cdr:nvSpPr>
        <cdr:cNvPr id="4" name="Oval 3"/>
        <cdr:cNvSpPr/>
      </cdr:nvSpPr>
      <cdr:spPr>
        <a:xfrm xmlns:a="http://schemas.openxmlformats.org/drawingml/2006/main">
          <a:off x="1524000" y="381001"/>
          <a:ext cx="333375" cy="533400"/>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drawings/drawing8.xml><?xml version="1.0" encoding="utf-8"?>
<c:userShapes xmlns:c="http://schemas.openxmlformats.org/drawingml/2006/chart">
  <cdr:relSizeAnchor xmlns:cdr="http://schemas.openxmlformats.org/drawingml/2006/chartDrawing">
    <cdr:from>
      <cdr:x>0.54902</cdr:x>
      <cdr:y>0.19118</cdr:y>
    </cdr:from>
    <cdr:to>
      <cdr:x>0.75</cdr:x>
      <cdr:y>0.46569</cdr:y>
    </cdr:to>
    <cdr:sp macro="" textlink="">
      <cdr:nvSpPr>
        <cdr:cNvPr id="2" name="Oval 1"/>
        <cdr:cNvSpPr/>
      </cdr:nvSpPr>
      <cdr:spPr>
        <a:xfrm xmlns:a="http://schemas.openxmlformats.org/drawingml/2006/main">
          <a:off x="1066800" y="371476"/>
          <a:ext cx="390525" cy="533400"/>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drawings/drawing9.xml><?xml version="1.0" encoding="utf-8"?>
<c:userShapes xmlns:c="http://schemas.openxmlformats.org/drawingml/2006/chart">
  <cdr:relSizeAnchor xmlns:cdr="http://schemas.openxmlformats.org/drawingml/2006/chartDrawing">
    <cdr:from>
      <cdr:x>0.341</cdr:x>
      <cdr:y>0.14348</cdr:y>
    </cdr:from>
    <cdr:to>
      <cdr:x>0.46857</cdr:x>
      <cdr:y>0.36892</cdr:y>
    </cdr:to>
    <cdr:sp macro="" textlink="">
      <cdr:nvSpPr>
        <cdr:cNvPr id="2" name="Oval 1"/>
        <cdr:cNvSpPr/>
      </cdr:nvSpPr>
      <cdr:spPr>
        <a:xfrm xmlns:a="http://schemas.openxmlformats.org/drawingml/2006/main">
          <a:off x="636610" y="250096"/>
          <a:ext cx="238160" cy="392959"/>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0.48243</cdr:x>
      <cdr:y>0.23008</cdr:y>
    </cdr:from>
    <cdr:to>
      <cdr:x>0.61</cdr:x>
      <cdr:y>0.45552</cdr:y>
    </cdr:to>
    <cdr:sp macro="" textlink="">
      <cdr:nvSpPr>
        <cdr:cNvPr id="3" name="Oval 2"/>
        <cdr:cNvSpPr/>
      </cdr:nvSpPr>
      <cdr:spPr>
        <a:xfrm xmlns:a="http://schemas.openxmlformats.org/drawingml/2006/main">
          <a:off x="900657" y="401040"/>
          <a:ext cx="238160" cy="392959"/>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0.64946</cdr:x>
      <cdr:y>0.34348</cdr:y>
    </cdr:from>
    <cdr:to>
      <cdr:x>0.77703</cdr:x>
      <cdr:y>0.56892</cdr:y>
    </cdr:to>
    <cdr:sp macro="" textlink="">
      <cdr:nvSpPr>
        <cdr:cNvPr id="4" name="Oval 3"/>
        <cdr:cNvSpPr/>
      </cdr:nvSpPr>
      <cdr:spPr>
        <a:xfrm xmlns:a="http://schemas.openxmlformats.org/drawingml/2006/main">
          <a:off x="1212481" y="598711"/>
          <a:ext cx="238160" cy="392959"/>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0.81967</cdr:x>
      <cdr:y>0.17715</cdr:y>
    </cdr:from>
    <cdr:to>
      <cdr:x>1</cdr:x>
      <cdr:y>0.48584</cdr:y>
    </cdr:to>
    <cdr:sp macro="" textlink="">
      <cdr:nvSpPr>
        <cdr:cNvPr id="5" name="Oval 4"/>
        <cdr:cNvSpPr/>
      </cdr:nvSpPr>
      <cdr:spPr>
        <a:xfrm xmlns:a="http://schemas.openxmlformats.org/drawingml/2006/main">
          <a:off x="1530242" y="308778"/>
          <a:ext cx="336658" cy="538070"/>
        </a:xfrm>
        <a:prstGeom xmlns:a="http://schemas.openxmlformats.org/drawingml/2006/main" prst="ellipse">
          <a:avLst/>
        </a:prstGeom>
        <a:noFill xmlns:a="http://schemas.openxmlformats.org/drawingml/2006/main"/>
        <a:ln xmlns:a="http://schemas.openxmlformats.org/drawingml/2006/main" w="127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3D39-76AF-4629-8D24-F9B05F66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11</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bdsuser</cp:lastModifiedBy>
  <cp:revision>103</cp:revision>
  <cp:lastPrinted>2018-07-20T12:12:00Z</cp:lastPrinted>
  <dcterms:created xsi:type="dcterms:W3CDTF">2016-09-20T14:41:00Z</dcterms:created>
  <dcterms:modified xsi:type="dcterms:W3CDTF">2018-07-20T12:13:00Z</dcterms:modified>
</cp:coreProperties>
</file>