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E8B" w:rsidRPr="00AC1E8B" w:rsidRDefault="00AC1E8B" w:rsidP="00AC1E8B">
      <w:pPr>
        <w:spacing w:after="0" w:line="240" w:lineRule="auto"/>
        <w:jc w:val="center"/>
        <w:rPr>
          <w:rFonts w:asciiTheme="majorBidi" w:hAnsiTheme="majorBidi" w:cstheme="majorBidi"/>
          <w:b/>
          <w:bCs/>
        </w:rPr>
      </w:pPr>
      <w:bookmarkStart w:id="0" w:name="_GoBack"/>
      <w:bookmarkEnd w:id="0"/>
      <w:r w:rsidRPr="00AC1E8B">
        <w:rPr>
          <w:rFonts w:asciiTheme="majorBidi" w:hAnsiTheme="majorBidi" w:cstheme="majorBidi"/>
          <w:b/>
          <w:bCs/>
        </w:rPr>
        <w:t>IMPLIKASI PENAMBAHAN NORMA PENETAPAN TERSANGKA SEBAGAI OBJEK PRAPERADILAN PASCA PUTUSAN MAHKAMAH KONSTITUSI NOMOR 21/PUU-XII/2014 TERHADAP SISTEM PERADILAN PIDANA</w:t>
      </w:r>
    </w:p>
    <w:p w:rsidR="00AC1E8B" w:rsidRPr="00602D7E" w:rsidRDefault="00AC1E8B" w:rsidP="00AC1E8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Baktiar Ihsan Agung N</w:t>
      </w:r>
    </w:p>
    <w:p w:rsidR="00AC1E8B" w:rsidRDefault="00AC1E8B" w:rsidP="00AC1E8B">
      <w:pPr>
        <w:spacing w:after="0" w:line="240" w:lineRule="auto"/>
        <w:jc w:val="center"/>
        <w:rPr>
          <w:rFonts w:ascii="Times New Roman" w:hAnsi="Times New Roman" w:cs="Times New Roman"/>
          <w:b/>
          <w:noProof/>
          <w:sz w:val="24"/>
          <w:lang w:val="en-US"/>
        </w:rPr>
      </w:pPr>
      <w:r>
        <w:rPr>
          <w:rFonts w:ascii="Times New Roman" w:hAnsi="Times New Roman" w:cs="Times New Roman"/>
          <w:b/>
          <w:sz w:val="24"/>
          <w:szCs w:val="24"/>
        </w:rPr>
        <w:t>1480400</w:t>
      </w:r>
      <w:r>
        <w:rPr>
          <w:rFonts w:ascii="Times New Roman" w:hAnsi="Times New Roman" w:cs="Times New Roman"/>
          <w:b/>
          <w:sz w:val="24"/>
          <w:szCs w:val="24"/>
          <w:lang w:val="en-US"/>
        </w:rPr>
        <w:t>1</w:t>
      </w:r>
      <w:r>
        <w:rPr>
          <w:rFonts w:ascii="Times New Roman" w:hAnsi="Times New Roman" w:cs="Times New Roman"/>
          <w:b/>
          <w:sz w:val="24"/>
          <w:szCs w:val="24"/>
        </w:rPr>
        <w:t>3</w:t>
      </w:r>
      <w:r w:rsidRPr="00AC1E8B">
        <w:rPr>
          <w:rFonts w:ascii="Times New Roman" w:hAnsi="Times New Roman" w:cs="Times New Roman"/>
          <w:b/>
          <w:sz w:val="24"/>
          <w:szCs w:val="24"/>
        </w:rPr>
        <w:t xml:space="preserve"> </w:t>
      </w:r>
      <w:r w:rsidRPr="00602D7E">
        <w:rPr>
          <w:rFonts w:ascii="Times New Roman" w:hAnsi="Times New Roman" w:cs="Times New Roman"/>
          <w:b/>
          <w:sz w:val="24"/>
          <w:szCs w:val="24"/>
        </w:rPr>
        <w:t xml:space="preserve">Hukum </w:t>
      </w:r>
      <w:r>
        <w:rPr>
          <w:rFonts w:ascii="Times New Roman" w:hAnsi="Times New Roman" w:cs="Times New Roman"/>
          <w:b/>
          <w:sz w:val="24"/>
          <w:szCs w:val="24"/>
        </w:rPr>
        <w:t>Pidana</w:t>
      </w:r>
    </w:p>
    <w:p w:rsidR="00AC1E8B" w:rsidRDefault="00AC1E8B" w:rsidP="00846F94">
      <w:pPr>
        <w:spacing w:after="0" w:line="240" w:lineRule="auto"/>
        <w:jc w:val="center"/>
        <w:rPr>
          <w:rFonts w:ascii="Times New Roman" w:hAnsi="Times New Roman" w:cs="Times New Roman"/>
          <w:b/>
          <w:noProof/>
          <w:sz w:val="24"/>
          <w:lang w:val="en-US"/>
        </w:rPr>
      </w:pPr>
    </w:p>
    <w:p w:rsidR="00846F94" w:rsidRPr="00605408" w:rsidRDefault="00846F94" w:rsidP="00846F94">
      <w:pPr>
        <w:spacing w:after="0" w:line="240" w:lineRule="auto"/>
        <w:jc w:val="center"/>
        <w:rPr>
          <w:rFonts w:ascii="Times New Roman" w:hAnsi="Times New Roman" w:cs="Times New Roman"/>
          <w:b/>
          <w:noProof/>
          <w:sz w:val="24"/>
        </w:rPr>
      </w:pPr>
      <w:r w:rsidRPr="00605408">
        <w:rPr>
          <w:rFonts w:ascii="Times New Roman" w:hAnsi="Times New Roman" w:cs="Times New Roman"/>
          <w:b/>
          <w:noProof/>
          <w:sz w:val="24"/>
        </w:rPr>
        <w:t>ABSTRAK</w:t>
      </w:r>
    </w:p>
    <w:p w:rsidR="00846F94" w:rsidRPr="00605408" w:rsidRDefault="00846F94" w:rsidP="00846F94">
      <w:pPr>
        <w:spacing w:after="0" w:line="240" w:lineRule="auto"/>
        <w:rPr>
          <w:rFonts w:ascii="Times New Roman" w:hAnsi="Times New Roman" w:cs="Times New Roman"/>
          <w:noProof/>
          <w:sz w:val="24"/>
        </w:rPr>
      </w:pPr>
    </w:p>
    <w:p w:rsidR="00846F94" w:rsidRPr="004D145B" w:rsidRDefault="00846F94" w:rsidP="00846F94">
      <w:pPr>
        <w:spacing w:after="0" w:line="240" w:lineRule="auto"/>
        <w:ind w:firstLine="709"/>
        <w:jc w:val="both"/>
        <w:rPr>
          <w:rFonts w:asciiTheme="majorBidi" w:hAnsiTheme="majorBidi" w:cstheme="majorBidi"/>
          <w:sz w:val="24"/>
          <w:szCs w:val="24"/>
        </w:rPr>
      </w:pPr>
      <w:r w:rsidRPr="007F7692">
        <w:rPr>
          <w:rFonts w:asciiTheme="majorBidi" w:hAnsiTheme="majorBidi" w:cstheme="majorBidi"/>
          <w:sz w:val="24"/>
          <w:szCs w:val="24"/>
        </w:rPr>
        <w:t xml:space="preserve">Tujuan utama sistem peradilan pidana yaitu menanggulangi masalah kejahatan. Untuk mencapai tujuan tersebut keempat subsistem yang terdapat di dalamnya secara administratif merupakan lembaga penegak hukum </w:t>
      </w:r>
      <w:r>
        <w:rPr>
          <w:rFonts w:asciiTheme="majorBidi" w:hAnsiTheme="majorBidi" w:cstheme="majorBidi"/>
          <w:sz w:val="24"/>
          <w:szCs w:val="24"/>
        </w:rPr>
        <w:t>(</w:t>
      </w:r>
      <w:r w:rsidRPr="00384700">
        <w:rPr>
          <w:rFonts w:asciiTheme="majorBidi" w:hAnsiTheme="majorBidi" w:cstheme="majorBidi"/>
          <w:sz w:val="24"/>
          <w:szCs w:val="24"/>
        </w:rPr>
        <w:t>Kepolisian, Kejaksaan, Pengadilan dan Lembaga Pemasyarakatan</w:t>
      </w:r>
      <w:r>
        <w:rPr>
          <w:rFonts w:asciiTheme="majorBidi" w:hAnsiTheme="majorBidi" w:cstheme="majorBidi"/>
          <w:sz w:val="24"/>
          <w:szCs w:val="24"/>
        </w:rPr>
        <w:t xml:space="preserve">) </w:t>
      </w:r>
      <w:r w:rsidRPr="00384700">
        <w:rPr>
          <w:rFonts w:asciiTheme="majorBidi" w:hAnsiTheme="majorBidi" w:cstheme="majorBidi"/>
          <w:sz w:val="24"/>
          <w:szCs w:val="24"/>
        </w:rPr>
        <w:t>yang masing-masing bersifat mandiri.</w:t>
      </w:r>
      <w:r>
        <w:rPr>
          <w:rFonts w:asciiTheme="majorBidi" w:hAnsiTheme="majorBidi" w:cstheme="majorBidi"/>
          <w:sz w:val="24"/>
          <w:szCs w:val="24"/>
        </w:rPr>
        <w:t xml:space="preserve"> </w:t>
      </w:r>
      <w:r w:rsidRPr="007F7692">
        <w:rPr>
          <w:rFonts w:asciiTheme="majorBidi" w:hAnsiTheme="majorBidi" w:cstheme="majorBidi"/>
          <w:sz w:val="24"/>
          <w:szCs w:val="24"/>
        </w:rPr>
        <w:t>Praperadilan merupakan lembaga baru dalam dunia peradilan di Indonesia dalam kehidupan penegakan hukum. Praperadilan bukan lembaga pengadilan yang berdiri sendiri. Pada hakekatnya merupakan suatu sistem, hal ini dikarenakan dalam proses peradilan pidana di Indonesia terdiri dari tahapan-tahapan yang merupakan satu kesatuan utuh yang tidak dapat dipisahkan.</w:t>
      </w:r>
      <w:r>
        <w:rPr>
          <w:rFonts w:asciiTheme="majorBidi" w:hAnsiTheme="majorBidi" w:cstheme="majorBidi"/>
          <w:sz w:val="24"/>
          <w:szCs w:val="24"/>
        </w:rPr>
        <w:t xml:space="preserve"> </w:t>
      </w:r>
      <w:r w:rsidRPr="007F7692">
        <w:rPr>
          <w:rFonts w:asciiTheme="majorBidi" w:hAnsiTheme="majorBidi" w:cstheme="majorBidi"/>
          <w:sz w:val="24"/>
          <w:szCs w:val="24"/>
        </w:rPr>
        <w:t>Hakikat keberadaan pranata praperadilan adalah bentuk pengawasan dan mekanisme keberatan terhadap proses penegakan hukum yang terkait erat dengan jaminan perlindungan hak asasi manusia. Namun dalam perjalanannya, lembaga praperadilan tidak mampu menjawab permasalahan yang ada dalam proses pra</w:t>
      </w:r>
      <w:r>
        <w:rPr>
          <w:rFonts w:asciiTheme="majorBidi" w:hAnsiTheme="majorBidi" w:cstheme="majorBidi"/>
          <w:sz w:val="24"/>
          <w:szCs w:val="24"/>
        </w:rPr>
        <w:t>-</w:t>
      </w:r>
      <w:r w:rsidRPr="007F7692">
        <w:rPr>
          <w:rFonts w:asciiTheme="majorBidi" w:hAnsiTheme="majorBidi" w:cstheme="majorBidi"/>
          <w:sz w:val="24"/>
          <w:szCs w:val="24"/>
        </w:rPr>
        <w:t xml:space="preserve">ajudikasi karena dibatasi secara limitatif oleh ketentuan Pasal 77 huruf a KUHAP. </w:t>
      </w:r>
      <w:r>
        <w:rPr>
          <w:rFonts w:asciiTheme="majorBidi" w:hAnsiTheme="majorBidi" w:cstheme="majorBidi"/>
          <w:sz w:val="24"/>
          <w:szCs w:val="24"/>
        </w:rPr>
        <w:t xml:space="preserve">Mahkamah Konstitusi </w:t>
      </w:r>
      <w:r w:rsidRPr="007F7692">
        <w:rPr>
          <w:rFonts w:asciiTheme="majorBidi" w:hAnsiTheme="majorBidi" w:cstheme="majorBidi"/>
          <w:sz w:val="24"/>
          <w:szCs w:val="24"/>
        </w:rPr>
        <w:t>berpendapat dimasukkannya keabsahan penetapan tersangka sebagai objek pranata praperadilan adalah agar perlakuan terhadap seseorang dalam proses pidana memperhatikan tersangka sebagai manusia yang mempunyai harkat, martabat, dan kedudukan yang sama di hadapan hukum. Penetapan tersangka adalah bagian dari proses penyidikan yang di dalamnya kemungkinan terdapat tindakan sewenang-wenang dari penyidik yang termasuk dalam perampasan hak asasi seseorang</w:t>
      </w:r>
      <w:r>
        <w:rPr>
          <w:rFonts w:asciiTheme="majorBidi" w:hAnsiTheme="majorBidi" w:cstheme="majorBidi"/>
          <w:sz w:val="24"/>
          <w:szCs w:val="24"/>
        </w:rPr>
        <w:t>.</w:t>
      </w:r>
    </w:p>
    <w:p w:rsidR="00846F94" w:rsidRDefault="00846F94" w:rsidP="00846F94">
      <w:pPr>
        <w:spacing w:after="0" w:line="240" w:lineRule="auto"/>
        <w:ind w:firstLine="709"/>
        <w:jc w:val="both"/>
        <w:rPr>
          <w:rFonts w:ascii="Times New Roman" w:hAnsi="Times New Roman" w:cs="Times New Roman"/>
          <w:noProof/>
          <w:sz w:val="24"/>
          <w:szCs w:val="24"/>
        </w:rPr>
      </w:pPr>
      <w:r w:rsidRPr="00605408">
        <w:rPr>
          <w:rFonts w:ascii="Times New Roman" w:hAnsi="Times New Roman" w:cs="Times New Roman"/>
          <w:noProof/>
          <w:sz w:val="24"/>
          <w:szCs w:val="24"/>
        </w:rPr>
        <w:t xml:space="preserve">Penelitian yang digunakan adalah deskriptif analitis dengan metode pendekatan </w:t>
      </w:r>
      <w:r>
        <w:rPr>
          <w:rFonts w:ascii="Times New Roman" w:hAnsi="Times New Roman" w:cs="Times New Roman"/>
          <w:noProof/>
          <w:sz w:val="24"/>
          <w:szCs w:val="24"/>
        </w:rPr>
        <w:t xml:space="preserve">yang digunakan </w:t>
      </w:r>
      <w:r w:rsidRPr="00D84CB8">
        <w:rPr>
          <w:rFonts w:ascii="Times New Roman" w:hAnsi="Times New Roman" w:cs="Times New Roman"/>
          <w:noProof/>
          <w:sz w:val="24"/>
          <w:szCs w:val="24"/>
        </w:rPr>
        <w:t>yang digunakan untuk menjawab isu hukum dalam kajian ini adalah pendekatan perundang-undangan</w:t>
      </w:r>
      <w:r w:rsidRPr="00605408">
        <w:rPr>
          <w:rFonts w:ascii="Times New Roman" w:hAnsi="Times New Roman" w:cs="Times New Roman"/>
          <w:noProof/>
          <w:sz w:val="24"/>
          <w:szCs w:val="24"/>
        </w:rPr>
        <w:t>, maka penelitian yang dilakukan melalui dua tahap yaitu studi kepustakaan dan penelitian lapangan, analisis data yang dipergunakan adalah analisis yuridis kualitatif, yaitu data yang diperoleh, kemudian disusun secara sistematis, menyeluruh dan terintegrasi untuk mencapai kejelasan masalah yang akan dibahas.</w:t>
      </w:r>
      <w:r>
        <w:rPr>
          <w:rFonts w:ascii="Times New Roman" w:hAnsi="Times New Roman" w:cs="Times New Roman"/>
          <w:noProof/>
          <w:sz w:val="24"/>
          <w:szCs w:val="24"/>
        </w:rPr>
        <w:t xml:space="preserve"> </w:t>
      </w:r>
    </w:p>
    <w:p w:rsidR="00846F94" w:rsidRPr="00FA5D6F" w:rsidRDefault="00846F94" w:rsidP="00846F94">
      <w:pPr>
        <w:spacing w:after="0" w:line="240" w:lineRule="auto"/>
        <w:ind w:firstLine="709"/>
        <w:jc w:val="both"/>
        <w:rPr>
          <w:rFonts w:ascii="Times New Roman" w:hAnsi="Times New Roman" w:cs="Times New Roman"/>
          <w:noProof/>
          <w:sz w:val="24"/>
          <w:szCs w:val="24"/>
        </w:rPr>
      </w:pPr>
      <w:r w:rsidRPr="00D84F59">
        <w:rPr>
          <w:rFonts w:asciiTheme="majorBidi" w:hAnsiTheme="majorBidi" w:cstheme="majorBidi"/>
          <w:noProof/>
          <w:sz w:val="24"/>
          <w:szCs w:val="24"/>
        </w:rPr>
        <w:t xml:space="preserve">Perwujudan keadilan di Indonesia ditegakan melalui paradigma perlindungan hak konstitusional warga negara yang termaktub dalam perubahan UUD 1945. Putusan MK No. 21/PUU-XII/2014 tentang pengujian Pasal 77 huruf a KUHAP, menuai beberapa implikasi dalam kehidupan berbangsa dan bernegara. Penambahan norma baru dalam pasal yang telah dibatalkan adalah dengan tujuan untuk mengisi kekosongan hukum. Namun nyatanya, sebelum putusan Mahkamah dinyatakan sah dan mengikat, putusan mengenai penetapan tersangka dapat menjadi objek praperadilan, sudah lebih dulu diputus di </w:t>
      </w:r>
      <w:r>
        <w:rPr>
          <w:rFonts w:asciiTheme="majorBidi" w:hAnsiTheme="majorBidi" w:cstheme="majorBidi"/>
          <w:noProof/>
          <w:sz w:val="24"/>
          <w:szCs w:val="24"/>
        </w:rPr>
        <w:t xml:space="preserve">Pengadilan Negeri, </w:t>
      </w:r>
      <w:r w:rsidRPr="00D84F59">
        <w:rPr>
          <w:rFonts w:asciiTheme="majorBidi" w:hAnsiTheme="majorBidi" w:cstheme="majorBidi"/>
          <w:noProof/>
          <w:sz w:val="24"/>
          <w:szCs w:val="24"/>
        </w:rPr>
        <w:t xml:space="preserve">sangat jelas bahwa dinamika yang terjadi di masyarakat menjadi faktor yang sangat mempengaruhi pertimbangan putusan </w:t>
      </w:r>
      <w:r>
        <w:rPr>
          <w:rFonts w:asciiTheme="majorBidi" w:hAnsiTheme="majorBidi" w:cstheme="majorBidi"/>
          <w:noProof/>
          <w:sz w:val="24"/>
          <w:szCs w:val="24"/>
        </w:rPr>
        <w:t>Mahkamah Konstitusi yang</w:t>
      </w:r>
      <w:r w:rsidRPr="00D84F59">
        <w:rPr>
          <w:rFonts w:asciiTheme="majorBidi" w:hAnsiTheme="majorBidi" w:cstheme="majorBidi"/>
          <w:sz w:val="24"/>
          <w:szCs w:val="24"/>
        </w:rPr>
        <w:t xml:space="preserve"> </w:t>
      </w:r>
      <w:r>
        <w:rPr>
          <w:rFonts w:asciiTheme="majorBidi" w:hAnsiTheme="majorBidi" w:cstheme="majorBidi"/>
          <w:sz w:val="24"/>
          <w:szCs w:val="24"/>
        </w:rPr>
        <w:t xml:space="preserve">mempunyai </w:t>
      </w:r>
      <w:r w:rsidRPr="00D84F59">
        <w:rPr>
          <w:rFonts w:asciiTheme="majorBidi" w:hAnsiTheme="majorBidi" w:cstheme="majorBidi"/>
          <w:sz w:val="24"/>
          <w:szCs w:val="24"/>
        </w:rPr>
        <w:t xml:space="preserve">implikasi terhadap penegakan hak konstitusional warga negara, implikasi pada implementasi putusan di tengah masyarakat, dan implikasi dalam sistem ketatanegaraan di Indonesia yang pada dasarnya memiliki prinsip </w:t>
      </w:r>
      <w:r w:rsidRPr="00D84F59">
        <w:rPr>
          <w:rFonts w:asciiTheme="majorBidi" w:hAnsiTheme="majorBidi" w:cstheme="majorBidi"/>
          <w:i/>
          <w:iCs/>
          <w:sz w:val="24"/>
          <w:szCs w:val="24"/>
        </w:rPr>
        <w:t>check and balances</w:t>
      </w:r>
      <w:r w:rsidRPr="00D84F59">
        <w:rPr>
          <w:rFonts w:asciiTheme="majorBidi" w:hAnsiTheme="majorBidi" w:cstheme="majorBidi"/>
          <w:sz w:val="24"/>
          <w:szCs w:val="24"/>
        </w:rPr>
        <w:t>.</w:t>
      </w:r>
    </w:p>
    <w:p w:rsidR="00846F94" w:rsidRPr="00605408" w:rsidRDefault="00846F94" w:rsidP="00846F94">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946"/>
      </w:tblGrid>
      <w:tr w:rsidR="00846F94" w:rsidRPr="00605408" w:rsidTr="008641DC">
        <w:tc>
          <w:tcPr>
            <w:tcW w:w="1418" w:type="dxa"/>
          </w:tcPr>
          <w:p w:rsidR="00846F94" w:rsidRPr="00605408" w:rsidRDefault="00846F94" w:rsidP="00846F94">
            <w:pPr>
              <w:spacing w:after="0" w:line="240" w:lineRule="auto"/>
              <w:ind w:left="-108"/>
              <w:jc w:val="both"/>
              <w:rPr>
                <w:rFonts w:ascii="Times New Roman" w:hAnsi="Times New Roman" w:cs="Times New Roman"/>
                <w:noProof/>
                <w:sz w:val="24"/>
                <w:szCs w:val="24"/>
              </w:rPr>
            </w:pPr>
            <w:r w:rsidRPr="00605408">
              <w:rPr>
                <w:rFonts w:ascii="Times New Roman" w:hAnsi="Times New Roman" w:cs="Times New Roman"/>
                <w:noProof/>
                <w:sz w:val="24"/>
                <w:szCs w:val="24"/>
              </w:rPr>
              <w:t>Kata Kunci :</w:t>
            </w:r>
          </w:p>
        </w:tc>
        <w:tc>
          <w:tcPr>
            <w:tcW w:w="6946" w:type="dxa"/>
          </w:tcPr>
          <w:p w:rsidR="00846F94" w:rsidRDefault="00846F94" w:rsidP="00846F94">
            <w:pPr>
              <w:spacing w:after="0" w:line="240" w:lineRule="auto"/>
              <w:ind w:left="34"/>
              <w:jc w:val="both"/>
              <w:rPr>
                <w:rFonts w:ascii="Times New Roman" w:hAnsi="Times New Roman" w:cs="Times New Roman"/>
                <w:noProof/>
                <w:sz w:val="24"/>
                <w:szCs w:val="24"/>
                <w:lang w:val="en-US"/>
              </w:rPr>
            </w:pPr>
            <w:r w:rsidRPr="00C84FFF">
              <w:rPr>
                <w:rFonts w:ascii="Times New Roman" w:hAnsi="Times New Roman" w:cs="Times New Roman"/>
                <w:noProof/>
                <w:sz w:val="24"/>
                <w:szCs w:val="24"/>
              </w:rPr>
              <w:t>Implikasi Penambahan Norma</w:t>
            </w:r>
            <w:r>
              <w:rPr>
                <w:rFonts w:ascii="Times New Roman" w:hAnsi="Times New Roman" w:cs="Times New Roman"/>
                <w:noProof/>
                <w:sz w:val="24"/>
                <w:szCs w:val="24"/>
              </w:rPr>
              <w:t>, Penetapan Tersangka Objek Praperadilan, Sistem Peradilan Pidana.</w:t>
            </w:r>
          </w:p>
          <w:p w:rsidR="00846F94" w:rsidRPr="00846F94" w:rsidRDefault="00846F94" w:rsidP="00846F94">
            <w:pPr>
              <w:spacing w:after="0" w:line="240" w:lineRule="auto"/>
              <w:ind w:left="34"/>
              <w:jc w:val="both"/>
              <w:rPr>
                <w:rFonts w:ascii="Times New Roman" w:hAnsi="Times New Roman" w:cs="Times New Roman"/>
                <w:noProof/>
                <w:sz w:val="24"/>
                <w:szCs w:val="24"/>
                <w:lang w:val="en-US"/>
              </w:rPr>
            </w:pPr>
          </w:p>
        </w:tc>
      </w:tr>
    </w:tbl>
    <w:p w:rsidR="00846F94" w:rsidRPr="00605408" w:rsidRDefault="00846F94" w:rsidP="00846F94">
      <w:pPr>
        <w:spacing w:after="0" w:line="240" w:lineRule="auto"/>
        <w:jc w:val="both"/>
        <w:rPr>
          <w:rFonts w:ascii="Times New Roman" w:hAnsi="Times New Roman" w:cs="Times New Roman"/>
          <w:noProof/>
          <w:sz w:val="24"/>
          <w:szCs w:val="24"/>
        </w:rPr>
      </w:pPr>
    </w:p>
    <w:p w:rsidR="00846F94" w:rsidRDefault="00846F94" w:rsidP="00846F94">
      <w:pPr>
        <w:spacing w:after="0" w:line="240" w:lineRule="auto"/>
        <w:jc w:val="center"/>
        <w:rPr>
          <w:rFonts w:ascii="Times New Roman" w:hAnsi="Times New Roman" w:cs="Times New Roman"/>
          <w:b/>
          <w:i/>
          <w:noProof/>
          <w:sz w:val="24"/>
          <w:lang w:val="en-US"/>
        </w:rPr>
      </w:pPr>
    </w:p>
    <w:p w:rsidR="00846F94" w:rsidRDefault="00846F94" w:rsidP="00846F94">
      <w:pPr>
        <w:spacing w:after="0" w:line="240" w:lineRule="auto"/>
        <w:jc w:val="center"/>
        <w:rPr>
          <w:rFonts w:ascii="Times New Roman" w:hAnsi="Times New Roman" w:cs="Times New Roman"/>
          <w:b/>
          <w:i/>
          <w:noProof/>
          <w:sz w:val="24"/>
          <w:lang w:val="en-US"/>
        </w:rPr>
      </w:pPr>
    </w:p>
    <w:p w:rsidR="00846F94" w:rsidRDefault="00846F94" w:rsidP="00846F94">
      <w:pPr>
        <w:spacing w:after="0" w:line="240" w:lineRule="auto"/>
        <w:jc w:val="center"/>
        <w:rPr>
          <w:rFonts w:ascii="Times New Roman" w:hAnsi="Times New Roman" w:cs="Times New Roman"/>
          <w:b/>
          <w:i/>
          <w:noProof/>
          <w:sz w:val="24"/>
          <w:lang w:val="en-US"/>
        </w:rPr>
      </w:pPr>
    </w:p>
    <w:p w:rsidR="00846F94" w:rsidRDefault="00846F94" w:rsidP="00846F94">
      <w:pPr>
        <w:spacing w:after="0" w:line="240" w:lineRule="auto"/>
        <w:jc w:val="center"/>
        <w:rPr>
          <w:rFonts w:ascii="Times New Roman" w:hAnsi="Times New Roman" w:cs="Times New Roman"/>
          <w:b/>
          <w:i/>
          <w:noProof/>
          <w:sz w:val="24"/>
          <w:lang w:val="en-US"/>
        </w:rPr>
      </w:pPr>
    </w:p>
    <w:p w:rsidR="00846F94" w:rsidRDefault="00846F94" w:rsidP="00846F94">
      <w:pPr>
        <w:spacing w:after="0" w:line="240" w:lineRule="auto"/>
        <w:jc w:val="center"/>
        <w:rPr>
          <w:rFonts w:ascii="Times New Roman" w:hAnsi="Times New Roman" w:cs="Times New Roman"/>
          <w:b/>
          <w:i/>
          <w:noProof/>
          <w:sz w:val="24"/>
        </w:rPr>
      </w:pPr>
      <w:r w:rsidRPr="005A6BEF">
        <w:rPr>
          <w:rFonts w:ascii="Times New Roman" w:hAnsi="Times New Roman" w:cs="Times New Roman"/>
          <w:b/>
          <w:i/>
          <w:noProof/>
          <w:sz w:val="24"/>
        </w:rPr>
        <w:t>ABSTRACT</w:t>
      </w:r>
    </w:p>
    <w:p w:rsidR="00846F94" w:rsidRDefault="00846F94" w:rsidP="00846F94">
      <w:pPr>
        <w:spacing w:after="0" w:line="240" w:lineRule="auto"/>
        <w:jc w:val="both"/>
      </w:pPr>
    </w:p>
    <w:p w:rsidR="00846F94" w:rsidRPr="00BB3E84" w:rsidRDefault="00846F94" w:rsidP="00846F94">
      <w:pPr>
        <w:spacing w:after="0" w:line="240" w:lineRule="auto"/>
        <w:ind w:firstLine="709"/>
        <w:jc w:val="both"/>
        <w:rPr>
          <w:rFonts w:ascii="Times New Roman" w:eastAsia="Times New Roman" w:hAnsi="Times New Roman" w:cs="Times New Roman"/>
          <w:i/>
          <w:noProof/>
          <w:sz w:val="24"/>
          <w:szCs w:val="24"/>
          <w:lang w:val="en-US" w:eastAsia="id-ID"/>
        </w:rPr>
      </w:pPr>
      <w:r w:rsidRPr="009E5529">
        <w:rPr>
          <w:rFonts w:ascii="Times New Roman" w:eastAsia="Times New Roman" w:hAnsi="Times New Roman" w:cs="Times New Roman"/>
          <w:i/>
          <w:noProof/>
          <w:sz w:val="24"/>
          <w:szCs w:val="24"/>
          <w:lang w:val="en-US" w:eastAsia="id-ID"/>
        </w:rPr>
        <w:t>The main purpose of the criminal justice system is to tackle the problem of crime. To achieve these objectives the four subsystems contained within it are administratively law enforcement agencies (Police, Prosecutors, Courts and Corrections) each of which is independent. Pretrial is a new institution in the world of justice in Indonesia in law enforcement life. Pretrial is not a stand-alone court institution. In essence is a system, this is because in the process of criminal justice in Indonesia consists of stages which is a unity intact that can not be separated. The nature of the existence of pre-trial institutions is a form of oversight and an objection mechanism to the law enforcement process that is closely linked to the guarantee of the protection of human rights. However, in its journey, the pretrial institution is unable to answer the existing problems in the pre-adjudication process because it is limited by the limitative provisions of Article 77 letter a of the Criminal Procedure Code. The Constitutional Court is of the opinion that the inclusion of the legitimacy of the determination of the suspect as an object of pretrial order is that the treatment of a person in the criminal proceedings concerns the suspect as a human having the same dignity and dignity before the law. Determination of a suspect is part of the investigation process in which there may be arbitrary actions of investigators who are included in the deprivation of a person</w:t>
      </w:r>
      <w:r>
        <w:rPr>
          <w:rFonts w:ascii="Times New Roman" w:eastAsia="Times New Roman" w:hAnsi="Times New Roman" w:cs="Times New Roman"/>
          <w:i/>
          <w:noProof/>
          <w:sz w:val="24"/>
          <w:szCs w:val="24"/>
          <w:lang w:eastAsia="id-ID"/>
        </w:rPr>
        <w:t>’</w:t>
      </w:r>
      <w:r w:rsidRPr="009E5529">
        <w:rPr>
          <w:rFonts w:ascii="Times New Roman" w:eastAsia="Times New Roman" w:hAnsi="Times New Roman" w:cs="Times New Roman"/>
          <w:i/>
          <w:noProof/>
          <w:sz w:val="24"/>
          <w:szCs w:val="24"/>
          <w:lang w:val="en-US" w:eastAsia="id-ID"/>
        </w:rPr>
        <w:t>s rights.</w:t>
      </w:r>
    </w:p>
    <w:p w:rsidR="00846F94" w:rsidRDefault="00846F94" w:rsidP="00846F94">
      <w:pPr>
        <w:spacing w:after="0" w:line="240" w:lineRule="auto"/>
        <w:ind w:firstLine="709"/>
        <w:jc w:val="both"/>
      </w:pPr>
      <w:r w:rsidRPr="006E0F0C">
        <w:rPr>
          <w:rFonts w:ascii="Times New Roman" w:eastAsia="Times New Roman" w:hAnsi="Times New Roman" w:cs="Times New Roman"/>
          <w:i/>
          <w:noProof/>
          <w:sz w:val="24"/>
          <w:szCs w:val="24"/>
          <w:lang w:val="en-US" w:eastAsia="id-ID"/>
        </w:rPr>
        <w:t>The research is descriptive analytical method used is used to address the legal issues in this study</w:t>
      </w:r>
      <w:r>
        <w:rPr>
          <w:rFonts w:ascii="Times New Roman" w:eastAsia="Times New Roman" w:hAnsi="Times New Roman" w:cs="Times New Roman"/>
          <w:i/>
          <w:noProof/>
          <w:sz w:val="24"/>
          <w:szCs w:val="24"/>
          <w:lang w:val="en-US" w:eastAsia="id-ID"/>
        </w:rPr>
        <w:t xml:space="preserve"> is the approach of legislation</w:t>
      </w:r>
      <w:r w:rsidRPr="006E0F0C">
        <w:rPr>
          <w:rFonts w:ascii="Times New Roman" w:eastAsia="Times New Roman" w:hAnsi="Times New Roman" w:cs="Times New Roman"/>
          <w:i/>
          <w:noProof/>
          <w:sz w:val="24"/>
          <w:szCs w:val="24"/>
          <w:lang w:val="en-US" w:eastAsia="id-ID"/>
        </w:rPr>
        <w:t>, then that research conducted in two phases, namely the study o</w:t>
      </w:r>
      <w:r>
        <w:rPr>
          <w:rFonts w:ascii="Times New Roman" w:eastAsia="Times New Roman" w:hAnsi="Times New Roman" w:cs="Times New Roman"/>
          <w:i/>
          <w:noProof/>
          <w:sz w:val="24"/>
          <w:szCs w:val="24"/>
          <w:lang w:val="en-US" w:eastAsia="id-ID"/>
        </w:rPr>
        <w:t>f literature and field research</w:t>
      </w:r>
      <w:r w:rsidRPr="006E0F0C">
        <w:rPr>
          <w:rFonts w:ascii="Times New Roman" w:eastAsia="Times New Roman" w:hAnsi="Times New Roman" w:cs="Times New Roman"/>
          <w:i/>
          <w:noProof/>
          <w:sz w:val="24"/>
          <w:szCs w:val="24"/>
          <w:lang w:val="en-US" w:eastAsia="id-ID"/>
        </w:rPr>
        <w:t>, analysis of the data used is the an</w:t>
      </w:r>
      <w:r>
        <w:rPr>
          <w:rFonts w:ascii="Times New Roman" w:eastAsia="Times New Roman" w:hAnsi="Times New Roman" w:cs="Times New Roman"/>
          <w:i/>
          <w:noProof/>
          <w:sz w:val="24"/>
          <w:szCs w:val="24"/>
          <w:lang w:val="en-US" w:eastAsia="id-ID"/>
        </w:rPr>
        <w:t>alysis of qualitative juridical, namely the data obtained</w:t>
      </w:r>
      <w:r w:rsidRPr="006E0F0C">
        <w:rPr>
          <w:rFonts w:ascii="Times New Roman" w:eastAsia="Times New Roman" w:hAnsi="Times New Roman" w:cs="Times New Roman"/>
          <w:i/>
          <w:noProof/>
          <w:sz w:val="24"/>
          <w:szCs w:val="24"/>
          <w:lang w:val="en-US" w:eastAsia="id-ID"/>
        </w:rPr>
        <w:t>, an</w:t>
      </w:r>
      <w:r>
        <w:rPr>
          <w:rFonts w:ascii="Times New Roman" w:eastAsia="Times New Roman" w:hAnsi="Times New Roman" w:cs="Times New Roman"/>
          <w:i/>
          <w:noProof/>
          <w:sz w:val="24"/>
          <w:szCs w:val="24"/>
          <w:lang w:val="en-US" w:eastAsia="id-ID"/>
        </w:rPr>
        <w:t>d then arranged in a systematic</w:t>
      </w:r>
      <w:r w:rsidRPr="006E0F0C">
        <w:rPr>
          <w:rFonts w:ascii="Times New Roman" w:eastAsia="Times New Roman" w:hAnsi="Times New Roman" w:cs="Times New Roman"/>
          <w:i/>
          <w:noProof/>
          <w:sz w:val="24"/>
          <w:szCs w:val="24"/>
          <w:lang w:val="en-US" w:eastAsia="id-ID"/>
        </w:rPr>
        <w:t>, comprehensive and integrated to achieve clarity issues to be discussed</w:t>
      </w:r>
      <w:r>
        <w:rPr>
          <w:rFonts w:ascii="Times New Roman" w:eastAsia="Times New Roman" w:hAnsi="Times New Roman" w:cs="Times New Roman"/>
          <w:i/>
          <w:noProof/>
          <w:sz w:val="24"/>
          <w:szCs w:val="24"/>
          <w:lang w:eastAsia="id-ID"/>
        </w:rPr>
        <w:t>.</w:t>
      </w:r>
    </w:p>
    <w:p w:rsidR="00846F94" w:rsidRPr="0095004C" w:rsidRDefault="00846F94" w:rsidP="00846F94">
      <w:pPr>
        <w:spacing w:after="0" w:line="240" w:lineRule="auto"/>
        <w:ind w:firstLine="709"/>
        <w:jc w:val="both"/>
        <w:rPr>
          <w:rFonts w:ascii="Times New Roman" w:eastAsia="Times New Roman" w:hAnsi="Times New Roman" w:cs="Times New Roman"/>
          <w:i/>
          <w:noProof/>
          <w:sz w:val="24"/>
          <w:szCs w:val="24"/>
          <w:lang w:val="en-US" w:eastAsia="id-ID"/>
        </w:rPr>
      </w:pPr>
      <w:r w:rsidRPr="0095004C">
        <w:rPr>
          <w:rFonts w:ascii="Times New Roman" w:eastAsia="Times New Roman" w:hAnsi="Times New Roman" w:cs="Times New Roman"/>
          <w:i/>
          <w:noProof/>
          <w:sz w:val="24"/>
          <w:szCs w:val="24"/>
          <w:lang w:val="en-US" w:eastAsia="id-ID"/>
        </w:rPr>
        <w:t>The realization of justice in Indonesia is upheld through a paradigm of protection of the constitutional rights of citizens as embodied in the amendment of the 1945 Constitution 21/PUU-XII / 2014 on the examination of Article 77 letter a KUHAP, reaping some implications in the life of nation and state. The addition of new norms in the aborted article is for the purpose of filling a legal void. In fact, before the decision of the Court is declared valid and binding, the verdict on the determination of the suspect may become the object of pre-trial, has already been decided in the District Court, it is very clear that the dynamics that occur in society becomes a factor that strongly affects the consideration of the Constitutional Court decision which has implications for enforcement citizens' constitutional rights, implications for the implementation of decisions in society, and implications in the constitutional system in Indonesia which basically have the principle of checks and balances.</w:t>
      </w:r>
    </w:p>
    <w:p w:rsidR="00846F94" w:rsidRPr="0095004C" w:rsidRDefault="00846F94" w:rsidP="00846F94">
      <w:pPr>
        <w:spacing w:after="0" w:line="240" w:lineRule="auto"/>
        <w:ind w:firstLine="709"/>
        <w:jc w:val="both"/>
        <w:rPr>
          <w:rFonts w:ascii="Times New Roman" w:eastAsia="Times New Roman" w:hAnsi="Times New Roman" w:cs="Times New Roman"/>
          <w:i/>
          <w:noProof/>
          <w:sz w:val="24"/>
          <w:szCs w:val="24"/>
          <w:lang w:val="en-US" w:eastAsia="id-ID"/>
        </w:rPr>
      </w:pPr>
    </w:p>
    <w:p w:rsidR="00846F94" w:rsidRPr="00830072" w:rsidRDefault="00846F94" w:rsidP="00846F94">
      <w:pPr>
        <w:spacing w:after="0" w:line="240" w:lineRule="auto"/>
        <w:ind w:firstLine="709"/>
        <w:jc w:val="both"/>
        <w:rPr>
          <w:rFonts w:ascii="Times New Roman" w:eastAsia="Times New Roman" w:hAnsi="Times New Roman" w:cs="Times New Roman"/>
          <w:i/>
          <w:noProof/>
          <w:sz w:val="24"/>
          <w:szCs w:val="24"/>
          <w:lang w:eastAsia="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6649"/>
      </w:tblGrid>
      <w:tr w:rsidR="00846F94" w:rsidRPr="005A6BEF" w:rsidTr="008641DC">
        <w:tc>
          <w:tcPr>
            <w:tcW w:w="1402" w:type="dxa"/>
          </w:tcPr>
          <w:p w:rsidR="00846F94" w:rsidRPr="00A81B39" w:rsidRDefault="00846F94" w:rsidP="00846F94">
            <w:pPr>
              <w:spacing w:after="0" w:line="240" w:lineRule="auto"/>
              <w:ind w:left="-108"/>
              <w:jc w:val="both"/>
              <w:rPr>
                <w:rFonts w:ascii="Times New Roman" w:hAnsi="Times New Roman" w:cs="Times New Roman"/>
                <w:i/>
                <w:iCs/>
                <w:noProof/>
                <w:sz w:val="24"/>
                <w:szCs w:val="24"/>
              </w:rPr>
            </w:pPr>
            <w:r w:rsidRPr="00A81B39">
              <w:rPr>
                <w:rFonts w:ascii="Times New Roman" w:hAnsi="Times New Roman" w:cs="Times New Roman"/>
                <w:i/>
                <w:iCs/>
                <w:noProof/>
                <w:sz w:val="24"/>
                <w:szCs w:val="24"/>
              </w:rPr>
              <w:t>Keywords :</w:t>
            </w:r>
          </w:p>
        </w:tc>
        <w:tc>
          <w:tcPr>
            <w:tcW w:w="6649" w:type="dxa"/>
          </w:tcPr>
          <w:p w:rsidR="00846F94" w:rsidRPr="00F13CEA" w:rsidRDefault="00846F94" w:rsidP="00846F94">
            <w:pPr>
              <w:spacing w:after="0" w:line="240" w:lineRule="auto"/>
              <w:ind w:left="-108"/>
              <w:jc w:val="both"/>
              <w:rPr>
                <w:rFonts w:ascii="Times New Roman" w:hAnsi="Times New Roman" w:cs="Times New Roman"/>
                <w:i/>
                <w:iCs/>
                <w:noProof/>
                <w:sz w:val="24"/>
                <w:szCs w:val="24"/>
              </w:rPr>
            </w:pPr>
            <w:r w:rsidRPr="0095004C">
              <w:rPr>
                <w:rFonts w:ascii="Times New Roman" w:hAnsi="Times New Roman" w:cs="Times New Roman"/>
                <w:i/>
                <w:iCs/>
                <w:noProof/>
                <w:sz w:val="24"/>
                <w:szCs w:val="24"/>
              </w:rPr>
              <w:t>Implications of Addition of Norms, Determination of Suspect of Pretrial Objects, of the Criminal Justice System</w:t>
            </w:r>
            <w:r>
              <w:rPr>
                <w:rFonts w:ascii="Times New Roman" w:hAnsi="Times New Roman" w:cs="Times New Roman"/>
                <w:i/>
                <w:iCs/>
                <w:noProof/>
                <w:sz w:val="24"/>
                <w:szCs w:val="24"/>
              </w:rPr>
              <w:t>.</w:t>
            </w:r>
          </w:p>
        </w:tc>
      </w:tr>
    </w:tbl>
    <w:p w:rsidR="00846F94" w:rsidRPr="00CE432B" w:rsidRDefault="00846F94" w:rsidP="00846F94">
      <w:pPr>
        <w:spacing w:after="0" w:line="240" w:lineRule="auto"/>
        <w:jc w:val="both"/>
        <w:rPr>
          <w:rFonts w:ascii="Times New Roman" w:eastAsia="Times New Roman" w:hAnsi="Times New Roman" w:cs="Times New Roman"/>
          <w:i/>
          <w:noProof/>
          <w:sz w:val="24"/>
          <w:szCs w:val="24"/>
          <w:lang w:eastAsia="id-ID"/>
        </w:rPr>
      </w:pPr>
    </w:p>
    <w:p w:rsidR="003927C1" w:rsidRDefault="003927C1" w:rsidP="00846F94">
      <w:pPr>
        <w:spacing w:after="0" w:line="240" w:lineRule="auto"/>
        <w:rPr>
          <w:lang w:val="en-US"/>
        </w:rPr>
      </w:pPr>
    </w:p>
    <w:p w:rsidR="00AC1E8B" w:rsidRDefault="00AC1E8B" w:rsidP="00846F94">
      <w:pPr>
        <w:spacing w:after="0" w:line="240" w:lineRule="auto"/>
        <w:rPr>
          <w:lang w:val="en-US"/>
        </w:rPr>
      </w:pPr>
    </w:p>
    <w:p w:rsidR="00AC1E8B" w:rsidRDefault="00AC1E8B" w:rsidP="00846F94">
      <w:pPr>
        <w:spacing w:after="0" w:line="240" w:lineRule="auto"/>
        <w:rPr>
          <w:lang w:val="en-US"/>
        </w:rPr>
      </w:pPr>
    </w:p>
    <w:p w:rsidR="00AC1E8B" w:rsidRDefault="00AC1E8B" w:rsidP="00846F94">
      <w:pPr>
        <w:spacing w:after="0" w:line="240" w:lineRule="auto"/>
        <w:rPr>
          <w:lang w:val="en-US"/>
        </w:rPr>
      </w:pPr>
    </w:p>
    <w:p w:rsidR="00AC1E8B" w:rsidRDefault="00AC1E8B" w:rsidP="00846F94">
      <w:pPr>
        <w:spacing w:after="0" w:line="240" w:lineRule="auto"/>
        <w:rPr>
          <w:lang w:val="en-US"/>
        </w:rPr>
      </w:pPr>
    </w:p>
    <w:p w:rsidR="00AC1E8B" w:rsidRDefault="00AC1E8B" w:rsidP="00846F94">
      <w:pPr>
        <w:spacing w:after="0" w:line="240" w:lineRule="auto"/>
        <w:rPr>
          <w:lang w:val="en-US"/>
        </w:rPr>
      </w:pPr>
    </w:p>
    <w:p w:rsidR="00AC1E8B" w:rsidRDefault="00AC1E8B" w:rsidP="00846F94">
      <w:pPr>
        <w:spacing w:after="0" w:line="240" w:lineRule="auto"/>
        <w:rPr>
          <w:lang w:val="en-US"/>
        </w:rPr>
      </w:pPr>
    </w:p>
    <w:p w:rsidR="006D0F54" w:rsidRDefault="006D0F54" w:rsidP="00846F94">
      <w:pPr>
        <w:spacing w:after="0" w:line="240" w:lineRule="auto"/>
        <w:jc w:val="center"/>
        <w:rPr>
          <w:rFonts w:ascii="Times New Roman" w:hAnsi="Times New Roman" w:cs="Times New Roman"/>
          <w:b/>
          <w:sz w:val="24"/>
          <w:szCs w:val="24"/>
        </w:rPr>
      </w:pPr>
    </w:p>
    <w:p w:rsidR="00846F94" w:rsidRPr="002B6ADB" w:rsidRDefault="00846F94" w:rsidP="00846F94">
      <w:pPr>
        <w:spacing w:after="0" w:line="240" w:lineRule="auto"/>
        <w:jc w:val="center"/>
        <w:rPr>
          <w:rFonts w:ascii="Times New Roman" w:hAnsi="Times New Roman" w:cs="Times New Roman"/>
          <w:b/>
          <w:sz w:val="24"/>
          <w:szCs w:val="24"/>
        </w:rPr>
      </w:pPr>
      <w:r w:rsidRPr="002B6ADB">
        <w:rPr>
          <w:rFonts w:ascii="Times New Roman" w:hAnsi="Times New Roman" w:cs="Times New Roman"/>
          <w:b/>
          <w:sz w:val="24"/>
          <w:szCs w:val="24"/>
        </w:rPr>
        <w:lastRenderedPageBreak/>
        <w:t>DAFTAR PUSTAKA</w:t>
      </w:r>
    </w:p>
    <w:p w:rsidR="00846F94" w:rsidRPr="002B6ADB" w:rsidRDefault="00846F94" w:rsidP="00846F94">
      <w:pPr>
        <w:spacing w:after="0" w:line="240" w:lineRule="auto"/>
        <w:jc w:val="center"/>
        <w:rPr>
          <w:rFonts w:ascii="Times New Roman" w:hAnsi="Times New Roman" w:cs="Times New Roman"/>
          <w:b/>
          <w:sz w:val="24"/>
          <w:szCs w:val="24"/>
        </w:rPr>
      </w:pPr>
    </w:p>
    <w:p w:rsidR="00846F94" w:rsidRPr="002B6ADB" w:rsidRDefault="00846F94" w:rsidP="00846F94">
      <w:pPr>
        <w:pStyle w:val="ListParagraph"/>
        <w:numPr>
          <w:ilvl w:val="0"/>
          <w:numId w:val="15"/>
        </w:numPr>
        <w:spacing w:after="0" w:line="240" w:lineRule="auto"/>
        <w:ind w:left="426" w:hanging="426"/>
        <w:jc w:val="both"/>
        <w:rPr>
          <w:rFonts w:ascii="Times New Roman" w:hAnsi="Times New Roman" w:cs="Times New Roman"/>
          <w:b/>
          <w:sz w:val="24"/>
          <w:szCs w:val="24"/>
        </w:rPr>
      </w:pPr>
      <w:r w:rsidRPr="002B6ADB">
        <w:rPr>
          <w:rFonts w:ascii="Times New Roman" w:hAnsi="Times New Roman" w:cs="Times New Roman"/>
          <w:b/>
          <w:sz w:val="24"/>
          <w:szCs w:val="24"/>
        </w:rPr>
        <w:t>Buku</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Abdoel Djamili, </w:t>
      </w:r>
      <w:r w:rsidRPr="002B6ADB">
        <w:rPr>
          <w:rFonts w:ascii="Times New Roman" w:hAnsi="Times New Roman" w:cs="Times New Roman"/>
          <w:i/>
          <w:iCs/>
          <w:sz w:val="24"/>
          <w:szCs w:val="24"/>
        </w:rPr>
        <w:t>Pengantar Hukum Indonesia</w:t>
      </w:r>
      <w:r w:rsidRPr="002B6ADB">
        <w:rPr>
          <w:rFonts w:ascii="Times New Roman" w:hAnsi="Times New Roman" w:cs="Times New Roman"/>
          <w:sz w:val="24"/>
          <w:szCs w:val="24"/>
        </w:rPr>
        <w:t>, Rajawali Pres, Jakarta, 2009.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Abdul Salam Siku, </w:t>
      </w:r>
      <w:r w:rsidRPr="002B6ADB">
        <w:rPr>
          <w:rFonts w:ascii="Times New Roman" w:hAnsi="Times New Roman" w:cs="Times New Roman"/>
          <w:i/>
          <w:iCs/>
          <w:sz w:val="24"/>
          <w:szCs w:val="24"/>
        </w:rPr>
        <w:t>Perlindungan Hak Asasi Saksi dan Korban Dalam Proses Peradilan Pidana</w:t>
      </w:r>
      <w:r w:rsidRPr="002B6ADB">
        <w:rPr>
          <w:rFonts w:ascii="Times New Roman" w:hAnsi="Times New Roman" w:cs="Times New Roman"/>
          <w:sz w:val="24"/>
          <w:szCs w:val="24"/>
        </w:rPr>
        <w:t>, Indonesia Prime, Jakarta, 2016.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iCs/>
          <w:sz w:val="24"/>
          <w:szCs w:val="24"/>
        </w:rPr>
      </w:pPr>
      <w:r w:rsidRPr="002B6ADB">
        <w:rPr>
          <w:rFonts w:ascii="Times New Roman" w:hAnsi="Times New Roman" w:cs="Times New Roman"/>
          <w:sz w:val="24"/>
          <w:szCs w:val="24"/>
        </w:rPr>
        <w:t xml:space="preserve">Achmad Ali, </w:t>
      </w:r>
      <w:r w:rsidRPr="002B6ADB">
        <w:rPr>
          <w:rFonts w:ascii="Times New Roman" w:hAnsi="Times New Roman" w:cs="Times New Roman"/>
          <w:i/>
          <w:iCs/>
          <w:sz w:val="24"/>
          <w:szCs w:val="24"/>
        </w:rPr>
        <w:t>Sosiologi Hukum Kajian Empiris Terhadap Pengadilan</w:t>
      </w:r>
      <w:r w:rsidRPr="002B6ADB">
        <w:rPr>
          <w:rFonts w:ascii="Times New Roman" w:hAnsi="Times New Roman" w:cs="Times New Roman"/>
          <w:sz w:val="24"/>
          <w:szCs w:val="24"/>
        </w:rPr>
        <w:t>, Kencana Prenada Media Group, Jakarta, 2012.</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iCs/>
          <w:sz w:val="24"/>
          <w:szCs w:val="24"/>
        </w:rPr>
      </w:pPr>
      <w:r w:rsidRPr="002B6ADB">
        <w:rPr>
          <w:rFonts w:ascii="Times New Roman" w:hAnsi="Times New Roman" w:cs="Times New Roman"/>
          <w:iCs/>
          <w:sz w:val="24"/>
          <w:szCs w:val="24"/>
        </w:rPr>
        <w:t xml:space="preserve">Ahmad Syahrizal, </w:t>
      </w:r>
      <w:r w:rsidRPr="002B6ADB">
        <w:rPr>
          <w:rFonts w:ascii="Times New Roman" w:hAnsi="Times New Roman" w:cs="Times New Roman"/>
          <w:i/>
          <w:sz w:val="24"/>
          <w:szCs w:val="24"/>
        </w:rPr>
        <w:t>Peradilan Konstitusi Suatu Studi tentang Adjudikasi Konstitusional Sebagai Mekanisme Penyelesaian Sengketa Normatif</w:t>
      </w:r>
      <w:r w:rsidRPr="002B6ADB">
        <w:rPr>
          <w:rFonts w:ascii="Times New Roman" w:hAnsi="Times New Roman" w:cs="Times New Roman"/>
          <w:iCs/>
          <w:sz w:val="24"/>
          <w:szCs w:val="24"/>
        </w:rPr>
        <w:t>, Pradnya Paramita, Jakarta, 2006.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iCs/>
          <w:sz w:val="24"/>
          <w:szCs w:val="24"/>
        </w:rPr>
      </w:pPr>
      <w:r w:rsidRPr="002B6ADB">
        <w:rPr>
          <w:rFonts w:ascii="Times New Roman" w:hAnsi="Times New Roman" w:cs="Times New Roman"/>
          <w:sz w:val="24"/>
          <w:szCs w:val="24"/>
        </w:rPr>
        <w:t xml:space="preserve">Andi Hamzah, </w:t>
      </w:r>
      <w:r w:rsidRPr="002B6ADB">
        <w:rPr>
          <w:rFonts w:ascii="Times New Roman" w:hAnsi="Times New Roman" w:cs="Times New Roman"/>
          <w:i/>
          <w:iCs/>
          <w:sz w:val="24"/>
          <w:szCs w:val="24"/>
        </w:rPr>
        <w:t>Hukum Acara Pidana Indonesia</w:t>
      </w:r>
      <w:r w:rsidRPr="002B6ADB">
        <w:rPr>
          <w:rFonts w:ascii="Times New Roman" w:hAnsi="Times New Roman" w:cs="Times New Roman"/>
          <w:sz w:val="24"/>
          <w:szCs w:val="24"/>
        </w:rPr>
        <w:t>, Sinar Grafika, Jakarta, 2008.</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Anthon F. Susanto, </w:t>
      </w:r>
      <w:r w:rsidRPr="002B6ADB">
        <w:rPr>
          <w:rFonts w:ascii="Times New Roman" w:hAnsi="Times New Roman" w:cs="Times New Roman"/>
          <w:i/>
          <w:iCs/>
          <w:sz w:val="24"/>
          <w:szCs w:val="24"/>
        </w:rPr>
        <w:t>Wajah Peradilan Kita Konstruksi Sosial Tentang Penyimpangan, Mekanisme Kontrol dan Akuntabilitas Peradilan Pidana</w:t>
      </w:r>
      <w:r w:rsidRPr="002B6ADB">
        <w:rPr>
          <w:rFonts w:ascii="Times New Roman" w:hAnsi="Times New Roman" w:cs="Times New Roman"/>
          <w:sz w:val="24"/>
          <w:szCs w:val="24"/>
        </w:rPr>
        <w:t>, Refika Aditama, Bandung, 2004.</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iCs/>
          <w:sz w:val="24"/>
          <w:szCs w:val="24"/>
        </w:rPr>
      </w:pPr>
      <w:r w:rsidRPr="002B6ADB">
        <w:rPr>
          <w:rFonts w:ascii="Times New Roman" w:hAnsi="Times New Roman" w:cs="Times New Roman"/>
          <w:sz w:val="24"/>
          <w:szCs w:val="24"/>
        </w:rPr>
        <w:t xml:space="preserve">Arief Amrullah, </w:t>
      </w:r>
      <w:r w:rsidRPr="002B6ADB">
        <w:rPr>
          <w:rFonts w:ascii="Times New Roman" w:hAnsi="Times New Roman" w:cs="Times New Roman"/>
          <w:i/>
          <w:iCs/>
          <w:sz w:val="24"/>
          <w:szCs w:val="24"/>
        </w:rPr>
        <w:t>Kejahatan Korporasi</w:t>
      </w:r>
      <w:r w:rsidRPr="002B6ADB">
        <w:rPr>
          <w:rFonts w:ascii="Times New Roman" w:hAnsi="Times New Roman" w:cs="Times New Roman"/>
          <w:sz w:val="24"/>
          <w:szCs w:val="24"/>
        </w:rPr>
        <w:t>, Banyumedia Publishing, 2006.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Astim Riyanto, </w:t>
      </w:r>
      <w:r w:rsidRPr="002B6ADB">
        <w:rPr>
          <w:rFonts w:ascii="Times New Roman" w:hAnsi="Times New Roman" w:cs="Times New Roman"/>
          <w:i/>
          <w:sz w:val="24"/>
          <w:szCs w:val="24"/>
        </w:rPr>
        <w:t>Teori Konstitusi</w:t>
      </w:r>
      <w:r w:rsidRPr="002B6ADB">
        <w:rPr>
          <w:rFonts w:ascii="Times New Roman" w:hAnsi="Times New Roman" w:cs="Times New Roman"/>
          <w:sz w:val="24"/>
          <w:szCs w:val="24"/>
        </w:rPr>
        <w:t>, Yapemdo, Bandung, 2006.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Bachsan Mustafa, </w:t>
      </w:r>
      <w:r w:rsidRPr="002B6ADB">
        <w:rPr>
          <w:rFonts w:ascii="Times New Roman" w:hAnsi="Times New Roman" w:cs="Times New Roman"/>
          <w:i/>
          <w:iCs/>
          <w:sz w:val="24"/>
          <w:szCs w:val="24"/>
        </w:rPr>
        <w:t>Sistem Hukum Administrasi Negara Indonesia</w:t>
      </w:r>
      <w:r w:rsidRPr="002B6ADB">
        <w:rPr>
          <w:rFonts w:ascii="Times New Roman" w:hAnsi="Times New Roman" w:cs="Times New Roman"/>
          <w:sz w:val="24"/>
          <w:szCs w:val="24"/>
        </w:rPr>
        <w:t>, Citra Aditya Bakti, Bandung, 2011.</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Bagir Manan dan Susi Dwi Harijanti, </w:t>
      </w:r>
      <w:r w:rsidRPr="002B6ADB">
        <w:rPr>
          <w:rFonts w:ascii="Times New Roman" w:hAnsi="Times New Roman" w:cs="Times New Roman"/>
          <w:i/>
          <w:iCs/>
          <w:sz w:val="24"/>
          <w:szCs w:val="24"/>
        </w:rPr>
        <w:t>Memahami Konstitusi, Makna dan Aktualisasi</w:t>
      </w:r>
      <w:r w:rsidRPr="002B6ADB">
        <w:rPr>
          <w:rFonts w:ascii="Times New Roman" w:hAnsi="Times New Roman" w:cs="Times New Roman"/>
          <w:sz w:val="24"/>
          <w:szCs w:val="24"/>
        </w:rPr>
        <w:t>, RajaGrafindo Persada, Jakarta, 2014.</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Barda Nawawi Arief, </w:t>
      </w:r>
      <w:r w:rsidRPr="002B6ADB">
        <w:rPr>
          <w:rFonts w:ascii="Times New Roman" w:hAnsi="Times New Roman" w:cs="Times New Roman"/>
          <w:i/>
          <w:iCs/>
          <w:sz w:val="24"/>
          <w:szCs w:val="24"/>
        </w:rPr>
        <w:t>RUU KUHP Baru, Sebuah Restrukturisasi/Rekonstruksi Sistem Hukum Pidana Indonesia</w:t>
      </w:r>
      <w:r w:rsidRPr="002B6ADB">
        <w:rPr>
          <w:rFonts w:ascii="Times New Roman" w:hAnsi="Times New Roman" w:cs="Times New Roman"/>
          <w:sz w:val="24"/>
          <w:szCs w:val="24"/>
        </w:rPr>
        <w:t>, Badan Penerbit Undip, Semarang, 2007.</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w:t>
      </w:r>
      <w:r w:rsidRPr="002B6ADB">
        <w:rPr>
          <w:rFonts w:ascii="Times New Roman" w:hAnsi="Times New Roman" w:cs="Times New Roman"/>
          <w:i/>
          <w:iCs/>
          <w:sz w:val="24"/>
          <w:szCs w:val="24"/>
        </w:rPr>
        <w:t>Kapita Selekta Hukum Pidana tentang Sistem Peradilan Pidana Terpadu (Integrated Criminal Justice System)</w:t>
      </w:r>
      <w:r w:rsidRPr="002B6ADB">
        <w:rPr>
          <w:rFonts w:ascii="Times New Roman" w:hAnsi="Times New Roman" w:cs="Times New Roman"/>
          <w:sz w:val="24"/>
          <w:szCs w:val="24"/>
        </w:rPr>
        <w:t>, Badan Penerbit Undip, Semarang, 2011.</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Budiono Kusumohamidjojo, </w:t>
      </w:r>
      <w:r w:rsidRPr="002B6ADB">
        <w:rPr>
          <w:rFonts w:ascii="Times New Roman" w:hAnsi="Times New Roman" w:cs="Times New Roman"/>
          <w:i/>
          <w:iCs/>
          <w:sz w:val="24"/>
          <w:szCs w:val="24"/>
        </w:rPr>
        <w:t>Ketertiban Yang Adil: Problematik Filsafat Hukum</w:t>
      </w:r>
      <w:r w:rsidRPr="002B6ADB">
        <w:rPr>
          <w:rFonts w:ascii="Times New Roman" w:hAnsi="Times New Roman" w:cs="Times New Roman"/>
          <w:sz w:val="24"/>
          <w:szCs w:val="24"/>
        </w:rPr>
        <w:t>, Gresindo, Jakarta, 1999.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Chirstopher Wolfe, </w:t>
      </w:r>
      <w:r w:rsidRPr="002B6ADB">
        <w:rPr>
          <w:rFonts w:ascii="Times New Roman" w:hAnsi="Times New Roman" w:cs="Times New Roman"/>
          <w:i/>
          <w:iCs/>
          <w:sz w:val="24"/>
          <w:szCs w:val="24"/>
        </w:rPr>
        <w:t>The Rise of Modern Judicial Review, From Constitutional Interpretation to Judge- Made Law</w:t>
      </w:r>
      <w:r w:rsidRPr="002B6ADB">
        <w:rPr>
          <w:rFonts w:ascii="Times New Roman" w:hAnsi="Times New Roman" w:cs="Times New Roman"/>
          <w:sz w:val="24"/>
          <w:szCs w:val="24"/>
        </w:rPr>
        <w:t>, Basic Books, Inc. Publisher, New York, 1986.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Dahlan Thaib, </w:t>
      </w:r>
      <w:r w:rsidRPr="002B6ADB">
        <w:rPr>
          <w:rFonts w:ascii="Times New Roman" w:hAnsi="Times New Roman" w:cs="Times New Roman"/>
          <w:i/>
          <w:sz w:val="24"/>
          <w:szCs w:val="24"/>
        </w:rPr>
        <w:t>Kedaulatan Rakyat, Negara Hukum dan Hak-Hak Asasi Manusia, Kumpulan Tulisan Dalam Rangka 70 Tahun Sri Soemantri Martosoewignjo</w:t>
      </w:r>
      <w:r w:rsidRPr="002B6ADB">
        <w:rPr>
          <w:rFonts w:ascii="Times New Roman" w:hAnsi="Times New Roman" w:cs="Times New Roman"/>
          <w:sz w:val="24"/>
          <w:szCs w:val="24"/>
        </w:rPr>
        <w:t>, Media Pratama, Jakarta, 1996.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Darwin Prints, </w:t>
      </w:r>
      <w:r w:rsidRPr="002B6ADB">
        <w:rPr>
          <w:rFonts w:ascii="Times New Roman" w:hAnsi="Times New Roman" w:cs="Times New Roman"/>
          <w:i/>
          <w:iCs/>
          <w:sz w:val="24"/>
          <w:szCs w:val="24"/>
        </w:rPr>
        <w:t>Hukum Acara Pidana: Suatu Pengantar</w:t>
      </w:r>
      <w:r w:rsidRPr="002B6ADB">
        <w:rPr>
          <w:rFonts w:ascii="Times New Roman" w:hAnsi="Times New Roman" w:cs="Times New Roman"/>
          <w:sz w:val="24"/>
          <w:szCs w:val="24"/>
        </w:rPr>
        <w:t>, Djambatan, Jakarta, 1989.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Praperadilan dan Perkembangannya di Dalam Praktek</w:t>
      </w:r>
      <w:r w:rsidRPr="002B6ADB">
        <w:rPr>
          <w:rFonts w:ascii="Times New Roman" w:hAnsi="Times New Roman" w:cs="Times New Roman"/>
          <w:sz w:val="24"/>
          <w:szCs w:val="24"/>
        </w:rPr>
        <w:t>, Citra Aditya Bakti, 1999.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Elwi Danil, </w:t>
      </w:r>
      <w:r w:rsidRPr="002B6ADB">
        <w:rPr>
          <w:rFonts w:ascii="Times New Roman" w:hAnsi="Times New Roman" w:cs="Times New Roman"/>
          <w:i/>
          <w:iCs/>
          <w:sz w:val="24"/>
          <w:szCs w:val="24"/>
        </w:rPr>
        <w:t>Korupsi: Konsep, Tindak Pidana, dan Pemberantasannya</w:t>
      </w:r>
      <w:r w:rsidRPr="002B6ADB">
        <w:rPr>
          <w:rFonts w:ascii="Times New Roman" w:hAnsi="Times New Roman" w:cs="Times New Roman"/>
          <w:sz w:val="24"/>
          <w:szCs w:val="24"/>
        </w:rPr>
        <w:t>, RajaGrafindo Persada, 2011.</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Frans Magnis-Suseno, </w:t>
      </w:r>
      <w:r w:rsidRPr="002B6ADB">
        <w:rPr>
          <w:rFonts w:ascii="Times New Roman" w:hAnsi="Times New Roman" w:cs="Times New Roman"/>
          <w:i/>
          <w:sz w:val="24"/>
          <w:szCs w:val="24"/>
        </w:rPr>
        <w:t>Etika Politik: Prinsip-prinsip Moral Dasar Kenegaraan Modern</w:t>
      </w:r>
      <w:r w:rsidRPr="002B6ADB">
        <w:rPr>
          <w:rFonts w:ascii="Times New Roman" w:hAnsi="Times New Roman" w:cs="Times New Roman"/>
          <w:sz w:val="24"/>
          <w:szCs w:val="24"/>
        </w:rPr>
        <w:t>, Gramedia Pustaka Utama, Jakarta, 2003.</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iCs/>
          <w:sz w:val="24"/>
          <w:szCs w:val="24"/>
        </w:rPr>
      </w:pPr>
      <w:r w:rsidRPr="002B6ADB">
        <w:rPr>
          <w:rFonts w:ascii="Times New Roman" w:hAnsi="Times New Roman" w:cs="Times New Roman"/>
          <w:iCs/>
          <w:sz w:val="24"/>
          <w:szCs w:val="24"/>
        </w:rPr>
        <w:t xml:space="preserve">Harjono, </w:t>
      </w:r>
      <w:r w:rsidRPr="002B6ADB">
        <w:rPr>
          <w:rFonts w:ascii="Times New Roman" w:hAnsi="Times New Roman" w:cs="Times New Roman"/>
          <w:i/>
          <w:sz w:val="24"/>
          <w:szCs w:val="24"/>
        </w:rPr>
        <w:t>Konstitusi sebagai Rumah Bangsa</w:t>
      </w:r>
      <w:r w:rsidRPr="002B6ADB">
        <w:rPr>
          <w:rFonts w:ascii="Times New Roman" w:hAnsi="Times New Roman" w:cs="Times New Roman"/>
          <w:iCs/>
          <w:sz w:val="24"/>
          <w:szCs w:val="24"/>
        </w:rPr>
        <w:t>, Sekretariat Jenderal dan Kepaniteraan Mahkamah Konstitusi, Jakarta, 2008.</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Hans Kelsen, </w:t>
      </w:r>
      <w:r w:rsidRPr="002B6ADB">
        <w:rPr>
          <w:rFonts w:ascii="Times New Roman" w:hAnsi="Times New Roman" w:cs="Times New Roman"/>
          <w:i/>
          <w:iCs/>
          <w:sz w:val="24"/>
          <w:szCs w:val="24"/>
        </w:rPr>
        <w:t>Teori Umum Hukum dan Negara</w:t>
      </w:r>
      <w:r w:rsidRPr="002B6ADB">
        <w:rPr>
          <w:rFonts w:ascii="Times New Roman" w:hAnsi="Times New Roman" w:cs="Times New Roman"/>
          <w:sz w:val="24"/>
          <w:szCs w:val="24"/>
        </w:rPr>
        <w:t>, BEE Media Indonesia, Jakarta, 2007.</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Irianto A. Baso Ence, </w:t>
      </w:r>
      <w:r w:rsidRPr="002B6ADB">
        <w:rPr>
          <w:rFonts w:ascii="Times New Roman" w:hAnsi="Times New Roman" w:cs="Times New Roman"/>
          <w:i/>
          <w:iCs/>
          <w:sz w:val="24"/>
          <w:szCs w:val="24"/>
        </w:rPr>
        <w:t>Negara Hukum dan Hak Uji Konstitusi Mahkamah Konstitusi: Telaah Terhadap Kewenangan Mahkamah Konstitusi</w:t>
      </w:r>
      <w:r w:rsidRPr="002B6ADB">
        <w:rPr>
          <w:rFonts w:ascii="Times New Roman" w:hAnsi="Times New Roman" w:cs="Times New Roman"/>
          <w:sz w:val="24"/>
          <w:szCs w:val="24"/>
        </w:rPr>
        <w:t>, Alumni, Bandung, 2008.</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Jakob Tobing, </w:t>
      </w:r>
      <w:r w:rsidRPr="002B6ADB">
        <w:rPr>
          <w:rFonts w:ascii="Times New Roman" w:hAnsi="Times New Roman" w:cs="Times New Roman"/>
          <w:i/>
          <w:iCs/>
          <w:sz w:val="24"/>
          <w:szCs w:val="24"/>
        </w:rPr>
        <w:t>Membangun Jalan Demokrasi (kumpulan pemikiran Jakob Tobing tentang Perubahan UUD 1945)</w:t>
      </w:r>
      <w:r w:rsidRPr="002B6ADB">
        <w:rPr>
          <w:rFonts w:ascii="Times New Roman" w:hAnsi="Times New Roman" w:cs="Times New Roman"/>
          <w:sz w:val="24"/>
          <w:szCs w:val="24"/>
        </w:rPr>
        <w:t>, Konstitusi Press, Jakarta, 2008.</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Jimly Asshiddiqie, </w:t>
      </w:r>
      <w:r w:rsidRPr="002B6ADB">
        <w:rPr>
          <w:rFonts w:ascii="Times New Roman" w:hAnsi="Times New Roman" w:cs="Times New Roman"/>
          <w:i/>
          <w:iCs/>
          <w:sz w:val="24"/>
          <w:szCs w:val="24"/>
        </w:rPr>
        <w:t>Model-Model Konstitusional di Berbagai Negara,</w:t>
      </w:r>
      <w:r w:rsidRPr="002B6ADB">
        <w:rPr>
          <w:rFonts w:ascii="Times New Roman" w:hAnsi="Times New Roman" w:cs="Times New Roman"/>
          <w:sz w:val="24"/>
          <w:szCs w:val="24"/>
        </w:rPr>
        <w:t xml:space="preserve"> Konstitusi Press, 2005.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lastRenderedPageBreak/>
        <w:t xml:space="preserve">................................., </w:t>
      </w:r>
      <w:r w:rsidRPr="002B6ADB">
        <w:rPr>
          <w:rFonts w:ascii="Times New Roman" w:hAnsi="Times New Roman" w:cs="Times New Roman"/>
          <w:i/>
          <w:iCs/>
          <w:sz w:val="24"/>
          <w:szCs w:val="24"/>
        </w:rPr>
        <w:t>Pengantar Ilmu Hukum Tata Negara</w:t>
      </w:r>
      <w:r w:rsidRPr="002B6ADB">
        <w:rPr>
          <w:rFonts w:ascii="Times New Roman" w:hAnsi="Times New Roman" w:cs="Times New Roman"/>
          <w:sz w:val="24"/>
          <w:szCs w:val="24"/>
        </w:rPr>
        <w:t>, Konstitusi Press, Jakarta, 2006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Hukum Acara Pengujian Undang-Undang</w:t>
      </w:r>
      <w:r w:rsidRPr="002B6ADB">
        <w:rPr>
          <w:rFonts w:ascii="Times New Roman" w:hAnsi="Times New Roman" w:cs="Times New Roman"/>
          <w:sz w:val="24"/>
          <w:szCs w:val="24"/>
        </w:rPr>
        <w:t>, Konstitusi Press, Jakarta, 2006.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Perkembangan dan Konsolidasi Lembaga Negara Pasca Reformasi</w:t>
      </w:r>
      <w:r w:rsidRPr="002B6ADB">
        <w:rPr>
          <w:rFonts w:ascii="Times New Roman" w:hAnsi="Times New Roman" w:cs="Times New Roman"/>
          <w:sz w:val="24"/>
          <w:szCs w:val="24"/>
        </w:rPr>
        <w:t>, Konstitusi Press, Jakarta, 2006.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Menuju Negara Hukum Yang Demokratis</w:t>
      </w:r>
      <w:r w:rsidRPr="002B6ADB">
        <w:rPr>
          <w:rFonts w:ascii="Times New Roman" w:hAnsi="Times New Roman" w:cs="Times New Roman"/>
          <w:sz w:val="24"/>
          <w:szCs w:val="24"/>
        </w:rPr>
        <w:t>, Konstitusi Press, 2008.</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Perihal Undang-Undang</w:t>
      </w:r>
      <w:r w:rsidRPr="002B6ADB">
        <w:rPr>
          <w:rFonts w:ascii="Times New Roman" w:hAnsi="Times New Roman" w:cs="Times New Roman"/>
          <w:sz w:val="24"/>
          <w:szCs w:val="24"/>
        </w:rPr>
        <w:t>, RajaGrafindo Persada, Jakarta, 2011.</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Konstitusi dan Konstitusionalisme Indonesia</w:t>
      </w:r>
      <w:r w:rsidRPr="002B6ADB">
        <w:rPr>
          <w:rFonts w:ascii="Times New Roman" w:hAnsi="Times New Roman" w:cs="Times New Roman"/>
          <w:sz w:val="24"/>
          <w:szCs w:val="24"/>
        </w:rPr>
        <w:t>, Sinar Grafika, 2012.</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John Rawls, </w:t>
      </w:r>
      <w:r w:rsidRPr="002B6ADB">
        <w:rPr>
          <w:rFonts w:ascii="Times New Roman" w:hAnsi="Times New Roman" w:cs="Times New Roman"/>
          <w:i/>
          <w:iCs/>
          <w:sz w:val="24"/>
          <w:szCs w:val="24"/>
        </w:rPr>
        <w:t>Teori Keadilan: Dasar-Dasar Filsafat Politik Hukum Mewujudkan Kesejahteraan Sosial Dalam Negara</w:t>
      </w:r>
      <w:r w:rsidRPr="002B6ADB">
        <w:rPr>
          <w:rFonts w:ascii="Times New Roman" w:hAnsi="Times New Roman" w:cs="Times New Roman"/>
          <w:sz w:val="24"/>
          <w:szCs w:val="24"/>
        </w:rPr>
        <w:t>, Terjemahan: Uzair Fauzan dan Heru Prasetyo, Pustaka Pelajar, Yogyakarta, 2011.</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Jonkers., JE, </w:t>
      </w:r>
      <w:r w:rsidRPr="002B6ADB">
        <w:rPr>
          <w:rFonts w:ascii="Times New Roman" w:hAnsi="Times New Roman" w:cs="Times New Roman"/>
          <w:i/>
          <w:iCs/>
          <w:sz w:val="24"/>
          <w:szCs w:val="24"/>
        </w:rPr>
        <w:t>Buku Pedoman Hukum Pidana Hindia Belanda</w:t>
      </w:r>
      <w:r w:rsidRPr="002B6ADB">
        <w:rPr>
          <w:rFonts w:ascii="Times New Roman" w:hAnsi="Times New Roman" w:cs="Times New Roman"/>
          <w:sz w:val="24"/>
          <w:szCs w:val="24"/>
        </w:rPr>
        <w:t>, Bina Aksara, Jakarta, 1987.</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Kansil., C.S.T, </w:t>
      </w:r>
      <w:r w:rsidRPr="002B6ADB">
        <w:rPr>
          <w:rFonts w:ascii="Times New Roman" w:hAnsi="Times New Roman" w:cs="Times New Roman"/>
          <w:i/>
          <w:iCs/>
          <w:sz w:val="24"/>
          <w:szCs w:val="24"/>
        </w:rPr>
        <w:t>Pengantar Ilmu Hukum dan Tata Hukum Indonesia</w:t>
      </w:r>
      <w:r w:rsidRPr="002B6ADB">
        <w:rPr>
          <w:rFonts w:ascii="Times New Roman" w:hAnsi="Times New Roman" w:cs="Times New Roman"/>
          <w:i/>
          <w:sz w:val="24"/>
          <w:szCs w:val="24"/>
        </w:rPr>
        <w:t>,</w:t>
      </w:r>
      <w:r w:rsidRPr="002B6ADB">
        <w:rPr>
          <w:rFonts w:ascii="Times New Roman" w:hAnsi="Times New Roman" w:cs="Times New Roman"/>
          <w:sz w:val="24"/>
          <w:szCs w:val="24"/>
        </w:rPr>
        <w:t xml:space="preserve"> Balai Pustaka, Jakarta, 1986.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Kusmiati, </w:t>
      </w:r>
      <w:r w:rsidRPr="002B6ADB">
        <w:rPr>
          <w:rFonts w:ascii="Times New Roman" w:hAnsi="Times New Roman" w:cs="Times New Roman"/>
          <w:i/>
          <w:iCs/>
          <w:sz w:val="24"/>
          <w:szCs w:val="24"/>
        </w:rPr>
        <w:t>Tata Negara</w:t>
      </w:r>
      <w:r w:rsidRPr="002B6ADB">
        <w:rPr>
          <w:rFonts w:ascii="Times New Roman" w:hAnsi="Times New Roman" w:cs="Times New Roman"/>
          <w:sz w:val="24"/>
          <w:szCs w:val="24"/>
        </w:rPr>
        <w:t>, Bumi Aksara, Jakarta, 1997.</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Lili Rasjidi dan I.B Wiyasa, </w:t>
      </w:r>
      <w:r w:rsidRPr="002B6ADB">
        <w:rPr>
          <w:rFonts w:ascii="Times New Roman" w:hAnsi="Times New Roman" w:cs="Times New Roman"/>
          <w:i/>
          <w:iCs/>
          <w:sz w:val="24"/>
          <w:szCs w:val="24"/>
        </w:rPr>
        <w:t>Hukum Sebagai Suatu Sistem</w:t>
      </w:r>
      <w:r w:rsidRPr="002B6ADB">
        <w:rPr>
          <w:rFonts w:ascii="Times New Roman" w:hAnsi="Times New Roman" w:cs="Times New Roman"/>
          <w:sz w:val="24"/>
          <w:szCs w:val="24"/>
        </w:rPr>
        <w:t>, Remaja Rosdakarya, Bandung, 2003.</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Loebby Loqman, </w:t>
      </w:r>
      <w:r w:rsidRPr="002B6ADB">
        <w:rPr>
          <w:rFonts w:ascii="Times New Roman" w:hAnsi="Times New Roman" w:cs="Times New Roman"/>
          <w:i/>
          <w:iCs/>
          <w:sz w:val="24"/>
          <w:szCs w:val="24"/>
        </w:rPr>
        <w:t>Praperadilan di Indonesia</w:t>
      </w:r>
      <w:r w:rsidRPr="002B6ADB">
        <w:rPr>
          <w:rFonts w:ascii="Times New Roman" w:hAnsi="Times New Roman" w:cs="Times New Roman"/>
          <w:sz w:val="24"/>
          <w:szCs w:val="24"/>
        </w:rPr>
        <w:t>, Ghalia Indonesia, Jakarta, 1990.</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Hak Asasi Manusia (HAM) Dalam Hukum Acara Pidana (HAP)</w:t>
      </w:r>
      <w:r w:rsidRPr="002B6ADB">
        <w:rPr>
          <w:rFonts w:ascii="Times New Roman" w:hAnsi="Times New Roman" w:cs="Times New Roman"/>
          <w:sz w:val="24"/>
          <w:szCs w:val="24"/>
        </w:rPr>
        <w:t>, Jakarta, Datacom, 2002.</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Maria Farida Indrarti, </w:t>
      </w:r>
      <w:r w:rsidRPr="002B6ADB">
        <w:rPr>
          <w:rFonts w:ascii="Times New Roman" w:hAnsi="Times New Roman" w:cs="Times New Roman"/>
          <w:i/>
          <w:iCs/>
          <w:sz w:val="24"/>
          <w:szCs w:val="24"/>
        </w:rPr>
        <w:t>Ilmu Perundang-undangan</w:t>
      </w:r>
      <w:r w:rsidRPr="002B6ADB">
        <w:rPr>
          <w:rFonts w:ascii="Times New Roman" w:hAnsi="Times New Roman" w:cs="Times New Roman"/>
          <w:sz w:val="24"/>
          <w:szCs w:val="24"/>
        </w:rPr>
        <w:t>, Kanisius, Yogyakarta, 2006.</w:t>
      </w:r>
    </w:p>
    <w:p w:rsidR="00846F94" w:rsidRPr="002B6ADB" w:rsidRDefault="00846F94" w:rsidP="00846F94">
      <w:pPr>
        <w:pStyle w:val="ListParagraph"/>
        <w:spacing w:after="0" w:line="240" w:lineRule="auto"/>
        <w:ind w:left="1134" w:hanging="709"/>
        <w:contextualSpacing w:val="0"/>
        <w:jc w:val="both"/>
        <w:rPr>
          <w:rFonts w:ascii="Times New Roman" w:eastAsia="Calibri" w:hAnsi="Times New Roman" w:cs="Times New Roman"/>
          <w:sz w:val="24"/>
          <w:szCs w:val="24"/>
        </w:rPr>
      </w:pPr>
      <w:r w:rsidRPr="002B6ADB">
        <w:rPr>
          <w:rFonts w:ascii="Times New Roman" w:hAnsi="Times New Roman" w:cs="Times New Roman"/>
          <w:sz w:val="24"/>
          <w:szCs w:val="24"/>
        </w:rPr>
        <w:t>Mochtar Kusuma</w:t>
      </w:r>
      <w:r w:rsidRPr="002B6ADB">
        <w:rPr>
          <w:rFonts w:ascii="Times New Roman" w:eastAsia="Calibri" w:hAnsi="Times New Roman" w:cs="Times New Roman"/>
          <w:sz w:val="24"/>
          <w:szCs w:val="24"/>
        </w:rPr>
        <w:t xml:space="preserve">atmadja, </w:t>
      </w:r>
      <w:r w:rsidRPr="002B6ADB">
        <w:rPr>
          <w:rFonts w:ascii="Times New Roman" w:hAnsi="Times New Roman" w:cs="Times New Roman"/>
          <w:i/>
          <w:sz w:val="24"/>
          <w:szCs w:val="24"/>
        </w:rPr>
        <w:t>Hukum, Masyarakat dan Pembinaan Hukum Nasional</w:t>
      </w:r>
      <w:r w:rsidRPr="002B6ADB">
        <w:rPr>
          <w:rFonts w:ascii="Times New Roman" w:eastAsia="Calibri" w:hAnsi="Times New Roman" w:cs="Times New Roman"/>
          <w:sz w:val="24"/>
          <w:szCs w:val="24"/>
        </w:rPr>
        <w:t>, Bina Cipta, Bandung, 19</w:t>
      </w:r>
      <w:r w:rsidRPr="002B6ADB">
        <w:rPr>
          <w:rFonts w:ascii="Times New Roman" w:hAnsi="Times New Roman" w:cs="Times New Roman"/>
          <w:sz w:val="24"/>
          <w:szCs w:val="24"/>
        </w:rPr>
        <w:t>86</w:t>
      </w:r>
      <w:r w:rsidRPr="002B6ADB">
        <w:rPr>
          <w:rFonts w:ascii="Times New Roman" w:eastAsia="Calibri" w:hAnsi="Times New Roman" w:cs="Times New Roman"/>
          <w:sz w:val="24"/>
          <w:szCs w:val="24"/>
        </w:rPr>
        <w:t>.</w:t>
      </w:r>
    </w:p>
    <w:p w:rsidR="00846F94" w:rsidRPr="002B6ADB" w:rsidRDefault="00846F94" w:rsidP="00846F94">
      <w:pPr>
        <w:pStyle w:val="ListParagraph"/>
        <w:spacing w:after="0" w:line="240" w:lineRule="auto"/>
        <w:ind w:left="1134" w:hanging="709"/>
        <w:contextualSpacing w:val="0"/>
        <w:jc w:val="both"/>
        <w:rPr>
          <w:rFonts w:ascii="Times New Roman" w:eastAsia="Calibri"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Konsep-Konsep Hukum Dalam Pembangunan</w:t>
      </w:r>
      <w:r w:rsidRPr="002B6ADB">
        <w:rPr>
          <w:rFonts w:ascii="Times New Roman" w:hAnsi="Times New Roman" w:cs="Times New Roman"/>
          <w:sz w:val="24"/>
          <w:szCs w:val="24"/>
        </w:rPr>
        <w:t>, Bandung: Alumni, 2006.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Moeljatno, </w:t>
      </w:r>
      <w:r w:rsidRPr="002B6ADB">
        <w:rPr>
          <w:rFonts w:ascii="Times New Roman" w:hAnsi="Times New Roman" w:cs="Times New Roman"/>
          <w:i/>
          <w:iCs/>
          <w:sz w:val="24"/>
          <w:szCs w:val="24"/>
        </w:rPr>
        <w:t>Asas-Asas Hukum Pidana</w:t>
      </w:r>
      <w:r w:rsidRPr="002B6ADB">
        <w:rPr>
          <w:rFonts w:ascii="Times New Roman" w:hAnsi="Times New Roman" w:cs="Times New Roman"/>
          <w:sz w:val="24"/>
          <w:szCs w:val="24"/>
        </w:rPr>
        <w:t>, Rineka Cipta, Jakarta, 2008.</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Moh Mahfud M.D, </w:t>
      </w:r>
      <w:r w:rsidRPr="002B6ADB">
        <w:rPr>
          <w:rFonts w:ascii="Times New Roman" w:hAnsi="Times New Roman" w:cs="Times New Roman"/>
          <w:i/>
          <w:sz w:val="24"/>
          <w:szCs w:val="24"/>
        </w:rPr>
        <w:t>Dasar dan Stuktur Ketatanegaraan</w:t>
      </w:r>
      <w:r w:rsidRPr="002B6ADB">
        <w:rPr>
          <w:rFonts w:ascii="Times New Roman" w:hAnsi="Times New Roman" w:cs="Times New Roman"/>
          <w:sz w:val="24"/>
          <w:szCs w:val="24"/>
        </w:rPr>
        <w:t>, Renaka Cipta, Jakarta, 2000.</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Moh. Kusnadi dan Hamally Ibrahim, </w:t>
      </w:r>
      <w:r w:rsidRPr="002B6ADB">
        <w:rPr>
          <w:rFonts w:ascii="Times New Roman" w:hAnsi="Times New Roman" w:cs="Times New Roman"/>
          <w:i/>
          <w:sz w:val="24"/>
          <w:szCs w:val="24"/>
        </w:rPr>
        <w:t>Pengantar Hukum Tata Negara Indonesia</w:t>
      </w:r>
      <w:r w:rsidRPr="002B6ADB">
        <w:rPr>
          <w:rFonts w:ascii="Times New Roman" w:hAnsi="Times New Roman" w:cs="Times New Roman"/>
          <w:sz w:val="24"/>
          <w:szCs w:val="24"/>
        </w:rPr>
        <w:t>, Pusat Studi HTN, FH-UI, Jakarta, 1983.</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Muhammad Tahir Azhary, </w:t>
      </w:r>
      <w:r w:rsidRPr="002B6ADB">
        <w:rPr>
          <w:rFonts w:ascii="Times New Roman" w:hAnsi="Times New Roman" w:cs="Times New Roman"/>
          <w:i/>
          <w:sz w:val="24"/>
          <w:szCs w:val="24"/>
        </w:rPr>
        <w:t>Negara Hukum Indonesia, Analisis Yuridis Normatif Tentang Unsur-unsurnya</w:t>
      </w:r>
      <w:r w:rsidRPr="002B6ADB">
        <w:rPr>
          <w:rFonts w:ascii="Times New Roman" w:hAnsi="Times New Roman" w:cs="Times New Roman"/>
          <w:sz w:val="24"/>
          <w:szCs w:val="24"/>
        </w:rPr>
        <w:t>, Universitas Indonesia Press, Jakarta, 1995.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Muladi, </w:t>
      </w:r>
      <w:r w:rsidRPr="002B6ADB">
        <w:rPr>
          <w:rFonts w:ascii="Times New Roman" w:hAnsi="Times New Roman" w:cs="Times New Roman"/>
          <w:i/>
          <w:iCs/>
          <w:sz w:val="24"/>
          <w:szCs w:val="24"/>
        </w:rPr>
        <w:t>Kapita Selekta Sistem Peradilan Pidana</w:t>
      </w:r>
      <w:r w:rsidRPr="002B6ADB">
        <w:rPr>
          <w:rFonts w:ascii="Times New Roman" w:hAnsi="Times New Roman" w:cs="Times New Roman"/>
          <w:sz w:val="24"/>
          <w:szCs w:val="24"/>
        </w:rPr>
        <w:t>, Badan Penerbit Undip, Semarang, 1995.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dan Barda Nawawi Arief, </w:t>
      </w:r>
      <w:r w:rsidRPr="002B6ADB">
        <w:rPr>
          <w:rFonts w:ascii="Times New Roman" w:hAnsi="Times New Roman" w:cs="Times New Roman"/>
          <w:i/>
          <w:iCs/>
          <w:sz w:val="24"/>
          <w:szCs w:val="24"/>
        </w:rPr>
        <w:t>Bunga Rampai Hukum Pidana</w:t>
      </w:r>
      <w:r w:rsidRPr="002B6ADB">
        <w:rPr>
          <w:rFonts w:ascii="Times New Roman" w:hAnsi="Times New Roman" w:cs="Times New Roman"/>
          <w:sz w:val="24"/>
          <w:szCs w:val="24"/>
        </w:rPr>
        <w:t>, Alumni, Bandung, 1982.</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Teori-Teori dan Kebijakan Pidana</w:t>
      </w:r>
      <w:r w:rsidRPr="002B6ADB">
        <w:rPr>
          <w:rFonts w:ascii="Times New Roman" w:hAnsi="Times New Roman" w:cs="Times New Roman"/>
          <w:sz w:val="24"/>
          <w:szCs w:val="24"/>
        </w:rPr>
        <w:t>, Alumni, Bandung, 2005.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Ni’matul Huda, </w:t>
      </w:r>
      <w:r w:rsidRPr="002B6ADB">
        <w:rPr>
          <w:rFonts w:ascii="Times New Roman" w:hAnsi="Times New Roman" w:cs="Times New Roman"/>
          <w:i/>
          <w:sz w:val="24"/>
          <w:szCs w:val="24"/>
        </w:rPr>
        <w:t>Negara Hukum, Demokrasi dan Judicial Riview</w:t>
      </w:r>
      <w:r w:rsidRPr="002B6ADB">
        <w:rPr>
          <w:rFonts w:ascii="Times New Roman" w:hAnsi="Times New Roman" w:cs="Times New Roman"/>
          <w:sz w:val="24"/>
          <w:szCs w:val="24"/>
        </w:rPr>
        <w:t>, UII Press, Yogyakarta, 2005.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Perkembangan Hukum Tata Negara Perdebatan dan Gagasan Penyempurnaan</w:t>
      </w:r>
      <w:r w:rsidRPr="002B6ADB">
        <w:rPr>
          <w:rFonts w:ascii="Times New Roman" w:hAnsi="Times New Roman" w:cs="Times New Roman"/>
          <w:sz w:val="24"/>
          <w:szCs w:val="24"/>
        </w:rPr>
        <w:t>, UII Press, Yogyakarta, 2014.</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Nyoman Serikat Putra Jaya, </w:t>
      </w:r>
      <w:r w:rsidRPr="002B6ADB">
        <w:rPr>
          <w:rFonts w:ascii="Times New Roman" w:hAnsi="Times New Roman" w:cs="Times New Roman"/>
          <w:i/>
          <w:iCs/>
          <w:sz w:val="24"/>
          <w:szCs w:val="24"/>
        </w:rPr>
        <w:t>Sistem Peradilan Pidana (Criminal Justice System)</w:t>
      </w:r>
      <w:r w:rsidRPr="002B6ADB">
        <w:rPr>
          <w:rFonts w:ascii="Times New Roman" w:hAnsi="Times New Roman" w:cs="Times New Roman"/>
          <w:sz w:val="24"/>
          <w:szCs w:val="24"/>
        </w:rPr>
        <w:t>, Badan Penerbit Undip, 2005.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Oemar Seno Adji, </w:t>
      </w:r>
      <w:r w:rsidRPr="002B6ADB">
        <w:rPr>
          <w:rFonts w:ascii="Times New Roman" w:hAnsi="Times New Roman" w:cs="Times New Roman"/>
          <w:i/>
          <w:sz w:val="24"/>
          <w:szCs w:val="24"/>
        </w:rPr>
        <w:t>Peradilan Bebas Negara Hukum</w:t>
      </w:r>
      <w:r w:rsidRPr="002B6ADB">
        <w:rPr>
          <w:rFonts w:ascii="Times New Roman" w:hAnsi="Times New Roman" w:cs="Times New Roman"/>
          <w:sz w:val="24"/>
          <w:szCs w:val="24"/>
        </w:rPr>
        <w:t>, Erlangga, Jakarta, 1985.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Padmo Wahjono, </w:t>
      </w:r>
      <w:r w:rsidRPr="002B6ADB">
        <w:rPr>
          <w:rFonts w:ascii="Times New Roman" w:hAnsi="Times New Roman" w:cs="Times New Roman"/>
          <w:i/>
          <w:sz w:val="24"/>
          <w:szCs w:val="24"/>
        </w:rPr>
        <w:t>Konsep Yuridis Negara Hukum Republik Indonesia</w:t>
      </w:r>
      <w:r w:rsidRPr="002B6ADB">
        <w:rPr>
          <w:rFonts w:ascii="Times New Roman" w:hAnsi="Times New Roman" w:cs="Times New Roman"/>
          <w:sz w:val="24"/>
          <w:szCs w:val="24"/>
        </w:rPr>
        <w:t>, Rajawali, Jakarta, 1982.</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eastAsia="Times New Roman" w:hAnsi="Times New Roman" w:cs="Times New Roman"/>
          <w:sz w:val="24"/>
          <w:szCs w:val="24"/>
          <w:lang w:eastAsia="id-ID"/>
        </w:rPr>
        <w:t xml:space="preserve">Peter Mahmud Marzuki, </w:t>
      </w:r>
      <w:r w:rsidRPr="002B6ADB">
        <w:rPr>
          <w:rFonts w:ascii="Times New Roman" w:eastAsia="Times New Roman" w:hAnsi="Times New Roman" w:cs="Times New Roman"/>
          <w:i/>
          <w:sz w:val="24"/>
          <w:szCs w:val="24"/>
          <w:lang w:eastAsia="id-ID"/>
        </w:rPr>
        <w:t>Penelitian Hukum</w:t>
      </w:r>
      <w:r w:rsidRPr="002B6ADB">
        <w:rPr>
          <w:rFonts w:ascii="Times New Roman" w:eastAsia="Times New Roman" w:hAnsi="Times New Roman" w:cs="Times New Roman"/>
          <w:sz w:val="24"/>
          <w:szCs w:val="24"/>
          <w:lang w:eastAsia="id-ID"/>
        </w:rPr>
        <w:t>, Kencana Prenada Media Group, Jakarta, 2005.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lang w:bidi="ne-NP"/>
        </w:rPr>
      </w:pPr>
      <w:r w:rsidRPr="002B6ADB">
        <w:rPr>
          <w:rFonts w:ascii="Times New Roman" w:hAnsi="Times New Roman" w:cs="Times New Roman"/>
          <w:sz w:val="24"/>
          <w:szCs w:val="24"/>
          <w:lang w:bidi="ne-NP"/>
        </w:rPr>
        <w:t xml:space="preserve">Philipus M. Hadjon, </w:t>
      </w:r>
      <w:r w:rsidRPr="002B6ADB">
        <w:rPr>
          <w:rFonts w:ascii="Times New Roman" w:hAnsi="Times New Roman" w:cs="Times New Roman"/>
          <w:i/>
          <w:iCs/>
          <w:sz w:val="24"/>
          <w:szCs w:val="24"/>
          <w:lang w:bidi="ne-NP"/>
        </w:rPr>
        <w:t>Perlindungan Hukum bagi Rakyat di Indonesia</w:t>
      </w:r>
      <w:r w:rsidRPr="002B6ADB">
        <w:rPr>
          <w:rFonts w:ascii="Times New Roman" w:hAnsi="Times New Roman" w:cs="Times New Roman"/>
          <w:sz w:val="24"/>
          <w:szCs w:val="24"/>
          <w:lang w:bidi="ne-NP"/>
        </w:rPr>
        <w:t>, Bina Ilmu, Surabaya, 1987.</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lastRenderedPageBreak/>
        <w:t xml:space="preserve">.................................., </w:t>
      </w:r>
      <w:r w:rsidRPr="002B6ADB">
        <w:rPr>
          <w:rFonts w:ascii="Times New Roman" w:hAnsi="Times New Roman" w:cs="Times New Roman"/>
          <w:i/>
          <w:sz w:val="24"/>
          <w:szCs w:val="24"/>
        </w:rPr>
        <w:t>Kedaulatan Rakyat, Negara Hukum dan Hak-Hak Asasi Manusia, Kumpulan Tulisan Dalam Rangka 70 Tahun Sri Soemantri Martosoewignjo</w:t>
      </w:r>
      <w:r w:rsidRPr="002B6ADB">
        <w:rPr>
          <w:rFonts w:ascii="Times New Roman" w:hAnsi="Times New Roman" w:cs="Times New Roman"/>
          <w:sz w:val="24"/>
          <w:szCs w:val="24"/>
        </w:rPr>
        <w:t>, Media Pratama, Jakarta, 1996.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Ratna Nurul Alifah, </w:t>
      </w:r>
      <w:r w:rsidRPr="002B6ADB">
        <w:rPr>
          <w:rFonts w:ascii="Times New Roman" w:hAnsi="Times New Roman" w:cs="Times New Roman"/>
          <w:i/>
          <w:iCs/>
          <w:sz w:val="24"/>
          <w:szCs w:val="24"/>
        </w:rPr>
        <w:t>Praperadilan dan Lingkupnya</w:t>
      </w:r>
      <w:r w:rsidRPr="002B6ADB">
        <w:rPr>
          <w:rFonts w:ascii="Times New Roman" w:hAnsi="Times New Roman" w:cs="Times New Roman"/>
          <w:sz w:val="24"/>
          <w:szCs w:val="24"/>
        </w:rPr>
        <w:t>, Akademika Presindo, Jakarta, 1986.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Romli Atmasasmita, </w:t>
      </w:r>
      <w:r w:rsidRPr="002B6ADB">
        <w:rPr>
          <w:rFonts w:ascii="Times New Roman" w:hAnsi="Times New Roman" w:cs="Times New Roman"/>
          <w:i/>
          <w:iCs/>
          <w:sz w:val="24"/>
          <w:szCs w:val="24"/>
        </w:rPr>
        <w:t>Sistem Peradilan Pidana (Criminal Justice System) Perspektif Eksistensialisme dan Abolisionalisme,</w:t>
      </w:r>
      <w:r w:rsidRPr="002B6ADB">
        <w:rPr>
          <w:rFonts w:ascii="Times New Roman" w:hAnsi="Times New Roman" w:cs="Times New Roman"/>
          <w:sz w:val="24"/>
          <w:szCs w:val="24"/>
        </w:rPr>
        <w:t xml:space="preserve"> Binacipta, Bandung, 1996.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Sistem Pidana Kontemporer</w:t>
      </w:r>
      <w:r w:rsidRPr="002B6ADB">
        <w:rPr>
          <w:rFonts w:ascii="Times New Roman" w:hAnsi="Times New Roman" w:cs="Times New Roman"/>
          <w:sz w:val="24"/>
          <w:szCs w:val="24"/>
        </w:rPr>
        <w:t>, Kecana Prenada Media Group, Jakarta, 2011.</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Rusli Muhammad, </w:t>
      </w:r>
      <w:r w:rsidRPr="002B6ADB">
        <w:rPr>
          <w:rFonts w:ascii="Times New Roman" w:hAnsi="Times New Roman" w:cs="Times New Roman"/>
          <w:i/>
          <w:iCs/>
          <w:sz w:val="24"/>
          <w:szCs w:val="24"/>
        </w:rPr>
        <w:t>Sistem Peradilan Pidana Indoensia</w:t>
      </w:r>
      <w:r w:rsidRPr="002B6ADB">
        <w:rPr>
          <w:rFonts w:ascii="Times New Roman" w:hAnsi="Times New Roman" w:cs="Times New Roman"/>
          <w:sz w:val="24"/>
          <w:szCs w:val="24"/>
        </w:rPr>
        <w:t>, UII Press, Yogyakarta, 2011.</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Satjipto Rahardjo, </w:t>
      </w:r>
      <w:r w:rsidRPr="002B6ADB">
        <w:rPr>
          <w:rFonts w:ascii="Times New Roman" w:hAnsi="Times New Roman" w:cs="Times New Roman"/>
          <w:i/>
          <w:sz w:val="24"/>
          <w:szCs w:val="24"/>
        </w:rPr>
        <w:t>Hukum Progresif: Sebuah Sintesa Hukum Indonesia</w:t>
      </w:r>
      <w:r w:rsidRPr="002B6ADB">
        <w:rPr>
          <w:rFonts w:ascii="Times New Roman" w:hAnsi="Times New Roman" w:cs="Times New Roman"/>
          <w:sz w:val="24"/>
          <w:szCs w:val="24"/>
        </w:rPr>
        <w:t>, Genta Publishing, Yogyakarta, 2009.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iCs/>
          <w:sz w:val="24"/>
          <w:szCs w:val="24"/>
        </w:rPr>
      </w:pPr>
      <w:r w:rsidRPr="002B6ADB">
        <w:rPr>
          <w:rFonts w:ascii="Times New Roman" w:hAnsi="Times New Roman" w:cs="Times New Roman"/>
          <w:iCs/>
          <w:sz w:val="24"/>
          <w:szCs w:val="24"/>
        </w:rPr>
        <w:t xml:space="preserve">Sidik Sunaryo dalam </w:t>
      </w:r>
      <w:r w:rsidRPr="002B6ADB">
        <w:rPr>
          <w:rFonts w:ascii="Times New Roman" w:hAnsi="Times New Roman" w:cs="Times New Roman"/>
          <w:sz w:val="24"/>
          <w:szCs w:val="24"/>
        </w:rPr>
        <w:t xml:space="preserve">Tolib Effendi, </w:t>
      </w:r>
      <w:r w:rsidRPr="002B6ADB">
        <w:rPr>
          <w:rFonts w:ascii="Times New Roman" w:hAnsi="Times New Roman" w:cs="Times New Roman"/>
          <w:i/>
          <w:sz w:val="24"/>
          <w:szCs w:val="24"/>
        </w:rPr>
        <w:t>Sistem Peradilan Pidana: Perbandingan Komponen dan Proses Sistem Peradilan Pidana di Beberapa Negara</w:t>
      </w:r>
      <w:r w:rsidRPr="002B6ADB">
        <w:rPr>
          <w:rFonts w:ascii="Times New Roman" w:hAnsi="Times New Roman" w:cs="Times New Roman"/>
          <w:iCs/>
          <w:sz w:val="24"/>
          <w:szCs w:val="24"/>
        </w:rPr>
        <w:t>, Pustaka Yudhistira, Yogyakarta, 2013.</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Soerjono Soekanto, </w:t>
      </w:r>
      <w:r w:rsidRPr="002B6ADB">
        <w:rPr>
          <w:rFonts w:ascii="Times New Roman" w:hAnsi="Times New Roman" w:cs="Times New Roman"/>
          <w:i/>
          <w:sz w:val="24"/>
          <w:szCs w:val="24"/>
        </w:rPr>
        <w:t>Pengantar Penelitian Hukum</w:t>
      </w:r>
      <w:r w:rsidRPr="002B6ADB">
        <w:rPr>
          <w:rFonts w:ascii="Times New Roman" w:hAnsi="Times New Roman" w:cs="Times New Roman"/>
          <w:sz w:val="24"/>
          <w:szCs w:val="24"/>
        </w:rPr>
        <w:t>, UI Press, Jakarta, 2005.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Sri Pudyatmoko., Y, </w:t>
      </w:r>
      <w:r w:rsidRPr="002B6ADB">
        <w:rPr>
          <w:rFonts w:ascii="Times New Roman" w:hAnsi="Times New Roman" w:cs="Times New Roman"/>
          <w:i/>
          <w:sz w:val="24"/>
          <w:szCs w:val="24"/>
        </w:rPr>
        <w:t>Perizinan, Problem dan Upaya Pembenahan</w:t>
      </w:r>
      <w:r w:rsidRPr="002B6ADB">
        <w:rPr>
          <w:rFonts w:ascii="Times New Roman" w:hAnsi="Times New Roman" w:cs="Times New Roman"/>
          <w:sz w:val="24"/>
          <w:szCs w:val="24"/>
        </w:rPr>
        <w:t>, Gramedia Widiarsaana Indonesia, Jakarta, 2009.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Sri Soemantri Martosoewignjo, </w:t>
      </w:r>
      <w:r w:rsidRPr="002B6ADB">
        <w:rPr>
          <w:rFonts w:ascii="Times New Roman" w:hAnsi="Times New Roman" w:cs="Times New Roman"/>
          <w:i/>
          <w:iCs/>
          <w:sz w:val="24"/>
          <w:szCs w:val="24"/>
        </w:rPr>
        <w:t>Bunga Rampai Hukum Tata Negara</w:t>
      </w:r>
      <w:r w:rsidRPr="002B6ADB">
        <w:rPr>
          <w:rFonts w:ascii="Times New Roman" w:hAnsi="Times New Roman" w:cs="Times New Roman"/>
          <w:sz w:val="24"/>
          <w:szCs w:val="24"/>
        </w:rPr>
        <w:t>, Alumni, Bandung, 1990.</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Sudargo Gautama, </w:t>
      </w:r>
      <w:r w:rsidRPr="002B6ADB">
        <w:rPr>
          <w:rFonts w:ascii="Times New Roman" w:hAnsi="Times New Roman" w:cs="Times New Roman"/>
          <w:i/>
          <w:sz w:val="24"/>
          <w:szCs w:val="24"/>
        </w:rPr>
        <w:t>Pengertian Tentang Negara Hukum</w:t>
      </w:r>
      <w:r w:rsidRPr="002B6ADB">
        <w:rPr>
          <w:rFonts w:ascii="Times New Roman" w:hAnsi="Times New Roman" w:cs="Times New Roman"/>
          <w:sz w:val="24"/>
          <w:szCs w:val="24"/>
        </w:rPr>
        <w:t>, Alumni, Bandung, 1983.</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Sudikno Mertokusumo, </w:t>
      </w:r>
      <w:r w:rsidRPr="002B6ADB">
        <w:rPr>
          <w:rFonts w:ascii="Times New Roman" w:hAnsi="Times New Roman" w:cs="Times New Roman"/>
          <w:i/>
          <w:iCs/>
          <w:sz w:val="24"/>
          <w:szCs w:val="24"/>
        </w:rPr>
        <w:t>Mengenal Hukum: Suatu Pengantar</w:t>
      </w:r>
      <w:r w:rsidRPr="002B6ADB">
        <w:rPr>
          <w:rFonts w:ascii="Times New Roman" w:hAnsi="Times New Roman" w:cs="Times New Roman"/>
          <w:sz w:val="24"/>
          <w:szCs w:val="24"/>
        </w:rPr>
        <w:t>, Liberty, Yogyakarta, 2003.</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Soetandyo Wignjosoebroto, </w:t>
      </w:r>
      <w:r w:rsidRPr="002B6ADB">
        <w:rPr>
          <w:rFonts w:ascii="Times New Roman" w:hAnsi="Times New Roman" w:cs="Times New Roman"/>
          <w:i/>
          <w:sz w:val="24"/>
          <w:szCs w:val="24"/>
        </w:rPr>
        <w:t>Hukum: Paradigma Metode dan Dinamika Masalahnya</w:t>
      </w:r>
      <w:r w:rsidRPr="002B6ADB">
        <w:rPr>
          <w:rFonts w:ascii="Times New Roman" w:hAnsi="Times New Roman" w:cs="Times New Roman"/>
          <w:sz w:val="24"/>
          <w:szCs w:val="24"/>
        </w:rPr>
        <w:t>, Elsam dan Huma, Jakarta, 2002.</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Syakuri Akub., M, dan Baharuddin Badaru, </w:t>
      </w:r>
      <w:r w:rsidRPr="002B6ADB">
        <w:rPr>
          <w:rFonts w:ascii="Times New Roman" w:hAnsi="Times New Roman" w:cs="Times New Roman"/>
          <w:i/>
          <w:iCs/>
          <w:sz w:val="24"/>
          <w:szCs w:val="24"/>
        </w:rPr>
        <w:t>Wawasan Due Process Of Law dalam Sistem Peradilan Pidana</w:t>
      </w:r>
      <w:r w:rsidRPr="002B6ADB">
        <w:rPr>
          <w:rFonts w:ascii="Times New Roman" w:hAnsi="Times New Roman" w:cs="Times New Roman"/>
          <w:sz w:val="24"/>
          <w:szCs w:val="24"/>
        </w:rPr>
        <w:t>, Rangkang Education, Yogyakarta, 2012.</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Utrecht., E, </w:t>
      </w:r>
      <w:r w:rsidRPr="002B6ADB">
        <w:rPr>
          <w:rFonts w:ascii="Times New Roman" w:hAnsi="Times New Roman" w:cs="Times New Roman"/>
          <w:i/>
          <w:iCs/>
          <w:sz w:val="24"/>
          <w:szCs w:val="24"/>
        </w:rPr>
        <w:t>Rangkaian Sari Kualih Hukum Pidana I</w:t>
      </w:r>
      <w:r w:rsidRPr="002B6ADB">
        <w:rPr>
          <w:rFonts w:ascii="Times New Roman" w:hAnsi="Times New Roman" w:cs="Times New Roman"/>
          <w:sz w:val="24"/>
          <w:szCs w:val="24"/>
        </w:rPr>
        <w:t>, Pustaka Tinta Mas, Surabaya, 1958.</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Wirjono Prodjodikoro, </w:t>
      </w:r>
      <w:r w:rsidRPr="002B6ADB">
        <w:rPr>
          <w:rFonts w:ascii="Times New Roman" w:hAnsi="Times New Roman" w:cs="Times New Roman"/>
          <w:i/>
          <w:iCs/>
          <w:sz w:val="24"/>
          <w:szCs w:val="24"/>
        </w:rPr>
        <w:t>Hukum Acara Perdata Indonesia</w:t>
      </w:r>
      <w:r w:rsidRPr="002B6ADB">
        <w:rPr>
          <w:rFonts w:ascii="Times New Roman" w:hAnsi="Times New Roman" w:cs="Times New Roman"/>
          <w:sz w:val="24"/>
          <w:szCs w:val="24"/>
        </w:rPr>
        <w:t>, Sumur, Bandung, 1982.</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Yahya Harahap., M, </w:t>
      </w:r>
      <w:r w:rsidRPr="002B6ADB">
        <w:rPr>
          <w:rFonts w:ascii="Times New Roman" w:hAnsi="Times New Roman" w:cs="Times New Roman"/>
          <w:i/>
          <w:iCs/>
          <w:sz w:val="24"/>
          <w:szCs w:val="24"/>
        </w:rPr>
        <w:t>Pembahasan Permasaahan dan Penerapan KUHAP Pemeriksaan Sidang Pengadilan, Banding, Kasasi, dan Peninjauan Kembali</w:t>
      </w:r>
      <w:r w:rsidRPr="002B6ADB">
        <w:rPr>
          <w:rFonts w:ascii="Times New Roman" w:hAnsi="Times New Roman" w:cs="Times New Roman"/>
          <w:sz w:val="24"/>
          <w:szCs w:val="24"/>
        </w:rPr>
        <w:t>, Sinar Grafika, Jakarta, 2012.</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Pembahasan Permasalahan dan Penerapan KUHAP Penyidikan dan Penuntutan</w:t>
      </w:r>
      <w:r w:rsidRPr="002B6ADB">
        <w:rPr>
          <w:rFonts w:ascii="Times New Roman" w:hAnsi="Times New Roman" w:cs="Times New Roman"/>
          <w:sz w:val="24"/>
          <w:szCs w:val="24"/>
        </w:rPr>
        <w:t>, Sinar Grafika, Jakarta, 2014.</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Zairin Harahap, </w:t>
      </w:r>
      <w:r w:rsidRPr="002B6ADB">
        <w:rPr>
          <w:rFonts w:ascii="Times New Roman" w:hAnsi="Times New Roman" w:cs="Times New Roman"/>
          <w:i/>
          <w:iCs/>
          <w:sz w:val="24"/>
          <w:szCs w:val="24"/>
        </w:rPr>
        <w:t>Hukum Acara Peradilan Tata Usaha Negara</w:t>
      </w:r>
      <w:r w:rsidRPr="002B6ADB">
        <w:rPr>
          <w:rFonts w:ascii="Times New Roman" w:hAnsi="Times New Roman" w:cs="Times New Roman"/>
          <w:sz w:val="24"/>
          <w:szCs w:val="24"/>
        </w:rPr>
        <w:t>, RajaGrafindo Persada, Jakarta, 2002.</w:t>
      </w:r>
    </w:p>
    <w:p w:rsidR="00846F94" w:rsidRPr="002B6ADB" w:rsidRDefault="00846F94" w:rsidP="00846F94">
      <w:pPr>
        <w:spacing w:after="0" w:line="240" w:lineRule="auto"/>
        <w:jc w:val="both"/>
        <w:rPr>
          <w:rFonts w:ascii="Times New Roman" w:hAnsi="Times New Roman" w:cs="Times New Roman"/>
          <w:sz w:val="24"/>
          <w:szCs w:val="24"/>
        </w:rPr>
      </w:pPr>
    </w:p>
    <w:p w:rsidR="00846F94" w:rsidRPr="002B6ADB" w:rsidRDefault="00846F94" w:rsidP="00846F94">
      <w:pPr>
        <w:pStyle w:val="ListParagraph"/>
        <w:numPr>
          <w:ilvl w:val="0"/>
          <w:numId w:val="15"/>
        </w:numPr>
        <w:spacing w:after="0" w:line="240" w:lineRule="auto"/>
        <w:ind w:left="426" w:hanging="426"/>
        <w:jc w:val="both"/>
        <w:rPr>
          <w:rFonts w:ascii="Times New Roman" w:hAnsi="Times New Roman" w:cs="Times New Roman"/>
          <w:b/>
          <w:sz w:val="24"/>
          <w:szCs w:val="24"/>
        </w:rPr>
      </w:pPr>
      <w:r w:rsidRPr="002B6ADB">
        <w:rPr>
          <w:rFonts w:ascii="Times New Roman" w:hAnsi="Times New Roman" w:cs="Times New Roman"/>
          <w:b/>
          <w:sz w:val="24"/>
          <w:szCs w:val="24"/>
        </w:rPr>
        <w:t>Peraturan Perundang-undangan</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Undang-Undang Dasar </w:t>
      </w:r>
      <w:r w:rsidRPr="002B6ADB">
        <w:rPr>
          <w:rFonts w:ascii="Times New Roman" w:hAnsi="Times New Roman" w:cs="Times New Roman"/>
          <w:sz w:val="24"/>
          <w:szCs w:val="24"/>
          <w:lang w:val="en-US"/>
        </w:rPr>
        <w:t xml:space="preserve">Negara </w:t>
      </w:r>
      <w:proofErr w:type="spellStart"/>
      <w:r w:rsidRPr="002B6ADB">
        <w:rPr>
          <w:rFonts w:ascii="Times New Roman" w:hAnsi="Times New Roman" w:cs="Times New Roman"/>
          <w:sz w:val="24"/>
          <w:szCs w:val="24"/>
          <w:lang w:val="en-US"/>
        </w:rPr>
        <w:t>Republik</w:t>
      </w:r>
      <w:proofErr w:type="spellEnd"/>
      <w:r w:rsidRPr="002B6ADB">
        <w:rPr>
          <w:rFonts w:ascii="Times New Roman" w:hAnsi="Times New Roman" w:cs="Times New Roman"/>
          <w:sz w:val="24"/>
          <w:szCs w:val="24"/>
          <w:lang w:val="en-US"/>
        </w:rPr>
        <w:t xml:space="preserve"> Indonesia </w:t>
      </w:r>
      <w:r w:rsidRPr="002B6ADB">
        <w:rPr>
          <w:rFonts w:ascii="Times New Roman" w:hAnsi="Times New Roman" w:cs="Times New Roman"/>
          <w:sz w:val="24"/>
          <w:szCs w:val="24"/>
        </w:rPr>
        <w:t>Tahun 1945 Amandemen Keempat.</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Kitab Undang-Undang </w:t>
      </w:r>
      <w:r>
        <w:rPr>
          <w:rFonts w:ascii="Times New Roman" w:hAnsi="Times New Roman" w:cs="Times New Roman"/>
          <w:sz w:val="24"/>
          <w:szCs w:val="24"/>
        </w:rPr>
        <w:t xml:space="preserve">Hukum </w:t>
      </w:r>
      <w:r w:rsidRPr="002B6ADB">
        <w:rPr>
          <w:rFonts w:ascii="Times New Roman" w:hAnsi="Times New Roman" w:cs="Times New Roman"/>
          <w:sz w:val="24"/>
          <w:szCs w:val="24"/>
        </w:rPr>
        <w:t>Pidana.</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Undang-Undang Nomor 8 Tahun 1981 tentang Kitab Undang-Undang Hukum Acara Pidana (Lembaran Negara Republik Indonesia Tahun 1981 Nomor 76, Tambahan Lembaran Negara Republik Indonesia Nomor 3209).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Undang-Undang Nomor 24 Tahun 2003 tentang Mahkamah Konstitusi (Lembaran Negara Republik Indonesia Tahun 2003 Nomor 98, Tambahan Lembaran Negara Republik Indonesia Nomor 4316), sebagaimana telah diubah dengan Undang-Undang Nomor 8 Tahun 2011 tentang Perubahan Atas Undang-Undang Nomor 24 Tahun 2003 tentang Mahkamah Konstitusi (Lembaran Negara Republik Indonesia Tahun 2011 Nomor 70, Tambahan Lembaran Negara Republik Indonesia Nomor 5226).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Undang-Undang Nomor 48 Tahun 2009 tentang Kekuasaan Kehakiman (Lembaran Negara Republik Indonesia Tahun 2009 Nomor 157, Tambahan Lembaran Negara Republik Indonesia Nomor 5076).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lastRenderedPageBreak/>
        <w:t>Putusan Mahkamah Konstitusi Nomor 21/PUU-XII/2014 tentang Pengujian Materiel Undang-Undang Nomor 8 Tahun 1981 tentang Hukum Acara Pidana Terhadap Undang-Undang Dasar.</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p>
    <w:p w:rsidR="00846F94" w:rsidRPr="002B6ADB" w:rsidRDefault="00846F94" w:rsidP="00846F94">
      <w:pPr>
        <w:pStyle w:val="ListParagraph"/>
        <w:numPr>
          <w:ilvl w:val="0"/>
          <w:numId w:val="15"/>
        </w:numPr>
        <w:spacing w:after="0" w:line="240" w:lineRule="auto"/>
        <w:ind w:left="426" w:hanging="426"/>
        <w:jc w:val="both"/>
        <w:rPr>
          <w:rFonts w:ascii="Times New Roman" w:hAnsi="Times New Roman" w:cs="Times New Roman"/>
          <w:b/>
          <w:sz w:val="24"/>
          <w:szCs w:val="24"/>
        </w:rPr>
      </w:pPr>
      <w:r w:rsidRPr="002B6ADB">
        <w:rPr>
          <w:rFonts w:ascii="Times New Roman" w:hAnsi="Times New Roman" w:cs="Times New Roman"/>
          <w:b/>
          <w:sz w:val="24"/>
          <w:szCs w:val="24"/>
        </w:rPr>
        <w:t>Sumber Lain</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Achmad Syahrizal, </w:t>
      </w:r>
      <w:r w:rsidRPr="002B6ADB">
        <w:rPr>
          <w:rFonts w:ascii="Times New Roman" w:hAnsi="Times New Roman" w:cs="Times New Roman"/>
          <w:i/>
          <w:iCs/>
          <w:sz w:val="24"/>
          <w:szCs w:val="24"/>
        </w:rPr>
        <w:t>Problematika Implementasi Putusan MK</w:t>
      </w:r>
      <w:r w:rsidRPr="002B6ADB">
        <w:rPr>
          <w:rFonts w:ascii="Times New Roman" w:hAnsi="Times New Roman" w:cs="Times New Roman"/>
          <w:sz w:val="24"/>
          <w:szCs w:val="24"/>
        </w:rPr>
        <w:t>, Jurnal Konstitusi Vol. 4  No. 1, Maret 2007.</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Barda Nawawi Arief, </w:t>
      </w:r>
      <w:r w:rsidRPr="002B6ADB">
        <w:rPr>
          <w:rFonts w:ascii="Times New Roman" w:hAnsi="Times New Roman" w:cs="Times New Roman"/>
          <w:i/>
          <w:sz w:val="24"/>
          <w:szCs w:val="24"/>
        </w:rPr>
        <w:t>Pokok-Pokok Pemikiran (Ide Dasar) Asas-Asas Hukum Pidana Nasional</w:t>
      </w:r>
      <w:r w:rsidRPr="002B6ADB">
        <w:rPr>
          <w:rFonts w:ascii="Times New Roman" w:hAnsi="Times New Roman" w:cs="Times New Roman"/>
          <w:sz w:val="24"/>
          <w:szCs w:val="24"/>
        </w:rPr>
        <w:t>, Makalah pada Seminar Nasional BPHN, Semarang, 2004.</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Bernard Arief Sidharta, </w:t>
      </w:r>
      <w:r w:rsidRPr="002B6ADB">
        <w:rPr>
          <w:rFonts w:ascii="Times New Roman" w:hAnsi="Times New Roman" w:cs="Times New Roman"/>
          <w:i/>
          <w:sz w:val="24"/>
          <w:szCs w:val="24"/>
        </w:rPr>
        <w:t>Kajian Kefilsafatan tentang Negara Hukum</w:t>
      </w:r>
      <w:r w:rsidRPr="002B6ADB">
        <w:rPr>
          <w:rFonts w:ascii="Times New Roman" w:hAnsi="Times New Roman" w:cs="Times New Roman"/>
          <w:sz w:val="24"/>
          <w:szCs w:val="24"/>
        </w:rPr>
        <w:t>, Jurnal Hukum Jantera Edisi 3, Tahun II, Bandung, 2004.</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Dedi Vengki Matahari, </w:t>
      </w:r>
      <w:r w:rsidRPr="002B6ADB">
        <w:rPr>
          <w:rFonts w:ascii="Times New Roman" w:hAnsi="Times New Roman" w:cs="Times New Roman"/>
          <w:i/>
          <w:iCs/>
          <w:sz w:val="24"/>
          <w:szCs w:val="24"/>
        </w:rPr>
        <w:t>Fungsi Lembaga Praperadilan Pidana Menurut KUHAP</w:t>
      </w:r>
      <w:r w:rsidRPr="002B6ADB">
        <w:rPr>
          <w:rFonts w:ascii="Times New Roman" w:hAnsi="Times New Roman" w:cs="Times New Roman"/>
          <w:sz w:val="24"/>
          <w:szCs w:val="24"/>
        </w:rPr>
        <w:t>, Jurnal Lex et Societies Vol. IV/No. 2/Feb/2016.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Elwi Danil, </w:t>
      </w:r>
      <w:r w:rsidRPr="002B6ADB">
        <w:rPr>
          <w:rFonts w:ascii="Times New Roman" w:hAnsi="Times New Roman" w:cs="Times New Roman"/>
          <w:i/>
          <w:iCs/>
          <w:sz w:val="24"/>
          <w:szCs w:val="24"/>
        </w:rPr>
        <w:t>Model Penyelenggaraan Peradilan Pidana dan Implementasinya Dalam KUHAP</w:t>
      </w:r>
      <w:r w:rsidRPr="002B6ADB">
        <w:rPr>
          <w:rFonts w:ascii="Times New Roman" w:hAnsi="Times New Roman" w:cs="Times New Roman"/>
          <w:sz w:val="24"/>
          <w:szCs w:val="24"/>
        </w:rPr>
        <w:t>, Jurnal Clavia Vol. 5 No. 2 Juli 2004.</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Fachrizal Afandi, </w:t>
      </w:r>
      <w:r w:rsidRPr="002B6ADB">
        <w:rPr>
          <w:rFonts w:ascii="Times New Roman" w:hAnsi="Times New Roman" w:cs="Times New Roman"/>
          <w:i/>
          <w:iCs/>
          <w:sz w:val="24"/>
          <w:szCs w:val="24"/>
        </w:rPr>
        <w:t>Perbandingan Praktik Praperadilan dan Pembentukan Hakim Pemeriksa Dalam Peradilan Pidana Indonesia</w:t>
      </w:r>
      <w:r w:rsidRPr="002B6ADB">
        <w:rPr>
          <w:rFonts w:ascii="Times New Roman" w:hAnsi="Times New Roman" w:cs="Times New Roman"/>
          <w:sz w:val="24"/>
          <w:szCs w:val="24"/>
        </w:rPr>
        <w:t>, Jurnal Kemenristek Dikti, 2015.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Fajar Ramadhan dan Hananto Widodo, </w:t>
      </w:r>
      <w:r w:rsidRPr="002B6ADB">
        <w:rPr>
          <w:rFonts w:ascii="Times New Roman" w:hAnsi="Times New Roman" w:cs="Times New Roman"/>
          <w:i/>
          <w:iCs/>
          <w:sz w:val="24"/>
          <w:szCs w:val="24"/>
        </w:rPr>
        <w:t>Analisis Yuridis Putusan Mahkamah Konstitusi Nomor 21/PUU-XII/2014 Dalam Menguji Pasal 77 Huruf A Kitab Undang-Undang Hukum Acara Pidana Terkait Fungsi Mahkamah Konstitusi Sebagai Positive Legislator</w:t>
      </w:r>
      <w:r w:rsidRPr="002B6ADB">
        <w:rPr>
          <w:rFonts w:ascii="Times New Roman" w:hAnsi="Times New Roman" w:cs="Times New Roman"/>
          <w:sz w:val="24"/>
          <w:szCs w:val="24"/>
        </w:rPr>
        <w:t>, Jurnal Unesa, Tanpa Tahun.</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Haka Astana M. Widya, </w:t>
      </w:r>
      <w:r w:rsidRPr="002B6ADB">
        <w:rPr>
          <w:rFonts w:ascii="Times New Roman" w:hAnsi="Times New Roman" w:cs="Times New Roman"/>
          <w:i/>
          <w:iCs/>
          <w:sz w:val="24"/>
          <w:szCs w:val="24"/>
        </w:rPr>
        <w:t>Praperadilan dan Hakim Komisaris, Problematika Pembaruan Hukum Pidana Nasional</w:t>
      </w:r>
      <w:r w:rsidRPr="002B6ADB">
        <w:rPr>
          <w:rFonts w:ascii="Times New Roman" w:hAnsi="Times New Roman" w:cs="Times New Roman"/>
          <w:sz w:val="24"/>
          <w:szCs w:val="24"/>
        </w:rPr>
        <w:t>, Komisi Hukum Nasional RI, Jakarta, 2013.</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Harjono, </w:t>
      </w:r>
      <w:r w:rsidRPr="002B6ADB">
        <w:rPr>
          <w:rFonts w:ascii="Times New Roman" w:hAnsi="Times New Roman" w:cs="Times New Roman"/>
          <w:i/>
          <w:iCs/>
          <w:sz w:val="24"/>
          <w:szCs w:val="24"/>
        </w:rPr>
        <w:t>Tranformasi Demokrasi</w:t>
      </w:r>
      <w:r w:rsidRPr="002B6ADB">
        <w:rPr>
          <w:rFonts w:ascii="Times New Roman" w:hAnsi="Times New Roman" w:cs="Times New Roman"/>
          <w:sz w:val="24"/>
          <w:szCs w:val="24"/>
        </w:rPr>
        <w:t>, Sekretariat Jenderal dan Kepaniteraan Mahkamah Konstitusi RI, Jakarta, 2009.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I Gede Yuliarta, </w:t>
      </w:r>
      <w:r w:rsidRPr="002B6ADB">
        <w:rPr>
          <w:rFonts w:ascii="Times New Roman" w:hAnsi="Times New Roman" w:cs="Times New Roman"/>
          <w:i/>
          <w:iCs/>
          <w:sz w:val="24"/>
          <w:szCs w:val="24"/>
        </w:rPr>
        <w:t>Lembaga Praperadilan Dalam Perspektif Masa Kini dan Masa Mendatang Dalam Hubungannya Dengan Hak Asasi Manusia</w:t>
      </w:r>
      <w:r w:rsidRPr="002B6ADB">
        <w:rPr>
          <w:rFonts w:ascii="Times New Roman" w:hAnsi="Times New Roman" w:cs="Times New Roman"/>
          <w:sz w:val="24"/>
          <w:szCs w:val="24"/>
        </w:rPr>
        <w:t>, Tesis pada Program Magister Ilmu Hukum Universitas Diponegoro, 2009.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Janedjri M. Gaffar, </w:t>
      </w:r>
      <w:r w:rsidRPr="002B6ADB">
        <w:rPr>
          <w:rFonts w:ascii="Times New Roman" w:hAnsi="Times New Roman" w:cs="Times New Roman"/>
          <w:i/>
          <w:iCs/>
          <w:sz w:val="24"/>
          <w:szCs w:val="24"/>
        </w:rPr>
        <w:t>Kedudukan,</w:t>
      </w: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Fungsi, dan Peran Mahkamah Konstitusi Sistem Ketatanegaraan Republik Indonesia</w:t>
      </w:r>
      <w:r w:rsidRPr="002B6ADB">
        <w:rPr>
          <w:rFonts w:ascii="Times New Roman" w:hAnsi="Times New Roman" w:cs="Times New Roman"/>
          <w:sz w:val="24"/>
          <w:szCs w:val="24"/>
        </w:rPr>
        <w:t>, Makalah pada Mahkamah Konstitusi, Jakarta, 2009.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Jimly Ashiddiqie, </w:t>
      </w:r>
      <w:r w:rsidRPr="002B6ADB">
        <w:rPr>
          <w:rFonts w:ascii="Times New Roman" w:hAnsi="Times New Roman" w:cs="Times New Roman"/>
          <w:i/>
          <w:iCs/>
          <w:sz w:val="24"/>
          <w:szCs w:val="24"/>
        </w:rPr>
        <w:t>Judicial Review: Pengawasan Terhadap Kekuasaan Legislatif dan Regulatif dalam Perspektif Tata Negara</w:t>
      </w:r>
      <w:r w:rsidRPr="002B6ADB">
        <w:rPr>
          <w:rFonts w:ascii="Times New Roman" w:hAnsi="Times New Roman" w:cs="Times New Roman"/>
          <w:sz w:val="24"/>
          <w:szCs w:val="24"/>
        </w:rPr>
        <w:t>, Makalah tidak dipublikasikan, Mahkamah Konstitusi, Jakarta, 2002.</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John N. Moore, </w:t>
      </w:r>
      <w:r w:rsidRPr="002B6ADB">
        <w:rPr>
          <w:rFonts w:ascii="Times New Roman" w:hAnsi="Times New Roman" w:cs="Times New Roman"/>
          <w:i/>
          <w:iCs/>
          <w:sz w:val="24"/>
          <w:szCs w:val="24"/>
        </w:rPr>
        <w:t>The Rule of Law: An Overview</w:t>
      </w:r>
      <w:r w:rsidRPr="002B6ADB">
        <w:rPr>
          <w:rFonts w:ascii="Times New Roman" w:hAnsi="Times New Roman" w:cs="Times New Roman"/>
          <w:sz w:val="24"/>
          <w:szCs w:val="24"/>
        </w:rPr>
        <w:t>, Paper Presented at the First U.S/Soviet Conference on  the Rule of Law held in Moscow and Leningrad, 19-23 March 1990.</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Lilik Mulyadi, </w:t>
      </w:r>
      <w:r w:rsidRPr="002B6ADB">
        <w:rPr>
          <w:rFonts w:ascii="Times New Roman" w:hAnsi="Times New Roman" w:cs="Times New Roman"/>
          <w:i/>
          <w:iCs/>
          <w:sz w:val="24"/>
          <w:szCs w:val="24"/>
        </w:rPr>
        <w:t>Rancangan Undang-Undang (RUU) Kuhap Tahun 2008 Dari Perspektif Seorang Hakim</w:t>
      </w:r>
      <w:r w:rsidRPr="002B6ADB">
        <w:rPr>
          <w:rFonts w:ascii="Times New Roman" w:hAnsi="Times New Roman" w:cs="Times New Roman"/>
          <w:sz w:val="24"/>
          <w:szCs w:val="24"/>
        </w:rPr>
        <w:t>, Varia Peradilan Tahun XXIV, No. 279, Februari 2009.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Mahkamah Konstitusi, </w:t>
      </w:r>
      <w:r w:rsidRPr="002B6ADB">
        <w:rPr>
          <w:rFonts w:ascii="Times New Roman" w:hAnsi="Times New Roman" w:cs="Times New Roman"/>
          <w:i/>
          <w:iCs/>
          <w:sz w:val="24"/>
          <w:szCs w:val="24"/>
        </w:rPr>
        <w:t>Judicial Review,dan Welfare State Kumpulan Pemikiran I Dewa Gede Palguna</w:t>
      </w:r>
      <w:r w:rsidRPr="002B6ADB">
        <w:rPr>
          <w:rFonts w:ascii="Times New Roman" w:hAnsi="Times New Roman" w:cs="Times New Roman"/>
          <w:sz w:val="24"/>
          <w:szCs w:val="24"/>
        </w:rPr>
        <w:t>, Sekretariat Jenderal dan Kepaniteraan Mahkamah Konstitusi, Jakarta, 2008.</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Naskah Komprehensif Perubahan Undang-Undang Dasar 1945 Buku VI tentang Kekuasaan Kehakiman</w:t>
      </w:r>
      <w:r w:rsidRPr="002B6ADB">
        <w:rPr>
          <w:rFonts w:ascii="Times New Roman" w:hAnsi="Times New Roman" w:cs="Times New Roman"/>
          <w:sz w:val="24"/>
          <w:szCs w:val="24"/>
        </w:rPr>
        <w:t>, Sekretariat Jenderal dan Kepaniteraan Mahkamah Konstitusi RI, Jakarta, 2010.</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Profile Sejarah Berdirinya Mahkamah Konstitusi</w:t>
      </w:r>
      <w:r w:rsidRPr="002B6ADB">
        <w:rPr>
          <w:rFonts w:ascii="Times New Roman" w:hAnsi="Times New Roman" w:cs="Times New Roman"/>
          <w:sz w:val="24"/>
          <w:szCs w:val="24"/>
        </w:rPr>
        <w:t xml:space="preserve">, </w:t>
      </w:r>
      <w:hyperlink r:id="rId7" w:history="1">
        <w:r w:rsidRPr="002B6ADB">
          <w:rPr>
            <w:rStyle w:val="Hyperlink"/>
            <w:rFonts w:ascii="Times New Roman" w:hAnsi="Times New Roman" w:cs="Times New Roman"/>
            <w:sz w:val="24"/>
            <w:szCs w:val="24"/>
          </w:rPr>
          <w:t>www.mahkamahkonstitusi.go.id</w:t>
        </w:r>
      </w:hyperlink>
      <w:r w:rsidRPr="002B6ADB">
        <w:rPr>
          <w:rFonts w:ascii="Times New Roman" w:hAnsi="Times New Roman" w:cs="Times New Roman"/>
          <w:sz w:val="24"/>
          <w:szCs w:val="24"/>
        </w:rPr>
        <w:t>.</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 </w:t>
      </w:r>
      <w:r w:rsidRPr="002B6ADB">
        <w:rPr>
          <w:rFonts w:ascii="Times New Roman" w:hAnsi="Times New Roman" w:cs="Times New Roman"/>
          <w:i/>
          <w:iCs/>
          <w:sz w:val="24"/>
          <w:szCs w:val="24"/>
        </w:rPr>
        <w:t>Kedudukan Mahkamah Konstitusi</w:t>
      </w:r>
      <w:r w:rsidRPr="002B6ADB">
        <w:rPr>
          <w:rFonts w:ascii="Times New Roman" w:hAnsi="Times New Roman" w:cs="Times New Roman"/>
          <w:sz w:val="24"/>
          <w:szCs w:val="24"/>
        </w:rPr>
        <w:t>, www.mahkamahkonstitusi.go.id.</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lastRenderedPageBreak/>
        <w:t xml:space="preserve">Mardjono Reksodiputro, </w:t>
      </w:r>
      <w:r w:rsidRPr="002B6ADB">
        <w:rPr>
          <w:rFonts w:ascii="Times New Roman" w:hAnsi="Times New Roman" w:cs="Times New Roman"/>
          <w:i/>
          <w:iCs/>
          <w:sz w:val="24"/>
          <w:szCs w:val="24"/>
        </w:rPr>
        <w:t>Sistem Peradilan Pidana Indonesia (Melihat Kepada Kejahatan Dan Penegakan Hukum Dalam Batas-Batas Toleransi)</w:t>
      </w:r>
      <w:r w:rsidRPr="002B6ADB">
        <w:rPr>
          <w:rFonts w:ascii="Times New Roman" w:hAnsi="Times New Roman" w:cs="Times New Roman"/>
          <w:sz w:val="24"/>
          <w:szCs w:val="24"/>
        </w:rPr>
        <w:t>, Lembaga Kriminologi Fakultas Hukum Unversitas Indonesia, Jakarta, 1993.</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iCs/>
          <w:sz w:val="24"/>
          <w:szCs w:val="24"/>
        </w:rPr>
      </w:pPr>
      <w:r w:rsidRPr="002B6ADB">
        <w:rPr>
          <w:rFonts w:ascii="Times New Roman" w:hAnsi="Times New Roman" w:cs="Times New Roman"/>
          <w:iCs/>
          <w:sz w:val="24"/>
          <w:szCs w:val="24"/>
        </w:rPr>
        <w:t xml:space="preserve">................................, </w:t>
      </w:r>
      <w:r w:rsidRPr="002B6ADB">
        <w:rPr>
          <w:rFonts w:ascii="Times New Roman" w:hAnsi="Times New Roman" w:cs="Times New Roman"/>
          <w:i/>
          <w:sz w:val="24"/>
          <w:szCs w:val="24"/>
        </w:rPr>
        <w:t>Hak Asasi Manusia Dalam Sistem Peradilan Pidana</w:t>
      </w:r>
      <w:r w:rsidRPr="002B6ADB">
        <w:rPr>
          <w:rFonts w:ascii="Times New Roman" w:hAnsi="Times New Roman" w:cs="Times New Roman"/>
          <w:iCs/>
          <w:sz w:val="24"/>
          <w:szCs w:val="24"/>
        </w:rPr>
        <w:t>, Pusat Keadilan dan Pengabdian Hukum Universitas Indonesia, Jakarta, 1994.</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w:t>
      </w:r>
      <w:r w:rsidRPr="002B6ADB">
        <w:rPr>
          <w:rFonts w:ascii="Times New Roman" w:hAnsi="Times New Roman" w:cs="Times New Roman"/>
          <w:i/>
          <w:iCs/>
          <w:sz w:val="24"/>
          <w:szCs w:val="24"/>
        </w:rPr>
        <w:t>Kriminologi dan Sistem Peradilan Pidana. Kumpulan Karangan Buku Kedua</w:t>
      </w:r>
      <w:r w:rsidRPr="002B6ADB">
        <w:rPr>
          <w:rFonts w:ascii="Times New Roman" w:hAnsi="Times New Roman" w:cs="Times New Roman"/>
          <w:sz w:val="24"/>
          <w:szCs w:val="24"/>
        </w:rPr>
        <w:t>, Pusat Pelayanan Keadilan dan Pengabdian Hukum Universitas Indonesia, Jakarta, 2007.</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iCs/>
          <w:sz w:val="24"/>
          <w:szCs w:val="24"/>
        </w:rPr>
      </w:pPr>
      <w:r w:rsidRPr="002B6ADB">
        <w:rPr>
          <w:rFonts w:ascii="Times New Roman" w:hAnsi="Times New Roman" w:cs="Times New Roman"/>
          <w:sz w:val="24"/>
          <w:szCs w:val="24"/>
        </w:rPr>
        <w:t xml:space="preserve">Maruarar Siahaan, </w:t>
      </w:r>
      <w:r w:rsidRPr="002B6ADB">
        <w:rPr>
          <w:rFonts w:ascii="Times New Roman" w:hAnsi="Times New Roman" w:cs="Times New Roman"/>
          <w:i/>
          <w:iCs/>
          <w:sz w:val="24"/>
          <w:szCs w:val="24"/>
        </w:rPr>
        <w:t>Peran Makamah Konstitusi Dalam Penegakan Hukum Konstitusi</w:t>
      </w:r>
      <w:r w:rsidRPr="002B6ADB">
        <w:rPr>
          <w:rFonts w:ascii="Times New Roman" w:hAnsi="Times New Roman" w:cs="Times New Roman"/>
          <w:sz w:val="24"/>
          <w:szCs w:val="24"/>
        </w:rPr>
        <w:t>, Jurnal Hukum No. 3 Vol. 16 Juli 2009.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Muchamad Ali Safa‟at, </w:t>
      </w:r>
      <w:r w:rsidRPr="002B6ADB">
        <w:rPr>
          <w:rFonts w:ascii="Times New Roman" w:hAnsi="Times New Roman" w:cs="Times New Roman"/>
          <w:i/>
          <w:iCs/>
          <w:sz w:val="24"/>
          <w:szCs w:val="24"/>
        </w:rPr>
        <w:t>Pengujian Ketentuan Penghapusan Norma Dalam Undang-Undang</w:t>
      </w:r>
      <w:r w:rsidRPr="002B6ADB">
        <w:rPr>
          <w:rFonts w:ascii="Times New Roman" w:hAnsi="Times New Roman" w:cs="Times New Roman"/>
          <w:sz w:val="24"/>
          <w:szCs w:val="24"/>
        </w:rPr>
        <w:t>, Sekretariat Jenderal dan Kepaniteraan Mahkamah Konstitusi, Jurnal Konstitusi, Volume 7 Nomor 1, Februari 2010.</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iCs/>
          <w:sz w:val="24"/>
          <w:szCs w:val="24"/>
        </w:rPr>
      </w:pPr>
      <w:r w:rsidRPr="002B6ADB">
        <w:rPr>
          <w:rFonts w:ascii="Times New Roman" w:hAnsi="Times New Roman" w:cs="Times New Roman"/>
          <w:sz w:val="24"/>
          <w:szCs w:val="24"/>
        </w:rPr>
        <w:t xml:space="preserve">Muhammad Rijal, </w:t>
      </w:r>
      <w:r w:rsidRPr="002B6ADB">
        <w:rPr>
          <w:rFonts w:ascii="Times New Roman" w:hAnsi="Times New Roman" w:cs="Times New Roman"/>
          <w:i/>
          <w:iCs/>
          <w:sz w:val="24"/>
          <w:szCs w:val="24"/>
        </w:rPr>
        <w:t>Putusan Mahkamah Konstitusi Bagian Tahap Formulasi Penegakan Hukum Pidana</w:t>
      </w:r>
      <w:r w:rsidRPr="002B6ADB">
        <w:rPr>
          <w:rFonts w:ascii="Times New Roman" w:hAnsi="Times New Roman" w:cs="Times New Roman"/>
          <w:sz w:val="24"/>
          <w:szCs w:val="24"/>
        </w:rPr>
        <w:t>, www.rijal-akay.blogspot.co.id, Posting: 30 Mei 2016.</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Ranny Virginia Utami, </w:t>
      </w:r>
      <w:r w:rsidRPr="002B6ADB">
        <w:rPr>
          <w:rFonts w:ascii="Times New Roman" w:hAnsi="Times New Roman" w:cs="Times New Roman"/>
          <w:i/>
          <w:iCs/>
          <w:sz w:val="24"/>
          <w:szCs w:val="24"/>
        </w:rPr>
        <w:t>MK Putuskan Penetapan Tersangka Masuk Objek Praperadilan</w:t>
      </w:r>
      <w:r w:rsidRPr="002B6ADB">
        <w:rPr>
          <w:rFonts w:ascii="Times New Roman" w:hAnsi="Times New Roman" w:cs="Times New Roman"/>
          <w:sz w:val="24"/>
          <w:szCs w:val="24"/>
        </w:rPr>
        <w:t>, www.cnnindonesia.com, posting: 28 April 2015.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Refly Harun, </w:t>
      </w:r>
      <w:r w:rsidRPr="002B6ADB">
        <w:rPr>
          <w:rFonts w:ascii="Times New Roman" w:hAnsi="Times New Roman" w:cs="Times New Roman"/>
          <w:i/>
          <w:iCs/>
          <w:sz w:val="24"/>
          <w:szCs w:val="24"/>
        </w:rPr>
        <w:t>Implementasi Putusan MK Terhadap Proses Legislasi</w:t>
      </w:r>
      <w:r w:rsidRPr="002B6ADB">
        <w:rPr>
          <w:rFonts w:ascii="Times New Roman" w:hAnsi="Times New Roman" w:cs="Times New Roman"/>
          <w:sz w:val="24"/>
          <w:szCs w:val="24"/>
        </w:rPr>
        <w:t>, Makalah pada Ceramah Perancangan Peraturan Perundang-undangan dengan tema “Implementasi Putusan Mahkamah Konstitusi Terhadap Proses Legislasi, Direktorat Jenderal Peraturan Perundang-undangan Jumat, 3 Desember 2010.</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Rocky Marbun, </w:t>
      </w:r>
      <w:r w:rsidRPr="002B6ADB">
        <w:rPr>
          <w:rFonts w:ascii="Times New Roman" w:hAnsi="Times New Roman" w:cs="Times New Roman"/>
          <w:i/>
          <w:iCs/>
          <w:sz w:val="24"/>
          <w:szCs w:val="24"/>
        </w:rPr>
        <w:t>Pengantar Sistem Peradilan Pidana Indonesia</w:t>
      </w:r>
      <w:r w:rsidRPr="002B6ADB">
        <w:rPr>
          <w:rFonts w:ascii="Times New Roman" w:hAnsi="Times New Roman" w:cs="Times New Roman"/>
          <w:sz w:val="24"/>
          <w:szCs w:val="24"/>
        </w:rPr>
        <w:t>, www.forumduniahukumblogku.woerdpress.com, Posting: 20 April 2014.</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Romli Atmasasmita, </w:t>
      </w:r>
      <w:r w:rsidRPr="002B6ADB">
        <w:rPr>
          <w:rFonts w:ascii="Times New Roman" w:hAnsi="Times New Roman" w:cs="Times New Roman"/>
          <w:i/>
          <w:iCs/>
          <w:sz w:val="24"/>
          <w:szCs w:val="24"/>
        </w:rPr>
        <w:t>Hukum Praperadilan di Indonesia</w:t>
      </w:r>
      <w:r w:rsidRPr="002B6ADB">
        <w:rPr>
          <w:rFonts w:ascii="Times New Roman" w:hAnsi="Times New Roman" w:cs="Times New Roman"/>
          <w:sz w:val="24"/>
          <w:szCs w:val="24"/>
        </w:rPr>
        <w:t>, Koran Sindo Edisi Rabu 4 Februari 2015.</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iCs/>
          <w:sz w:val="24"/>
          <w:szCs w:val="24"/>
        </w:rPr>
      </w:pPr>
      <w:r w:rsidRPr="002B6ADB">
        <w:rPr>
          <w:rFonts w:ascii="Times New Roman" w:hAnsi="Times New Roman" w:cs="Times New Roman"/>
          <w:sz w:val="24"/>
          <w:szCs w:val="24"/>
        </w:rPr>
        <w:t xml:space="preserve">Saldi Isra, </w:t>
      </w:r>
      <w:r w:rsidRPr="002B6ADB">
        <w:rPr>
          <w:rFonts w:ascii="Times New Roman" w:hAnsi="Times New Roman" w:cs="Times New Roman"/>
          <w:i/>
          <w:iCs/>
          <w:sz w:val="24"/>
          <w:szCs w:val="24"/>
        </w:rPr>
        <w:t>Negative Legislator</w:t>
      </w:r>
      <w:r w:rsidRPr="002B6ADB">
        <w:rPr>
          <w:rFonts w:ascii="Times New Roman" w:hAnsi="Times New Roman" w:cs="Times New Roman"/>
          <w:sz w:val="24"/>
          <w:szCs w:val="24"/>
        </w:rPr>
        <w:t>, www.saldiisra.com.</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Seno Wibowo Gumbira, </w:t>
      </w:r>
      <w:r w:rsidRPr="002B6ADB">
        <w:rPr>
          <w:rFonts w:ascii="Times New Roman" w:hAnsi="Times New Roman" w:cs="Times New Roman"/>
          <w:i/>
          <w:iCs/>
          <w:sz w:val="24"/>
          <w:szCs w:val="24"/>
        </w:rPr>
        <w:t>Problematika Peninjauan Kembali Dalam Sistem Peradilan Pidana Pasca Putusan Mahkamah Konstitusi dan SEMA RI No. 7 Tahun 2014 (Suatu Analisis Yuridis dan Asas-Asas Dalam Hukum Peradilan Pidana)</w:t>
      </w:r>
      <w:r w:rsidRPr="002B6ADB">
        <w:rPr>
          <w:rFonts w:ascii="Times New Roman" w:hAnsi="Times New Roman" w:cs="Times New Roman"/>
          <w:sz w:val="24"/>
          <w:szCs w:val="24"/>
        </w:rPr>
        <w:t>, Jurnal Hukum dan Pembangunan 46 No. 1 Tahun 2016.</w:t>
      </w:r>
    </w:p>
    <w:p w:rsidR="00846F94" w:rsidRPr="002B6ADB" w:rsidRDefault="00846F94" w:rsidP="00846F94">
      <w:pPr>
        <w:pStyle w:val="ListParagraph"/>
        <w:spacing w:after="0" w:line="240" w:lineRule="auto"/>
        <w:ind w:left="1134" w:hanging="709"/>
        <w:contextualSpacing w:val="0"/>
        <w:jc w:val="both"/>
        <w:rPr>
          <w:rFonts w:ascii="Times New Roman" w:eastAsia="Calibri" w:hAnsi="Times New Roman" w:cs="Times New Roman"/>
          <w:sz w:val="24"/>
          <w:szCs w:val="24"/>
        </w:rPr>
      </w:pPr>
      <w:r w:rsidRPr="002B6ADB">
        <w:rPr>
          <w:rFonts w:ascii="Times New Roman" w:hAnsi="Times New Roman" w:cs="Times New Roman"/>
          <w:sz w:val="24"/>
          <w:szCs w:val="24"/>
        </w:rPr>
        <w:t>Sunaryati Hartono</w:t>
      </w:r>
      <w:r w:rsidRPr="002B6ADB">
        <w:rPr>
          <w:rFonts w:ascii="Times New Roman" w:eastAsia="Calibri" w:hAnsi="Times New Roman" w:cs="Times New Roman"/>
          <w:sz w:val="24"/>
          <w:szCs w:val="24"/>
        </w:rPr>
        <w:t xml:space="preserve">, </w:t>
      </w:r>
      <w:r w:rsidRPr="002B6ADB">
        <w:rPr>
          <w:rFonts w:ascii="Times New Roman" w:eastAsia="Calibri" w:hAnsi="Times New Roman" w:cs="Times New Roman"/>
          <w:i/>
          <w:sz w:val="24"/>
          <w:szCs w:val="24"/>
        </w:rPr>
        <w:t>Hukum Ekonomi Pembagunan Indonesia,</w:t>
      </w:r>
      <w:r w:rsidRPr="002B6ADB">
        <w:rPr>
          <w:rFonts w:ascii="Times New Roman" w:eastAsia="Calibri" w:hAnsi="Times New Roman" w:cs="Times New Roman"/>
          <w:sz w:val="24"/>
          <w:szCs w:val="24"/>
        </w:rPr>
        <w:t xml:space="preserve"> BPHN, Jakarta, 1999.</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Supriyadi W. Eddyono, dkk, </w:t>
      </w:r>
      <w:r w:rsidRPr="002B6ADB">
        <w:rPr>
          <w:rFonts w:ascii="Times New Roman" w:hAnsi="Times New Roman" w:cs="Times New Roman"/>
          <w:i/>
          <w:iCs/>
          <w:sz w:val="24"/>
          <w:szCs w:val="24"/>
        </w:rPr>
        <w:t>Praperadilan di Indonesia: Teori, Sejarah, dan Praktiknya</w:t>
      </w:r>
      <w:r w:rsidRPr="002B6ADB">
        <w:rPr>
          <w:rFonts w:ascii="Times New Roman" w:hAnsi="Times New Roman" w:cs="Times New Roman"/>
          <w:sz w:val="24"/>
          <w:szCs w:val="24"/>
        </w:rPr>
        <w:t>, ICJR, Jakarta, 2014.</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Syukri Asy’ari, dkk, </w:t>
      </w:r>
      <w:r w:rsidRPr="002B6ADB">
        <w:rPr>
          <w:rFonts w:ascii="Times New Roman" w:hAnsi="Times New Roman" w:cs="Times New Roman"/>
          <w:i/>
          <w:iCs/>
          <w:sz w:val="24"/>
          <w:szCs w:val="24"/>
        </w:rPr>
        <w:t>Model Implementasi Putusan Mahkamah Konstitusi Dalam Pengujian Undang-Undang (Studi Putusan tahun 2003-2012)</w:t>
      </w:r>
      <w:r w:rsidRPr="002B6ADB">
        <w:rPr>
          <w:rFonts w:ascii="Times New Roman" w:hAnsi="Times New Roman" w:cs="Times New Roman"/>
          <w:sz w:val="24"/>
          <w:szCs w:val="24"/>
        </w:rPr>
        <w:t>, Jurnal Konstitusi Vol. 10 No. 4 Desember 2013.</w:t>
      </w:r>
    </w:p>
    <w:p w:rsidR="00846F94" w:rsidRPr="002B6ADB" w:rsidRDefault="00846F94" w:rsidP="00846F94">
      <w:pPr>
        <w:pStyle w:val="ListParagraph"/>
        <w:spacing w:after="0" w:line="240" w:lineRule="auto"/>
        <w:ind w:left="1134" w:hanging="709"/>
        <w:contextualSpacing w:val="0"/>
        <w:jc w:val="both"/>
        <w:rPr>
          <w:rFonts w:ascii="Times New Roman" w:hAnsi="Times New Roman" w:cs="Times New Roman"/>
          <w:sz w:val="24"/>
          <w:szCs w:val="24"/>
        </w:rPr>
      </w:pPr>
      <w:r w:rsidRPr="002B6ADB">
        <w:rPr>
          <w:rFonts w:ascii="Times New Roman" w:hAnsi="Times New Roman" w:cs="Times New Roman"/>
          <w:sz w:val="24"/>
          <w:szCs w:val="24"/>
        </w:rPr>
        <w:t xml:space="preserve">Topane Gayus Lumbuun, </w:t>
      </w:r>
      <w:r w:rsidRPr="002B6ADB">
        <w:rPr>
          <w:rFonts w:ascii="Times New Roman" w:hAnsi="Times New Roman" w:cs="Times New Roman"/>
          <w:i/>
          <w:iCs/>
          <w:sz w:val="24"/>
          <w:szCs w:val="24"/>
        </w:rPr>
        <w:t>Tindak Lanjut Putusan Mahkamah Konstitusi oleh DPR RI</w:t>
      </w:r>
      <w:r w:rsidRPr="002B6ADB">
        <w:rPr>
          <w:rFonts w:ascii="Times New Roman" w:hAnsi="Times New Roman" w:cs="Times New Roman"/>
          <w:sz w:val="24"/>
          <w:szCs w:val="24"/>
        </w:rPr>
        <w:t>, Jurnal Legislasi Indonesia, Vol. 6 No. 3 September 2009.</w:t>
      </w:r>
    </w:p>
    <w:p w:rsidR="00846F94" w:rsidRPr="00846F94" w:rsidRDefault="00846F94" w:rsidP="00846F94">
      <w:pPr>
        <w:spacing w:after="0" w:line="240" w:lineRule="auto"/>
        <w:rPr>
          <w:lang w:val="en-US"/>
        </w:rPr>
      </w:pPr>
    </w:p>
    <w:sectPr w:rsidR="00846F94" w:rsidRPr="00846F94" w:rsidSect="00E90D9A">
      <w:footerReference w:type="default" r:id="rId8"/>
      <w:pgSz w:w="11906" w:h="16838"/>
      <w:pgMar w:top="1260" w:right="1196" w:bottom="1588" w:left="171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5CF" w:rsidRDefault="00F425CF" w:rsidP="00846F94">
      <w:pPr>
        <w:spacing w:after="0" w:line="240" w:lineRule="auto"/>
      </w:pPr>
      <w:r>
        <w:separator/>
      </w:r>
    </w:p>
  </w:endnote>
  <w:endnote w:type="continuationSeparator" w:id="0">
    <w:p w:rsidR="00F425CF" w:rsidRDefault="00F425CF" w:rsidP="0084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33046690"/>
      <w:docPartObj>
        <w:docPartGallery w:val="Page Numbers (Bottom of Page)"/>
        <w:docPartUnique/>
      </w:docPartObj>
    </w:sdtPr>
    <w:sdtEndPr>
      <w:rPr>
        <w:noProof/>
      </w:rPr>
    </w:sdtEndPr>
    <w:sdtContent>
      <w:p w:rsidR="00AB0AEA" w:rsidRPr="00AB0AEA" w:rsidRDefault="00F42322">
        <w:pPr>
          <w:pStyle w:val="Footer"/>
          <w:jc w:val="center"/>
          <w:rPr>
            <w:rFonts w:ascii="Times New Roman" w:hAnsi="Times New Roman" w:cs="Times New Roman"/>
          </w:rPr>
        </w:pPr>
        <w:r w:rsidRPr="00AB0AEA">
          <w:rPr>
            <w:rFonts w:ascii="Times New Roman" w:hAnsi="Times New Roman" w:cs="Times New Roman"/>
          </w:rPr>
          <w:fldChar w:fldCharType="begin"/>
        </w:r>
        <w:r w:rsidR="00BA2D15" w:rsidRPr="00AB0AEA">
          <w:rPr>
            <w:rFonts w:ascii="Times New Roman" w:hAnsi="Times New Roman" w:cs="Times New Roman"/>
          </w:rPr>
          <w:instrText xml:space="preserve"> PAGE   \* MERGEFORMAT </w:instrText>
        </w:r>
        <w:r w:rsidRPr="00AB0AEA">
          <w:rPr>
            <w:rFonts w:ascii="Times New Roman" w:hAnsi="Times New Roman" w:cs="Times New Roman"/>
          </w:rPr>
          <w:fldChar w:fldCharType="separate"/>
        </w:r>
        <w:r w:rsidR="006D0F54">
          <w:rPr>
            <w:rFonts w:ascii="Times New Roman" w:hAnsi="Times New Roman" w:cs="Times New Roman"/>
            <w:noProof/>
          </w:rPr>
          <w:t>7</w:t>
        </w:r>
        <w:r w:rsidRPr="00AB0AEA">
          <w:rPr>
            <w:rFonts w:ascii="Times New Roman" w:hAnsi="Times New Roman" w:cs="Times New Roman"/>
            <w:noProof/>
          </w:rPr>
          <w:fldChar w:fldCharType="end"/>
        </w:r>
      </w:p>
    </w:sdtContent>
  </w:sdt>
  <w:p w:rsidR="00AB0AEA" w:rsidRDefault="00F42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5CF" w:rsidRDefault="00F425CF" w:rsidP="00846F94">
      <w:pPr>
        <w:spacing w:after="0" w:line="240" w:lineRule="auto"/>
      </w:pPr>
      <w:r>
        <w:separator/>
      </w:r>
    </w:p>
  </w:footnote>
  <w:footnote w:type="continuationSeparator" w:id="0">
    <w:p w:rsidR="00F425CF" w:rsidRDefault="00F425CF" w:rsidP="00846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3F66"/>
    <w:multiLevelType w:val="hybridMultilevel"/>
    <w:tmpl w:val="5ACCD1DA"/>
    <w:lvl w:ilvl="0" w:tplc="13724DB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15:restartNumberingAfterBreak="0">
    <w:nsid w:val="033F4737"/>
    <w:multiLevelType w:val="hybridMultilevel"/>
    <w:tmpl w:val="F1420BAA"/>
    <w:lvl w:ilvl="0" w:tplc="04210015">
      <w:start w:val="1"/>
      <w:numFmt w:val="upperLetter"/>
      <w:lvlText w:val="%1."/>
      <w:lvlJc w:val="left"/>
      <w:pPr>
        <w:ind w:left="720" w:hanging="360"/>
      </w:pPr>
      <w:rPr>
        <w:rFonts w:hint="default"/>
      </w:rPr>
    </w:lvl>
    <w:lvl w:ilvl="1" w:tplc="FE76A83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613CEF"/>
    <w:multiLevelType w:val="hybridMultilevel"/>
    <w:tmpl w:val="B362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F00E9"/>
    <w:multiLevelType w:val="hybridMultilevel"/>
    <w:tmpl w:val="FFD2CAC8"/>
    <w:lvl w:ilvl="0" w:tplc="0421000F">
      <w:start w:val="1"/>
      <w:numFmt w:val="decimal"/>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4" w15:restartNumberingAfterBreak="0">
    <w:nsid w:val="17892043"/>
    <w:multiLevelType w:val="hybridMultilevel"/>
    <w:tmpl w:val="ECF89CAC"/>
    <w:lvl w:ilvl="0" w:tplc="89D8B89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15:restartNumberingAfterBreak="0">
    <w:nsid w:val="17A4348F"/>
    <w:multiLevelType w:val="hybridMultilevel"/>
    <w:tmpl w:val="58DA1622"/>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rPr>
        <w:rFonts w:hint="default"/>
      </w:rPr>
    </w:lvl>
    <w:lvl w:ilvl="2" w:tplc="04210017">
      <w:start w:val="1"/>
      <w:numFmt w:val="lowerLetter"/>
      <w:lvlText w:val="%3)"/>
      <w:lvlJc w:val="left"/>
      <w:pPr>
        <w:ind w:left="2340" w:hanging="360"/>
      </w:pPr>
      <w:rPr>
        <w:rFonts w:hint="default"/>
      </w:rPr>
    </w:lvl>
    <w:lvl w:ilvl="3" w:tplc="AB042270">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F39543B"/>
    <w:multiLevelType w:val="hybridMultilevel"/>
    <w:tmpl w:val="190AD6FC"/>
    <w:lvl w:ilvl="0" w:tplc="E0CC95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3B8D5419"/>
    <w:multiLevelType w:val="hybridMultilevel"/>
    <w:tmpl w:val="5D46D2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DDF67BB"/>
    <w:multiLevelType w:val="hybridMultilevel"/>
    <w:tmpl w:val="3DD8EBD4"/>
    <w:lvl w:ilvl="0" w:tplc="04210015">
      <w:start w:val="1"/>
      <w:numFmt w:val="upperLetter"/>
      <w:lvlText w:val="%1."/>
      <w:lvlJc w:val="left"/>
      <w:pPr>
        <w:ind w:left="720" w:hanging="360"/>
      </w:pPr>
      <w:rPr>
        <w:rFonts w:hint="default"/>
      </w:rPr>
    </w:lvl>
    <w:lvl w:ilvl="1" w:tplc="85B25BF0">
      <w:start w:val="1"/>
      <w:numFmt w:val="decimal"/>
      <w:lvlText w:val="%2."/>
      <w:lvlJc w:val="left"/>
      <w:pPr>
        <w:ind w:left="1440" w:hanging="360"/>
      </w:pPr>
      <w:rPr>
        <w:rFonts w:hint="default"/>
      </w:rPr>
    </w:lvl>
    <w:lvl w:ilvl="2" w:tplc="06403752">
      <w:start w:val="1"/>
      <w:numFmt w:val="lowerLetter"/>
      <w:lvlText w:val="%3."/>
      <w:lvlJc w:val="left"/>
      <w:pPr>
        <w:ind w:left="2340" w:hanging="360"/>
      </w:pPr>
      <w:rPr>
        <w:rFonts w:hint="default"/>
      </w:rPr>
    </w:lvl>
    <w:lvl w:ilvl="3" w:tplc="2262527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4AA72BD"/>
    <w:multiLevelType w:val="hybridMultilevel"/>
    <w:tmpl w:val="BFB8892E"/>
    <w:lvl w:ilvl="0" w:tplc="F65A6C6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15:restartNumberingAfterBreak="0">
    <w:nsid w:val="48AA6619"/>
    <w:multiLevelType w:val="hybridMultilevel"/>
    <w:tmpl w:val="D908B0D2"/>
    <w:lvl w:ilvl="0" w:tplc="1A707C8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15:restartNumberingAfterBreak="0">
    <w:nsid w:val="4E3B048D"/>
    <w:multiLevelType w:val="hybridMultilevel"/>
    <w:tmpl w:val="22826004"/>
    <w:lvl w:ilvl="0" w:tplc="B50656C4">
      <w:start w:val="1"/>
      <w:numFmt w:val="decimal"/>
      <w:lvlText w:val="%1."/>
      <w:lvlJc w:val="left"/>
      <w:pPr>
        <w:ind w:left="785" w:hanging="360"/>
      </w:pPr>
      <w:rPr>
        <w:rFonts w:hint="default"/>
        <w:b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2" w15:restartNumberingAfterBreak="0">
    <w:nsid w:val="51644102"/>
    <w:multiLevelType w:val="hybridMultilevel"/>
    <w:tmpl w:val="7232698A"/>
    <w:lvl w:ilvl="0" w:tplc="0421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15:restartNumberingAfterBreak="0">
    <w:nsid w:val="5B7C6839"/>
    <w:multiLevelType w:val="hybridMultilevel"/>
    <w:tmpl w:val="A0741694"/>
    <w:lvl w:ilvl="0" w:tplc="3AA8B4B0">
      <w:start w:val="1"/>
      <w:numFmt w:val="upperLetter"/>
      <w:lvlText w:val="%1."/>
      <w:lvlJc w:val="left"/>
      <w:pPr>
        <w:tabs>
          <w:tab w:val="num" w:pos="360"/>
        </w:tabs>
        <w:ind w:left="360" w:hanging="360"/>
      </w:pPr>
      <w:rPr>
        <w:rFonts w:hint="default"/>
      </w:rPr>
    </w:lvl>
    <w:lvl w:ilvl="1" w:tplc="B908E0AC">
      <w:start w:val="1"/>
      <w:numFmt w:val="decimal"/>
      <w:lvlText w:val="%2."/>
      <w:lvlJc w:val="left"/>
      <w:pPr>
        <w:tabs>
          <w:tab w:val="num" w:pos="360"/>
        </w:tabs>
        <w:ind w:left="360" w:hanging="360"/>
      </w:pPr>
      <w:rPr>
        <w:rFonts w:hint="default"/>
      </w:rPr>
    </w:lvl>
    <w:lvl w:ilvl="2" w:tplc="FCEA587E">
      <w:start w:val="3"/>
      <w:numFmt w:val="bullet"/>
      <w:lvlText w:val="-"/>
      <w:lvlJc w:val="left"/>
      <w:pPr>
        <w:tabs>
          <w:tab w:val="num" w:pos="2340"/>
        </w:tabs>
        <w:ind w:left="2340" w:hanging="360"/>
      </w:pPr>
      <w:rPr>
        <w:rFonts w:ascii="Times New Roman" w:eastAsia="Times New Roman" w:hAnsi="Times New Roman" w:cs="Times New Roman" w:hint="default"/>
      </w:rPr>
    </w:lvl>
    <w:lvl w:ilvl="3" w:tplc="04210019">
      <w:start w:val="1"/>
      <w:numFmt w:val="lowerLetter"/>
      <w:lvlText w:val="%4."/>
      <w:lvlJc w:val="left"/>
      <w:pPr>
        <w:tabs>
          <w:tab w:val="num" w:pos="2880"/>
        </w:tabs>
        <w:ind w:left="2880" w:hanging="360"/>
      </w:pPr>
      <w:rPr>
        <w:rFonts w:hint="default"/>
      </w:rPr>
    </w:lvl>
    <w:lvl w:ilvl="4" w:tplc="C0C24BA0">
      <w:start w:val="1"/>
      <w:numFmt w:val="lowerLetter"/>
      <w:lvlText w:val="%5."/>
      <w:lvlJc w:val="left"/>
      <w:pPr>
        <w:ind w:left="3600" w:hanging="360"/>
      </w:pPr>
      <w:rPr>
        <w:rFonts w:hint="default"/>
        <w:b w:val="0"/>
        <w:bCs/>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050321"/>
    <w:multiLevelType w:val="hybridMultilevel"/>
    <w:tmpl w:val="02CE0DAA"/>
    <w:lvl w:ilvl="0" w:tplc="6B1451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9"/>
  </w:num>
  <w:num w:numId="3">
    <w:abstractNumId w:val="12"/>
  </w:num>
  <w:num w:numId="4">
    <w:abstractNumId w:val="4"/>
  </w:num>
  <w:num w:numId="5">
    <w:abstractNumId w:val="13"/>
  </w:num>
  <w:num w:numId="6">
    <w:abstractNumId w:val="11"/>
  </w:num>
  <w:num w:numId="7">
    <w:abstractNumId w:val="8"/>
  </w:num>
  <w:num w:numId="8">
    <w:abstractNumId w:val="10"/>
  </w:num>
  <w:num w:numId="9">
    <w:abstractNumId w:val="0"/>
  </w:num>
  <w:num w:numId="10">
    <w:abstractNumId w:val="3"/>
  </w:num>
  <w:num w:numId="11">
    <w:abstractNumId w:val="5"/>
  </w:num>
  <w:num w:numId="12">
    <w:abstractNumId w:val="7"/>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94"/>
    <w:rsid w:val="00076031"/>
    <w:rsid w:val="00191441"/>
    <w:rsid w:val="003927C1"/>
    <w:rsid w:val="00406884"/>
    <w:rsid w:val="005A0057"/>
    <w:rsid w:val="006D0F54"/>
    <w:rsid w:val="00846F94"/>
    <w:rsid w:val="00855E28"/>
    <w:rsid w:val="00995FE0"/>
    <w:rsid w:val="00AC1E8B"/>
    <w:rsid w:val="00BA2D15"/>
    <w:rsid w:val="00E90D9A"/>
    <w:rsid w:val="00F42322"/>
    <w:rsid w:val="00F4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DCEBB-E706-400F-9DF0-C913C4F3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F94"/>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F94"/>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6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F94"/>
    <w:rPr>
      <w:lang w:val="id-ID"/>
    </w:rPr>
  </w:style>
  <w:style w:type="paragraph" w:styleId="ListParagraph">
    <w:name w:val="List Paragraph"/>
    <w:aliases w:val="Body Text Char1,Char Char2"/>
    <w:basedOn w:val="Normal"/>
    <w:link w:val="ListParagraphChar"/>
    <w:uiPriority w:val="34"/>
    <w:qFormat/>
    <w:rsid w:val="00846F94"/>
    <w:pPr>
      <w:ind w:left="720"/>
      <w:contextualSpacing/>
    </w:p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Char"/>
    <w:basedOn w:val="Normal"/>
    <w:link w:val="FootnoteTextChar"/>
    <w:unhideWhenUsed/>
    <w:rsid w:val="00846F94"/>
    <w:pPr>
      <w:spacing w:after="0" w:line="240" w:lineRule="auto"/>
    </w:pPr>
    <w:rPr>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rsid w:val="00846F94"/>
    <w:rPr>
      <w:sz w:val="20"/>
      <w:szCs w:val="20"/>
      <w:lang w:val="id-ID"/>
    </w:rPr>
  </w:style>
  <w:style w:type="character" w:styleId="FootnoteReference">
    <w:name w:val="footnote reference"/>
    <w:basedOn w:val="DefaultParagraphFont"/>
    <w:unhideWhenUsed/>
    <w:rsid w:val="00846F94"/>
    <w:rPr>
      <w:vertAlign w:val="superscript"/>
    </w:rPr>
  </w:style>
  <w:style w:type="character" w:customStyle="1" w:styleId="ListParagraphChar">
    <w:name w:val="List Paragraph Char"/>
    <w:aliases w:val="Body Text Char1 Char,Char Char2 Char"/>
    <w:basedOn w:val="DefaultParagraphFont"/>
    <w:link w:val="ListParagraph"/>
    <w:uiPriority w:val="34"/>
    <w:rsid w:val="00846F94"/>
    <w:rPr>
      <w:lang w:val="id-ID"/>
    </w:rPr>
  </w:style>
  <w:style w:type="paragraph" w:styleId="BodyTextIndent">
    <w:name w:val="Body Text Indent"/>
    <w:basedOn w:val="Normal"/>
    <w:link w:val="BodyTextIndentChar"/>
    <w:uiPriority w:val="99"/>
    <w:unhideWhenUsed/>
    <w:rsid w:val="00846F94"/>
    <w:pPr>
      <w:spacing w:after="120"/>
      <w:ind w:left="283"/>
    </w:pPr>
  </w:style>
  <w:style w:type="character" w:customStyle="1" w:styleId="BodyTextIndentChar">
    <w:name w:val="Body Text Indent Char"/>
    <w:basedOn w:val="DefaultParagraphFont"/>
    <w:link w:val="BodyTextIndent"/>
    <w:uiPriority w:val="99"/>
    <w:rsid w:val="00846F94"/>
    <w:rPr>
      <w:lang w:val="id-ID"/>
    </w:rPr>
  </w:style>
  <w:style w:type="character" w:styleId="Hyperlink">
    <w:name w:val="Hyperlink"/>
    <w:basedOn w:val="DefaultParagraphFont"/>
    <w:uiPriority w:val="99"/>
    <w:unhideWhenUsed/>
    <w:rsid w:val="00846F94"/>
    <w:rPr>
      <w:color w:val="0000FF" w:themeColor="hyperlink"/>
      <w:u w:val="single"/>
    </w:rPr>
  </w:style>
  <w:style w:type="paragraph" w:styleId="Header">
    <w:name w:val="header"/>
    <w:basedOn w:val="Normal"/>
    <w:link w:val="HeaderChar"/>
    <w:uiPriority w:val="99"/>
    <w:semiHidden/>
    <w:unhideWhenUsed/>
    <w:rsid w:val="00E90D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0D9A"/>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hkamahkonstitusi.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AKDKPW</dc:creator>
  <cp:lastModifiedBy>Mr Asep</cp:lastModifiedBy>
  <cp:revision>2</cp:revision>
  <cp:lastPrinted>2018-02-26T06:48:00Z</cp:lastPrinted>
  <dcterms:created xsi:type="dcterms:W3CDTF">2018-05-08T03:30:00Z</dcterms:created>
  <dcterms:modified xsi:type="dcterms:W3CDTF">2018-05-08T03:30:00Z</dcterms:modified>
</cp:coreProperties>
</file>