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A40" w:rsidRPr="008A20FF" w:rsidRDefault="00615A40" w:rsidP="008A20FF">
      <w:pPr>
        <w:pStyle w:val="Heading1"/>
        <w:jc w:val="center"/>
        <w:rPr>
          <w:szCs w:val="24"/>
        </w:rPr>
      </w:pPr>
      <w:bookmarkStart w:id="0" w:name="_Toc485543846"/>
      <w:bookmarkStart w:id="1" w:name="_Toc485576237"/>
      <w:r w:rsidRPr="008A20FF">
        <w:rPr>
          <w:szCs w:val="24"/>
        </w:rPr>
        <w:t>BAB III</w:t>
      </w:r>
      <w:bookmarkEnd w:id="0"/>
      <w:bookmarkEnd w:id="1"/>
    </w:p>
    <w:p w:rsidR="00615A40" w:rsidRPr="00A63C4D" w:rsidRDefault="00615A40" w:rsidP="00A63C4D">
      <w:pPr>
        <w:pStyle w:val="Heading1"/>
        <w:spacing w:line="240" w:lineRule="auto"/>
        <w:jc w:val="center"/>
        <w:rPr>
          <w:szCs w:val="24"/>
        </w:rPr>
      </w:pPr>
      <w:bookmarkStart w:id="2" w:name="_Toc485543847"/>
      <w:bookmarkStart w:id="3" w:name="_Toc485576238"/>
      <w:r w:rsidRPr="00A63C4D">
        <w:rPr>
          <w:szCs w:val="24"/>
        </w:rPr>
        <w:t>FUKUSHIMA DISASTER DAN RADIASI KEBOCORAN ENERGI NUKLIR FUKUSHIMA DAIICHI</w:t>
      </w:r>
      <w:bookmarkEnd w:id="2"/>
      <w:bookmarkEnd w:id="3"/>
    </w:p>
    <w:p w:rsidR="00615A40" w:rsidRDefault="00615A40" w:rsidP="00615A40">
      <w:pPr>
        <w:spacing w:after="0" w:line="480" w:lineRule="auto"/>
        <w:rPr>
          <w:rFonts w:ascii="Times New Roman" w:hAnsi="Times New Roman"/>
          <w:sz w:val="24"/>
          <w:szCs w:val="24"/>
        </w:rPr>
      </w:pPr>
    </w:p>
    <w:p w:rsidR="00615A40" w:rsidRDefault="00615A40" w:rsidP="00A63C4D">
      <w:pPr>
        <w:pStyle w:val="ListParagraph"/>
        <w:numPr>
          <w:ilvl w:val="0"/>
          <w:numId w:val="39"/>
        </w:numPr>
        <w:spacing w:after="0" w:line="480" w:lineRule="auto"/>
        <w:ind w:hanging="436"/>
        <w:jc w:val="both"/>
        <w:outlineLvl w:val="1"/>
        <w:rPr>
          <w:rFonts w:ascii="Times New Roman" w:hAnsi="Times New Roman"/>
          <w:b/>
          <w:sz w:val="24"/>
          <w:szCs w:val="24"/>
        </w:rPr>
      </w:pPr>
      <w:bookmarkStart w:id="4" w:name="_Toc485543848"/>
      <w:bookmarkStart w:id="5" w:name="_Toc485576239"/>
      <w:r>
        <w:rPr>
          <w:rFonts w:ascii="Times New Roman" w:hAnsi="Times New Roman"/>
          <w:b/>
          <w:i/>
          <w:sz w:val="24"/>
          <w:szCs w:val="24"/>
        </w:rPr>
        <w:t xml:space="preserve">Fukushima Daiichi Nuclear Power Station/Nuclear Power Plant </w:t>
      </w:r>
      <w:r>
        <w:rPr>
          <w:rFonts w:ascii="Times New Roman" w:hAnsi="Times New Roman"/>
          <w:b/>
          <w:sz w:val="24"/>
          <w:szCs w:val="24"/>
        </w:rPr>
        <w:t>(NPS/NPP)</w:t>
      </w:r>
      <w:bookmarkEnd w:id="4"/>
      <w:bookmarkEnd w:id="5"/>
    </w:p>
    <w:p w:rsidR="00615A40" w:rsidRDefault="00615A40" w:rsidP="00615A40">
      <w:pPr>
        <w:pStyle w:val="ListParagraph"/>
        <w:spacing w:after="0" w:line="480" w:lineRule="auto"/>
        <w:ind w:left="709" w:firstLine="698"/>
        <w:jc w:val="both"/>
        <w:rPr>
          <w:rFonts w:ascii="Times New Roman" w:hAnsi="Times New Roman"/>
          <w:sz w:val="24"/>
          <w:szCs w:val="24"/>
        </w:rPr>
      </w:pPr>
      <w:r>
        <w:rPr>
          <w:rFonts w:ascii="Times New Roman" w:hAnsi="Times New Roman"/>
          <w:sz w:val="24"/>
          <w:szCs w:val="24"/>
        </w:rPr>
        <w:t>Reaktor nuklir Fukushima Daiichi atau Pembangkit Listrik Tenaga Nuklir (PLTN) Fukushima Daiichi merupakan salah satu PLTN Jepang yang berada di Prefektur Fukushima. Prefektur Fukusima memiliki 6 unit reaktor nuklir (Fukushima Daiichi) dan 4 unit reaktor nuklir (Fukushima Daini) yang mana kedua pembangkit listrik tenaga nuklir tersebut dimatikan secara permanen (</w:t>
      </w:r>
      <w:r w:rsidRPr="00452505">
        <w:rPr>
          <w:rFonts w:ascii="Times New Roman" w:hAnsi="Times New Roman"/>
          <w:i/>
          <w:sz w:val="24"/>
          <w:szCs w:val="24"/>
        </w:rPr>
        <w:t>Permanent Shutdown</w:t>
      </w:r>
      <w:r>
        <w:rPr>
          <w:rFonts w:ascii="Times New Roman" w:hAnsi="Times New Roman"/>
          <w:sz w:val="24"/>
          <w:szCs w:val="24"/>
        </w:rPr>
        <w:t xml:space="preserve">) setelah gempa Tohoku-Chihou-Taiheiyo-Oki pada 11 Maret, 2011. </w:t>
      </w:r>
    </w:p>
    <w:p w:rsidR="00615A40" w:rsidRDefault="00615A40" w:rsidP="00615A40">
      <w:pPr>
        <w:pStyle w:val="ListParagraph"/>
        <w:spacing w:after="0" w:line="480" w:lineRule="auto"/>
        <w:ind w:left="709" w:firstLine="698"/>
        <w:jc w:val="both"/>
        <w:rPr>
          <w:rFonts w:ascii="Times New Roman" w:hAnsi="Times New Roman"/>
          <w:sz w:val="24"/>
          <w:szCs w:val="24"/>
        </w:rPr>
        <w:sectPr w:rsidR="00615A40" w:rsidSect="003F7D19">
          <w:headerReference w:type="default" r:id="rId8"/>
          <w:footerReference w:type="default" r:id="rId9"/>
          <w:pgSz w:w="11907" w:h="16839" w:code="9"/>
          <w:pgMar w:top="1701" w:right="1701" w:bottom="1701" w:left="2268" w:header="720" w:footer="720" w:gutter="0"/>
          <w:pgNumType w:start="63"/>
          <w:cols w:space="720"/>
          <w:docGrid w:linePitch="360"/>
        </w:sectPr>
      </w:pPr>
      <w:r>
        <w:rPr>
          <w:rFonts w:ascii="Times New Roman" w:hAnsi="Times New Roman"/>
          <w:sz w:val="24"/>
          <w:szCs w:val="24"/>
        </w:rPr>
        <w:t>Fukushima Daiichi merupakan reaktor nuklir atau pembangkit listrik tenaga nuklir berjenis BWR (Boiling Water Reactor) desain awal 1960-</w:t>
      </w:r>
      <w:proofErr w:type="gramStart"/>
      <w:r>
        <w:rPr>
          <w:rFonts w:ascii="Times New Roman" w:hAnsi="Times New Roman"/>
          <w:sz w:val="24"/>
          <w:szCs w:val="24"/>
        </w:rPr>
        <w:t>an</w:t>
      </w:r>
      <w:proofErr w:type="gramEnd"/>
      <w:r>
        <w:rPr>
          <w:rFonts w:ascii="Times New Roman" w:hAnsi="Times New Roman"/>
          <w:sz w:val="24"/>
          <w:szCs w:val="24"/>
        </w:rPr>
        <w:t xml:space="preserve"> yang didesain oleh Toshiba dan Hitachi. Reaktor unit 1-3 dioperasikan sejak tahun 1971-75, dan kapasitas reaktor unit 1 sebesar 460 MWe (Megawatt Electric), unit 2-5 sebesar 784 MWe dan unit 6 sebesar 1100 Mwe.</w:t>
      </w:r>
      <w:r>
        <w:rPr>
          <w:rStyle w:val="FootnoteReference"/>
          <w:rFonts w:ascii="Times New Roman" w:hAnsi="Times New Roman"/>
          <w:sz w:val="24"/>
          <w:szCs w:val="24"/>
        </w:rPr>
        <w:footnoteReference w:id="1"/>
      </w:r>
      <w:r>
        <w:rPr>
          <w:rFonts w:ascii="Times New Roman" w:hAnsi="Times New Roman"/>
          <w:sz w:val="24"/>
          <w:szCs w:val="24"/>
        </w:rPr>
        <w:t xml:space="preserve"> 6 unit Reaktor Fukushima Daiichi sudah ditutup secara permanen, mengetahui bahwa dekomisioning terhadap reaktor-reaktor tersebut dilakukan semenjak meledaknya reaktor nuklir di unit 1, 2 dan 4 </w:t>
      </w:r>
    </w:p>
    <w:p w:rsidR="00615A40" w:rsidRDefault="00615A40" w:rsidP="00615A40">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lastRenderedPageBreak/>
        <w:t xml:space="preserve">pada tanggal 12, 14 dan 15 Maret 2011 pasca Tsunami yang menghantam </w:t>
      </w:r>
      <w:r w:rsidR="00726FFB">
        <w:rPr>
          <w:noProof/>
          <w:lang w:eastAsia="en-US"/>
        </w:rPr>
        <w:drawing>
          <wp:anchor distT="0" distB="0" distL="114300" distR="114300" simplePos="0" relativeHeight="251664384" behindDoc="1" locked="0" layoutInCell="1" allowOverlap="1">
            <wp:simplePos x="0" y="0"/>
            <wp:positionH relativeFrom="column">
              <wp:posOffset>835025</wp:posOffset>
            </wp:positionH>
            <wp:positionV relativeFrom="paragraph">
              <wp:posOffset>657860</wp:posOffset>
            </wp:positionV>
            <wp:extent cx="3804285" cy="2536190"/>
            <wp:effectExtent l="0" t="0" r="5715" b="0"/>
            <wp:wrapNone/>
            <wp:docPr id="34" name="Picture 34" descr="BW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WR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4285" cy="25361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reaktor nuklir Fukushima Daiichi. </w:t>
      </w:r>
    </w:p>
    <w:p w:rsidR="00615A40" w:rsidRDefault="00615A40" w:rsidP="00615A40">
      <w:pPr>
        <w:pStyle w:val="ListParagraph"/>
        <w:spacing w:after="0" w:line="480" w:lineRule="auto"/>
        <w:ind w:left="0"/>
        <w:jc w:val="both"/>
        <w:rPr>
          <w:rFonts w:ascii="Times New Roman" w:hAnsi="Times New Roman"/>
          <w:sz w:val="24"/>
          <w:szCs w:val="24"/>
        </w:rPr>
      </w:pPr>
    </w:p>
    <w:p w:rsidR="00615A40" w:rsidRPr="00352D76" w:rsidRDefault="00615A40" w:rsidP="00615A40"/>
    <w:p w:rsidR="00615A40" w:rsidRPr="00352D76" w:rsidRDefault="00615A40" w:rsidP="00615A40"/>
    <w:p w:rsidR="00615A40" w:rsidRPr="00352D76" w:rsidRDefault="00615A40" w:rsidP="00615A40"/>
    <w:p w:rsidR="00615A40" w:rsidRPr="00352D76" w:rsidRDefault="00615A40" w:rsidP="00615A40"/>
    <w:p w:rsidR="00615A40" w:rsidRPr="00352D76" w:rsidRDefault="00615A40" w:rsidP="00615A40"/>
    <w:p w:rsidR="00615A40" w:rsidRPr="00352D76" w:rsidRDefault="00615A40" w:rsidP="00615A40"/>
    <w:p w:rsidR="00615A40" w:rsidRPr="00352D76" w:rsidRDefault="00615A40" w:rsidP="00615A40"/>
    <w:p w:rsidR="00615A40" w:rsidRPr="00352D76" w:rsidRDefault="00615A40" w:rsidP="00615A40">
      <w:pPr>
        <w:spacing w:after="0"/>
      </w:pPr>
    </w:p>
    <w:p w:rsidR="00615A40" w:rsidRPr="007F7C4F" w:rsidRDefault="00615A40" w:rsidP="00615A40">
      <w:pPr>
        <w:spacing w:line="480" w:lineRule="auto"/>
        <w:ind w:firstLine="709"/>
        <w:jc w:val="center"/>
        <w:rPr>
          <w:rFonts w:ascii="Times New Roman" w:hAnsi="Times New Roman"/>
          <w:sz w:val="20"/>
          <w:szCs w:val="20"/>
        </w:rPr>
      </w:pPr>
      <w:r w:rsidRPr="007F7C4F">
        <w:rPr>
          <w:rFonts w:ascii="Times New Roman" w:hAnsi="Times New Roman"/>
          <w:sz w:val="20"/>
          <w:szCs w:val="20"/>
        </w:rPr>
        <w:t>Gambar 3.1 Boiling Water Reactor (BWR)</w:t>
      </w:r>
    </w:p>
    <w:p w:rsidR="00615A40" w:rsidRDefault="00615A40" w:rsidP="00615A40">
      <w:pPr>
        <w:spacing w:line="480" w:lineRule="auto"/>
        <w:ind w:left="709" w:firstLine="709"/>
        <w:jc w:val="both"/>
        <w:rPr>
          <w:rFonts w:ascii="Times New Roman" w:hAnsi="Times New Roman"/>
          <w:sz w:val="24"/>
          <w:szCs w:val="24"/>
        </w:rPr>
      </w:pPr>
      <w:r>
        <w:rPr>
          <w:rFonts w:ascii="Times New Roman" w:hAnsi="Times New Roman"/>
          <w:sz w:val="24"/>
          <w:szCs w:val="24"/>
        </w:rPr>
        <w:t xml:space="preserve">Gambar diatas merupakan gambaran BWR atau Boiling Water Reactor yang memanfaatkan panas atau memanfaatkan uap panas untuk menghasilkan listrik yang kemudian uap panas </w:t>
      </w:r>
      <w:proofErr w:type="gramStart"/>
      <w:r>
        <w:rPr>
          <w:rFonts w:ascii="Times New Roman" w:hAnsi="Times New Roman"/>
          <w:sz w:val="24"/>
          <w:szCs w:val="24"/>
        </w:rPr>
        <w:t>akan</w:t>
      </w:r>
      <w:proofErr w:type="gramEnd"/>
      <w:r>
        <w:rPr>
          <w:rFonts w:ascii="Times New Roman" w:hAnsi="Times New Roman"/>
          <w:sz w:val="24"/>
          <w:szCs w:val="24"/>
        </w:rPr>
        <w:t xml:space="preserve"> didinginkan melalui kondenser dengan menggunakan air laut.</w:t>
      </w:r>
    </w:p>
    <w:p w:rsidR="00615A40" w:rsidRPr="00041EF3" w:rsidRDefault="00726FFB" w:rsidP="00615A40">
      <w:pPr>
        <w:spacing w:line="480" w:lineRule="auto"/>
        <w:ind w:left="709" w:firstLine="709"/>
        <w:jc w:val="both"/>
        <w:rPr>
          <w:rFonts w:ascii="Times New Roman" w:hAnsi="Times New Roman"/>
          <w:b/>
          <w:sz w:val="24"/>
          <w:szCs w:val="24"/>
        </w:rPr>
      </w:pPr>
      <w:r>
        <w:rPr>
          <w:noProof/>
          <w:lang w:eastAsia="en-US"/>
        </w:rPr>
        <w:drawing>
          <wp:anchor distT="0" distB="0" distL="114300" distR="114300" simplePos="0" relativeHeight="251665408" behindDoc="1" locked="0" layoutInCell="1" allowOverlap="1">
            <wp:simplePos x="0" y="0"/>
            <wp:positionH relativeFrom="column">
              <wp:posOffset>455930</wp:posOffset>
            </wp:positionH>
            <wp:positionV relativeFrom="paragraph">
              <wp:posOffset>33020</wp:posOffset>
            </wp:positionV>
            <wp:extent cx="4538980" cy="2207260"/>
            <wp:effectExtent l="0" t="0" r="0" b="2540"/>
            <wp:wrapNone/>
            <wp:docPr id="35" name="Picture 35" descr="Screensho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8980" cy="2207260"/>
                    </a:xfrm>
                    <a:prstGeom prst="rect">
                      <a:avLst/>
                    </a:prstGeom>
                    <a:noFill/>
                  </pic:spPr>
                </pic:pic>
              </a:graphicData>
            </a:graphic>
            <wp14:sizeRelH relativeFrom="page">
              <wp14:pctWidth>0</wp14:pctWidth>
            </wp14:sizeRelH>
            <wp14:sizeRelV relativeFrom="page">
              <wp14:pctHeight>0</wp14:pctHeight>
            </wp14:sizeRelV>
          </wp:anchor>
        </w:drawing>
      </w:r>
    </w:p>
    <w:p w:rsidR="00615A40" w:rsidRDefault="00615A40" w:rsidP="00615A40">
      <w:pPr>
        <w:tabs>
          <w:tab w:val="left" w:pos="4497"/>
        </w:tabs>
      </w:pPr>
      <w:r>
        <w:tab/>
      </w:r>
    </w:p>
    <w:p w:rsidR="00615A40" w:rsidRPr="004A5468" w:rsidRDefault="00615A40" w:rsidP="00615A40"/>
    <w:p w:rsidR="00615A40" w:rsidRPr="004A5468" w:rsidRDefault="00615A40" w:rsidP="00615A40"/>
    <w:p w:rsidR="00615A40" w:rsidRPr="004A5468" w:rsidRDefault="00615A40" w:rsidP="00615A40"/>
    <w:p w:rsidR="00615A40" w:rsidRPr="004A5468" w:rsidRDefault="00615A40" w:rsidP="00615A40"/>
    <w:p w:rsidR="00615A40" w:rsidRDefault="00615A40" w:rsidP="00615A40"/>
    <w:p w:rsidR="00615A40" w:rsidRDefault="00615A40" w:rsidP="00615A40">
      <w:pPr>
        <w:spacing w:after="0"/>
        <w:ind w:firstLine="709"/>
        <w:jc w:val="center"/>
        <w:rPr>
          <w:rFonts w:ascii="Times New Roman" w:hAnsi="Times New Roman"/>
          <w:b/>
          <w:sz w:val="24"/>
          <w:szCs w:val="24"/>
        </w:rPr>
      </w:pPr>
    </w:p>
    <w:p w:rsidR="00615A40" w:rsidRPr="007F7C4F" w:rsidRDefault="00615A40" w:rsidP="00615A40">
      <w:pPr>
        <w:ind w:firstLine="709"/>
        <w:jc w:val="center"/>
        <w:rPr>
          <w:rFonts w:ascii="Times New Roman" w:hAnsi="Times New Roman"/>
          <w:sz w:val="20"/>
          <w:szCs w:val="20"/>
        </w:rPr>
      </w:pPr>
      <w:r w:rsidRPr="007F7C4F">
        <w:rPr>
          <w:rFonts w:ascii="Times New Roman" w:hAnsi="Times New Roman"/>
          <w:sz w:val="20"/>
          <w:szCs w:val="20"/>
        </w:rPr>
        <w:t>Gambar 3.2 Proses BWR PLTN Fukushima Daiichi</w:t>
      </w:r>
    </w:p>
    <w:p w:rsidR="00615A40" w:rsidRDefault="00615A40" w:rsidP="00615A40">
      <w:pPr>
        <w:ind w:firstLine="709"/>
        <w:jc w:val="center"/>
        <w:rPr>
          <w:rFonts w:ascii="Times New Roman" w:hAnsi="Times New Roman"/>
          <w:b/>
          <w:sz w:val="20"/>
          <w:szCs w:val="20"/>
        </w:rPr>
      </w:pPr>
    </w:p>
    <w:p w:rsidR="00615A40" w:rsidRPr="008602AC" w:rsidRDefault="00615A40" w:rsidP="00615A40">
      <w:pPr>
        <w:ind w:firstLine="709"/>
        <w:jc w:val="center"/>
        <w:rPr>
          <w:rFonts w:ascii="Times New Roman" w:hAnsi="Times New Roman"/>
          <w:b/>
          <w:sz w:val="20"/>
          <w:szCs w:val="20"/>
        </w:rPr>
        <w:sectPr w:rsidR="00615A40" w:rsidRPr="008602AC" w:rsidSect="003F7D19">
          <w:headerReference w:type="default" r:id="rId12"/>
          <w:footerReference w:type="default" r:id="rId13"/>
          <w:pgSz w:w="11907" w:h="16839" w:code="9"/>
          <w:pgMar w:top="1701" w:right="1701" w:bottom="1701" w:left="2268" w:header="720" w:footer="720" w:gutter="0"/>
          <w:pgNumType w:start="64"/>
          <w:cols w:space="720"/>
          <w:docGrid w:linePitch="360"/>
        </w:sectPr>
      </w:pPr>
    </w:p>
    <w:p w:rsidR="00615A40" w:rsidRDefault="00615A40" w:rsidP="00615A40">
      <w:pPr>
        <w:rPr>
          <w:rFonts w:ascii="Times New Roman" w:hAnsi="Times New Roman"/>
          <w:b/>
          <w:sz w:val="24"/>
          <w:szCs w:val="24"/>
        </w:rPr>
        <w:sectPr w:rsidR="00615A40" w:rsidSect="003F7D19">
          <w:type w:val="continuous"/>
          <w:pgSz w:w="11907" w:h="16839" w:code="9"/>
          <w:pgMar w:top="1701" w:right="1701" w:bottom="1701" w:left="2268" w:header="720" w:footer="720" w:gutter="0"/>
          <w:pgNumType w:start="67"/>
          <w:cols w:space="720"/>
          <w:docGrid w:linePitch="360"/>
        </w:sectPr>
      </w:pPr>
    </w:p>
    <w:p w:rsidR="00615A40" w:rsidRPr="00A63C4D" w:rsidRDefault="00615A40" w:rsidP="00A63C4D">
      <w:pPr>
        <w:pStyle w:val="Heading3"/>
        <w:numPr>
          <w:ilvl w:val="0"/>
          <w:numId w:val="63"/>
        </w:numPr>
        <w:spacing w:before="0" w:after="0" w:line="480" w:lineRule="auto"/>
        <w:ind w:left="1134" w:hanging="425"/>
        <w:rPr>
          <w:rFonts w:ascii="Times New Roman" w:hAnsi="Times New Roman"/>
          <w:sz w:val="24"/>
          <w:szCs w:val="24"/>
        </w:rPr>
      </w:pPr>
      <w:bookmarkStart w:id="6" w:name="_Toc485543849"/>
      <w:bookmarkStart w:id="7" w:name="_Toc485576240"/>
      <w:r w:rsidRPr="00A63C4D">
        <w:rPr>
          <w:rFonts w:ascii="Times New Roman" w:hAnsi="Times New Roman"/>
          <w:i/>
          <w:sz w:val="24"/>
          <w:szCs w:val="24"/>
        </w:rPr>
        <w:lastRenderedPageBreak/>
        <w:t>Tokyo Electric Power Company</w:t>
      </w:r>
      <w:r w:rsidRPr="00A63C4D">
        <w:rPr>
          <w:rFonts w:ascii="Times New Roman" w:hAnsi="Times New Roman"/>
          <w:sz w:val="24"/>
          <w:szCs w:val="24"/>
        </w:rPr>
        <w:t xml:space="preserve"> (TEPCO)</w:t>
      </w:r>
      <w:bookmarkEnd w:id="6"/>
      <w:bookmarkEnd w:id="7"/>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t>Tokyo Electric Power Company (TEPCO) merupakan sebuah perusahaan multinasional, perusahaan listrik yang dimiliki oleh Jepang sebagai salah satu perusahaan yang menghasilkan berbagai macam produk energi. TEPCO didirikan pada tahun 1951 untuk memenuhi kebutuhan energi khususnya kebutuhan listrik di daerah Tokyo, Jepang.</w:t>
      </w:r>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t>Reaktor nuklir atau PLTN Fukushima Daiichi merupakan salah satu yang dimiliki oleh TEPCO dalam menghasilkan kebutuhan listrik. Energi nuklir dipercayai oleh Jepang sebagai salah satu sumber energi terbesar yang dimiliki oleh Jepang dibanding sumber energi lainnya. Sumber energi nuklir sangat membantu jepang dalam memenuhi kebutuhan energi, dan merupakan sebuah sumber energi yang termasuk dalam sumber energi ramah lingkungan dibandingkan dengan sumber energi lainnya.</w:t>
      </w:r>
    </w:p>
    <w:p w:rsidR="00615A40" w:rsidRDefault="00726FFB" w:rsidP="00615A40">
      <w:pPr>
        <w:spacing w:after="0" w:line="480" w:lineRule="auto"/>
        <w:ind w:left="1134" w:firstLine="709"/>
        <w:jc w:val="both"/>
        <w:rPr>
          <w:rFonts w:ascii="Times New Roman" w:hAnsi="Times New Roman"/>
          <w:sz w:val="24"/>
          <w:szCs w:val="24"/>
        </w:rPr>
      </w:pPr>
      <w:r>
        <w:rPr>
          <w:noProof/>
          <w:lang w:eastAsia="en-US"/>
        </w:rPr>
        <w:drawing>
          <wp:anchor distT="0" distB="0" distL="114300" distR="114300" simplePos="0" relativeHeight="251650048" behindDoc="0" locked="0" layoutInCell="1" allowOverlap="1">
            <wp:simplePos x="0" y="0"/>
            <wp:positionH relativeFrom="column">
              <wp:posOffset>1504950</wp:posOffset>
            </wp:positionH>
            <wp:positionV relativeFrom="paragraph">
              <wp:posOffset>3810</wp:posOffset>
            </wp:positionV>
            <wp:extent cx="2874010" cy="2703195"/>
            <wp:effectExtent l="0" t="0" r="2540" b="1905"/>
            <wp:wrapSquare wrapText="bothSides"/>
            <wp:docPr id="36" name="Picture 36" descr="Screensho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shot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010" cy="2703195"/>
                    </a:xfrm>
                    <a:prstGeom prst="rect">
                      <a:avLst/>
                    </a:prstGeom>
                    <a:noFill/>
                  </pic:spPr>
                </pic:pic>
              </a:graphicData>
            </a:graphic>
            <wp14:sizeRelH relativeFrom="page">
              <wp14:pctWidth>0</wp14:pctWidth>
            </wp14:sizeRelH>
            <wp14:sizeRelV relativeFrom="page">
              <wp14:pctHeight>0</wp14:pctHeight>
            </wp14:sizeRelV>
          </wp:anchor>
        </w:drawing>
      </w:r>
    </w:p>
    <w:p w:rsidR="00615A40" w:rsidRDefault="00615A40" w:rsidP="00615A40">
      <w:pPr>
        <w:jc w:val="center"/>
        <w:rPr>
          <w:rFonts w:ascii="Times New Roman" w:hAnsi="Times New Roman"/>
          <w:b/>
          <w:sz w:val="24"/>
          <w:szCs w:val="24"/>
        </w:rPr>
      </w:pPr>
    </w:p>
    <w:p w:rsidR="00615A40" w:rsidRDefault="00615A40" w:rsidP="00615A40">
      <w:pPr>
        <w:jc w:val="center"/>
        <w:rPr>
          <w:rFonts w:ascii="Times New Roman" w:hAnsi="Times New Roman"/>
          <w:b/>
          <w:sz w:val="24"/>
          <w:szCs w:val="24"/>
        </w:rPr>
      </w:pPr>
    </w:p>
    <w:p w:rsidR="00615A40" w:rsidRDefault="00615A40" w:rsidP="00615A40">
      <w:pPr>
        <w:jc w:val="center"/>
        <w:rPr>
          <w:rFonts w:ascii="Times New Roman" w:hAnsi="Times New Roman"/>
          <w:b/>
          <w:sz w:val="24"/>
          <w:szCs w:val="24"/>
        </w:rPr>
      </w:pPr>
    </w:p>
    <w:p w:rsidR="00615A40" w:rsidRDefault="00615A40" w:rsidP="00615A40">
      <w:pPr>
        <w:jc w:val="center"/>
        <w:rPr>
          <w:rFonts w:ascii="Times New Roman" w:hAnsi="Times New Roman"/>
          <w:b/>
          <w:sz w:val="24"/>
          <w:szCs w:val="24"/>
        </w:rPr>
      </w:pPr>
    </w:p>
    <w:p w:rsidR="00615A40" w:rsidRDefault="00615A40" w:rsidP="00615A40">
      <w:pPr>
        <w:jc w:val="center"/>
        <w:rPr>
          <w:rFonts w:ascii="Times New Roman" w:hAnsi="Times New Roman"/>
          <w:b/>
          <w:sz w:val="24"/>
          <w:szCs w:val="24"/>
        </w:rPr>
      </w:pPr>
    </w:p>
    <w:p w:rsidR="00615A40" w:rsidRDefault="00615A40" w:rsidP="00615A40">
      <w:pPr>
        <w:jc w:val="center"/>
        <w:rPr>
          <w:rFonts w:ascii="Times New Roman" w:hAnsi="Times New Roman"/>
          <w:b/>
          <w:sz w:val="24"/>
          <w:szCs w:val="24"/>
        </w:rPr>
      </w:pPr>
    </w:p>
    <w:p w:rsidR="00615A40" w:rsidRDefault="00615A40" w:rsidP="00615A40">
      <w:pPr>
        <w:jc w:val="center"/>
        <w:rPr>
          <w:rFonts w:ascii="Times New Roman" w:hAnsi="Times New Roman"/>
          <w:b/>
          <w:sz w:val="24"/>
          <w:szCs w:val="24"/>
        </w:rPr>
      </w:pPr>
    </w:p>
    <w:p w:rsidR="00615A40" w:rsidRDefault="00615A40" w:rsidP="00615A40">
      <w:pPr>
        <w:jc w:val="center"/>
        <w:rPr>
          <w:rFonts w:ascii="Times New Roman" w:hAnsi="Times New Roman"/>
          <w:b/>
          <w:sz w:val="24"/>
          <w:szCs w:val="24"/>
        </w:rPr>
      </w:pPr>
    </w:p>
    <w:p w:rsidR="00615A40" w:rsidRDefault="00615A40" w:rsidP="00615A40">
      <w:pPr>
        <w:spacing w:after="0"/>
        <w:jc w:val="center"/>
        <w:rPr>
          <w:rFonts w:ascii="Times New Roman" w:hAnsi="Times New Roman"/>
          <w:b/>
          <w:sz w:val="24"/>
          <w:szCs w:val="24"/>
        </w:rPr>
      </w:pPr>
    </w:p>
    <w:p w:rsidR="00615A40" w:rsidRPr="007F7C4F" w:rsidRDefault="00615A40" w:rsidP="00615A40">
      <w:pPr>
        <w:spacing w:after="0"/>
        <w:ind w:left="720" w:firstLine="720"/>
        <w:jc w:val="center"/>
        <w:rPr>
          <w:rFonts w:ascii="Times New Roman" w:hAnsi="Times New Roman"/>
          <w:sz w:val="20"/>
          <w:szCs w:val="20"/>
        </w:rPr>
      </w:pPr>
      <w:r w:rsidRPr="007F7C4F">
        <w:rPr>
          <w:rFonts w:ascii="Times New Roman" w:hAnsi="Times New Roman"/>
          <w:sz w:val="20"/>
          <w:szCs w:val="20"/>
        </w:rPr>
        <w:t>Gambar 3.3 Service area of Japan electric company</w:t>
      </w:r>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TEPCO secara tidak langsung bertanggung jawab dengan peristiwa yang terjadi pada PLTN Fukushima Daiichi, dan TEPCO </w:t>
      </w:r>
      <w:r>
        <w:rPr>
          <w:rFonts w:ascii="Times New Roman" w:hAnsi="Times New Roman"/>
          <w:sz w:val="24"/>
          <w:szCs w:val="24"/>
        </w:rPr>
        <w:lastRenderedPageBreak/>
        <w:t>mengalami kerugian yang sangat besar dalam mengatasi peristiwa tersebut. Kerugian yang dialami oleh TEPCO memunculkan dampak-dampak negatif maupun positif pasca peristiwa yang terjadi di PLTN Fukushima Daiichi. TEPCO segera bertindak dengan menciptakan “The Five Promises”</w:t>
      </w:r>
      <w:r>
        <w:rPr>
          <w:rStyle w:val="FootnoteReference"/>
          <w:rFonts w:ascii="Times New Roman" w:hAnsi="Times New Roman"/>
          <w:sz w:val="24"/>
          <w:szCs w:val="24"/>
        </w:rPr>
        <w:footnoteReference w:id="2"/>
      </w:r>
      <w:r>
        <w:rPr>
          <w:rFonts w:ascii="Times New Roman" w:hAnsi="Times New Roman"/>
          <w:sz w:val="24"/>
          <w:szCs w:val="24"/>
        </w:rPr>
        <w:t xml:space="preserve"> untuk membayar kompensasi kepada setiap masyarakat yang harus mengungsi terkait peristiwa yang terjadi dikarenakan penyebaran radiasi yang sangat cepat di daerah </w:t>
      </w:r>
      <w:proofErr w:type="gramStart"/>
      <w:r>
        <w:rPr>
          <w:rFonts w:ascii="Times New Roman" w:hAnsi="Times New Roman"/>
          <w:sz w:val="24"/>
          <w:szCs w:val="24"/>
        </w:rPr>
        <w:t>kota</w:t>
      </w:r>
      <w:proofErr w:type="gramEnd"/>
      <w:r>
        <w:rPr>
          <w:rFonts w:ascii="Times New Roman" w:hAnsi="Times New Roman"/>
          <w:sz w:val="24"/>
          <w:szCs w:val="24"/>
        </w:rPr>
        <w:t xml:space="preserve"> Okuma (dimana reaktor nuklir Fukushima Daiichi berada) dan sekitarnya di Prefektur Fukushima khususnya. </w:t>
      </w:r>
    </w:p>
    <w:p w:rsidR="00615A40" w:rsidRDefault="00615A40" w:rsidP="00615A40">
      <w:pPr>
        <w:spacing w:line="480" w:lineRule="auto"/>
        <w:ind w:left="1134" w:firstLine="709"/>
        <w:jc w:val="both"/>
        <w:rPr>
          <w:rFonts w:ascii="Times New Roman" w:hAnsi="Times New Roman"/>
          <w:sz w:val="24"/>
          <w:szCs w:val="24"/>
        </w:rPr>
      </w:pPr>
      <w:r w:rsidRPr="00D77A43">
        <w:rPr>
          <w:rFonts w:ascii="Times New Roman" w:hAnsi="Times New Roman"/>
          <w:i/>
          <w:sz w:val="24"/>
          <w:szCs w:val="24"/>
        </w:rPr>
        <w:t>Nuclear Damage Liability Facilitation Fund</w:t>
      </w:r>
      <w:r>
        <w:rPr>
          <w:rFonts w:ascii="Times New Roman" w:hAnsi="Times New Roman"/>
          <w:sz w:val="24"/>
          <w:szCs w:val="24"/>
        </w:rPr>
        <w:t xml:space="preserve"> (NDF) merupakan salah satu badan yang memfasilitasi </w:t>
      </w:r>
      <w:proofErr w:type="gramStart"/>
      <w:r>
        <w:rPr>
          <w:rFonts w:ascii="Times New Roman" w:hAnsi="Times New Roman"/>
          <w:sz w:val="24"/>
          <w:szCs w:val="24"/>
        </w:rPr>
        <w:t>dana</w:t>
      </w:r>
      <w:proofErr w:type="gramEnd"/>
      <w:r>
        <w:rPr>
          <w:rFonts w:ascii="Times New Roman" w:hAnsi="Times New Roman"/>
          <w:sz w:val="24"/>
          <w:szCs w:val="24"/>
        </w:rPr>
        <w:t xml:space="preserve"> bantuan terkait kerusakan yang disebabkan oleh nuklir. NDF menerima permintaan dari TEPCO untuk membantu secara finansial yang mana dalam hal ini yakni untuk mengamankan </w:t>
      </w:r>
      <w:proofErr w:type="gramStart"/>
      <w:r>
        <w:rPr>
          <w:rFonts w:ascii="Times New Roman" w:hAnsi="Times New Roman"/>
          <w:sz w:val="24"/>
          <w:szCs w:val="24"/>
        </w:rPr>
        <w:t>dana</w:t>
      </w:r>
      <w:proofErr w:type="gramEnd"/>
      <w:r>
        <w:rPr>
          <w:rFonts w:ascii="Times New Roman" w:hAnsi="Times New Roman"/>
          <w:sz w:val="24"/>
          <w:szCs w:val="24"/>
        </w:rPr>
        <w:t xml:space="preserve"> yang sesuai dengan kerusakan yang disebabkan oleh nuklir terkait peristiwa Pembangkit Listrik Tenaga Nuklir Fukushima Daiichi.</w:t>
      </w:r>
      <w:r>
        <w:rPr>
          <w:rStyle w:val="FootnoteReference"/>
          <w:rFonts w:ascii="Times New Roman" w:hAnsi="Times New Roman"/>
          <w:sz w:val="24"/>
          <w:szCs w:val="24"/>
        </w:rPr>
        <w:footnoteReference w:id="3"/>
      </w:r>
      <w:r>
        <w:rPr>
          <w:rFonts w:ascii="Times New Roman" w:hAnsi="Times New Roman"/>
          <w:sz w:val="24"/>
          <w:szCs w:val="24"/>
        </w:rPr>
        <w:t xml:space="preserve"> </w:t>
      </w:r>
    </w:p>
    <w:p w:rsidR="00A63C4D" w:rsidRPr="00A63C4D" w:rsidRDefault="00A63C4D" w:rsidP="00A63C4D">
      <w:pPr>
        <w:pStyle w:val="Heading3"/>
        <w:numPr>
          <w:ilvl w:val="0"/>
          <w:numId w:val="63"/>
        </w:numPr>
        <w:spacing w:before="0" w:after="0" w:line="480" w:lineRule="auto"/>
        <w:ind w:left="1134" w:hanging="425"/>
        <w:rPr>
          <w:rFonts w:ascii="Times New Roman" w:hAnsi="Times New Roman"/>
          <w:sz w:val="24"/>
          <w:szCs w:val="24"/>
        </w:rPr>
      </w:pPr>
      <w:bookmarkStart w:id="8" w:name="_Toc485543850"/>
      <w:bookmarkStart w:id="9" w:name="_Toc485576241"/>
      <w:r w:rsidRPr="00A63C4D">
        <w:rPr>
          <w:rFonts w:ascii="Times New Roman" w:hAnsi="Times New Roman"/>
          <w:sz w:val="24"/>
          <w:szCs w:val="24"/>
        </w:rPr>
        <w:t>Kebocoran</w:t>
      </w:r>
      <w:r>
        <w:rPr>
          <w:rFonts w:ascii="Times New Roman" w:hAnsi="Times New Roman"/>
          <w:sz w:val="24"/>
          <w:szCs w:val="24"/>
        </w:rPr>
        <w:t xml:space="preserve"> Reaktor Nuklir Fukushima Daiichi</w:t>
      </w:r>
      <w:bookmarkEnd w:id="8"/>
      <w:bookmarkEnd w:id="9"/>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Gempa bumi yang berkekuatan 9.0 skala </w:t>
      </w:r>
      <w:proofErr w:type="gramStart"/>
      <w:r>
        <w:rPr>
          <w:rFonts w:ascii="Times New Roman" w:hAnsi="Times New Roman"/>
          <w:sz w:val="24"/>
          <w:szCs w:val="24"/>
        </w:rPr>
        <w:t>richter</w:t>
      </w:r>
      <w:proofErr w:type="gramEnd"/>
      <w:r>
        <w:rPr>
          <w:rFonts w:ascii="Times New Roman" w:hAnsi="Times New Roman"/>
          <w:sz w:val="24"/>
          <w:szCs w:val="24"/>
        </w:rPr>
        <w:t xml:space="preserve"> yang bepusat 130 km lepas pantai kota Sendai di Prefektur Miyagi di bagian timur Pulau Honshu</w:t>
      </w:r>
      <w:r>
        <w:rPr>
          <w:rStyle w:val="FootnoteReference"/>
          <w:rFonts w:ascii="Times New Roman" w:hAnsi="Times New Roman"/>
          <w:sz w:val="24"/>
          <w:szCs w:val="24"/>
        </w:rPr>
        <w:footnoteReference w:id="4"/>
      </w:r>
      <w:r>
        <w:rPr>
          <w:rFonts w:ascii="Times New Roman" w:hAnsi="Times New Roman"/>
          <w:sz w:val="24"/>
          <w:szCs w:val="24"/>
        </w:rPr>
        <w:t xml:space="preserve"> (pulau utama di Jepang) memicu pemberhentian darurat reaktor yang beroperasi (unit 1, 2 dan 3), lalu memicu pasokan listrik </w:t>
      </w:r>
      <w:r>
        <w:rPr>
          <w:rFonts w:ascii="Times New Roman" w:hAnsi="Times New Roman"/>
          <w:sz w:val="24"/>
          <w:szCs w:val="24"/>
        </w:rPr>
        <w:lastRenderedPageBreak/>
        <w:t>darurat dan memulai operasi pendinginan bahan bakar nuklir untuk reaktor unit 1-6. Beberapa jam kemudian, setelah gempa bumi terjadi, Tsunami dengan ketinggian 15 meter telah menyebabkan banjir yang menyebabkan non aktifnya sumber daya listrik dan sistem pendingin yang beroperasi pada 5 unit reaktor nuklir (reaktor unit 1-5) Fukushima Daiichi dan menyebabkan bahan bakar nuklir meleleh pada reaktor unit 1-3 dan zat radioaktif menyebar melalui udara serta terjadinya ledakan hidrogen yang menyebabkan kerusakan pada reaktor unit 1, 2 dan 4.</w:t>
      </w:r>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t>Sebelas (11) reaktor nuklir di empat (4) Pembangkit Listrik Tenaga Nuklir sedang beroperasi sebelum peristiwa tersebut terjadi dan mati (</w:t>
      </w:r>
      <w:r w:rsidRPr="00B87904">
        <w:rPr>
          <w:rFonts w:ascii="Times New Roman" w:hAnsi="Times New Roman"/>
          <w:i/>
          <w:sz w:val="24"/>
          <w:szCs w:val="24"/>
        </w:rPr>
        <w:t>shut down</w:t>
      </w:r>
      <w:r>
        <w:rPr>
          <w:rFonts w:ascii="Times New Roman" w:hAnsi="Times New Roman"/>
          <w:sz w:val="24"/>
          <w:szCs w:val="24"/>
        </w:rPr>
        <w:t xml:space="preserve">) secara otomatis ketika Tsunami menghantam reaktor-reaktor nuklir tersebut. Unit yang masih beroperasi tersebut dan mengalami </w:t>
      </w:r>
      <w:r w:rsidRPr="00B87904">
        <w:rPr>
          <w:rFonts w:ascii="Times New Roman" w:hAnsi="Times New Roman"/>
          <w:i/>
          <w:sz w:val="24"/>
          <w:szCs w:val="24"/>
        </w:rPr>
        <w:t>shut down</w:t>
      </w:r>
      <w:r>
        <w:rPr>
          <w:rFonts w:ascii="Times New Roman" w:hAnsi="Times New Roman"/>
          <w:sz w:val="24"/>
          <w:szCs w:val="24"/>
        </w:rPr>
        <w:t xml:space="preserve"> yakni Tokyo Electric Power Company’s (TEPCO) Fukushima Daiichi unit 1, 2, 3, dan Fukushima Daini unit 1, 2, 3, 4, Tohoku’s Onagawa unit 1, 2, 3, dan Japco’s Tokai. Reaktor nuklir Fukushima Daiichi unit 4, 5 dan 6 tetap terpengaruh oleh kerusakan yang terjadi pada reaktor nuklir Fukushima Daiichi unit 1, 2 dan 3 yang tidak beroperasi pada saat peristiwa tersebut terjadi. Masalah utama dalam kerusakan reaktor nuklir Fukushima Daiichi berpusat pada reaktor nuklir unit 1, 2 dan 4 yang mengalami ledakan pertama pada tanggal 12 Maret 2011 dan disusul dengan ledakan kedua pada tanggal 14 Maret 2011. </w:t>
      </w:r>
    </w:p>
    <w:p w:rsidR="00615A40" w:rsidRPr="005200B0" w:rsidRDefault="00726FFB" w:rsidP="00615A40">
      <w:pPr>
        <w:spacing w:line="480" w:lineRule="auto"/>
        <w:ind w:firstLine="720"/>
        <w:jc w:val="center"/>
        <w:rPr>
          <w:rFonts w:ascii="Times New Roman" w:hAnsi="Times New Roman"/>
          <w:sz w:val="20"/>
          <w:szCs w:val="20"/>
        </w:rPr>
      </w:pPr>
      <w:r>
        <w:rPr>
          <w:noProof/>
          <w:sz w:val="20"/>
          <w:szCs w:val="20"/>
          <w:lang w:eastAsia="en-US"/>
        </w:rPr>
        <w:lastRenderedPageBreak/>
        <w:drawing>
          <wp:anchor distT="0" distB="0" distL="114300" distR="114300" simplePos="0" relativeHeight="251652096" behindDoc="0" locked="0" layoutInCell="1" allowOverlap="0">
            <wp:simplePos x="0" y="0"/>
            <wp:positionH relativeFrom="column">
              <wp:posOffset>522605</wp:posOffset>
            </wp:positionH>
            <wp:positionV relativeFrom="paragraph">
              <wp:posOffset>6985</wp:posOffset>
            </wp:positionV>
            <wp:extent cx="4524375" cy="5934075"/>
            <wp:effectExtent l="0" t="0" r="9525" b="9525"/>
            <wp:wrapTopAndBottom/>
            <wp:docPr id="41" name="Picture 41" descr="Screensho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eenshot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5934075"/>
                    </a:xfrm>
                    <a:prstGeom prst="rect">
                      <a:avLst/>
                    </a:prstGeom>
                    <a:noFill/>
                  </pic:spPr>
                </pic:pic>
              </a:graphicData>
            </a:graphic>
            <wp14:sizeRelH relativeFrom="page">
              <wp14:pctWidth>0</wp14:pctWidth>
            </wp14:sizeRelH>
            <wp14:sizeRelV relativeFrom="page">
              <wp14:pctHeight>0</wp14:pctHeight>
            </wp14:sizeRelV>
          </wp:anchor>
        </w:drawing>
      </w:r>
      <w:r w:rsidR="00615A40" w:rsidRPr="005200B0">
        <w:rPr>
          <w:rFonts w:ascii="Times New Roman" w:hAnsi="Times New Roman"/>
          <w:sz w:val="20"/>
          <w:szCs w:val="20"/>
        </w:rPr>
        <w:t xml:space="preserve">  Gambar 3.4 Overview of the main event sequence at the Fukushima Daiichi NPP</w:t>
      </w:r>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Situasi yang terjadi sesaat setelah Tsunami yakni yang menyebabkan kerusakan pada PLTN Fukushima Daiichi. Gambar diatas menunjukkan bagaimana reaktor nuklir Fukushima Daiichi mengalami ledakan hidrogen yang menyebabkan tersebarnya radiasi </w:t>
      </w:r>
      <w:r w:rsidR="00726FFB">
        <w:rPr>
          <w:noProof/>
          <w:lang w:eastAsia="en-US"/>
        </w:rPr>
        <w:lastRenderedPageBreak/>
        <w:drawing>
          <wp:anchor distT="0" distB="0" distL="114300" distR="114300" simplePos="0" relativeHeight="251655168" behindDoc="0" locked="0" layoutInCell="1" allowOverlap="1">
            <wp:simplePos x="0" y="0"/>
            <wp:positionH relativeFrom="column">
              <wp:posOffset>688975</wp:posOffset>
            </wp:positionH>
            <wp:positionV relativeFrom="paragraph">
              <wp:posOffset>701040</wp:posOffset>
            </wp:positionV>
            <wp:extent cx="4536440" cy="1755140"/>
            <wp:effectExtent l="0" t="0" r="0" b="0"/>
            <wp:wrapTopAndBottom/>
            <wp:docPr id="44" name="Picture 44" descr="Screensho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shot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6440" cy="17551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nuklir. Dan berikut merupakan tabel yang menunjukkan situasi setelah terjadinya tsunami yang menghantam PLTN Fukushima Daiichi.</w:t>
      </w:r>
    </w:p>
    <w:p w:rsidR="00615A40" w:rsidRDefault="00615A40" w:rsidP="00615A40">
      <w:pPr>
        <w:spacing w:after="0" w:line="240" w:lineRule="auto"/>
        <w:ind w:left="1134" w:firstLine="709"/>
        <w:jc w:val="center"/>
        <w:rPr>
          <w:rFonts w:ascii="Times New Roman" w:hAnsi="Times New Roman"/>
          <w:b/>
          <w:sz w:val="20"/>
          <w:szCs w:val="20"/>
        </w:rPr>
      </w:pPr>
    </w:p>
    <w:p w:rsidR="00615A40" w:rsidRPr="005200B0" w:rsidRDefault="00615A40" w:rsidP="00615A40">
      <w:pPr>
        <w:spacing w:line="480" w:lineRule="auto"/>
        <w:ind w:left="1134" w:firstLine="709"/>
        <w:jc w:val="center"/>
        <w:rPr>
          <w:rFonts w:ascii="Times New Roman" w:hAnsi="Times New Roman"/>
          <w:sz w:val="20"/>
          <w:szCs w:val="20"/>
        </w:rPr>
      </w:pPr>
      <w:r w:rsidRPr="005200B0">
        <w:rPr>
          <w:rFonts w:ascii="Times New Roman" w:hAnsi="Times New Roman"/>
          <w:sz w:val="20"/>
          <w:szCs w:val="20"/>
        </w:rPr>
        <w:t>Tabel 3.1 Situasi PLTN Fukushima Daiichi setelah tsunami</w:t>
      </w:r>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t>Peristiwa tersebut dikategorikan ke dalam kecelakaan tingkat 7 dalam skala INES (</w:t>
      </w:r>
      <w:r w:rsidRPr="00870AB5">
        <w:rPr>
          <w:rFonts w:ascii="Times New Roman" w:hAnsi="Times New Roman"/>
          <w:i/>
          <w:sz w:val="24"/>
          <w:szCs w:val="24"/>
        </w:rPr>
        <w:t>International Nuclear and Radiological Event Scale</w:t>
      </w:r>
      <w:r>
        <w:rPr>
          <w:rFonts w:ascii="Times New Roman" w:hAnsi="Times New Roman"/>
          <w:sz w:val="24"/>
          <w:szCs w:val="24"/>
        </w:rPr>
        <w:t xml:space="preserve">). Skala INES diciptakan oleh IAEA dalam upaya untuk memfasilitasi komunikasi yang konsisten (seperti skala </w:t>
      </w:r>
      <w:proofErr w:type="gramStart"/>
      <w:r>
        <w:rPr>
          <w:rFonts w:ascii="Times New Roman" w:hAnsi="Times New Roman"/>
          <w:sz w:val="24"/>
          <w:szCs w:val="24"/>
        </w:rPr>
        <w:t>richter</w:t>
      </w:r>
      <w:proofErr w:type="gramEnd"/>
      <w:r>
        <w:rPr>
          <w:rFonts w:ascii="Times New Roman" w:hAnsi="Times New Roman"/>
          <w:sz w:val="24"/>
          <w:szCs w:val="24"/>
        </w:rPr>
        <w:t xml:space="preserve"> untuk mengukur kekuatan gempa bumi, skala ines untuk mengukur seberapa besar kecelakaan nuklir) demi keamanan nuklir dan radiasi yang signifikan. IAEA membandingkan skala INES dengan skala </w:t>
      </w:r>
      <w:proofErr w:type="gramStart"/>
      <w:r>
        <w:rPr>
          <w:rFonts w:ascii="Times New Roman" w:hAnsi="Times New Roman"/>
          <w:sz w:val="24"/>
          <w:szCs w:val="24"/>
        </w:rPr>
        <w:t>richter</w:t>
      </w:r>
      <w:proofErr w:type="gramEnd"/>
      <w:r>
        <w:rPr>
          <w:rFonts w:ascii="Times New Roman" w:hAnsi="Times New Roman"/>
          <w:sz w:val="24"/>
          <w:szCs w:val="24"/>
        </w:rPr>
        <w:t xml:space="preserve"> yang mana skala richter mengukur kekuatan gempa bumi.</w:t>
      </w:r>
      <w:r>
        <w:rPr>
          <w:rStyle w:val="FootnoteReference"/>
          <w:rFonts w:ascii="Times New Roman" w:hAnsi="Times New Roman"/>
          <w:sz w:val="24"/>
          <w:szCs w:val="24"/>
        </w:rPr>
        <w:footnoteReference w:id="5"/>
      </w:r>
      <w:r>
        <w:rPr>
          <w:rFonts w:ascii="Times New Roman" w:hAnsi="Times New Roman"/>
          <w:sz w:val="24"/>
          <w:szCs w:val="24"/>
        </w:rPr>
        <w:t xml:space="preserve"> </w:t>
      </w:r>
    </w:p>
    <w:p w:rsidR="00615A40" w:rsidRDefault="00615A40" w:rsidP="00615A40">
      <w:pPr>
        <w:spacing w:after="0" w:line="480" w:lineRule="auto"/>
        <w:ind w:left="1134" w:firstLine="709"/>
        <w:jc w:val="both"/>
        <w:rPr>
          <w:rFonts w:ascii="Times New Roman" w:hAnsi="Times New Roman"/>
          <w:sz w:val="24"/>
          <w:szCs w:val="24"/>
        </w:rPr>
      </w:pPr>
    </w:p>
    <w:p w:rsidR="00615A40" w:rsidRDefault="00615A40" w:rsidP="00615A40">
      <w:pPr>
        <w:spacing w:after="0" w:line="480" w:lineRule="auto"/>
        <w:ind w:left="1134" w:firstLine="709"/>
        <w:jc w:val="both"/>
        <w:rPr>
          <w:rFonts w:ascii="Times New Roman" w:hAnsi="Times New Roman"/>
          <w:sz w:val="24"/>
          <w:szCs w:val="24"/>
        </w:rPr>
      </w:pPr>
    </w:p>
    <w:p w:rsidR="00615A40" w:rsidRDefault="00615A40" w:rsidP="00615A40">
      <w:pPr>
        <w:spacing w:after="0" w:line="480" w:lineRule="auto"/>
        <w:ind w:left="1134" w:firstLine="709"/>
        <w:jc w:val="both"/>
        <w:rPr>
          <w:rFonts w:ascii="Times New Roman" w:hAnsi="Times New Roman"/>
          <w:sz w:val="24"/>
          <w:szCs w:val="24"/>
        </w:rPr>
      </w:pPr>
    </w:p>
    <w:p w:rsidR="00615A40" w:rsidRDefault="00615A40" w:rsidP="00615A40">
      <w:pPr>
        <w:spacing w:after="0" w:line="480" w:lineRule="auto"/>
        <w:ind w:left="1134" w:firstLine="709"/>
        <w:jc w:val="both"/>
        <w:rPr>
          <w:rFonts w:ascii="Times New Roman" w:hAnsi="Times New Roman"/>
          <w:sz w:val="24"/>
          <w:szCs w:val="24"/>
        </w:rPr>
      </w:pPr>
    </w:p>
    <w:p w:rsidR="00615A40" w:rsidRDefault="00615A40" w:rsidP="00615A40">
      <w:pPr>
        <w:spacing w:after="0" w:line="480" w:lineRule="auto"/>
        <w:ind w:left="1134" w:firstLine="709"/>
        <w:jc w:val="both"/>
        <w:rPr>
          <w:rFonts w:ascii="Times New Roman" w:hAnsi="Times New Roman"/>
          <w:sz w:val="24"/>
          <w:szCs w:val="24"/>
        </w:rPr>
      </w:pPr>
    </w:p>
    <w:p w:rsidR="00615A40" w:rsidRDefault="00615A40" w:rsidP="00615A40">
      <w:pPr>
        <w:spacing w:after="0" w:line="480" w:lineRule="auto"/>
        <w:ind w:left="1134" w:firstLine="709"/>
        <w:jc w:val="both"/>
        <w:rPr>
          <w:rFonts w:ascii="Times New Roman" w:hAnsi="Times New Roman"/>
          <w:sz w:val="24"/>
          <w:szCs w:val="24"/>
        </w:rPr>
      </w:pPr>
    </w:p>
    <w:p w:rsidR="00615A40" w:rsidRDefault="00726FFB" w:rsidP="00615A40">
      <w:pPr>
        <w:spacing w:line="480" w:lineRule="auto"/>
        <w:ind w:left="1134" w:firstLine="709"/>
        <w:jc w:val="center"/>
        <w:rPr>
          <w:rFonts w:ascii="Times New Roman" w:hAnsi="Times New Roman"/>
          <w:b/>
          <w:sz w:val="24"/>
          <w:szCs w:val="24"/>
        </w:rPr>
      </w:pPr>
      <w:r>
        <w:rPr>
          <w:noProof/>
          <w:lang w:eastAsia="en-US"/>
        </w:rPr>
        <w:lastRenderedPageBreak/>
        <w:drawing>
          <wp:anchor distT="0" distB="0" distL="114300" distR="114300" simplePos="0" relativeHeight="251666432" behindDoc="1" locked="0" layoutInCell="1" allowOverlap="1">
            <wp:simplePos x="0" y="0"/>
            <wp:positionH relativeFrom="column">
              <wp:posOffset>1083945</wp:posOffset>
            </wp:positionH>
            <wp:positionV relativeFrom="paragraph">
              <wp:posOffset>116205</wp:posOffset>
            </wp:positionV>
            <wp:extent cx="3818890" cy="2899410"/>
            <wp:effectExtent l="0" t="0" r="0" b="0"/>
            <wp:wrapNone/>
            <wp:docPr id="37" name="Picture 37" descr="INE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ES-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8890" cy="2899410"/>
                    </a:xfrm>
                    <a:prstGeom prst="rect">
                      <a:avLst/>
                    </a:prstGeom>
                    <a:noFill/>
                  </pic:spPr>
                </pic:pic>
              </a:graphicData>
            </a:graphic>
            <wp14:sizeRelH relativeFrom="page">
              <wp14:pctWidth>0</wp14:pctWidth>
            </wp14:sizeRelH>
            <wp14:sizeRelV relativeFrom="page">
              <wp14:pctHeight>0</wp14:pctHeight>
            </wp14:sizeRelV>
          </wp:anchor>
        </w:drawing>
      </w:r>
    </w:p>
    <w:p w:rsidR="00615A40" w:rsidRDefault="00615A40" w:rsidP="00615A40">
      <w:pPr>
        <w:spacing w:line="480" w:lineRule="auto"/>
        <w:ind w:left="1134" w:firstLine="709"/>
        <w:jc w:val="center"/>
        <w:rPr>
          <w:rFonts w:ascii="Times New Roman" w:hAnsi="Times New Roman"/>
          <w:b/>
          <w:sz w:val="24"/>
          <w:szCs w:val="24"/>
        </w:rPr>
      </w:pPr>
    </w:p>
    <w:p w:rsidR="00615A40" w:rsidRDefault="00615A40" w:rsidP="00615A40">
      <w:pPr>
        <w:spacing w:line="480" w:lineRule="auto"/>
        <w:ind w:left="1134" w:firstLine="709"/>
        <w:jc w:val="center"/>
        <w:rPr>
          <w:rFonts w:ascii="Times New Roman" w:hAnsi="Times New Roman"/>
          <w:b/>
          <w:sz w:val="24"/>
          <w:szCs w:val="24"/>
        </w:rPr>
      </w:pPr>
    </w:p>
    <w:p w:rsidR="00615A40" w:rsidRDefault="00615A40" w:rsidP="00615A40">
      <w:pPr>
        <w:spacing w:line="480" w:lineRule="auto"/>
        <w:ind w:left="1134" w:firstLine="709"/>
        <w:jc w:val="center"/>
        <w:rPr>
          <w:rFonts w:ascii="Times New Roman" w:hAnsi="Times New Roman"/>
          <w:b/>
          <w:sz w:val="24"/>
          <w:szCs w:val="24"/>
        </w:rPr>
      </w:pPr>
    </w:p>
    <w:p w:rsidR="00615A40" w:rsidRDefault="00615A40" w:rsidP="00615A40">
      <w:pPr>
        <w:spacing w:line="480" w:lineRule="auto"/>
        <w:ind w:left="1134" w:firstLine="709"/>
        <w:jc w:val="center"/>
        <w:rPr>
          <w:rFonts w:ascii="Times New Roman" w:hAnsi="Times New Roman"/>
          <w:b/>
          <w:sz w:val="24"/>
          <w:szCs w:val="24"/>
        </w:rPr>
      </w:pPr>
    </w:p>
    <w:p w:rsidR="00615A40" w:rsidRDefault="00615A40" w:rsidP="00615A40">
      <w:pPr>
        <w:spacing w:line="480" w:lineRule="auto"/>
        <w:ind w:left="1134" w:firstLine="709"/>
        <w:jc w:val="center"/>
        <w:rPr>
          <w:rFonts w:ascii="Times New Roman" w:hAnsi="Times New Roman"/>
          <w:b/>
          <w:sz w:val="20"/>
          <w:szCs w:val="20"/>
        </w:rPr>
      </w:pPr>
    </w:p>
    <w:p w:rsidR="00615A40" w:rsidRDefault="00615A40" w:rsidP="00615A40">
      <w:pPr>
        <w:spacing w:line="480" w:lineRule="auto"/>
        <w:ind w:left="1134" w:firstLine="709"/>
        <w:jc w:val="center"/>
        <w:rPr>
          <w:rFonts w:ascii="Times New Roman" w:hAnsi="Times New Roman"/>
          <w:b/>
          <w:sz w:val="20"/>
          <w:szCs w:val="20"/>
        </w:rPr>
      </w:pPr>
    </w:p>
    <w:p w:rsidR="00615A40" w:rsidRPr="005200B0" w:rsidRDefault="00615A40" w:rsidP="00615A40">
      <w:pPr>
        <w:spacing w:line="480" w:lineRule="auto"/>
        <w:ind w:left="1134" w:firstLine="709"/>
        <w:jc w:val="center"/>
        <w:rPr>
          <w:rFonts w:ascii="Times New Roman" w:hAnsi="Times New Roman"/>
          <w:sz w:val="20"/>
          <w:szCs w:val="20"/>
        </w:rPr>
      </w:pPr>
      <w:r w:rsidRPr="005200B0">
        <w:rPr>
          <w:rFonts w:ascii="Times New Roman" w:hAnsi="Times New Roman"/>
          <w:sz w:val="20"/>
          <w:szCs w:val="20"/>
        </w:rPr>
        <w:t>Gambar 3.5 Skala INES</w:t>
      </w:r>
    </w:p>
    <w:p w:rsidR="00615A40" w:rsidRDefault="00615A40" w:rsidP="00615A40">
      <w:pPr>
        <w:spacing w:line="480" w:lineRule="auto"/>
        <w:ind w:left="1134" w:firstLine="709"/>
        <w:jc w:val="both"/>
        <w:rPr>
          <w:rFonts w:ascii="Times New Roman" w:hAnsi="Times New Roman"/>
          <w:sz w:val="24"/>
          <w:szCs w:val="24"/>
        </w:rPr>
      </w:pPr>
      <w:r>
        <w:rPr>
          <w:rFonts w:ascii="Times New Roman" w:hAnsi="Times New Roman"/>
          <w:sz w:val="24"/>
          <w:szCs w:val="24"/>
        </w:rPr>
        <w:t>Pada gambar diatas, skala INES pada tingkat 1-3 disebut “</w:t>
      </w:r>
      <w:r w:rsidRPr="00870AB5">
        <w:rPr>
          <w:rFonts w:ascii="Times New Roman" w:hAnsi="Times New Roman"/>
          <w:i/>
          <w:sz w:val="24"/>
          <w:szCs w:val="24"/>
        </w:rPr>
        <w:t>incidents</w:t>
      </w:r>
      <w:r>
        <w:rPr>
          <w:rFonts w:ascii="Times New Roman" w:hAnsi="Times New Roman"/>
          <w:sz w:val="24"/>
          <w:szCs w:val="24"/>
        </w:rPr>
        <w:t>” atau insiden dan pada tingkat 4-7 disebut “</w:t>
      </w:r>
      <w:r w:rsidRPr="00870AB5">
        <w:rPr>
          <w:rFonts w:ascii="Times New Roman" w:hAnsi="Times New Roman"/>
          <w:i/>
          <w:sz w:val="24"/>
          <w:szCs w:val="24"/>
        </w:rPr>
        <w:t>accidents</w:t>
      </w:r>
      <w:r>
        <w:rPr>
          <w:rFonts w:ascii="Times New Roman" w:hAnsi="Times New Roman"/>
          <w:sz w:val="24"/>
          <w:szCs w:val="24"/>
        </w:rPr>
        <w:t>” atau kecelakaan. Setiap tingkat skala menunjukkan bahwa peristiwa 10 kali lebih parah dibandingkan dengan tingkat yang paling rendah.</w:t>
      </w:r>
      <w:r>
        <w:rPr>
          <w:rStyle w:val="FootnoteReference"/>
          <w:rFonts w:ascii="Times New Roman" w:hAnsi="Times New Roman"/>
          <w:sz w:val="24"/>
          <w:szCs w:val="24"/>
        </w:rPr>
        <w:footnoteReference w:id="6"/>
      </w:r>
      <w:r>
        <w:rPr>
          <w:rFonts w:ascii="Times New Roman" w:hAnsi="Times New Roman"/>
          <w:sz w:val="24"/>
          <w:szCs w:val="24"/>
        </w:rPr>
        <w:t xml:space="preserve"> Pada peristiwa PLTN Fukushima Daiichi, karena tingginya radiasi yang menyebar selama 4-6 hari selama berturut-turut, peristiwa tersebut tergolong ke dalam tingkat 7 skala INES yang mana tingkat 7 merupakan </w:t>
      </w:r>
      <w:r w:rsidRPr="005E6018">
        <w:rPr>
          <w:rFonts w:ascii="Times New Roman" w:hAnsi="Times New Roman"/>
          <w:i/>
          <w:sz w:val="24"/>
          <w:szCs w:val="24"/>
        </w:rPr>
        <w:t>major accident</w:t>
      </w:r>
      <w:r>
        <w:rPr>
          <w:rFonts w:ascii="Times New Roman" w:hAnsi="Times New Roman"/>
          <w:sz w:val="24"/>
          <w:szCs w:val="24"/>
        </w:rPr>
        <w:t xml:space="preserve"> dalam skala INES, merupakan tingkat tertinggi yang mana tergolong dalam tingkat kecelakaan yang sangat besar. Disamping kecelakaan yang terjadi di Pembangkit Listrik Tenaga Nuklir, skala INES juga diaplikasikan terhadap seluruh instalasi </w:t>
      </w:r>
      <w:r>
        <w:rPr>
          <w:rFonts w:ascii="Times New Roman" w:hAnsi="Times New Roman"/>
          <w:sz w:val="24"/>
          <w:szCs w:val="24"/>
        </w:rPr>
        <w:lastRenderedPageBreak/>
        <w:t>nuklir. Instalasi nuklir tersebut, misalnya, pabrik pengolahan bahan bakar nuklir, toko bahan bakar dan instalasi militer tertentu.</w:t>
      </w:r>
      <w:r>
        <w:rPr>
          <w:rStyle w:val="FootnoteReference"/>
          <w:rFonts w:ascii="Times New Roman" w:hAnsi="Times New Roman"/>
          <w:sz w:val="24"/>
          <w:szCs w:val="24"/>
        </w:rPr>
        <w:footnoteReference w:id="7"/>
      </w:r>
      <w:r>
        <w:rPr>
          <w:rFonts w:ascii="Times New Roman" w:hAnsi="Times New Roman"/>
          <w:sz w:val="24"/>
          <w:szCs w:val="24"/>
        </w:rPr>
        <w:t xml:space="preserve"> </w:t>
      </w:r>
    </w:p>
    <w:p w:rsidR="002F5D32" w:rsidRPr="002F5D32" w:rsidRDefault="002F5D32" w:rsidP="002F5D32">
      <w:pPr>
        <w:pStyle w:val="Heading3"/>
        <w:numPr>
          <w:ilvl w:val="0"/>
          <w:numId w:val="63"/>
        </w:numPr>
        <w:spacing w:before="0" w:after="0" w:line="480" w:lineRule="auto"/>
        <w:ind w:left="1134" w:hanging="425"/>
        <w:rPr>
          <w:rFonts w:ascii="Times New Roman" w:hAnsi="Times New Roman"/>
          <w:sz w:val="24"/>
          <w:szCs w:val="24"/>
        </w:rPr>
      </w:pPr>
      <w:bookmarkStart w:id="10" w:name="_Toc485543851"/>
      <w:bookmarkStart w:id="11" w:name="_Toc485576242"/>
      <w:r>
        <w:rPr>
          <w:rFonts w:ascii="Times New Roman" w:hAnsi="Times New Roman"/>
          <w:sz w:val="24"/>
          <w:szCs w:val="24"/>
        </w:rPr>
        <w:t>Radiasi Nuklir Fukushima Daiichi</w:t>
      </w:r>
      <w:bookmarkEnd w:id="10"/>
      <w:bookmarkEnd w:id="11"/>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Meledaknya reaktor nuklir atau yang disebut sebagai </w:t>
      </w:r>
      <w:r w:rsidRPr="001B370F">
        <w:rPr>
          <w:rFonts w:ascii="Times New Roman" w:hAnsi="Times New Roman"/>
          <w:i/>
          <w:sz w:val="24"/>
          <w:szCs w:val="24"/>
        </w:rPr>
        <w:t>hydrogen explosion</w:t>
      </w:r>
      <w:r>
        <w:rPr>
          <w:rFonts w:ascii="Times New Roman" w:hAnsi="Times New Roman"/>
          <w:sz w:val="24"/>
          <w:szCs w:val="24"/>
        </w:rPr>
        <w:t xml:space="preserve"> (ledakan hidrogen) unit 1, 2 dan 4 Fukushima Daiichi menyebabkan bocornya radiasi nuklir yang tersebar melalui udara bahkan perairan. Sistem pendingin yang gagal beroperasi pada saat terjadinya hantaman tsunami terhadap PLTN Fukushima Daiichi menyebabkan ledakan terjadi. </w:t>
      </w:r>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t>Pada tanggal 11 Maret 2011, setelah terjadinya Gempa Bumi Tohoku di Jepang, TEPCO yang mana bertanggung jawab terhadap PLTN Fukushima Daiichi membuat laporan darurat kepada pemerintah Jepang yang kemudian pemerintah Jepang yang mengetahui hal tersebut mengumumkan adanya bahaya radiasi di sekitar Prefektur Fukushima dan bergegas memerintahkan untuk melaksanakan evakuasi dalam radius 2 km dari PLTN Fukushima Daiichi. Namun setelah beberapa jam kemudian, pemerintah memerintahkan untuk evakuasi dalam radius 3 km dan penduduk dalam radius 3-10 km diminta untuk tetap berada di dalam rumah masing-masing.</w:t>
      </w:r>
      <w:r>
        <w:rPr>
          <w:rStyle w:val="FootnoteReference"/>
          <w:rFonts w:ascii="Times New Roman" w:hAnsi="Times New Roman"/>
          <w:sz w:val="24"/>
          <w:szCs w:val="24"/>
        </w:rPr>
        <w:footnoteReference w:id="8"/>
      </w:r>
    </w:p>
    <w:p w:rsidR="00615A40" w:rsidRDefault="00726FFB" w:rsidP="00615A40">
      <w:pPr>
        <w:spacing w:after="0" w:line="480" w:lineRule="auto"/>
        <w:ind w:left="1134" w:firstLine="709"/>
        <w:jc w:val="both"/>
        <w:rPr>
          <w:rFonts w:ascii="Times New Roman" w:hAnsi="Times New Roman"/>
          <w:sz w:val="24"/>
          <w:szCs w:val="24"/>
        </w:rPr>
      </w:pPr>
      <w:r>
        <w:rPr>
          <w:noProof/>
          <w:lang w:eastAsia="en-US"/>
        </w:rPr>
        <w:lastRenderedPageBreak/>
        <w:drawing>
          <wp:anchor distT="0" distB="0" distL="114300" distR="114300" simplePos="0" relativeHeight="251651072" behindDoc="0" locked="0" layoutInCell="1" allowOverlap="1">
            <wp:simplePos x="0" y="0"/>
            <wp:positionH relativeFrom="column">
              <wp:posOffset>447040</wp:posOffset>
            </wp:positionH>
            <wp:positionV relativeFrom="paragraph">
              <wp:posOffset>2541905</wp:posOffset>
            </wp:positionV>
            <wp:extent cx="5034280" cy="2674620"/>
            <wp:effectExtent l="0" t="0" r="0" b="0"/>
            <wp:wrapTopAndBottom/>
            <wp:docPr id="38" name="Picture 38" descr="Screensho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4280" cy="2674620"/>
                    </a:xfrm>
                    <a:prstGeom prst="rect">
                      <a:avLst/>
                    </a:prstGeom>
                    <a:noFill/>
                  </pic:spPr>
                </pic:pic>
              </a:graphicData>
            </a:graphic>
            <wp14:sizeRelH relativeFrom="page">
              <wp14:pctWidth>0</wp14:pctWidth>
            </wp14:sizeRelH>
            <wp14:sizeRelV relativeFrom="page">
              <wp14:pctHeight>0</wp14:pctHeight>
            </wp14:sizeRelV>
          </wp:anchor>
        </w:drawing>
      </w:r>
      <w:r w:rsidR="00615A40">
        <w:rPr>
          <w:rFonts w:ascii="Times New Roman" w:hAnsi="Times New Roman"/>
          <w:sz w:val="24"/>
          <w:szCs w:val="24"/>
        </w:rPr>
        <w:t>Pada tanggal 12 Maret 2011, dengan terjadinya ledakan hidrogen pada reaktor unit 1 Fukushima Daiichi, pemerintah Jepang memerintahkan untuk evakuasi dalam radius 10 km dan beberapa jam kemudian diikuti dengan evakuasi kembali dalam radius 20 km. Dan pada tanggal 15 Maret 2011, pemerintah Jepang memerintahkan penduduk dalam radius 20-30 km dari PLTN Fukushima Daiichi untuk tetap di dalam rumah masing-masing.</w:t>
      </w:r>
    </w:p>
    <w:p w:rsidR="00615A40" w:rsidRPr="005200B0" w:rsidRDefault="00615A40" w:rsidP="00615A40">
      <w:pPr>
        <w:spacing w:line="480" w:lineRule="auto"/>
        <w:ind w:left="1134" w:firstLine="709"/>
        <w:jc w:val="center"/>
        <w:rPr>
          <w:rFonts w:ascii="Times New Roman" w:hAnsi="Times New Roman"/>
          <w:sz w:val="20"/>
          <w:szCs w:val="20"/>
        </w:rPr>
      </w:pPr>
      <w:r w:rsidRPr="005200B0">
        <w:rPr>
          <w:rFonts w:ascii="Times New Roman" w:hAnsi="Times New Roman"/>
          <w:sz w:val="20"/>
          <w:szCs w:val="20"/>
        </w:rPr>
        <w:t>Gambar 3.6 Reduksi radiasi di prefektur Fukushima</w:t>
      </w:r>
    </w:p>
    <w:p w:rsidR="00615A40" w:rsidRDefault="00615A40" w:rsidP="00615A40">
      <w:pPr>
        <w:spacing w:line="480" w:lineRule="auto"/>
        <w:ind w:left="1134" w:firstLine="709"/>
        <w:jc w:val="both"/>
        <w:rPr>
          <w:rFonts w:ascii="Times New Roman" w:hAnsi="Times New Roman"/>
          <w:sz w:val="24"/>
          <w:szCs w:val="24"/>
        </w:rPr>
      </w:pPr>
      <w:r>
        <w:rPr>
          <w:rFonts w:ascii="Times New Roman" w:hAnsi="Times New Roman"/>
          <w:sz w:val="24"/>
          <w:szCs w:val="24"/>
        </w:rPr>
        <w:t>Gambar diatas menunjukkan berkurangnya tingkat radiasi di sekitar Prefektur Fukushima pada bulan April 2016 dibandingkan dengan pada bulan April 2011, yang mana sudah 5 tahun lamanya pasca kebocoran energi nuklir Fukushima Daiichi. Dalam menyatakan seberapa besar efek radiasi pada tubuh manusia, digunakan satuan Sievert (Sv).</w:t>
      </w:r>
      <w:r>
        <w:rPr>
          <w:rStyle w:val="FootnoteReference"/>
          <w:rFonts w:ascii="Times New Roman" w:hAnsi="Times New Roman"/>
          <w:sz w:val="24"/>
          <w:szCs w:val="24"/>
        </w:rPr>
        <w:footnoteReference w:id="9"/>
      </w:r>
      <w:r>
        <w:rPr>
          <w:rFonts w:ascii="Times New Roman" w:hAnsi="Times New Roman"/>
          <w:sz w:val="24"/>
          <w:szCs w:val="24"/>
        </w:rPr>
        <w:t xml:space="preserve"> Selain Sv ada lagi satuan lama yaitu rem (</w:t>
      </w:r>
      <w:r w:rsidRPr="00924049">
        <w:rPr>
          <w:rFonts w:ascii="Times New Roman" w:hAnsi="Times New Roman"/>
          <w:i/>
          <w:sz w:val="24"/>
          <w:szCs w:val="24"/>
        </w:rPr>
        <w:t xml:space="preserve">roentgen </w:t>
      </w:r>
      <w:r w:rsidRPr="00924049">
        <w:rPr>
          <w:rFonts w:ascii="Times New Roman" w:hAnsi="Times New Roman"/>
          <w:i/>
          <w:sz w:val="24"/>
          <w:szCs w:val="24"/>
        </w:rPr>
        <w:lastRenderedPageBreak/>
        <w:t>equivalent man</w:t>
      </w:r>
      <w:r>
        <w:rPr>
          <w:rFonts w:ascii="Times New Roman" w:hAnsi="Times New Roman"/>
          <w:sz w:val="24"/>
          <w:szCs w:val="24"/>
        </w:rPr>
        <w:t xml:space="preserve">), yang mana 1 Sv setara dengan 100 rem. Namun pada saat ini satuan yang digunakan untuk mengetahui seberapa besar radiasi yang terkandung digunakan dengan satuan Sv, mSv (mili-sievert) atau µSv (micro-sievert). Dalam gambar 6 yang tercantum diatas, perhitungan radiasi yang ada pada bulan April 2016 hampir seluruh wilayah sekitar PLTN Fukushima Daiichi dalam radius 20-30 km mencapai tidak lebih dari dari 1,0 µSv. Perhitungan tersebut menandakan radiasi yang menyebar di sekitar PLTN Fukushima Daiichi berkurang dan diharapakan akan semakin berkurang dalam wilayah PLTN Fukushima Daiichi.   </w:t>
      </w:r>
    </w:p>
    <w:p w:rsidR="002F5D32" w:rsidRPr="00A63C4D" w:rsidRDefault="002F5D32" w:rsidP="002F5D32">
      <w:pPr>
        <w:pStyle w:val="Heading3"/>
        <w:numPr>
          <w:ilvl w:val="0"/>
          <w:numId w:val="63"/>
        </w:numPr>
        <w:spacing w:before="0" w:after="0" w:line="480" w:lineRule="auto"/>
        <w:ind w:left="1134" w:hanging="425"/>
        <w:rPr>
          <w:rFonts w:ascii="Times New Roman" w:hAnsi="Times New Roman"/>
          <w:sz w:val="24"/>
          <w:szCs w:val="24"/>
        </w:rPr>
      </w:pPr>
      <w:bookmarkStart w:id="12" w:name="_Toc485543852"/>
      <w:bookmarkStart w:id="13" w:name="_Toc485576243"/>
      <w:r>
        <w:rPr>
          <w:rFonts w:ascii="Times New Roman" w:hAnsi="Times New Roman"/>
          <w:sz w:val="24"/>
          <w:szCs w:val="24"/>
        </w:rPr>
        <w:t>Dampak-Dampak Radiasi Nuklir</w:t>
      </w:r>
      <w:bookmarkEnd w:id="12"/>
      <w:bookmarkEnd w:id="13"/>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Radiasi ialah partikel berenergi atau gelombang elektromagnetik. Jika tubuh manusia terkena radiasi, maka </w:t>
      </w:r>
      <w:proofErr w:type="gramStart"/>
      <w:r>
        <w:rPr>
          <w:rFonts w:ascii="Times New Roman" w:hAnsi="Times New Roman"/>
          <w:sz w:val="24"/>
          <w:szCs w:val="24"/>
        </w:rPr>
        <w:t>akan</w:t>
      </w:r>
      <w:proofErr w:type="gramEnd"/>
      <w:r>
        <w:rPr>
          <w:rFonts w:ascii="Times New Roman" w:hAnsi="Times New Roman"/>
          <w:sz w:val="24"/>
          <w:szCs w:val="24"/>
        </w:rPr>
        <w:t xml:space="preserve"> terjadi interaksi (ionisasi, eksitasi dan lain-lain). Antara atom penyusun tubuh dengan radiasi, sehingga sebagian atau seluruh energi radiasi diserap oleh tubuh. Contohnya dalam hal ini, ketika tubuh manusia berada di dekat pemanas ruangan yang memancarkan panas sehingga tubuh manusia menjadi hangat, atau seperti ketika tubuh manusia merasakan getaran yang dihasilkan saat menangkap bola yang dilemparkan. Hal tersebut terjadi karena adanya pemindahan energi radiasi, panas dan getaran bola melewati medium.</w:t>
      </w:r>
      <w:r>
        <w:rPr>
          <w:rStyle w:val="FootnoteReference"/>
          <w:rFonts w:ascii="Times New Roman" w:hAnsi="Times New Roman"/>
          <w:sz w:val="24"/>
          <w:szCs w:val="24"/>
        </w:rPr>
        <w:footnoteReference w:id="10"/>
      </w:r>
      <w:r>
        <w:rPr>
          <w:rFonts w:ascii="Times New Roman" w:hAnsi="Times New Roman"/>
          <w:sz w:val="24"/>
          <w:szCs w:val="24"/>
        </w:rPr>
        <w:t xml:space="preserve"> </w:t>
      </w:r>
    </w:p>
    <w:p w:rsidR="00615A40" w:rsidRDefault="00615A40" w:rsidP="00615A40">
      <w:pPr>
        <w:spacing w:after="0" w:line="480" w:lineRule="auto"/>
        <w:ind w:left="1134" w:firstLine="709"/>
        <w:jc w:val="both"/>
        <w:rPr>
          <w:rFonts w:ascii="Times New Roman" w:hAnsi="Times New Roman"/>
          <w:sz w:val="24"/>
          <w:szCs w:val="24"/>
        </w:rPr>
      </w:pPr>
      <w:r>
        <w:rPr>
          <w:rFonts w:ascii="Times New Roman" w:hAnsi="Times New Roman"/>
          <w:sz w:val="24"/>
          <w:szCs w:val="24"/>
        </w:rPr>
        <w:lastRenderedPageBreak/>
        <w:t>Radiasi nuklir merupakan salah satu bentuk ancaman yang tidak terlihat, maka dari itu hal tersebut lebih membahayakan, dikarenakan dampak-dampak yang ditimbulkan oleh radiasi nuklir atau radiasi pengion bersifat jangka panjang dan tidak mudah begitu saja dihilangkan. Dampak yang ditimbulkan, jika manusia terpapar dalam tingkat radiasi yang cukup tinggi hal tersebut dapat membahayakan kesehatan manusia dalam beberapa minggu atau bulan, hingga menyebabkan kematian dikarenakan dosis radiasi yang besar.</w:t>
      </w:r>
    </w:p>
    <w:p w:rsidR="00615A40" w:rsidRDefault="00615A40" w:rsidP="00615A40">
      <w:pPr>
        <w:spacing w:line="480" w:lineRule="auto"/>
        <w:ind w:left="1134" w:firstLine="709"/>
        <w:jc w:val="both"/>
        <w:rPr>
          <w:rFonts w:ascii="Times New Roman" w:hAnsi="Times New Roman"/>
          <w:sz w:val="24"/>
          <w:szCs w:val="24"/>
        </w:rPr>
      </w:pPr>
      <w:r>
        <w:rPr>
          <w:rFonts w:ascii="Times New Roman" w:hAnsi="Times New Roman"/>
          <w:sz w:val="24"/>
          <w:szCs w:val="24"/>
        </w:rPr>
        <w:t>Dampak-dampak yang disebabkan oleh radiasi terdiri dari berbagai macam, tergantung dosis yang diterima. Dosis yang besar menyebabkan resiko yang besar dan begitupun sebaliknya, dosis yang kecil menjadikan resiko yang rendah. Manusia dalam kehidupan sehari-hari menyerap dosis radiasi yang sangat kecil, yang disebabkan oleh elektronik yang digunakan dalam kehidupan sehari-hari seperti laptop maupun handphone yang hanya sepersekian micro-sievert perharinya. Batas manusia terhadap paparan radiasi pertahun sebesar 1 mili-sievert (mSv) atau setara dengan 1000 micro-sievert (µSv).</w:t>
      </w:r>
      <w:r>
        <w:rPr>
          <w:rStyle w:val="FootnoteReference"/>
          <w:rFonts w:ascii="Times New Roman" w:hAnsi="Times New Roman"/>
          <w:sz w:val="24"/>
          <w:szCs w:val="24"/>
        </w:rPr>
        <w:footnoteReference w:id="11"/>
      </w:r>
      <w:r>
        <w:rPr>
          <w:rFonts w:ascii="Times New Roman" w:hAnsi="Times New Roman"/>
          <w:sz w:val="24"/>
          <w:szCs w:val="24"/>
        </w:rPr>
        <w:t xml:space="preserve"> </w:t>
      </w:r>
    </w:p>
    <w:p w:rsidR="002F5D32" w:rsidRPr="002F5D32" w:rsidRDefault="002F5D32" w:rsidP="002F5D32">
      <w:pPr>
        <w:pStyle w:val="Heading3"/>
        <w:numPr>
          <w:ilvl w:val="0"/>
          <w:numId w:val="63"/>
        </w:numPr>
        <w:spacing w:before="0" w:after="0" w:line="480" w:lineRule="auto"/>
        <w:ind w:left="1134" w:hanging="425"/>
        <w:rPr>
          <w:rFonts w:ascii="Times New Roman" w:hAnsi="Times New Roman"/>
          <w:sz w:val="24"/>
          <w:szCs w:val="24"/>
        </w:rPr>
      </w:pPr>
      <w:bookmarkStart w:id="14" w:name="_Toc485543853"/>
      <w:bookmarkStart w:id="15" w:name="_Toc485576244"/>
      <w:r>
        <w:rPr>
          <w:rFonts w:ascii="Times New Roman" w:hAnsi="Times New Roman"/>
          <w:sz w:val="24"/>
          <w:szCs w:val="24"/>
        </w:rPr>
        <w:t>IAEA Menanggapi Fukushima Disaster</w:t>
      </w:r>
      <w:bookmarkEnd w:id="14"/>
      <w:bookmarkEnd w:id="15"/>
    </w:p>
    <w:p w:rsidR="00615A40" w:rsidRDefault="00615A40" w:rsidP="00615A40">
      <w:pPr>
        <w:spacing w:after="0" w:line="480" w:lineRule="auto"/>
        <w:ind w:left="1134" w:firstLine="720"/>
        <w:jc w:val="both"/>
        <w:rPr>
          <w:rFonts w:ascii="Times New Roman" w:hAnsi="Times New Roman"/>
          <w:sz w:val="24"/>
          <w:szCs w:val="24"/>
        </w:rPr>
      </w:pPr>
      <w:r>
        <w:rPr>
          <w:rFonts w:ascii="Times New Roman" w:hAnsi="Times New Roman"/>
          <w:sz w:val="24"/>
          <w:szCs w:val="24"/>
        </w:rPr>
        <w:t>IAEA merupakan sebuah organisasi internasional yang mana berfungsi sebagai sebuah forum antar pemerintah (</w:t>
      </w:r>
      <w:r w:rsidRPr="006D6E7D">
        <w:rPr>
          <w:rFonts w:ascii="Times New Roman" w:hAnsi="Times New Roman"/>
          <w:i/>
          <w:sz w:val="24"/>
          <w:szCs w:val="24"/>
        </w:rPr>
        <w:t>an intergovernmental forum</w:t>
      </w:r>
      <w:r>
        <w:rPr>
          <w:rFonts w:ascii="Times New Roman" w:hAnsi="Times New Roman"/>
          <w:sz w:val="24"/>
          <w:szCs w:val="24"/>
        </w:rPr>
        <w:t xml:space="preserve">) untuk keilmuan dan kerjasama teknik dalam pemanfaatan teknologi nuklir secara damai di seluruh dunia. Yang </w:t>
      </w:r>
      <w:r>
        <w:rPr>
          <w:rFonts w:ascii="Times New Roman" w:hAnsi="Times New Roman"/>
          <w:sz w:val="24"/>
          <w:szCs w:val="24"/>
        </w:rPr>
        <w:lastRenderedPageBreak/>
        <w:t>mana IAEA memiliki program-program yang bertujuan untuk lebih mendorong pengembangan dan penerapan teknologi nuklir secara damai, memberikan pengamanan internasional terhadap penyalahgunaan teknologi nuklir, dan memfasilitasi tindakan-tindakan keamanan teknologi nuklir.</w:t>
      </w:r>
    </w:p>
    <w:p w:rsidR="00615A40" w:rsidRDefault="00615A40" w:rsidP="00615A40">
      <w:pPr>
        <w:spacing w:after="0" w:line="480" w:lineRule="auto"/>
        <w:ind w:left="1134" w:firstLine="720"/>
        <w:jc w:val="both"/>
        <w:rPr>
          <w:rFonts w:ascii="Times New Roman" w:hAnsi="Times New Roman"/>
          <w:sz w:val="24"/>
          <w:szCs w:val="24"/>
        </w:rPr>
      </w:pPr>
      <w:r>
        <w:rPr>
          <w:rFonts w:ascii="Times New Roman" w:hAnsi="Times New Roman"/>
          <w:sz w:val="24"/>
          <w:szCs w:val="24"/>
        </w:rPr>
        <w:t xml:space="preserve">Salah satu pemanfaatan teknologi nuklir untuk tujuan damai adalah pembangunan Pembangkit Listrik Tenaga Nuklir demi memenuhi kebutuhan energi negara anggota yang membutuhkan. Sebagai organisasi internasional yang juga mengawasi negara anggota pengguna teknologi nuklir maupun energi nuklir, IAEA bertindak sebagai pihak global diantara negara, yang mana negara dapat saling membantu satu </w:t>
      </w:r>
      <w:proofErr w:type="gramStart"/>
      <w:r>
        <w:rPr>
          <w:rFonts w:ascii="Times New Roman" w:hAnsi="Times New Roman"/>
          <w:sz w:val="24"/>
          <w:szCs w:val="24"/>
        </w:rPr>
        <w:t>sama</w:t>
      </w:r>
      <w:proofErr w:type="gramEnd"/>
      <w:r>
        <w:rPr>
          <w:rFonts w:ascii="Times New Roman" w:hAnsi="Times New Roman"/>
          <w:sz w:val="24"/>
          <w:szCs w:val="24"/>
        </w:rPr>
        <w:t xml:space="preserve"> lainnya dengan standar keamanan nuklir yang tinggi. Jika kecelakaan nuklir terjadi, </w:t>
      </w:r>
      <w:r w:rsidRPr="00022774">
        <w:rPr>
          <w:rFonts w:ascii="Times New Roman" w:hAnsi="Times New Roman"/>
          <w:i/>
          <w:sz w:val="24"/>
          <w:szCs w:val="24"/>
        </w:rPr>
        <w:t>IAEA Incident and Emergency Center</w:t>
      </w:r>
      <w:r>
        <w:rPr>
          <w:rFonts w:ascii="Times New Roman" w:hAnsi="Times New Roman"/>
          <w:sz w:val="24"/>
          <w:szCs w:val="24"/>
        </w:rPr>
        <w:t xml:space="preserve"> selalu tersedia selama 24 jam per hari.</w:t>
      </w:r>
    </w:p>
    <w:p w:rsidR="00615A40" w:rsidRDefault="00615A40" w:rsidP="00615A40">
      <w:pPr>
        <w:spacing w:after="0" w:line="480" w:lineRule="auto"/>
        <w:ind w:left="1134" w:firstLine="720"/>
        <w:jc w:val="both"/>
        <w:rPr>
          <w:rFonts w:ascii="Times New Roman" w:hAnsi="Times New Roman"/>
          <w:sz w:val="24"/>
          <w:szCs w:val="24"/>
        </w:rPr>
      </w:pPr>
      <w:r>
        <w:rPr>
          <w:rFonts w:ascii="Times New Roman" w:hAnsi="Times New Roman"/>
          <w:sz w:val="24"/>
          <w:szCs w:val="24"/>
        </w:rPr>
        <w:t xml:space="preserve">   Fukushima Disaster atau bocornya radiasi nuklir di PLTN Fukushima Daiichi merupakan salah satu kecelakaan nuklir yang besar, yang mana pusat insiden dan keadaan darurat IAEA saat itu segera mendeteksi hal tersebut dan pihak TEPCO maupun pihak pemerintah Jepang juga mengklarifikasi kecelakaan nuklir tersebut kepada IAEA. IAEA segera setelah kecelakaan nuklir tersebut, mengirimkan </w:t>
      </w:r>
      <w:proofErr w:type="gramStart"/>
      <w:r>
        <w:rPr>
          <w:rFonts w:ascii="Times New Roman" w:hAnsi="Times New Roman"/>
          <w:sz w:val="24"/>
          <w:szCs w:val="24"/>
        </w:rPr>
        <w:t>tim</w:t>
      </w:r>
      <w:proofErr w:type="gramEnd"/>
      <w:r>
        <w:rPr>
          <w:rFonts w:ascii="Times New Roman" w:hAnsi="Times New Roman"/>
          <w:sz w:val="24"/>
          <w:szCs w:val="24"/>
        </w:rPr>
        <w:t xml:space="preserve"> bantuan yang dinamakan </w:t>
      </w:r>
      <w:r w:rsidRPr="00A519EE">
        <w:rPr>
          <w:rFonts w:ascii="Times New Roman" w:hAnsi="Times New Roman"/>
          <w:i/>
          <w:sz w:val="24"/>
          <w:szCs w:val="24"/>
        </w:rPr>
        <w:t>International</w:t>
      </w:r>
      <w:r>
        <w:rPr>
          <w:rFonts w:ascii="Times New Roman" w:hAnsi="Times New Roman"/>
          <w:sz w:val="24"/>
          <w:szCs w:val="24"/>
        </w:rPr>
        <w:t xml:space="preserve"> </w:t>
      </w:r>
      <w:r w:rsidRPr="00E50BF1">
        <w:rPr>
          <w:rFonts w:ascii="Times New Roman" w:hAnsi="Times New Roman"/>
          <w:i/>
          <w:sz w:val="24"/>
          <w:szCs w:val="24"/>
        </w:rPr>
        <w:t>Finding Expert Mission</w:t>
      </w:r>
      <w:r>
        <w:rPr>
          <w:rFonts w:ascii="Times New Roman" w:hAnsi="Times New Roman"/>
          <w:sz w:val="24"/>
          <w:szCs w:val="24"/>
        </w:rPr>
        <w:t xml:space="preserve">. </w:t>
      </w:r>
      <w:r w:rsidRPr="00A519EE">
        <w:rPr>
          <w:rFonts w:ascii="Times New Roman" w:hAnsi="Times New Roman"/>
          <w:i/>
          <w:sz w:val="24"/>
          <w:szCs w:val="24"/>
        </w:rPr>
        <w:t>International</w:t>
      </w:r>
      <w:r>
        <w:rPr>
          <w:rFonts w:ascii="Times New Roman" w:hAnsi="Times New Roman"/>
          <w:sz w:val="24"/>
          <w:szCs w:val="24"/>
        </w:rPr>
        <w:t xml:space="preserve"> </w:t>
      </w:r>
      <w:r w:rsidRPr="00E50BF1">
        <w:rPr>
          <w:rFonts w:ascii="Times New Roman" w:hAnsi="Times New Roman"/>
          <w:i/>
          <w:sz w:val="24"/>
          <w:szCs w:val="24"/>
        </w:rPr>
        <w:t>Finding Expert Mission</w:t>
      </w:r>
      <w:r>
        <w:rPr>
          <w:rFonts w:ascii="Times New Roman" w:hAnsi="Times New Roman"/>
          <w:sz w:val="24"/>
          <w:szCs w:val="24"/>
        </w:rPr>
        <w:t xml:space="preserve"> merupakan sebuah </w:t>
      </w:r>
      <w:proofErr w:type="gramStart"/>
      <w:r>
        <w:rPr>
          <w:rFonts w:ascii="Times New Roman" w:hAnsi="Times New Roman"/>
          <w:sz w:val="24"/>
          <w:szCs w:val="24"/>
        </w:rPr>
        <w:t>tim</w:t>
      </w:r>
      <w:proofErr w:type="gramEnd"/>
      <w:r>
        <w:rPr>
          <w:rFonts w:ascii="Times New Roman" w:hAnsi="Times New Roman"/>
          <w:sz w:val="24"/>
          <w:szCs w:val="24"/>
        </w:rPr>
        <w:t xml:space="preserve"> yang mana tim tersebut dibentuk dikarenakan kesepakatan IAEA dan pemerintah Jepang untuk mengidentifikasi peristiwa terkait yang dapat </w:t>
      </w:r>
      <w:r>
        <w:rPr>
          <w:rFonts w:ascii="Times New Roman" w:hAnsi="Times New Roman"/>
          <w:sz w:val="24"/>
          <w:szCs w:val="24"/>
        </w:rPr>
        <w:lastRenderedPageBreak/>
        <w:t xml:space="preserve">membantu meningkatkan keamanan nuklir di seluruh dunia, dan khususnya membantu Jepang dalam mengatasi kecelakaan nuklir yang terjadi. </w:t>
      </w:r>
    </w:p>
    <w:p w:rsidR="00615A40" w:rsidRDefault="00615A40" w:rsidP="00615A40">
      <w:pPr>
        <w:spacing w:line="480" w:lineRule="auto"/>
        <w:ind w:left="1134" w:firstLine="720"/>
        <w:jc w:val="both"/>
        <w:rPr>
          <w:rFonts w:ascii="Times New Roman" w:hAnsi="Times New Roman"/>
          <w:sz w:val="24"/>
          <w:szCs w:val="24"/>
        </w:rPr>
      </w:pPr>
      <w:r>
        <w:rPr>
          <w:rFonts w:ascii="Times New Roman" w:hAnsi="Times New Roman"/>
          <w:sz w:val="24"/>
          <w:szCs w:val="24"/>
        </w:rPr>
        <w:t xml:space="preserve">Tidak hanya misi yang disebutkan sebelumnya, IAEA turut membantu dalam setiap pergerakan Jepang dalam dekomisioning PLTN Fukushima Daiichi dengan mengarahkan TEPCO dan pemerintah Jepang serta pihak yang bertanggung jawab terhadap peristiwa tersebut. IAEA mengeluarkan sebuah </w:t>
      </w:r>
      <w:r w:rsidRPr="00A519EE">
        <w:rPr>
          <w:rFonts w:ascii="Times New Roman" w:hAnsi="Times New Roman"/>
          <w:i/>
          <w:sz w:val="24"/>
          <w:szCs w:val="24"/>
        </w:rPr>
        <w:t>Action Plan on Nuclear Safety</w:t>
      </w:r>
      <w:r>
        <w:rPr>
          <w:rFonts w:ascii="Times New Roman" w:hAnsi="Times New Roman"/>
          <w:sz w:val="24"/>
          <w:szCs w:val="24"/>
        </w:rPr>
        <w:t xml:space="preserve">. Yang mana diharapkan dalam misi ini, mencegah negara-negara anggota lain maupun negara yang memanfaatkan teknologi nuklir maupun energi nuklir mengantisipasi bahaya kecelakaan nuklir. </w:t>
      </w:r>
    </w:p>
    <w:p w:rsidR="00615A40" w:rsidRDefault="00615A40" w:rsidP="002F5D32">
      <w:pPr>
        <w:pStyle w:val="ListParagraph"/>
        <w:numPr>
          <w:ilvl w:val="0"/>
          <w:numId w:val="39"/>
        </w:numPr>
        <w:spacing w:after="0" w:line="480" w:lineRule="auto"/>
        <w:ind w:left="709" w:hanging="436"/>
        <w:jc w:val="both"/>
        <w:outlineLvl w:val="1"/>
        <w:rPr>
          <w:rFonts w:ascii="Times New Roman" w:hAnsi="Times New Roman"/>
          <w:b/>
          <w:sz w:val="24"/>
          <w:szCs w:val="24"/>
        </w:rPr>
      </w:pPr>
      <w:bookmarkStart w:id="16" w:name="_Toc485543854"/>
      <w:bookmarkStart w:id="17" w:name="_Toc485576245"/>
      <w:r>
        <w:rPr>
          <w:rFonts w:ascii="Times New Roman" w:hAnsi="Times New Roman"/>
          <w:b/>
          <w:sz w:val="24"/>
          <w:szCs w:val="24"/>
        </w:rPr>
        <w:t>Prefektur Fukushima</w:t>
      </w:r>
      <w:bookmarkEnd w:id="16"/>
      <w:bookmarkEnd w:id="17"/>
    </w:p>
    <w:p w:rsidR="00615A40" w:rsidRDefault="00615A40" w:rsidP="00615A40">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Prefektur Fukushima terletak di sebelah timur laut pulau Honshu, Jepang, menghadap ke Samudra Pasifik. Sebagian wilayah di prefektur Fukushima merupakan pegunungan dan pemukiman yang terletak di lembah pegunungan dan di sepanjang pantai. Danau Inawashiro terletak di pusat prefektur Fukushima yang mempunyai lebar 40 mil persegi (100 km persegi). Bagian tenggara Taman Nasional Bandai-Asahi yang mana berada di bagian barat laut prefektur Fukushima, Taman Nasional Bandai-Asahi mencakup wilayah pegunungan vulkanik Bandai dan Azuma. Di bawah lereng gunung berapi terdapat danau dan rawa-rawa yang terbentuk sejak letusan gunung Bandai tahun 1888.</w:t>
      </w:r>
      <w:r>
        <w:rPr>
          <w:rStyle w:val="FootnoteReference"/>
          <w:rFonts w:ascii="Times New Roman" w:hAnsi="Times New Roman"/>
          <w:sz w:val="24"/>
          <w:szCs w:val="24"/>
        </w:rPr>
        <w:footnoteReference w:id="12"/>
      </w:r>
    </w:p>
    <w:p w:rsidR="00615A40" w:rsidRDefault="00615A40" w:rsidP="00615A40">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lastRenderedPageBreak/>
        <w:t xml:space="preserve">Mata pencaharian sebagian besar penduduk di prefektur Fukushima pada dasarnya adalah pertanian, memproduksi beras serta beberapa hasil bumi untuk diperdagangkan seperti tembakau, pohon sutra, buah-buahan, biji-bijian dan sayur-sayuran yang tahan terhadap suhu rendah. Hasil hutan bahkan hasil laut, mengumpulkan rumput laut di kota-kota pesisir seperti Iwaki. Penambangan batubara di tambang Jōuban (sekarang bagian dari Iwaki) sebelah tenggara Kōriyama dan prodksi dihentikan pada akhir abad 20. Industri terkonsentrasi di beberapa </w:t>
      </w:r>
      <w:proofErr w:type="gramStart"/>
      <w:r>
        <w:rPr>
          <w:rFonts w:ascii="Times New Roman" w:hAnsi="Times New Roman"/>
          <w:sz w:val="24"/>
          <w:szCs w:val="24"/>
        </w:rPr>
        <w:t>kota</w:t>
      </w:r>
      <w:proofErr w:type="gramEnd"/>
      <w:r>
        <w:rPr>
          <w:rFonts w:ascii="Times New Roman" w:hAnsi="Times New Roman"/>
          <w:sz w:val="24"/>
          <w:szCs w:val="24"/>
        </w:rPr>
        <w:t xml:space="preserve"> seperti Fukushima (ibukota prefektur).</w:t>
      </w:r>
    </w:p>
    <w:p w:rsidR="00615A40" w:rsidRDefault="00726FFB" w:rsidP="00615A40">
      <w:pPr>
        <w:pStyle w:val="ListParagraph"/>
        <w:spacing w:after="0" w:line="480" w:lineRule="auto"/>
        <w:ind w:left="709" w:firstLine="709"/>
        <w:jc w:val="both"/>
        <w:rPr>
          <w:rFonts w:ascii="Times New Roman" w:hAnsi="Times New Roman"/>
          <w:sz w:val="24"/>
          <w:szCs w:val="24"/>
        </w:rPr>
      </w:pPr>
      <w:r>
        <w:rPr>
          <w:noProof/>
          <w:lang w:eastAsia="en-US"/>
        </w:rPr>
        <w:drawing>
          <wp:anchor distT="0" distB="0" distL="114300" distR="114300" simplePos="0" relativeHeight="251667456" behindDoc="1" locked="0" layoutInCell="1" allowOverlap="1">
            <wp:simplePos x="0" y="0"/>
            <wp:positionH relativeFrom="column">
              <wp:posOffset>902970</wp:posOffset>
            </wp:positionH>
            <wp:positionV relativeFrom="paragraph">
              <wp:posOffset>2540</wp:posOffset>
            </wp:positionV>
            <wp:extent cx="3371850" cy="2752725"/>
            <wp:effectExtent l="0" t="0" r="0" b="9525"/>
            <wp:wrapNone/>
            <wp:docPr id="39" name="Picture 39" descr="148893-004-5133A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8893-004-5133A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2752725"/>
                    </a:xfrm>
                    <a:prstGeom prst="rect">
                      <a:avLst/>
                    </a:prstGeom>
                    <a:noFill/>
                  </pic:spPr>
                </pic:pic>
              </a:graphicData>
            </a:graphic>
            <wp14:sizeRelH relativeFrom="page">
              <wp14:pctWidth>0</wp14:pctWidth>
            </wp14:sizeRelH>
            <wp14:sizeRelV relativeFrom="page">
              <wp14:pctHeight>0</wp14:pctHeight>
            </wp14:sizeRelV>
          </wp:anchor>
        </w:drawing>
      </w: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Default="00615A40" w:rsidP="00615A40">
      <w:pPr>
        <w:spacing w:after="0"/>
        <w:jc w:val="center"/>
        <w:rPr>
          <w:rFonts w:ascii="Times New Roman" w:hAnsi="Times New Roman"/>
          <w:b/>
          <w:sz w:val="20"/>
          <w:szCs w:val="20"/>
        </w:rPr>
      </w:pPr>
    </w:p>
    <w:p w:rsidR="00615A40" w:rsidRPr="005200B0" w:rsidRDefault="00615A40" w:rsidP="00615A40">
      <w:pPr>
        <w:spacing w:after="0"/>
        <w:jc w:val="center"/>
        <w:rPr>
          <w:rFonts w:ascii="Times New Roman" w:hAnsi="Times New Roman"/>
          <w:sz w:val="20"/>
          <w:szCs w:val="20"/>
        </w:rPr>
      </w:pPr>
      <w:r w:rsidRPr="005200B0">
        <w:rPr>
          <w:rFonts w:ascii="Times New Roman" w:hAnsi="Times New Roman"/>
          <w:sz w:val="20"/>
          <w:szCs w:val="20"/>
        </w:rPr>
        <w:t xml:space="preserve">    Gambar 3.7 Kerusakan 2 unit reaktor Fukushima Daiichi</w:t>
      </w:r>
    </w:p>
    <w:p w:rsidR="00615A40" w:rsidRPr="005F3AD1" w:rsidRDefault="00615A40" w:rsidP="00615A40">
      <w:pPr>
        <w:spacing w:after="0"/>
        <w:jc w:val="center"/>
        <w:rPr>
          <w:rFonts w:ascii="Times New Roman" w:hAnsi="Times New Roman"/>
          <w:b/>
          <w:sz w:val="20"/>
          <w:szCs w:val="20"/>
        </w:rPr>
      </w:pPr>
    </w:p>
    <w:p w:rsidR="00615A40" w:rsidRDefault="00615A40" w:rsidP="00615A40">
      <w:pPr>
        <w:spacing w:line="480" w:lineRule="auto"/>
        <w:ind w:left="709" w:firstLine="709"/>
        <w:jc w:val="both"/>
        <w:rPr>
          <w:rFonts w:ascii="Times New Roman" w:hAnsi="Times New Roman"/>
          <w:sz w:val="24"/>
          <w:szCs w:val="24"/>
        </w:rPr>
      </w:pPr>
      <w:r>
        <w:rPr>
          <w:rFonts w:ascii="Times New Roman" w:hAnsi="Times New Roman"/>
          <w:sz w:val="24"/>
          <w:szCs w:val="24"/>
        </w:rPr>
        <w:t>Pada tanggal 11 Maret 2011, prefektur Fukushima mengalami gempa yang berkekuatan 9</w:t>
      </w:r>
      <w:proofErr w:type="gramStart"/>
      <w:r>
        <w:rPr>
          <w:rFonts w:ascii="Times New Roman" w:hAnsi="Times New Roman"/>
          <w:sz w:val="24"/>
          <w:szCs w:val="24"/>
        </w:rPr>
        <w:t>,0</w:t>
      </w:r>
      <w:proofErr w:type="gramEnd"/>
      <w:r>
        <w:rPr>
          <w:rFonts w:ascii="Times New Roman" w:hAnsi="Times New Roman"/>
          <w:sz w:val="24"/>
          <w:szCs w:val="24"/>
        </w:rPr>
        <w:t xml:space="preserve"> skala richter yang berpusat di lepas pantai timur laut di Pasifik. Gempa bumi yang melanda prefektur Fukushima menyebabkan kerusakan, namun kerusakan yang jauh lebih besar disebabkan oleh gelombang tsunami yang menyusul sesaat setelah terjadinya gempa bumi. Tingkat kerusakan properti di daerah bencana </w:t>
      </w:r>
      <w:r>
        <w:rPr>
          <w:rFonts w:ascii="Times New Roman" w:hAnsi="Times New Roman"/>
          <w:sz w:val="24"/>
          <w:szCs w:val="24"/>
        </w:rPr>
        <w:lastRenderedPageBreak/>
        <w:t>cukup besar, termasuk lebih dari 85.000 bangunan hancur dan total korban tewas sebanyak 15.269 orang, 5.363 luka dan 8.526 hilang menurut badan penyiaran Jepang (Tokyo Broadcasting System/TBS) dan Kepolisian Nasional Jepang.</w:t>
      </w:r>
      <w:r>
        <w:rPr>
          <w:rStyle w:val="FootnoteReference"/>
          <w:rFonts w:ascii="Times New Roman" w:hAnsi="Times New Roman"/>
          <w:sz w:val="24"/>
          <w:szCs w:val="24"/>
        </w:rPr>
        <w:footnoteReference w:id="13"/>
      </w:r>
      <w:r>
        <w:rPr>
          <w:rFonts w:ascii="Times New Roman" w:hAnsi="Times New Roman"/>
          <w:sz w:val="24"/>
          <w:szCs w:val="24"/>
        </w:rPr>
        <w:t xml:space="preserve"> </w:t>
      </w:r>
    </w:p>
    <w:p w:rsidR="00615A40" w:rsidRDefault="00726FFB" w:rsidP="00615A40">
      <w:pPr>
        <w:spacing w:line="480" w:lineRule="auto"/>
        <w:ind w:left="709" w:firstLine="709"/>
        <w:jc w:val="both"/>
        <w:rPr>
          <w:rFonts w:ascii="Times New Roman" w:hAnsi="Times New Roman"/>
          <w:sz w:val="24"/>
          <w:szCs w:val="24"/>
        </w:rPr>
      </w:pPr>
      <w:r>
        <w:rPr>
          <w:noProof/>
          <w:lang w:eastAsia="en-US"/>
        </w:rPr>
        <w:drawing>
          <wp:anchor distT="0" distB="0" distL="114300" distR="114300" simplePos="0" relativeHeight="251668480" behindDoc="1" locked="0" layoutInCell="1" allowOverlap="1">
            <wp:simplePos x="0" y="0"/>
            <wp:positionH relativeFrom="column">
              <wp:posOffset>1626870</wp:posOffset>
            </wp:positionH>
            <wp:positionV relativeFrom="paragraph">
              <wp:posOffset>0</wp:posOffset>
            </wp:positionV>
            <wp:extent cx="2686050" cy="2647950"/>
            <wp:effectExtent l="0" t="0" r="0" b="0"/>
            <wp:wrapNone/>
            <wp:docPr id="40" name="Picture 40" descr="Screensho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eenshot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2647950"/>
                    </a:xfrm>
                    <a:prstGeom prst="rect">
                      <a:avLst/>
                    </a:prstGeom>
                    <a:noFill/>
                  </pic:spPr>
                </pic:pic>
              </a:graphicData>
            </a:graphic>
            <wp14:sizeRelH relativeFrom="page">
              <wp14:pctWidth>0</wp14:pctWidth>
            </wp14:sizeRelH>
            <wp14:sizeRelV relativeFrom="page">
              <wp14:pctHeight>0</wp14:pctHeight>
            </wp14:sizeRelV>
          </wp:anchor>
        </w:drawing>
      </w: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Pr="005200B0" w:rsidRDefault="00615A40" w:rsidP="00615A40">
      <w:pPr>
        <w:tabs>
          <w:tab w:val="left" w:pos="3330"/>
        </w:tabs>
        <w:spacing w:line="480" w:lineRule="auto"/>
        <w:ind w:left="709" w:firstLine="709"/>
        <w:jc w:val="center"/>
        <w:rPr>
          <w:rFonts w:ascii="Times New Roman" w:hAnsi="Times New Roman"/>
          <w:sz w:val="20"/>
          <w:szCs w:val="20"/>
        </w:rPr>
      </w:pPr>
      <w:r w:rsidRPr="005200B0">
        <w:rPr>
          <w:rFonts w:ascii="Times New Roman" w:hAnsi="Times New Roman"/>
          <w:sz w:val="20"/>
          <w:szCs w:val="20"/>
        </w:rPr>
        <w:t>Gambar 3.8 Gempa Tohoku dan PLTN terdekat</w:t>
      </w:r>
    </w:p>
    <w:p w:rsidR="00615A40" w:rsidRDefault="00615A40" w:rsidP="00615A40">
      <w:pPr>
        <w:spacing w:line="480" w:lineRule="auto"/>
        <w:ind w:left="709" w:firstLine="709"/>
        <w:jc w:val="both"/>
        <w:rPr>
          <w:rFonts w:ascii="Times New Roman" w:hAnsi="Times New Roman"/>
          <w:sz w:val="24"/>
          <w:szCs w:val="24"/>
        </w:rPr>
      </w:pPr>
      <w:r>
        <w:rPr>
          <w:rFonts w:ascii="Times New Roman" w:hAnsi="Times New Roman"/>
          <w:sz w:val="24"/>
          <w:szCs w:val="24"/>
        </w:rPr>
        <w:t xml:space="preserve">Iwaki dan PLTN Fukushima Daiichi yang berada di sepanjang pantai timur laut prefektur merupakan daerah-daerah yang mengalami kerusakan besar, yang salah satunya merupakan ledakan hidrogen yang terjadi pada unit 1, 2 dan 4 PLTN Fukushima Daiichi yang menyebabkan bocornya radiasi ke atmosfir, tanah dan bahkan perairan (laut dan sungai). Kontaminasi yang terjadi di hampir seluruh wilayah prefektur Fukushima dievakuasi hingga 20-30 km dari PLTN Fukushima Daiichi pada akhir bulan Maret. </w:t>
      </w:r>
    </w:p>
    <w:p w:rsidR="002F5D32" w:rsidRPr="002F5D32" w:rsidRDefault="002F5D32" w:rsidP="002F5D32">
      <w:pPr>
        <w:pStyle w:val="Heading3"/>
        <w:numPr>
          <w:ilvl w:val="0"/>
          <w:numId w:val="64"/>
        </w:numPr>
        <w:spacing w:before="0" w:after="0" w:line="480" w:lineRule="auto"/>
        <w:ind w:left="1134" w:hanging="425"/>
        <w:rPr>
          <w:rFonts w:ascii="Times New Roman" w:hAnsi="Times New Roman"/>
          <w:sz w:val="24"/>
          <w:szCs w:val="24"/>
        </w:rPr>
      </w:pPr>
      <w:bookmarkStart w:id="18" w:name="_Toc485543855"/>
      <w:bookmarkStart w:id="19" w:name="_Toc485576246"/>
      <w:r>
        <w:rPr>
          <w:rFonts w:ascii="Times New Roman" w:hAnsi="Times New Roman"/>
          <w:sz w:val="24"/>
          <w:szCs w:val="24"/>
        </w:rPr>
        <w:lastRenderedPageBreak/>
        <w:t>Lima Tahun Fukushima Pasca Fukushima Disaster</w:t>
      </w:r>
      <w:bookmarkEnd w:id="18"/>
      <w:bookmarkEnd w:id="19"/>
    </w:p>
    <w:p w:rsidR="00615A40" w:rsidRDefault="00615A40" w:rsidP="00615A40">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Gempa Tohoku yang terjadi, dan tsunami pada 11 Maret 2011 dan menghantam PLTN Fukushima Daiichi menyebabkan prefektur Fukushima mengalami kerusakan yang sangat besar, dan juga kebocoran radiasi yang menyebar di daerah sekitar PLTN Fukushima Daiichi dan prefektur Fukushima khususnya. Tahun lalu, tepatnya pada tahun 2016, sudah </w:t>
      </w:r>
      <w:proofErr w:type="gramStart"/>
      <w:r>
        <w:rPr>
          <w:rFonts w:ascii="Times New Roman" w:hAnsi="Times New Roman"/>
          <w:sz w:val="24"/>
          <w:szCs w:val="24"/>
        </w:rPr>
        <w:t>lima</w:t>
      </w:r>
      <w:proofErr w:type="gramEnd"/>
      <w:r>
        <w:rPr>
          <w:rFonts w:ascii="Times New Roman" w:hAnsi="Times New Roman"/>
          <w:sz w:val="24"/>
          <w:szCs w:val="24"/>
        </w:rPr>
        <w:t xml:space="preserve"> tahun sejak peristiwa terjadi di PLTN Fukushima Daiichi 11 Maret tahun 2011. Jalan menuju pemulihan prefektur Fukushima dan khususnya PLTN Fukushima Daiichi merupakan jalan yang sulit dan panjang, butuh bertahun-tahun bahkan beberapa dekade untuk menjalani sebuah proses dekomisioning reaktor nuklir.</w:t>
      </w:r>
    </w:p>
    <w:p w:rsidR="00615A40" w:rsidRDefault="00615A40" w:rsidP="00615A40">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Pemerintah Jepang mencatat, bantuan yang IAEA berikan terhadap Jepang sejak permulaan darurat kecelakaan nuklir pada bulan Maret 2011, dan langkah-langkah yang telah diambil untuk memperbaiki keselamatan nuklir atau sebagai salah satu pemenuhan </w:t>
      </w:r>
      <w:r w:rsidRPr="00086A21">
        <w:rPr>
          <w:rFonts w:ascii="Times New Roman" w:hAnsi="Times New Roman"/>
          <w:i/>
          <w:sz w:val="24"/>
          <w:szCs w:val="24"/>
        </w:rPr>
        <w:t>IAEA Action Plan on Nuclear Safety</w:t>
      </w:r>
      <w:r>
        <w:rPr>
          <w:rFonts w:ascii="Times New Roman" w:hAnsi="Times New Roman"/>
          <w:sz w:val="24"/>
          <w:szCs w:val="24"/>
        </w:rPr>
        <w:t xml:space="preserve"> demi keselamatan nuklir di seluruh dunia. Peran IAEA dalam membantu pemerintahan Jepang dan prefektur Fukushima sangat membantu revitalisasi prefektur Fukushima, dekontaminasi wilayah di sekitar prefektur Fukushima serta dekomisioning PLTN Fukushima Daiichi. </w:t>
      </w:r>
    </w:p>
    <w:p w:rsidR="00615A40" w:rsidRDefault="00615A40" w:rsidP="00615A40">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Dalam laporan yang diberikan oleh prefektur Fukushima kepada IAEA, revitalisasi prefektur Fukushima yang salah satunya merupakan </w:t>
      </w:r>
      <w:r>
        <w:rPr>
          <w:rFonts w:ascii="Times New Roman" w:hAnsi="Times New Roman"/>
          <w:sz w:val="24"/>
          <w:szCs w:val="24"/>
        </w:rPr>
        <w:lastRenderedPageBreak/>
        <w:t>rekonstruksi lingkungan dan perumahan telah memberikan hasil yang sangat memuaskan.</w:t>
      </w:r>
      <w:r>
        <w:rPr>
          <w:rStyle w:val="FootnoteReference"/>
          <w:rFonts w:ascii="Times New Roman" w:hAnsi="Times New Roman"/>
          <w:sz w:val="24"/>
          <w:szCs w:val="24"/>
        </w:rPr>
        <w:footnoteReference w:id="14"/>
      </w:r>
    </w:p>
    <w:p w:rsidR="00615A40" w:rsidRPr="005200B0" w:rsidRDefault="00726FFB" w:rsidP="00615A40">
      <w:pPr>
        <w:pStyle w:val="ListParagraph"/>
        <w:spacing w:after="0" w:line="480" w:lineRule="auto"/>
        <w:ind w:left="1134" w:firstLine="709"/>
        <w:rPr>
          <w:rFonts w:ascii="Times New Roman" w:hAnsi="Times New Roman"/>
          <w:sz w:val="20"/>
          <w:szCs w:val="20"/>
        </w:rPr>
      </w:pPr>
      <w:r>
        <w:rPr>
          <w:noProof/>
          <w:sz w:val="20"/>
          <w:szCs w:val="20"/>
          <w:lang w:eastAsia="en-US"/>
        </w:rPr>
        <w:drawing>
          <wp:anchor distT="0" distB="0" distL="114300" distR="114300" simplePos="0" relativeHeight="251654144" behindDoc="0" locked="0" layoutInCell="1" allowOverlap="1">
            <wp:simplePos x="0" y="0"/>
            <wp:positionH relativeFrom="column">
              <wp:posOffset>437515</wp:posOffset>
            </wp:positionH>
            <wp:positionV relativeFrom="paragraph">
              <wp:posOffset>1873250</wp:posOffset>
            </wp:positionV>
            <wp:extent cx="4551680" cy="2005330"/>
            <wp:effectExtent l="0" t="0" r="1270" b="0"/>
            <wp:wrapTopAndBottom/>
            <wp:docPr id="43" name="Picture 43" descr="Screensho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shot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1680" cy="20053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3120" behindDoc="0" locked="0" layoutInCell="1" allowOverlap="1">
            <wp:simplePos x="0" y="0"/>
            <wp:positionH relativeFrom="column">
              <wp:posOffset>437515</wp:posOffset>
            </wp:positionH>
            <wp:positionV relativeFrom="paragraph">
              <wp:posOffset>109855</wp:posOffset>
            </wp:positionV>
            <wp:extent cx="4551680" cy="1282700"/>
            <wp:effectExtent l="0" t="0" r="1270" b="0"/>
            <wp:wrapTopAndBottom/>
            <wp:docPr id="42" name="Picture 42" descr="Screensho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eenshot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1680" cy="1282700"/>
                    </a:xfrm>
                    <a:prstGeom prst="rect">
                      <a:avLst/>
                    </a:prstGeom>
                    <a:noFill/>
                  </pic:spPr>
                </pic:pic>
              </a:graphicData>
            </a:graphic>
            <wp14:sizeRelH relativeFrom="page">
              <wp14:pctWidth>0</wp14:pctWidth>
            </wp14:sizeRelH>
            <wp14:sizeRelV relativeFrom="page">
              <wp14:pctHeight>0</wp14:pctHeight>
            </wp14:sizeRelV>
          </wp:anchor>
        </w:drawing>
      </w:r>
      <w:r w:rsidR="00615A40" w:rsidRPr="005200B0">
        <w:rPr>
          <w:rFonts w:ascii="Times New Roman" w:hAnsi="Times New Roman"/>
          <w:sz w:val="20"/>
          <w:szCs w:val="20"/>
        </w:rPr>
        <w:t>Tabel 3.2 Rekonstruksi perumahan di prefektur Fukushima</w:t>
      </w:r>
    </w:p>
    <w:p w:rsidR="00615A40" w:rsidRPr="005200B0" w:rsidRDefault="00615A40" w:rsidP="00615A40">
      <w:pPr>
        <w:pStyle w:val="ListParagraph"/>
        <w:spacing w:after="0" w:line="480" w:lineRule="auto"/>
        <w:ind w:left="1134" w:firstLine="709"/>
        <w:rPr>
          <w:rFonts w:ascii="Times New Roman" w:hAnsi="Times New Roman"/>
          <w:sz w:val="20"/>
          <w:szCs w:val="20"/>
        </w:rPr>
      </w:pPr>
      <w:r w:rsidRPr="005200B0">
        <w:rPr>
          <w:rFonts w:ascii="Times New Roman" w:hAnsi="Times New Roman"/>
          <w:sz w:val="20"/>
          <w:szCs w:val="20"/>
        </w:rPr>
        <w:t xml:space="preserve">      Tabel 3.3 Rekonstruksi yang telah selesai dibangun</w:t>
      </w:r>
    </w:p>
    <w:p w:rsidR="00615A40" w:rsidRDefault="00615A40" w:rsidP="00615A40">
      <w:pPr>
        <w:pStyle w:val="ListParagraph"/>
        <w:spacing w:after="0" w:line="240" w:lineRule="auto"/>
        <w:ind w:left="1134" w:firstLine="709"/>
        <w:jc w:val="both"/>
        <w:rPr>
          <w:rFonts w:ascii="Times New Roman" w:hAnsi="Times New Roman"/>
          <w:sz w:val="24"/>
          <w:szCs w:val="24"/>
        </w:rPr>
      </w:pPr>
    </w:p>
    <w:p w:rsidR="00615A40" w:rsidRDefault="00615A40" w:rsidP="00615A40">
      <w:pPr>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Tabel diatas menjelaskan bahwa rekonstruksi pembangungan perumahan di beberapa wilayah di prefektur Fukushima telah berhasil, dan beberapa penduduk sudah dapat menempati tempat yang telah direkonstruksi. Selain itu, wilayah yang telah direkonstruksi telah terjamin, dikarenakan proses dekontaminasi sudah dilakukan sebelumnya, lalu revitalisasi pembangunan lingkungan dan perumahan pun dilaksanakan. Level radiasi yang berada dalam wilayah tersebut pun sudah aman, karena tidak lagi </w:t>
      </w:r>
      <w:proofErr w:type="gramStart"/>
      <w:r>
        <w:rPr>
          <w:rFonts w:ascii="Times New Roman" w:hAnsi="Times New Roman"/>
          <w:sz w:val="24"/>
          <w:szCs w:val="24"/>
        </w:rPr>
        <w:t>akan</w:t>
      </w:r>
      <w:proofErr w:type="gramEnd"/>
      <w:r>
        <w:rPr>
          <w:rFonts w:ascii="Times New Roman" w:hAnsi="Times New Roman"/>
          <w:sz w:val="24"/>
          <w:szCs w:val="24"/>
        </w:rPr>
        <w:t xml:space="preserve"> membahayakan kesehatan, karena level radiasi yang rendah.</w:t>
      </w:r>
    </w:p>
    <w:p w:rsidR="00615A40" w:rsidRDefault="00615A40" w:rsidP="00615A40">
      <w:pPr>
        <w:spacing w:after="0" w:line="480" w:lineRule="auto"/>
        <w:ind w:left="709" w:firstLine="709"/>
        <w:jc w:val="both"/>
        <w:rPr>
          <w:rFonts w:ascii="Times New Roman" w:hAnsi="Times New Roman"/>
          <w:sz w:val="24"/>
          <w:szCs w:val="24"/>
        </w:rPr>
      </w:pPr>
    </w:p>
    <w:p w:rsidR="00615A40" w:rsidRDefault="00615A40" w:rsidP="00615A40">
      <w:pPr>
        <w:spacing w:after="0" w:line="480" w:lineRule="auto"/>
        <w:ind w:left="709" w:firstLine="709"/>
        <w:jc w:val="both"/>
        <w:rPr>
          <w:rFonts w:ascii="Times New Roman" w:hAnsi="Times New Roman"/>
          <w:sz w:val="24"/>
          <w:szCs w:val="24"/>
        </w:rPr>
      </w:pPr>
    </w:p>
    <w:p w:rsidR="00615A40" w:rsidRDefault="00615A40" w:rsidP="00615A40">
      <w:pPr>
        <w:spacing w:after="0" w:line="480" w:lineRule="auto"/>
        <w:ind w:left="709" w:firstLine="709"/>
        <w:jc w:val="both"/>
        <w:rPr>
          <w:rFonts w:ascii="Times New Roman" w:hAnsi="Times New Roman"/>
          <w:sz w:val="24"/>
          <w:szCs w:val="24"/>
        </w:rPr>
      </w:pPr>
    </w:p>
    <w:p w:rsidR="00615A40" w:rsidRDefault="00615A40" w:rsidP="00615A40">
      <w:pPr>
        <w:spacing w:after="0" w:line="480" w:lineRule="auto"/>
        <w:ind w:left="709" w:firstLine="709"/>
        <w:jc w:val="both"/>
        <w:rPr>
          <w:rFonts w:ascii="Times New Roman" w:hAnsi="Times New Roman"/>
          <w:sz w:val="24"/>
          <w:szCs w:val="24"/>
        </w:rPr>
      </w:pPr>
    </w:p>
    <w:p w:rsidR="00615A40" w:rsidRDefault="00726FFB" w:rsidP="00615A40">
      <w:pPr>
        <w:spacing w:after="0" w:line="480" w:lineRule="auto"/>
        <w:ind w:left="709" w:firstLine="709"/>
        <w:jc w:val="both"/>
        <w:rPr>
          <w:rFonts w:ascii="Times New Roman" w:hAnsi="Times New Roman"/>
          <w:sz w:val="24"/>
          <w:szCs w:val="24"/>
        </w:rPr>
      </w:pPr>
      <w:r>
        <w:rPr>
          <w:noProof/>
          <w:lang w:eastAsia="en-US"/>
        </w:rPr>
        <w:drawing>
          <wp:anchor distT="0" distB="0" distL="114300" distR="114300" simplePos="0" relativeHeight="251669504" behindDoc="1" locked="0" layoutInCell="1" allowOverlap="1">
            <wp:simplePos x="0" y="0"/>
            <wp:positionH relativeFrom="column">
              <wp:posOffset>182245</wp:posOffset>
            </wp:positionH>
            <wp:positionV relativeFrom="paragraph">
              <wp:posOffset>339090</wp:posOffset>
            </wp:positionV>
            <wp:extent cx="5374640" cy="2395220"/>
            <wp:effectExtent l="0" t="0" r="0" b="5080"/>
            <wp:wrapNone/>
            <wp:docPr id="45" name="Picture 45" descr="Screensho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shot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4640" cy="2395220"/>
                    </a:xfrm>
                    <a:prstGeom prst="rect">
                      <a:avLst/>
                    </a:prstGeom>
                    <a:noFill/>
                  </pic:spPr>
                </pic:pic>
              </a:graphicData>
            </a:graphic>
            <wp14:sizeRelH relativeFrom="page">
              <wp14:pctWidth>0</wp14:pctWidth>
            </wp14:sizeRelH>
            <wp14:sizeRelV relativeFrom="page">
              <wp14:pctHeight>0</wp14:pctHeight>
            </wp14:sizeRelV>
          </wp:anchor>
        </w:drawing>
      </w: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after="0" w:line="240" w:lineRule="auto"/>
        <w:ind w:left="709" w:firstLine="709"/>
        <w:jc w:val="center"/>
        <w:rPr>
          <w:rFonts w:ascii="Times New Roman" w:hAnsi="Times New Roman"/>
          <w:sz w:val="24"/>
          <w:szCs w:val="24"/>
        </w:rPr>
      </w:pPr>
    </w:p>
    <w:p w:rsidR="00615A40" w:rsidRDefault="00615A40" w:rsidP="00615A40">
      <w:pPr>
        <w:spacing w:line="480" w:lineRule="auto"/>
        <w:ind w:left="709" w:firstLine="709"/>
        <w:jc w:val="center"/>
        <w:rPr>
          <w:rFonts w:ascii="Times New Roman" w:hAnsi="Times New Roman"/>
          <w:b/>
          <w:sz w:val="20"/>
          <w:szCs w:val="20"/>
        </w:rPr>
      </w:pPr>
    </w:p>
    <w:p w:rsidR="00615A40" w:rsidRPr="005200B0" w:rsidRDefault="00615A40" w:rsidP="00615A40">
      <w:pPr>
        <w:spacing w:line="480" w:lineRule="auto"/>
        <w:ind w:left="709" w:firstLine="709"/>
        <w:jc w:val="center"/>
        <w:rPr>
          <w:rFonts w:ascii="Times New Roman" w:hAnsi="Times New Roman"/>
          <w:sz w:val="20"/>
          <w:szCs w:val="20"/>
        </w:rPr>
      </w:pPr>
      <w:r w:rsidRPr="005200B0">
        <w:rPr>
          <w:rFonts w:ascii="Times New Roman" w:hAnsi="Times New Roman"/>
          <w:sz w:val="20"/>
          <w:szCs w:val="20"/>
        </w:rPr>
        <w:t>Gambar 3.9 Reaktor unit 1-6 setelah peristiwa terjadi</w:t>
      </w:r>
    </w:p>
    <w:p w:rsidR="00615A40" w:rsidRDefault="00726FFB" w:rsidP="00615A40">
      <w:pPr>
        <w:spacing w:line="480" w:lineRule="auto"/>
        <w:ind w:left="709" w:firstLine="709"/>
        <w:jc w:val="both"/>
        <w:rPr>
          <w:rFonts w:ascii="Times New Roman" w:hAnsi="Times New Roman"/>
          <w:sz w:val="24"/>
          <w:szCs w:val="24"/>
        </w:rPr>
      </w:pPr>
      <w:r>
        <w:rPr>
          <w:noProof/>
          <w:lang w:eastAsia="en-US"/>
        </w:rPr>
        <w:drawing>
          <wp:anchor distT="0" distB="0" distL="114300" distR="114300" simplePos="0" relativeHeight="251670528" behindDoc="1" locked="0" layoutInCell="1" allowOverlap="1">
            <wp:simplePos x="0" y="0"/>
            <wp:positionH relativeFrom="column">
              <wp:posOffset>347345</wp:posOffset>
            </wp:positionH>
            <wp:positionV relativeFrom="paragraph">
              <wp:posOffset>25400</wp:posOffset>
            </wp:positionV>
            <wp:extent cx="5039995" cy="3551555"/>
            <wp:effectExtent l="0" t="0" r="8255" b="0"/>
            <wp:wrapNone/>
            <wp:docPr id="46" name="Picture 46" descr="Screensho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eenshot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3551555"/>
                    </a:xfrm>
                    <a:prstGeom prst="rect">
                      <a:avLst/>
                    </a:prstGeom>
                    <a:noFill/>
                  </pic:spPr>
                </pic:pic>
              </a:graphicData>
            </a:graphic>
            <wp14:sizeRelH relativeFrom="page">
              <wp14:pctWidth>0</wp14:pctWidth>
            </wp14:sizeRelH>
            <wp14:sizeRelV relativeFrom="page">
              <wp14:pctHeight>0</wp14:pctHeight>
            </wp14:sizeRelV>
          </wp:anchor>
        </w:drawing>
      </w: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Default="00615A40" w:rsidP="00615A40">
      <w:pPr>
        <w:spacing w:line="480" w:lineRule="auto"/>
        <w:ind w:left="709" w:firstLine="709"/>
        <w:jc w:val="both"/>
        <w:rPr>
          <w:rFonts w:ascii="Times New Roman" w:hAnsi="Times New Roman"/>
          <w:sz w:val="24"/>
          <w:szCs w:val="24"/>
        </w:rPr>
      </w:pPr>
    </w:p>
    <w:p w:rsidR="00615A40" w:rsidRPr="005200B0" w:rsidRDefault="00615A40" w:rsidP="00615A40">
      <w:pPr>
        <w:spacing w:line="480" w:lineRule="auto"/>
        <w:ind w:left="709" w:firstLine="709"/>
        <w:jc w:val="center"/>
        <w:rPr>
          <w:rFonts w:ascii="Times New Roman" w:hAnsi="Times New Roman"/>
          <w:sz w:val="20"/>
          <w:szCs w:val="20"/>
        </w:rPr>
      </w:pPr>
      <w:r w:rsidRPr="005200B0">
        <w:rPr>
          <w:rFonts w:ascii="Times New Roman" w:hAnsi="Times New Roman"/>
          <w:sz w:val="20"/>
          <w:szCs w:val="20"/>
        </w:rPr>
        <w:t>Gambar 3.10 Situasi saat ini (2015.10) reaktor unit 1-6 Fukushima Daiichi</w:t>
      </w:r>
    </w:p>
    <w:p w:rsidR="00615A40" w:rsidRDefault="00615A40" w:rsidP="00615A40">
      <w:pPr>
        <w:spacing w:line="480" w:lineRule="auto"/>
        <w:ind w:left="709" w:firstLine="709"/>
        <w:jc w:val="both"/>
        <w:rPr>
          <w:rFonts w:ascii="Times New Roman" w:hAnsi="Times New Roman"/>
          <w:sz w:val="24"/>
          <w:szCs w:val="24"/>
        </w:rPr>
      </w:pPr>
      <w:r>
        <w:rPr>
          <w:rFonts w:ascii="Times New Roman" w:hAnsi="Times New Roman"/>
          <w:sz w:val="24"/>
          <w:szCs w:val="24"/>
        </w:rPr>
        <w:lastRenderedPageBreak/>
        <w:t xml:space="preserve">Kedua gambar diatas menggambarkan perkembangan yang terjadi pada reaktor nuklir Fukushima Daiichi unit 1-6, yang mana menggambarkan keadaan pasca peristiwa terjadi dan keadaan setelah 4-5 tahun pasca peristiwa 11 Maret 2011. </w:t>
      </w:r>
    </w:p>
    <w:p w:rsidR="002F5D32" w:rsidRPr="002F5D32" w:rsidRDefault="002F5D32" w:rsidP="002F5D32">
      <w:pPr>
        <w:pStyle w:val="Heading3"/>
        <w:numPr>
          <w:ilvl w:val="0"/>
          <w:numId w:val="64"/>
        </w:numPr>
        <w:spacing w:before="0" w:after="0" w:line="480" w:lineRule="auto"/>
        <w:ind w:left="1134" w:hanging="425"/>
        <w:rPr>
          <w:rFonts w:ascii="Times New Roman" w:hAnsi="Times New Roman"/>
          <w:sz w:val="24"/>
          <w:szCs w:val="24"/>
        </w:rPr>
      </w:pPr>
      <w:bookmarkStart w:id="20" w:name="_Toc485543856"/>
      <w:bookmarkStart w:id="21" w:name="_Toc485576247"/>
      <w:r>
        <w:rPr>
          <w:rFonts w:ascii="Times New Roman" w:hAnsi="Times New Roman"/>
          <w:sz w:val="24"/>
          <w:szCs w:val="24"/>
        </w:rPr>
        <w:t>Kerjasama IAEA dengan Pemerintah Jepang</w:t>
      </w:r>
      <w:bookmarkEnd w:id="20"/>
      <w:bookmarkEnd w:id="21"/>
    </w:p>
    <w:p w:rsidR="00615A40" w:rsidRDefault="00615A40" w:rsidP="00615A40">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IAEA bekerjasama dengan pemerintah Jepang yang dibantu oleh instansi yang kompeten melakukan beberapa tindakan untuk menangani penyebaran radiasi nuklir di PLTN Fukushima Daiichi. Radiasi nuklir yang disebabkan oleh PLTN Fukushima Daiichi telah menyebabkan kekhawatiran dalam dunia internasional. Negara-negara yang berdekatan dengan Jepang menyatakan bahwa, dikhawatirkan radiasi yang terjadi menyebar hingga negara-negara tersebut melalui air (laut) maupun udara.</w:t>
      </w:r>
    </w:p>
    <w:p w:rsidR="00615A40" w:rsidRDefault="00615A40" w:rsidP="00615A40">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IAEA sebagai badan atom internasional, yang mengawasi dan juga menjaga pemakaian teknologi atau energi nuklir memiliki peran yang kuat untuk menanggulangi kecelakaan nuklir yang terjadi. IAEA bekerjasama dengan pemerintah Jepang dan juga khususnya kepada prefektur Fukushima. Mr. Yuhei Sato, kepala pemerintahan atau gubernur prefektur Fukushima dan Mr. Yukiya Amano, Direktur Jenderal IAEA bertemu pada tanggal 31 Agustus 2012 di Wina dan mendiskusikan aktifitas kerjasama diantara prefektur Fukushima dan IAEA. Mereka berbagi pandangan bahwa prefektur Fukushima dan IAEA harus melakukan upaya-upaya yang kuat dan terpadu untuk mengurangi konsekuensi serius dari kecelakaan nuklir di PLTN </w:t>
      </w:r>
      <w:r>
        <w:rPr>
          <w:rFonts w:ascii="Times New Roman" w:hAnsi="Times New Roman"/>
          <w:sz w:val="24"/>
          <w:szCs w:val="24"/>
        </w:rPr>
        <w:lastRenderedPageBreak/>
        <w:t>Fukushima Daiichi. Pengawasan radiasi, perbaikan, dekontaminasi dan kesehatan manusia diidentifikasi sebagai prioritas kerjasama.</w:t>
      </w:r>
      <w:r w:rsidRPr="00615A40">
        <w:rPr>
          <w:rStyle w:val="FootnoteReference"/>
          <w:rFonts w:ascii="Times New Roman" w:hAnsi="Times New Roman"/>
          <w:sz w:val="24"/>
          <w:szCs w:val="24"/>
        </w:rPr>
        <w:t xml:space="preserve"> </w:t>
      </w:r>
      <w:r>
        <w:rPr>
          <w:rStyle w:val="FootnoteReference"/>
          <w:rFonts w:ascii="Times New Roman" w:hAnsi="Times New Roman"/>
          <w:sz w:val="24"/>
          <w:szCs w:val="24"/>
        </w:rPr>
        <w:footnoteReference w:id="15"/>
      </w:r>
    </w:p>
    <w:p w:rsidR="00615A40" w:rsidRDefault="00615A40" w:rsidP="00615A40">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Menindaklanjuti pertemuan diantara keduanya, misi yang konkrit, serta </w:t>
      </w:r>
      <w:proofErr w:type="gramStart"/>
      <w:r>
        <w:rPr>
          <w:rFonts w:ascii="Times New Roman" w:hAnsi="Times New Roman"/>
          <w:sz w:val="24"/>
          <w:szCs w:val="24"/>
        </w:rPr>
        <w:t>cara</w:t>
      </w:r>
      <w:proofErr w:type="gramEnd"/>
      <w:r>
        <w:rPr>
          <w:rFonts w:ascii="Times New Roman" w:hAnsi="Times New Roman"/>
          <w:sz w:val="24"/>
          <w:szCs w:val="24"/>
        </w:rPr>
        <w:t xml:space="preserve"> dan sarana untuk melaksanakannya, telah didiskusikan diantara prefektur Fukushima dan IAEA. Diskusi selanjutnya, dua pengaturan praktis telah disusun dan ditandatangani untuk mempromosikan kerjasama, yakni pertama, tentang kerjasama prefektur Fukushima dengan IAEA dalam pengawasan radiasi serta perbaikan, dan kedua, mengenai kerjasama antara universitas kedokteran Fukushima dengan IAEA dalam kesehatan manusia.</w:t>
      </w:r>
    </w:p>
    <w:p w:rsidR="00615A40" w:rsidRDefault="00615A40" w:rsidP="00615A40">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Prefektur Fukushima dengan IAEA telah menyetujui untuk kerjasama pengawasan radiasi serta perbaikan dalam menindaklanjuti peristiwa yang terjadi di PLTN Fukushima Daiichi. Kerjasama mencakup bantuan dalam penelitian dan studi pada:</w:t>
      </w:r>
      <w:r>
        <w:rPr>
          <w:rStyle w:val="FootnoteReference"/>
          <w:rFonts w:ascii="Times New Roman" w:hAnsi="Times New Roman"/>
          <w:sz w:val="24"/>
          <w:szCs w:val="24"/>
        </w:rPr>
        <w:footnoteReference w:id="16"/>
      </w:r>
    </w:p>
    <w:p w:rsidR="00615A40" w:rsidRDefault="00615A40" w:rsidP="00DF66C2">
      <w:pPr>
        <w:pStyle w:val="ListParagraph"/>
        <w:numPr>
          <w:ilvl w:val="0"/>
          <w:numId w:val="36"/>
        </w:numPr>
        <w:spacing w:after="0" w:line="480" w:lineRule="auto"/>
        <w:ind w:left="1418" w:hanging="284"/>
        <w:jc w:val="both"/>
        <w:rPr>
          <w:rFonts w:ascii="Times New Roman" w:hAnsi="Times New Roman"/>
          <w:sz w:val="24"/>
          <w:szCs w:val="24"/>
        </w:rPr>
      </w:pPr>
      <w:r>
        <w:rPr>
          <w:rFonts w:ascii="Times New Roman" w:hAnsi="Times New Roman"/>
          <w:sz w:val="24"/>
          <w:szCs w:val="24"/>
        </w:rPr>
        <w:t>Pengawasan radiasi, termasuk penerapan teknologi pemetaan lingkungan dengan menggunakan pesawat tanpa awak</w:t>
      </w:r>
      <w:r>
        <w:rPr>
          <w:rStyle w:val="FootnoteReference"/>
          <w:rFonts w:ascii="Times New Roman" w:hAnsi="Times New Roman"/>
          <w:sz w:val="24"/>
          <w:szCs w:val="24"/>
        </w:rPr>
        <w:footnoteReference w:id="17"/>
      </w:r>
      <w:r>
        <w:rPr>
          <w:rFonts w:ascii="Times New Roman" w:hAnsi="Times New Roman"/>
          <w:sz w:val="24"/>
          <w:szCs w:val="24"/>
        </w:rPr>
        <w:t xml:space="preserve"> dan menggunakan data pemantau radiasi untuk mengembangkan peta yang dibuat untuk umum;</w:t>
      </w:r>
    </w:p>
    <w:p w:rsidR="00615A40" w:rsidRDefault="00615A40" w:rsidP="00DF66C2">
      <w:pPr>
        <w:pStyle w:val="ListParagraph"/>
        <w:numPr>
          <w:ilvl w:val="0"/>
          <w:numId w:val="36"/>
        </w:numPr>
        <w:spacing w:after="0" w:line="480" w:lineRule="auto"/>
        <w:ind w:left="1418" w:hanging="284"/>
        <w:jc w:val="both"/>
        <w:rPr>
          <w:rFonts w:ascii="Times New Roman" w:hAnsi="Times New Roman"/>
          <w:sz w:val="24"/>
          <w:szCs w:val="24"/>
        </w:rPr>
      </w:pPr>
      <w:r>
        <w:rPr>
          <w:rFonts w:ascii="Times New Roman" w:hAnsi="Times New Roman"/>
          <w:sz w:val="24"/>
          <w:szCs w:val="24"/>
        </w:rPr>
        <w:lastRenderedPageBreak/>
        <w:t>Dekontaminasi off-site, termasuk analisis hasil pemantau lingkungan dan eksplorasi jalur yang terpapar radiasi untuk mengurangi atau menghindari;</w:t>
      </w:r>
    </w:p>
    <w:p w:rsidR="00615A40" w:rsidRDefault="00615A40" w:rsidP="00DF66C2">
      <w:pPr>
        <w:pStyle w:val="ListParagraph"/>
        <w:numPr>
          <w:ilvl w:val="0"/>
          <w:numId w:val="36"/>
        </w:numPr>
        <w:spacing w:line="480" w:lineRule="auto"/>
        <w:ind w:left="1418" w:hanging="284"/>
        <w:jc w:val="both"/>
        <w:rPr>
          <w:rFonts w:ascii="Times New Roman" w:hAnsi="Times New Roman"/>
          <w:sz w:val="24"/>
          <w:szCs w:val="24"/>
        </w:rPr>
      </w:pPr>
      <w:r>
        <w:rPr>
          <w:rFonts w:ascii="Times New Roman" w:hAnsi="Times New Roman"/>
          <w:sz w:val="24"/>
          <w:szCs w:val="24"/>
        </w:rPr>
        <w:t xml:space="preserve">Pengelolaan limbah radioaktif dan metode pengelolaan limbah radioaktif tingkat rendah dari kegiatan dekontaminasi off-site. </w:t>
      </w:r>
    </w:p>
    <w:p w:rsidR="00615A40" w:rsidRDefault="00615A40" w:rsidP="00615A40">
      <w:pPr>
        <w:spacing w:after="0" w:line="480" w:lineRule="auto"/>
        <w:ind w:left="709" w:firstLine="709"/>
        <w:jc w:val="both"/>
        <w:rPr>
          <w:rFonts w:ascii="Times New Roman" w:hAnsi="Times New Roman"/>
          <w:sz w:val="24"/>
          <w:szCs w:val="24"/>
        </w:rPr>
      </w:pPr>
      <w:r>
        <w:rPr>
          <w:rFonts w:ascii="Times New Roman" w:hAnsi="Times New Roman"/>
          <w:sz w:val="24"/>
          <w:szCs w:val="24"/>
        </w:rPr>
        <w:t>Laporan sementara mengenai kegiatan kerjasama tersebut disiapkan oleh IAEA dan prefektur yang bersangkutan, menjelaskan proses yang berhubungan dengan pergerakan radioaktifitas di hutan dan hewan liar; strategi dekontaminasi sungai dan danau; metode pengelolaan limbah radioaktif tingkat rendah yang dihasilkan selama proses dekontaminasi.</w:t>
      </w:r>
    </w:p>
    <w:p w:rsidR="00615A40" w:rsidRDefault="00615A40" w:rsidP="00615A40">
      <w:pPr>
        <w:spacing w:line="480" w:lineRule="auto"/>
        <w:ind w:left="709" w:firstLine="709"/>
        <w:jc w:val="both"/>
        <w:rPr>
          <w:rFonts w:ascii="Times New Roman" w:hAnsi="Times New Roman"/>
          <w:sz w:val="24"/>
          <w:szCs w:val="24"/>
        </w:rPr>
      </w:pPr>
      <w:r>
        <w:rPr>
          <w:rFonts w:ascii="Times New Roman" w:hAnsi="Times New Roman"/>
          <w:sz w:val="24"/>
          <w:szCs w:val="24"/>
        </w:rPr>
        <w:t xml:space="preserve">Selain kerjasama yang disebutkan diatas, IAEA membantu pemerintah Jepang dengan tujuan dapat menerapkan keselamatan atau keamanan nuklir tingkat tinggi untuk menghindari kecelakaan nuklir yang pernah terjadi. Maka dari itu, implementasi IAEA Action Plan on Nuclear Safety menjadi salah satu peran IAEA untuk menanggulangi serta menyelesaikan dampak radiasi energi nuklir di PLTN Fukushima Daiichi. </w:t>
      </w:r>
    </w:p>
    <w:p w:rsidR="000546E8" w:rsidRPr="002F5D32" w:rsidRDefault="000546E8" w:rsidP="000546E8">
      <w:pPr>
        <w:pStyle w:val="Heading3"/>
        <w:numPr>
          <w:ilvl w:val="0"/>
          <w:numId w:val="64"/>
        </w:numPr>
        <w:spacing w:before="0" w:after="0" w:line="480" w:lineRule="auto"/>
        <w:ind w:left="1134" w:hanging="425"/>
        <w:rPr>
          <w:rFonts w:ascii="Times New Roman" w:hAnsi="Times New Roman"/>
          <w:sz w:val="24"/>
          <w:szCs w:val="24"/>
        </w:rPr>
      </w:pPr>
      <w:bookmarkStart w:id="22" w:name="_Toc485543857"/>
      <w:bookmarkStart w:id="23" w:name="_Toc485576248"/>
      <w:r>
        <w:rPr>
          <w:rFonts w:ascii="Times New Roman" w:hAnsi="Times New Roman"/>
          <w:sz w:val="24"/>
          <w:szCs w:val="24"/>
        </w:rPr>
        <w:t>Implementasi Kerangka IAEA Action Plan on Nuclear Safety</w:t>
      </w:r>
      <w:bookmarkEnd w:id="22"/>
      <w:bookmarkEnd w:id="23"/>
    </w:p>
    <w:p w:rsidR="00615A40" w:rsidRDefault="00615A40" w:rsidP="00615A40">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Konferensi Menteri dalam keselamatan nuklir atau </w:t>
      </w:r>
      <w:r w:rsidRPr="0069781E">
        <w:rPr>
          <w:rFonts w:ascii="Times New Roman" w:hAnsi="Times New Roman"/>
          <w:i/>
          <w:sz w:val="24"/>
          <w:szCs w:val="24"/>
        </w:rPr>
        <w:t>Ministerial Conference on Nuclear Safety</w:t>
      </w:r>
      <w:r>
        <w:rPr>
          <w:rFonts w:ascii="Times New Roman" w:hAnsi="Times New Roman"/>
          <w:sz w:val="24"/>
          <w:szCs w:val="24"/>
        </w:rPr>
        <w:t xml:space="preserve"> mengadopsi deklarasi yang diminta oleh Direktur Jenderal IAEA untuk mengembangkan konsep </w:t>
      </w:r>
      <w:r>
        <w:rPr>
          <w:rFonts w:ascii="Times New Roman" w:hAnsi="Times New Roman"/>
          <w:i/>
          <w:sz w:val="24"/>
          <w:szCs w:val="24"/>
        </w:rPr>
        <w:t>Action Plan on Nuclear S</w:t>
      </w:r>
      <w:r w:rsidRPr="0069781E">
        <w:rPr>
          <w:rFonts w:ascii="Times New Roman" w:hAnsi="Times New Roman"/>
          <w:i/>
          <w:sz w:val="24"/>
          <w:szCs w:val="24"/>
        </w:rPr>
        <w:t>afety</w:t>
      </w:r>
      <w:r>
        <w:rPr>
          <w:rFonts w:ascii="Times New Roman" w:hAnsi="Times New Roman"/>
          <w:sz w:val="24"/>
          <w:szCs w:val="24"/>
        </w:rPr>
        <w:t xml:space="preserve">. Pada September 2011, </w:t>
      </w:r>
      <w:r w:rsidRPr="0069781E">
        <w:rPr>
          <w:rFonts w:ascii="Times New Roman" w:hAnsi="Times New Roman"/>
          <w:i/>
          <w:sz w:val="24"/>
          <w:szCs w:val="24"/>
        </w:rPr>
        <w:t>IAEA Action Plan on Nuclear Safety</w:t>
      </w:r>
      <w:r>
        <w:rPr>
          <w:rFonts w:ascii="Times New Roman" w:hAnsi="Times New Roman"/>
          <w:sz w:val="24"/>
          <w:szCs w:val="24"/>
        </w:rPr>
        <w:t xml:space="preserve"> telah diadopsi oleh Dewan Gubernur IAEA dan kemudian disetujui oleh Konferensi Umum IAEA. Tujuan Akhir dari Action Plan ini adalah untuk memperkuat keamanan nuklir di seluruh dunia.</w:t>
      </w:r>
    </w:p>
    <w:p w:rsidR="00615A40" w:rsidRDefault="00615A40" w:rsidP="00615A40">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lastRenderedPageBreak/>
        <w:t xml:space="preserve">Pada Konferensi Umum IAEA pada bulan September 2012, Direktur Jenderal IAEA mengumumkan bahwa IAEA </w:t>
      </w:r>
      <w:proofErr w:type="gramStart"/>
      <w:r>
        <w:rPr>
          <w:rFonts w:ascii="Times New Roman" w:hAnsi="Times New Roman"/>
          <w:sz w:val="24"/>
          <w:szCs w:val="24"/>
        </w:rPr>
        <w:t>akan</w:t>
      </w:r>
      <w:proofErr w:type="gramEnd"/>
      <w:r>
        <w:rPr>
          <w:rFonts w:ascii="Times New Roman" w:hAnsi="Times New Roman"/>
          <w:sz w:val="24"/>
          <w:szCs w:val="24"/>
        </w:rPr>
        <w:t xml:space="preserve"> menyiapkan sebuah laporan mengenai peristiwa PLTN Fukushima Daiichi. Dirjen IAEA menyatakan bahwa laporan tersebut </w:t>
      </w:r>
      <w:proofErr w:type="gramStart"/>
      <w:r>
        <w:rPr>
          <w:rFonts w:ascii="Times New Roman" w:hAnsi="Times New Roman"/>
          <w:sz w:val="24"/>
          <w:szCs w:val="24"/>
        </w:rPr>
        <w:t>akan</w:t>
      </w:r>
      <w:proofErr w:type="gramEnd"/>
      <w:r>
        <w:rPr>
          <w:rFonts w:ascii="Times New Roman" w:hAnsi="Times New Roman"/>
          <w:sz w:val="24"/>
          <w:szCs w:val="24"/>
        </w:rPr>
        <w:t xml:space="preserve"> menjadi;</w:t>
      </w:r>
      <w:r>
        <w:rPr>
          <w:rStyle w:val="FootnoteReference"/>
          <w:rFonts w:ascii="Times New Roman" w:hAnsi="Times New Roman"/>
          <w:sz w:val="24"/>
          <w:szCs w:val="24"/>
        </w:rPr>
        <w:footnoteReference w:id="18"/>
      </w:r>
      <w:r>
        <w:rPr>
          <w:rFonts w:ascii="Times New Roman" w:hAnsi="Times New Roman"/>
          <w:sz w:val="24"/>
          <w:szCs w:val="24"/>
        </w:rPr>
        <w:t xml:space="preserve"> </w:t>
      </w:r>
    </w:p>
    <w:p w:rsidR="00615A40" w:rsidRDefault="00615A40" w:rsidP="00615A40">
      <w:pPr>
        <w:pStyle w:val="ListParagraph"/>
        <w:spacing w:after="0" w:line="240" w:lineRule="auto"/>
        <w:ind w:left="1843"/>
        <w:jc w:val="both"/>
        <w:rPr>
          <w:rFonts w:ascii="Times New Roman" w:hAnsi="Times New Roman"/>
          <w:sz w:val="24"/>
          <w:szCs w:val="24"/>
        </w:rPr>
      </w:pPr>
      <w:r w:rsidRPr="00BE1D25">
        <w:rPr>
          <w:rFonts w:ascii="Times New Roman" w:hAnsi="Times New Roman"/>
          <w:b/>
          <w:i/>
          <w:sz w:val="24"/>
          <w:szCs w:val="24"/>
        </w:rPr>
        <w:t>“</w:t>
      </w:r>
      <w:proofErr w:type="gramStart"/>
      <w:r w:rsidRPr="00BE1D25">
        <w:rPr>
          <w:rFonts w:ascii="Times New Roman" w:hAnsi="Times New Roman"/>
          <w:b/>
          <w:i/>
          <w:sz w:val="24"/>
          <w:szCs w:val="24"/>
        </w:rPr>
        <w:t>an</w:t>
      </w:r>
      <w:proofErr w:type="gramEnd"/>
      <w:r w:rsidRPr="00BE1D25">
        <w:rPr>
          <w:rFonts w:ascii="Times New Roman" w:hAnsi="Times New Roman"/>
          <w:b/>
          <w:i/>
          <w:sz w:val="24"/>
          <w:szCs w:val="24"/>
        </w:rPr>
        <w:t xml:space="preserve"> authoritative, factual and balanced assessment, addressing the cause and consequences of the accident as well as lessons learned.”</w:t>
      </w:r>
    </w:p>
    <w:p w:rsidR="00615A40" w:rsidRDefault="00615A40" w:rsidP="00615A40">
      <w:pPr>
        <w:pStyle w:val="ListParagraph"/>
        <w:spacing w:after="0" w:line="276" w:lineRule="auto"/>
        <w:ind w:left="1134" w:firstLine="709"/>
        <w:jc w:val="both"/>
        <w:rPr>
          <w:rFonts w:ascii="Times New Roman" w:hAnsi="Times New Roman"/>
          <w:sz w:val="24"/>
          <w:szCs w:val="24"/>
        </w:rPr>
      </w:pPr>
    </w:p>
    <w:p w:rsidR="00615A40" w:rsidRDefault="00615A40" w:rsidP="00615A40">
      <w:pPr>
        <w:pStyle w:val="ListParagraph"/>
        <w:spacing w:after="0" w:line="480" w:lineRule="auto"/>
        <w:ind w:left="1134" w:firstLine="709"/>
        <w:jc w:val="both"/>
        <w:rPr>
          <w:rFonts w:ascii="Times New Roman" w:hAnsi="Times New Roman"/>
          <w:sz w:val="24"/>
          <w:szCs w:val="24"/>
        </w:rPr>
      </w:pPr>
      <w:r>
        <w:rPr>
          <w:rFonts w:ascii="Times New Roman" w:hAnsi="Times New Roman"/>
          <w:sz w:val="24"/>
          <w:szCs w:val="24"/>
        </w:rPr>
        <w:t xml:space="preserve">Yang mana dengan adanya laporan tersebut, peristiwa yang terjadi di PLTN Fukushima Daiichi menjadi lebih transparan, jika terjadi peristiwa yang sama di masa yang akan datang, dapat diatasi penyebabnya dan konsekuensi dari peristiwa tersebut menjadi pelajaran di masa depan. Laporan tersebut dapat terealisasi dengan adanya </w:t>
      </w:r>
      <w:r w:rsidRPr="00B95418">
        <w:rPr>
          <w:rFonts w:ascii="Times New Roman" w:hAnsi="Times New Roman"/>
          <w:i/>
          <w:sz w:val="24"/>
          <w:szCs w:val="24"/>
        </w:rPr>
        <w:t>missions</w:t>
      </w:r>
      <w:r>
        <w:rPr>
          <w:rFonts w:ascii="Times New Roman" w:hAnsi="Times New Roman"/>
          <w:sz w:val="24"/>
          <w:szCs w:val="24"/>
        </w:rPr>
        <w:t xml:space="preserve">, yang mana dalam </w:t>
      </w:r>
      <w:proofErr w:type="gramStart"/>
      <w:r w:rsidRPr="00B95418">
        <w:rPr>
          <w:rFonts w:ascii="Times New Roman" w:hAnsi="Times New Roman"/>
          <w:i/>
          <w:sz w:val="24"/>
          <w:szCs w:val="24"/>
        </w:rPr>
        <w:t>missions</w:t>
      </w:r>
      <w:proofErr w:type="gramEnd"/>
      <w:r>
        <w:rPr>
          <w:rFonts w:ascii="Times New Roman" w:hAnsi="Times New Roman"/>
          <w:sz w:val="24"/>
          <w:szCs w:val="24"/>
        </w:rPr>
        <w:t xml:space="preserve"> tersebut merupakan implementasi dari </w:t>
      </w:r>
      <w:r w:rsidRPr="001E6D03">
        <w:rPr>
          <w:rFonts w:ascii="Times New Roman" w:hAnsi="Times New Roman"/>
          <w:i/>
          <w:sz w:val="24"/>
          <w:szCs w:val="24"/>
        </w:rPr>
        <w:t>IAEA Action Plan on Nuclear Safety</w:t>
      </w:r>
      <w:r>
        <w:rPr>
          <w:rFonts w:ascii="Times New Roman" w:hAnsi="Times New Roman"/>
          <w:sz w:val="24"/>
          <w:szCs w:val="24"/>
        </w:rPr>
        <w:t xml:space="preserve">. </w:t>
      </w:r>
    </w:p>
    <w:p w:rsidR="00615A40" w:rsidRPr="00587F72" w:rsidRDefault="00615A40" w:rsidP="00615A40">
      <w:pPr>
        <w:pStyle w:val="ListParagraph"/>
        <w:spacing w:after="0" w:line="480" w:lineRule="auto"/>
        <w:ind w:left="1134" w:firstLine="709"/>
        <w:jc w:val="both"/>
        <w:rPr>
          <w:rFonts w:ascii="Times New Roman" w:hAnsi="Times New Roman"/>
          <w:sz w:val="24"/>
          <w:szCs w:val="24"/>
        </w:rPr>
      </w:pPr>
      <w:r w:rsidRPr="00587F72">
        <w:rPr>
          <w:rFonts w:ascii="Times New Roman" w:hAnsi="Times New Roman"/>
          <w:i/>
          <w:sz w:val="24"/>
          <w:szCs w:val="24"/>
        </w:rPr>
        <w:t>IAEA Review Mission on Mid-and-Long-Term Roadmap</w:t>
      </w:r>
      <w:r w:rsidRPr="00587F72">
        <w:rPr>
          <w:rFonts w:ascii="Times New Roman" w:hAnsi="Times New Roman"/>
          <w:sz w:val="24"/>
          <w:szCs w:val="24"/>
        </w:rPr>
        <w:t xml:space="preserve"> menuju penonaktifan TEPCO PLTN Fukushima Daiichi unit 1-4, merupakan salah satu misi yang diimplementasi dari </w:t>
      </w:r>
      <w:r w:rsidRPr="00587F72">
        <w:rPr>
          <w:rFonts w:ascii="Times New Roman" w:hAnsi="Times New Roman"/>
          <w:i/>
          <w:sz w:val="24"/>
          <w:szCs w:val="24"/>
        </w:rPr>
        <w:t>IAEA Action Plan on Nuclear Safety</w:t>
      </w:r>
      <w:r w:rsidRPr="00587F72">
        <w:rPr>
          <w:rFonts w:ascii="Times New Roman" w:hAnsi="Times New Roman"/>
          <w:sz w:val="24"/>
          <w:szCs w:val="24"/>
        </w:rPr>
        <w:t>. Misi ini terbagi menjadi tiga misi yang mana pelaksanaannya dalam waktu yang berbeda, yaitu:</w:t>
      </w:r>
    </w:p>
    <w:p w:rsidR="00615A40" w:rsidRPr="00587F72" w:rsidRDefault="00615A40" w:rsidP="00DF66C2">
      <w:pPr>
        <w:pStyle w:val="ListParagraph"/>
        <w:numPr>
          <w:ilvl w:val="0"/>
          <w:numId w:val="37"/>
        </w:numPr>
        <w:spacing w:after="0" w:line="480" w:lineRule="auto"/>
        <w:ind w:left="1560" w:hanging="426"/>
        <w:jc w:val="both"/>
        <w:rPr>
          <w:rFonts w:ascii="Times New Roman" w:hAnsi="Times New Roman"/>
          <w:sz w:val="24"/>
          <w:szCs w:val="24"/>
        </w:rPr>
      </w:pPr>
      <w:r w:rsidRPr="00587F72">
        <w:rPr>
          <w:rFonts w:ascii="Times New Roman" w:hAnsi="Times New Roman"/>
          <w:sz w:val="24"/>
          <w:szCs w:val="24"/>
        </w:rPr>
        <w:t xml:space="preserve">  (First Mission) </w:t>
      </w:r>
      <w:r w:rsidRPr="00587F72">
        <w:rPr>
          <w:rFonts w:ascii="Times New Roman" w:hAnsi="Times New Roman"/>
          <w:i/>
          <w:sz w:val="24"/>
          <w:szCs w:val="24"/>
        </w:rPr>
        <w:t>IAEA Review Mission on Mid-and-Long-Term Roadmap</w:t>
      </w:r>
      <w:r w:rsidRPr="00587F72">
        <w:rPr>
          <w:rFonts w:ascii="Times New Roman" w:hAnsi="Times New Roman"/>
          <w:sz w:val="24"/>
          <w:szCs w:val="24"/>
        </w:rPr>
        <w:t xml:space="preserve"> menuju penonaktifan TEPCO PLTN Fukushima Daiichi unit 1-4 (15-22 April 2013);</w:t>
      </w:r>
    </w:p>
    <w:p w:rsidR="00615A40" w:rsidRPr="00587F72" w:rsidRDefault="00615A40" w:rsidP="00DF66C2">
      <w:pPr>
        <w:numPr>
          <w:ilvl w:val="0"/>
          <w:numId w:val="37"/>
        </w:numPr>
        <w:spacing w:after="0" w:line="480" w:lineRule="auto"/>
        <w:ind w:left="1560" w:hanging="426"/>
        <w:jc w:val="both"/>
        <w:rPr>
          <w:rFonts w:ascii="Times New Roman" w:hAnsi="Times New Roman"/>
          <w:sz w:val="24"/>
          <w:szCs w:val="24"/>
        </w:rPr>
      </w:pPr>
      <w:r w:rsidRPr="00587F72">
        <w:rPr>
          <w:rFonts w:ascii="Times New Roman" w:hAnsi="Times New Roman"/>
          <w:sz w:val="24"/>
          <w:szCs w:val="24"/>
        </w:rPr>
        <w:lastRenderedPageBreak/>
        <w:t xml:space="preserve">  (Second Mission) </w:t>
      </w:r>
      <w:r w:rsidRPr="00587F72">
        <w:rPr>
          <w:rFonts w:ascii="Times New Roman" w:hAnsi="Times New Roman"/>
          <w:i/>
          <w:sz w:val="24"/>
          <w:szCs w:val="24"/>
        </w:rPr>
        <w:t>IAEA Review Mission on Mid-and-Long-Term Roadmap</w:t>
      </w:r>
      <w:r w:rsidRPr="00587F72">
        <w:rPr>
          <w:rFonts w:ascii="Times New Roman" w:hAnsi="Times New Roman"/>
          <w:sz w:val="24"/>
          <w:szCs w:val="24"/>
        </w:rPr>
        <w:t xml:space="preserve"> menuju penonaktifan TEPCO PLTN Fukushima Daiichi unit 1-4 (25 November – 4 Desember 2013);</w:t>
      </w:r>
    </w:p>
    <w:p w:rsidR="00615A40" w:rsidRPr="00587F72" w:rsidRDefault="00615A40" w:rsidP="00DF66C2">
      <w:pPr>
        <w:pStyle w:val="ListParagraph"/>
        <w:numPr>
          <w:ilvl w:val="0"/>
          <w:numId w:val="37"/>
        </w:numPr>
        <w:spacing w:line="480" w:lineRule="auto"/>
        <w:ind w:left="1560" w:hanging="426"/>
        <w:jc w:val="both"/>
        <w:rPr>
          <w:rFonts w:ascii="Times New Roman" w:hAnsi="Times New Roman"/>
          <w:sz w:val="24"/>
          <w:szCs w:val="24"/>
        </w:rPr>
      </w:pPr>
      <w:r w:rsidRPr="00587F72">
        <w:rPr>
          <w:rFonts w:ascii="Times New Roman" w:hAnsi="Times New Roman"/>
          <w:sz w:val="24"/>
          <w:szCs w:val="24"/>
        </w:rPr>
        <w:t xml:space="preserve">  (Third Mission) </w:t>
      </w:r>
      <w:r w:rsidRPr="00587F72">
        <w:rPr>
          <w:rFonts w:ascii="Times New Roman" w:hAnsi="Times New Roman"/>
          <w:i/>
          <w:sz w:val="24"/>
          <w:szCs w:val="24"/>
        </w:rPr>
        <w:t>IAEA Review Mission on Mid-and-Long-Term Roadmap</w:t>
      </w:r>
      <w:r w:rsidRPr="00587F72">
        <w:rPr>
          <w:rFonts w:ascii="Times New Roman" w:hAnsi="Times New Roman"/>
          <w:sz w:val="24"/>
          <w:szCs w:val="24"/>
        </w:rPr>
        <w:t xml:space="preserve"> menuju penonaktifan TEPCO PLTN Fukushima Daiichi unit 1-4 (9-17 Februari 2015).</w:t>
      </w:r>
    </w:p>
    <w:p w:rsidR="00615A40" w:rsidRPr="00587F72" w:rsidRDefault="00615A40" w:rsidP="00615A40">
      <w:pPr>
        <w:pStyle w:val="ListParagraph"/>
        <w:spacing w:line="240" w:lineRule="auto"/>
        <w:jc w:val="both"/>
        <w:rPr>
          <w:rFonts w:ascii="Times New Roman" w:hAnsi="Times New Roman"/>
          <w:sz w:val="24"/>
          <w:szCs w:val="24"/>
        </w:rPr>
      </w:pPr>
      <w:r w:rsidRPr="00587F72">
        <w:rPr>
          <w:rFonts w:ascii="Times New Roman" w:hAnsi="Times New Roman"/>
          <w:sz w:val="24"/>
          <w:szCs w:val="24"/>
        </w:rPr>
        <w:t xml:space="preserve"> </w:t>
      </w:r>
    </w:p>
    <w:p w:rsidR="00615A40" w:rsidRPr="00587F72" w:rsidRDefault="00615A40" w:rsidP="00615A40">
      <w:pPr>
        <w:pStyle w:val="ListParagraph"/>
        <w:tabs>
          <w:tab w:val="left" w:pos="1134"/>
        </w:tabs>
        <w:spacing w:after="0" w:line="480" w:lineRule="auto"/>
        <w:ind w:left="1134" w:firstLine="709"/>
        <w:jc w:val="both"/>
        <w:rPr>
          <w:rFonts w:ascii="Times New Roman" w:hAnsi="Times New Roman"/>
          <w:sz w:val="24"/>
          <w:szCs w:val="24"/>
        </w:rPr>
      </w:pPr>
      <w:r w:rsidRPr="00587F72">
        <w:rPr>
          <w:rFonts w:ascii="Times New Roman" w:hAnsi="Times New Roman"/>
          <w:sz w:val="24"/>
          <w:szCs w:val="24"/>
        </w:rPr>
        <w:t>Dan beberapa misi yang membantu dalam proses dekomisioning PLTN Fukushima Daiichi unit 1-4, yaitu:</w:t>
      </w:r>
    </w:p>
    <w:p w:rsidR="00615A40" w:rsidRPr="00587F72" w:rsidRDefault="00615A40" w:rsidP="00DF66C2">
      <w:pPr>
        <w:pStyle w:val="ListParagraph"/>
        <w:numPr>
          <w:ilvl w:val="0"/>
          <w:numId w:val="38"/>
        </w:numPr>
        <w:spacing w:after="0" w:line="480" w:lineRule="auto"/>
        <w:ind w:left="1560" w:hanging="426"/>
        <w:jc w:val="both"/>
        <w:rPr>
          <w:rFonts w:ascii="Times New Roman" w:hAnsi="Times New Roman"/>
          <w:sz w:val="24"/>
          <w:szCs w:val="24"/>
        </w:rPr>
      </w:pPr>
      <w:r w:rsidRPr="00587F72">
        <w:rPr>
          <w:rFonts w:ascii="Times New Roman" w:hAnsi="Times New Roman"/>
          <w:sz w:val="24"/>
          <w:szCs w:val="24"/>
        </w:rPr>
        <w:t xml:space="preserve">  (Fourth Mission) </w:t>
      </w:r>
      <w:r w:rsidRPr="00587F72">
        <w:rPr>
          <w:rFonts w:ascii="Times New Roman" w:hAnsi="Times New Roman"/>
          <w:i/>
          <w:sz w:val="24"/>
          <w:szCs w:val="24"/>
        </w:rPr>
        <w:t xml:space="preserve">Mission to gather seawater samples </w:t>
      </w:r>
      <w:r w:rsidRPr="00587F72">
        <w:rPr>
          <w:rFonts w:ascii="Times New Roman" w:hAnsi="Times New Roman"/>
          <w:sz w:val="24"/>
          <w:szCs w:val="24"/>
        </w:rPr>
        <w:t>(mengumpulkan sampel air laut) (September – November 2014);</w:t>
      </w:r>
    </w:p>
    <w:p w:rsidR="00615A40" w:rsidRPr="00587F72" w:rsidRDefault="00615A40" w:rsidP="00DF66C2">
      <w:pPr>
        <w:pStyle w:val="ListParagraph"/>
        <w:numPr>
          <w:ilvl w:val="0"/>
          <w:numId w:val="38"/>
        </w:numPr>
        <w:spacing w:after="0" w:line="480" w:lineRule="auto"/>
        <w:ind w:left="1560" w:hanging="426"/>
        <w:jc w:val="both"/>
        <w:rPr>
          <w:rFonts w:ascii="Times New Roman" w:hAnsi="Times New Roman"/>
          <w:sz w:val="24"/>
          <w:szCs w:val="24"/>
        </w:rPr>
      </w:pPr>
      <w:r w:rsidRPr="00587F72">
        <w:rPr>
          <w:rFonts w:ascii="Times New Roman" w:hAnsi="Times New Roman"/>
          <w:sz w:val="24"/>
          <w:szCs w:val="24"/>
        </w:rPr>
        <w:t xml:space="preserve">  (Fifth Mission) </w:t>
      </w:r>
      <w:r w:rsidRPr="00587F72">
        <w:rPr>
          <w:rFonts w:ascii="Times New Roman" w:hAnsi="Times New Roman"/>
          <w:i/>
          <w:sz w:val="24"/>
          <w:szCs w:val="24"/>
        </w:rPr>
        <w:t xml:space="preserve">Mission to collect sediment samples </w:t>
      </w:r>
      <w:r w:rsidRPr="00587F72">
        <w:rPr>
          <w:rFonts w:ascii="Times New Roman" w:hAnsi="Times New Roman"/>
          <w:sz w:val="24"/>
          <w:szCs w:val="24"/>
        </w:rPr>
        <w:t>(mengumpulkan sampel tanah) (Mei 2015 dan Mei 2016);</w:t>
      </w:r>
    </w:p>
    <w:p w:rsidR="00615A40" w:rsidRPr="00587F72" w:rsidRDefault="00615A40" w:rsidP="00DF66C2">
      <w:pPr>
        <w:numPr>
          <w:ilvl w:val="0"/>
          <w:numId w:val="38"/>
        </w:numPr>
        <w:spacing w:line="480" w:lineRule="auto"/>
        <w:ind w:left="1560" w:hanging="426"/>
        <w:jc w:val="both"/>
        <w:rPr>
          <w:rFonts w:ascii="Times New Roman" w:hAnsi="Times New Roman"/>
          <w:sz w:val="24"/>
          <w:szCs w:val="24"/>
        </w:rPr>
      </w:pPr>
      <w:r w:rsidRPr="00587F72">
        <w:rPr>
          <w:rFonts w:ascii="Times New Roman" w:hAnsi="Times New Roman"/>
          <w:sz w:val="24"/>
          <w:szCs w:val="24"/>
        </w:rPr>
        <w:t xml:space="preserve">  (Sixth Mission) </w:t>
      </w:r>
      <w:r w:rsidRPr="00587F72">
        <w:rPr>
          <w:rFonts w:ascii="Times New Roman" w:hAnsi="Times New Roman"/>
          <w:i/>
          <w:sz w:val="24"/>
          <w:szCs w:val="24"/>
        </w:rPr>
        <w:t xml:space="preserve">Mission to collect marine sample from coastal waters off </w:t>
      </w:r>
      <w:proofErr w:type="gramStart"/>
      <w:r w:rsidRPr="00587F72">
        <w:rPr>
          <w:rFonts w:ascii="Times New Roman" w:hAnsi="Times New Roman"/>
          <w:i/>
          <w:sz w:val="24"/>
          <w:szCs w:val="24"/>
        </w:rPr>
        <w:t>fukushima</w:t>
      </w:r>
      <w:proofErr w:type="gramEnd"/>
      <w:r w:rsidRPr="00587F72">
        <w:rPr>
          <w:rFonts w:ascii="Times New Roman" w:hAnsi="Times New Roman"/>
          <w:i/>
          <w:sz w:val="24"/>
          <w:szCs w:val="24"/>
        </w:rPr>
        <w:t xml:space="preserve"> prefecture</w:t>
      </w:r>
      <w:r w:rsidRPr="00587F72">
        <w:rPr>
          <w:rFonts w:ascii="Times New Roman" w:hAnsi="Times New Roman"/>
          <w:sz w:val="24"/>
          <w:szCs w:val="24"/>
        </w:rPr>
        <w:t xml:space="preserve"> (mengumpulkan sampel laut dari perairan pantai Prefektur Fukushima) (14-18 November 2016).</w:t>
      </w:r>
    </w:p>
    <w:p w:rsidR="00615A40" w:rsidRDefault="00615A40" w:rsidP="00615A40">
      <w:pPr>
        <w:spacing w:line="480" w:lineRule="auto"/>
        <w:ind w:left="1134" w:firstLine="709"/>
        <w:jc w:val="both"/>
        <w:rPr>
          <w:rFonts w:ascii="Times New Roman" w:hAnsi="Times New Roman"/>
          <w:sz w:val="24"/>
          <w:szCs w:val="24"/>
        </w:rPr>
      </w:pPr>
      <w:r w:rsidRPr="00587F72">
        <w:rPr>
          <w:rFonts w:ascii="Times New Roman" w:hAnsi="Times New Roman"/>
          <w:i/>
          <w:sz w:val="24"/>
          <w:szCs w:val="24"/>
        </w:rPr>
        <w:t>IAEA Review Mission on Mid-and-Long-Term Roadmap</w:t>
      </w:r>
      <w:r w:rsidRPr="00587F72">
        <w:rPr>
          <w:rFonts w:ascii="Times New Roman" w:hAnsi="Times New Roman"/>
          <w:sz w:val="24"/>
          <w:szCs w:val="24"/>
        </w:rPr>
        <w:t xml:space="preserve"> menuju penonaktifan TEPCO PLTN Fukushima Daiichi unit 1-4</w:t>
      </w:r>
      <w:r>
        <w:rPr>
          <w:rFonts w:ascii="Times New Roman" w:hAnsi="Times New Roman"/>
          <w:sz w:val="24"/>
          <w:szCs w:val="24"/>
        </w:rPr>
        <w:t xml:space="preserve"> merupakan sebuah proses yang disarankan oleh IAEA dan IAEA secara langsung membantu dalam proses dekomisioning secara bertahap. Review mission merupakan bentuk kerjasama IAEA dengan pemerintah Jepang khususnya prefektur Fukushima yang bertujuan untuk menyempurnakan program IAEA Action Plan on Nuclear Safety dan membantu jepang dalam dekomisioning, dekontaminasi, </w:t>
      </w:r>
      <w:r>
        <w:rPr>
          <w:rFonts w:ascii="Times New Roman" w:hAnsi="Times New Roman"/>
          <w:sz w:val="24"/>
          <w:szCs w:val="24"/>
        </w:rPr>
        <w:lastRenderedPageBreak/>
        <w:t>revitalisasi, dan penyelesaian dampak radiasi di wilayah prefektur Fukushima.</w:t>
      </w:r>
    </w:p>
    <w:p w:rsidR="00615A40" w:rsidRPr="00646920" w:rsidRDefault="00615A40" w:rsidP="00615A40">
      <w:pPr>
        <w:spacing w:line="480" w:lineRule="auto"/>
        <w:ind w:left="1134" w:firstLine="709"/>
        <w:jc w:val="both"/>
        <w:rPr>
          <w:rFonts w:ascii="Times New Roman" w:hAnsi="Times New Roman"/>
          <w:sz w:val="24"/>
          <w:szCs w:val="24"/>
        </w:rPr>
      </w:pPr>
    </w:p>
    <w:p w:rsidR="00615A40" w:rsidRDefault="00615A40" w:rsidP="000546E8">
      <w:pPr>
        <w:pStyle w:val="ListParagraph"/>
        <w:numPr>
          <w:ilvl w:val="0"/>
          <w:numId w:val="39"/>
        </w:numPr>
        <w:spacing w:after="0" w:line="480" w:lineRule="auto"/>
        <w:ind w:left="709" w:hanging="436"/>
        <w:jc w:val="both"/>
        <w:outlineLvl w:val="1"/>
        <w:rPr>
          <w:rFonts w:ascii="Times New Roman" w:hAnsi="Times New Roman"/>
          <w:b/>
          <w:sz w:val="24"/>
          <w:szCs w:val="24"/>
        </w:rPr>
      </w:pPr>
      <w:bookmarkStart w:id="24" w:name="_Toc485543858"/>
      <w:bookmarkStart w:id="25" w:name="_Toc485576249"/>
      <w:r>
        <w:rPr>
          <w:rFonts w:ascii="Times New Roman" w:hAnsi="Times New Roman"/>
          <w:b/>
          <w:sz w:val="24"/>
          <w:szCs w:val="24"/>
        </w:rPr>
        <w:t>Perbandingan Fukushima Daiichi dengan Chernobyl</w:t>
      </w:r>
      <w:bookmarkEnd w:id="24"/>
      <w:bookmarkEnd w:id="25"/>
    </w:p>
    <w:p w:rsidR="00615A40" w:rsidRDefault="00615A40" w:rsidP="00615A40">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Kecelakaan nuklir merupakan salah satu peristiwa yang mengkhawatirkan bagi seluruh dunia. Radiasi nuklir merupakan sebuah partikel yang bahkan tidak terlihat oleh indera penglihatan, maka dari itu sebuah kecelakaan nuklir mengkhawatirkan, jika manusia terkena paparan dengan tingkat radiasi yang tinggi hal tersebut dapat mematikan manusia dalam beberapa jam saja. PLTN Fukushima Daiichi yang berada di prefektur Fukushima, Jepang, dan PLTN Chernobyl, Uni Soviet (Rusia saat ini) keduanya merupakan peristiwa yang sama, dengan skala yang sama, yakni sebesar 7 skala INES (yang mana digolongkan sebagai major accident). Keduanya sama-sama mematikan, namun berbeda dengan peristiwa di PLTN Fukushima Daiichi, di prefektur Fukushima, jumlah korban yang disebabkan oleh peristiwa tersebut sangatlah rendah, jika dibandingkan dengan PLTN Chernobyl. </w:t>
      </w:r>
    </w:p>
    <w:p w:rsidR="00615A40" w:rsidRDefault="00615A40" w:rsidP="00615A40">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Kecelakaan nuklir PLTN Chernobyl terjadi pada tahun 1986. Kecelakaan nuklir PLTN Chernobyl merupakan kecelakaan yang terbesar sepanjang sejarah industri pembangkit listrik tenaga nuklir, dan menyebabkan radiasi nuklir yang menyebar luas di hampir sebagian wilayah Belarusia, Ukraina dan Federasi Rusia. Dan merupakan kecelakaan nuklir dengan tingkat kematian yang sangat tinggi, yang diakibatkan oleh radiasi nuklir.</w:t>
      </w:r>
    </w:p>
    <w:p w:rsidR="00BF56F5" w:rsidRDefault="00615A40" w:rsidP="00615A40">
      <w:pPr>
        <w:pStyle w:val="ListParagraph"/>
        <w:spacing w:after="0" w:line="480" w:lineRule="auto"/>
        <w:ind w:left="709" w:firstLine="709"/>
        <w:jc w:val="both"/>
        <w:rPr>
          <w:rFonts w:ascii="Times New Roman" w:hAnsi="Times New Roman"/>
          <w:sz w:val="24"/>
          <w:szCs w:val="24"/>
        </w:rPr>
        <w:sectPr w:rsidR="00BF56F5" w:rsidSect="003F7D19">
          <w:headerReference w:type="default" r:id="rId25"/>
          <w:footerReference w:type="default" r:id="rId26"/>
          <w:pgSz w:w="11907" w:h="16839" w:code="9"/>
          <w:pgMar w:top="1701" w:right="1701" w:bottom="1701" w:left="2268" w:header="720" w:footer="720" w:gutter="0"/>
          <w:pgNumType w:start="65"/>
          <w:cols w:space="720"/>
          <w:docGrid w:linePitch="360"/>
        </w:sectPr>
      </w:pPr>
      <w:r>
        <w:rPr>
          <w:rFonts w:ascii="Times New Roman" w:hAnsi="Times New Roman"/>
          <w:sz w:val="24"/>
          <w:szCs w:val="24"/>
        </w:rPr>
        <w:lastRenderedPageBreak/>
        <w:t>Sudah 31 tahun Chernobyl dan 6 tahun untuk Fukushima Daiichi</w:t>
      </w:r>
      <w:r>
        <w:rPr>
          <w:rStyle w:val="FootnoteReference"/>
          <w:rFonts w:ascii="Times New Roman" w:hAnsi="Times New Roman"/>
          <w:sz w:val="24"/>
          <w:szCs w:val="24"/>
        </w:rPr>
        <w:footnoteReference w:id="19"/>
      </w:r>
      <w:r>
        <w:rPr>
          <w:rFonts w:ascii="Times New Roman" w:hAnsi="Times New Roman"/>
          <w:sz w:val="24"/>
          <w:szCs w:val="24"/>
        </w:rPr>
        <w:t xml:space="preserve">, namun dekontaminasi dan proses dekomisioning masih terus berlanjut hingga saat ini. Proses dekomisioning sebuah reaktor nuklir di pembangkit listrik tenaga nuklir </w:t>
      </w:r>
      <w:proofErr w:type="gramStart"/>
      <w:r>
        <w:rPr>
          <w:rFonts w:ascii="Times New Roman" w:hAnsi="Times New Roman"/>
          <w:sz w:val="24"/>
          <w:szCs w:val="24"/>
        </w:rPr>
        <w:t>akan</w:t>
      </w:r>
      <w:proofErr w:type="gramEnd"/>
      <w:r>
        <w:rPr>
          <w:rFonts w:ascii="Times New Roman" w:hAnsi="Times New Roman"/>
          <w:sz w:val="24"/>
          <w:szCs w:val="24"/>
        </w:rPr>
        <w:t xml:space="preserve"> berlangsung selama puluhan tahun, namun radiasi yang terkandung dalam wilayah tersebut akan terus berkurang seiring dengan proses penyelesaian dampak radiasi yang dilakukan oleh IAEA dengan negara atau pemerintahan yang bersangkutan. IAEA sebagai badan pengawas tenaga nuklir telah memberikan kontribusi yang sangat besar, sehingga proses dekomisioning dapat terlaksana dan dapat meminimalisir dampak kecelakaan nuklir.</w:t>
      </w:r>
      <w:r w:rsidR="00BF56F5">
        <w:rPr>
          <w:rFonts w:ascii="Times New Roman" w:hAnsi="Times New Roman"/>
          <w:sz w:val="24"/>
          <w:szCs w:val="24"/>
        </w:rPr>
        <w:t xml:space="preserve"> </w:t>
      </w:r>
    </w:p>
    <w:p w:rsidR="0029123D" w:rsidRPr="00A84649" w:rsidRDefault="0029123D" w:rsidP="00455796">
      <w:pPr>
        <w:pStyle w:val="Heading1"/>
        <w:jc w:val="center"/>
        <w:rPr>
          <w:szCs w:val="24"/>
        </w:rPr>
      </w:pPr>
    </w:p>
    <w:sectPr w:rsidR="0029123D" w:rsidRPr="00A84649" w:rsidSect="00455796">
      <w:headerReference w:type="default" r:id="rId27"/>
      <w:footerReference w:type="default" r:id="rId28"/>
      <w:pgSz w:w="11907" w:h="16839" w:code="9"/>
      <w:pgMar w:top="1701" w:right="1701" w:bottom="1701" w:left="2268" w:header="720" w:footer="720" w:gutter="0"/>
      <w:pgNumType w:start="8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E21" w:rsidRDefault="00D35E21" w:rsidP="00BA13E1">
      <w:pPr>
        <w:spacing w:after="0" w:line="240" w:lineRule="auto"/>
      </w:pPr>
      <w:r>
        <w:separator/>
      </w:r>
    </w:p>
  </w:endnote>
  <w:endnote w:type="continuationSeparator" w:id="0">
    <w:p w:rsidR="00D35E21" w:rsidRDefault="00D35E21" w:rsidP="00BA1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3C" w:rsidRDefault="0020773C">
    <w:pPr>
      <w:pStyle w:val="Footer"/>
      <w:jc w:val="center"/>
    </w:pPr>
    <w:r>
      <w:fldChar w:fldCharType="begin"/>
    </w:r>
    <w:r>
      <w:instrText xml:space="preserve"> PAGE   \* MERGEFORMAT </w:instrText>
    </w:r>
    <w:r>
      <w:fldChar w:fldCharType="separate"/>
    </w:r>
    <w:r w:rsidR="00455796">
      <w:rPr>
        <w:noProof/>
      </w:rPr>
      <w:t>63</w:t>
    </w:r>
    <w:r>
      <w:rPr>
        <w:noProof/>
      </w:rPr>
      <w:fldChar w:fldCharType="end"/>
    </w:r>
  </w:p>
  <w:p w:rsidR="0020773C" w:rsidRDefault="002077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3C" w:rsidRDefault="002077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3C" w:rsidRDefault="002077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3C" w:rsidRDefault="0020773C">
    <w:pPr>
      <w:pStyle w:val="Footer"/>
      <w:jc w:val="center"/>
    </w:pPr>
  </w:p>
  <w:p w:rsidR="0020773C" w:rsidRDefault="00207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E21" w:rsidRDefault="00D35E21" w:rsidP="00BA13E1">
      <w:pPr>
        <w:spacing w:after="0" w:line="240" w:lineRule="auto"/>
      </w:pPr>
      <w:r>
        <w:separator/>
      </w:r>
    </w:p>
  </w:footnote>
  <w:footnote w:type="continuationSeparator" w:id="0">
    <w:p w:rsidR="00D35E21" w:rsidRDefault="00D35E21" w:rsidP="00BA13E1">
      <w:pPr>
        <w:spacing w:after="0" w:line="240" w:lineRule="auto"/>
      </w:pPr>
      <w:r>
        <w:continuationSeparator/>
      </w:r>
    </w:p>
  </w:footnote>
  <w:footnote w:id="1">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“Inside the Fukushima Daiichi Reactors”, dalam </w:t>
      </w:r>
      <w:hyperlink r:id="rId1" w:history="1">
        <w:r w:rsidRPr="0085385B">
          <w:rPr>
            <w:rStyle w:val="Hyperlink"/>
            <w:rFonts w:ascii="Times New Roman" w:hAnsi="Times New Roman"/>
          </w:rPr>
          <w:t>http://www.world-nuclear.org/information-library/safety-and-security/safety-of-plants/fukushima-accident.aspx</w:t>
        </w:r>
      </w:hyperlink>
      <w:r>
        <w:rPr>
          <w:rFonts w:ascii="Times New Roman" w:hAnsi="Times New Roman"/>
        </w:rPr>
        <w:t>, diakses pada tanggal 14 M</w:t>
      </w:r>
      <w:r w:rsidRPr="0085385B">
        <w:rPr>
          <w:rFonts w:ascii="Times New Roman" w:hAnsi="Times New Roman"/>
        </w:rPr>
        <w:t>ei 2017.</w:t>
      </w:r>
    </w:p>
  </w:footnote>
  <w:footnote w:id="2">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Pr>
          <w:rFonts w:ascii="Times New Roman" w:hAnsi="Times New Roman"/>
        </w:rPr>
        <w:t xml:space="preserve"> TEPCO Annual Report 2012, h</w:t>
      </w:r>
      <w:r w:rsidRPr="0085385B">
        <w:rPr>
          <w:rFonts w:ascii="Times New Roman" w:hAnsi="Times New Roman"/>
        </w:rPr>
        <w:t>l</w:t>
      </w:r>
      <w:r>
        <w:rPr>
          <w:rFonts w:ascii="Times New Roman" w:hAnsi="Times New Roman"/>
        </w:rPr>
        <w:t>m</w:t>
      </w:r>
      <w:r w:rsidRPr="0085385B">
        <w:rPr>
          <w:rFonts w:ascii="Times New Roman" w:hAnsi="Times New Roman"/>
        </w:rPr>
        <w:t>. 3.</w:t>
      </w:r>
    </w:p>
  </w:footnote>
  <w:footnote w:id="3">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“Nuclear Damage Compensation and Decommissioning Facilitation Corporation”, dalam </w:t>
      </w:r>
      <w:hyperlink r:id="rId2" w:history="1">
        <w:r w:rsidRPr="0085385B">
          <w:rPr>
            <w:rStyle w:val="Hyperlink"/>
            <w:rFonts w:ascii="Times New Roman" w:hAnsi="Times New Roman"/>
            <w:shd w:val="clear" w:color="auto" w:fill="FFFFFF"/>
          </w:rPr>
          <w:t>www.ndf.go.jp/soshiki/pamph_e.pdf</w:t>
        </w:r>
      </w:hyperlink>
      <w:r w:rsidRPr="0085385B">
        <w:rPr>
          <w:rFonts w:ascii="Times New Roman" w:hAnsi="Times New Roman"/>
          <w:shd w:val="clear" w:color="auto" w:fill="FFFFFF"/>
        </w:rPr>
        <w:t>, diakses pada tanggal 16 Mei 2017.</w:t>
      </w:r>
    </w:p>
  </w:footnote>
  <w:footnote w:id="4">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“Fukushima Accident (Updated April 2017)”, dalam </w:t>
      </w:r>
      <w:hyperlink r:id="rId3" w:history="1">
        <w:r w:rsidRPr="0085385B">
          <w:rPr>
            <w:rStyle w:val="Hyperlink"/>
            <w:rFonts w:ascii="Times New Roman" w:hAnsi="Times New Roman"/>
          </w:rPr>
          <w:t>http://www.world-nuclear.org/information-library/safety-and-security/safety-of-plants/fukushima-accident.aspx</w:t>
        </w:r>
      </w:hyperlink>
      <w:r w:rsidRPr="0085385B">
        <w:rPr>
          <w:rFonts w:ascii="Times New Roman" w:hAnsi="Times New Roman"/>
        </w:rPr>
        <w:t>, diakses pada tanggal 15 Mei 2017.</w:t>
      </w:r>
    </w:p>
  </w:footnote>
  <w:footnote w:id="5">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“Fukushima, Chernobyl and the Nuclear Event Scale”, dalam </w:t>
      </w:r>
      <w:hyperlink r:id="rId4" w:history="1">
        <w:r w:rsidRPr="0085385B">
          <w:rPr>
            <w:rStyle w:val="Hyperlink"/>
            <w:rFonts w:ascii="Times New Roman" w:hAnsi="Times New Roman"/>
          </w:rPr>
          <w:t>https://www.nei.org/News-Media/News/News-Archives/fukushima-chernobyl-and-the-nuclear-event-scale</w:t>
        </w:r>
      </w:hyperlink>
      <w:r w:rsidRPr="0085385B">
        <w:rPr>
          <w:rFonts w:ascii="Times New Roman" w:hAnsi="Times New Roman"/>
        </w:rPr>
        <w:t>, diakses pada tanggal 16 Mei 2017.</w:t>
      </w:r>
    </w:p>
  </w:footnote>
  <w:footnote w:id="6">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“Description of INES”, dalam </w:t>
      </w:r>
      <w:hyperlink r:id="rId5" w:history="1">
        <w:r w:rsidRPr="0085385B">
          <w:rPr>
            <w:rStyle w:val="Hyperlink"/>
            <w:rFonts w:ascii="Times New Roman" w:hAnsi="Times New Roman"/>
          </w:rPr>
          <w:t>http://www-ns.iaea.org/tech-areas/emergency/ines.asp</w:t>
        </w:r>
      </w:hyperlink>
      <w:r w:rsidRPr="0085385B">
        <w:rPr>
          <w:rFonts w:ascii="Times New Roman" w:hAnsi="Times New Roman"/>
        </w:rPr>
        <w:t>, diakses pada tanggal 16 Mei 2017.</w:t>
      </w:r>
    </w:p>
  </w:footnote>
  <w:footnote w:id="7">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Björn Wahlström. 1995. </w:t>
      </w:r>
      <w:r w:rsidRPr="0085385B">
        <w:rPr>
          <w:rFonts w:ascii="Times New Roman" w:hAnsi="Times New Roman"/>
          <w:i/>
        </w:rPr>
        <w:t>Understanding Radiation</w:t>
      </w:r>
      <w:r w:rsidRPr="0085385B">
        <w:rPr>
          <w:rFonts w:ascii="Times New Roman" w:hAnsi="Times New Roman"/>
        </w:rPr>
        <w:t>. United States of America: Medical Physics Publishing, hal 87.</w:t>
      </w:r>
    </w:p>
  </w:footnote>
  <w:footnote w:id="8">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“Radioactive Releases to Air”, dalam </w:t>
      </w:r>
      <w:hyperlink r:id="rId6" w:history="1">
        <w:r w:rsidRPr="0085385B">
          <w:rPr>
            <w:rStyle w:val="Hyperlink"/>
            <w:rFonts w:ascii="Times New Roman" w:hAnsi="Times New Roman"/>
          </w:rPr>
          <w:t>http://www.world-nuclear.org/information-library/safety-and-security/safety-of-plants/fukushima-accident.aspx</w:t>
        </w:r>
      </w:hyperlink>
      <w:r w:rsidRPr="0085385B">
        <w:rPr>
          <w:rFonts w:ascii="Times New Roman" w:hAnsi="Times New Roman"/>
        </w:rPr>
        <w:t>, diakses pada tanggal 17 Mei 2017.</w:t>
      </w:r>
    </w:p>
  </w:footnote>
  <w:footnote w:id="9">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Pengertian Sievert, yang berarti dosis radiasi; dosis yang diterima dalam satu jam pada jarak 1 cm dari paparan radiasi., dalam </w:t>
      </w:r>
      <w:hyperlink r:id="rId7" w:history="1">
        <w:r w:rsidRPr="0085385B">
          <w:rPr>
            <w:rStyle w:val="Hyperlink"/>
            <w:rFonts w:ascii="Times New Roman" w:hAnsi="Times New Roman"/>
          </w:rPr>
          <w:t>http://kamus-internasional.com/definitions/?indonesian_word=sievert</w:t>
        </w:r>
      </w:hyperlink>
      <w:r w:rsidRPr="0085385B">
        <w:rPr>
          <w:rFonts w:ascii="Times New Roman" w:hAnsi="Times New Roman"/>
        </w:rPr>
        <w:t>, diakses pada tanggal 17 Mei 2017.</w:t>
      </w:r>
    </w:p>
  </w:footnote>
  <w:footnote w:id="10">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“Dosis Serap Radiasi”, dalam </w:t>
      </w:r>
      <w:hyperlink r:id="rId8" w:history="1">
        <w:r w:rsidRPr="0085385B">
          <w:rPr>
            <w:rStyle w:val="Hyperlink"/>
            <w:rFonts w:ascii="Times New Roman" w:hAnsi="Times New Roman"/>
          </w:rPr>
          <w:t>http://www.batan.go.id/ensiklopedi/08/01/02/01/08-01-02-01.html</w:t>
        </w:r>
      </w:hyperlink>
      <w:r w:rsidRPr="0085385B">
        <w:rPr>
          <w:rFonts w:ascii="Times New Roman" w:hAnsi="Times New Roman"/>
        </w:rPr>
        <w:t>, diakses pada tanggal 17 Mei 2017.</w:t>
      </w:r>
    </w:p>
  </w:footnote>
  <w:footnote w:id="11">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“Requirement for Radiation and Non-Radiation Workers”, dalam </w:t>
      </w:r>
      <w:hyperlink r:id="rId9" w:history="1">
        <w:r w:rsidRPr="0085385B">
          <w:rPr>
            <w:rStyle w:val="Hyperlink"/>
            <w:rFonts w:ascii="Times New Roman" w:hAnsi="Times New Roman"/>
          </w:rPr>
          <w:t>https://www.mcgill.ca/ehs/laboratory/radiation/manual/3</w:t>
        </w:r>
      </w:hyperlink>
      <w:r w:rsidRPr="0085385B">
        <w:rPr>
          <w:rFonts w:ascii="Times New Roman" w:hAnsi="Times New Roman"/>
        </w:rPr>
        <w:t>, diakses pada tanggal 17 Mei 2017.</w:t>
      </w:r>
    </w:p>
  </w:footnote>
  <w:footnote w:id="12">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“Fukushima”, dalam </w:t>
      </w:r>
      <w:hyperlink r:id="rId10" w:history="1">
        <w:r w:rsidRPr="0085385B">
          <w:rPr>
            <w:rStyle w:val="Hyperlink"/>
            <w:rFonts w:ascii="Times New Roman" w:hAnsi="Times New Roman"/>
          </w:rPr>
          <w:t>https://www.britannica.com/place/Fukushima-prefecture-Japan</w:t>
        </w:r>
      </w:hyperlink>
      <w:r w:rsidRPr="0085385B">
        <w:rPr>
          <w:rFonts w:ascii="Times New Roman" w:hAnsi="Times New Roman"/>
        </w:rPr>
        <w:t>, diakses pada tanggal 17 Mei 2017.</w:t>
      </w:r>
    </w:p>
  </w:footnote>
  <w:footnote w:id="13">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“11-3-2011: Gempa 9 SR Jepang, Tsunami dan Supermoon”, dalam </w:t>
      </w:r>
      <w:hyperlink r:id="rId11" w:history="1">
        <w:r w:rsidRPr="0085385B">
          <w:rPr>
            <w:rStyle w:val="Hyperlink"/>
            <w:rFonts w:ascii="Times New Roman" w:hAnsi="Times New Roman"/>
          </w:rPr>
          <w:t>http://global.liputan6.com/read/2188739/11-3-2011-gempa-9-sr-jepang-tsunami-dan-supermoon</w:t>
        </w:r>
      </w:hyperlink>
      <w:r w:rsidRPr="0085385B">
        <w:rPr>
          <w:rFonts w:ascii="Times New Roman" w:hAnsi="Times New Roman"/>
        </w:rPr>
        <w:t>, diakses pada tanggal 19 Mei 2017.</w:t>
      </w:r>
    </w:p>
  </w:footnote>
  <w:footnote w:id="14">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Steps for Revitalization in Fukushima. 2017. Fukushima Prefecture.</w:t>
      </w:r>
    </w:p>
  </w:footnote>
  <w:footnote w:id="15">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Memorandum of Cooperation between Fukushima Prefecture and the International Atomic Energy Agency Following the Accident at TEPCO’s Fukushima Daiichi Nuclear Power Station. 2012. Fukushima Prefecture.</w:t>
      </w:r>
    </w:p>
  </w:footnote>
  <w:footnote w:id="16">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“Cooperation with Fukushima Prefecture in the area of radiation monitoring and remediation”, dalam </w:t>
      </w:r>
      <w:hyperlink r:id="rId12" w:history="1">
        <w:r w:rsidRPr="0085385B">
          <w:rPr>
            <w:rStyle w:val="Hyperlink"/>
            <w:rFonts w:ascii="Times New Roman" w:hAnsi="Times New Roman"/>
          </w:rPr>
          <w:t>https://www.iaea.org/topics/radiation-protection/cooperation-fukushima-prefecture</w:t>
        </w:r>
      </w:hyperlink>
      <w:r w:rsidRPr="0085385B">
        <w:rPr>
          <w:rFonts w:ascii="Times New Roman" w:hAnsi="Times New Roman"/>
        </w:rPr>
        <w:t>, diakses pada tanggal 19 Mei 2017.</w:t>
      </w:r>
    </w:p>
  </w:footnote>
  <w:footnote w:id="17">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Pesawat tanpa awak atau Unmanned Aerial Vehicle (UAV) or known as drone. Dalam, </w:t>
      </w:r>
      <w:hyperlink r:id="rId13" w:history="1">
        <w:r w:rsidRPr="0085385B">
          <w:rPr>
            <w:rStyle w:val="Hyperlink"/>
            <w:rFonts w:ascii="Times New Roman" w:hAnsi="Times New Roman"/>
          </w:rPr>
          <w:t>https://www.britannica.com/technology/unmanned-aerial-vehicle</w:t>
        </w:r>
      </w:hyperlink>
      <w:r w:rsidRPr="0085385B">
        <w:rPr>
          <w:rFonts w:ascii="Times New Roman" w:hAnsi="Times New Roman"/>
        </w:rPr>
        <w:t>, diakses pada tanggal 19 Mei 2017.</w:t>
      </w:r>
    </w:p>
  </w:footnote>
  <w:footnote w:id="18">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“IAEA Action Plan on Nuclear Safety”, dalam </w:t>
      </w:r>
      <w:hyperlink r:id="rId14" w:history="1">
        <w:r w:rsidRPr="0085385B">
          <w:rPr>
            <w:rStyle w:val="Hyperlink"/>
            <w:rFonts w:ascii="Times New Roman" w:hAnsi="Times New Roman"/>
          </w:rPr>
          <w:t>https://www.iaea.org/newscenter/focus/nuclear-safety-action-plan</w:t>
        </w:r>
      </w:hyperlink>
      <w:r w:rsidR="00D9733D">
        <w:rPr>
          <w:rStyle w:val="Hyperlink"/>
          <w:rFonts w:ascii="Times New Roman" w:hAnsi="Times New Roman"/>
        </w:rPr>
        <w:t>,</w:t>
      </w:r>
      <w:r w:rsidRPr="0085385B">
        <w:rPr>
          <w:rFonts w:ascii="Times New Roman" w:hAnsi="Times New Roman"/>
        </w:rPr>
        <w:t xml:space="preserve"> diakses pada tanggal 4 Mei 2017.</w:t>
      </w:r>
    </w:p>
  </w:footnote>
  <w:footnote w:id="19">
    <w:p w:rsidR="0020773C" w:rsidRPr="0085385B" w:rsidRDefault="0020773C" w:rsidP="00615A40">
      <w:pPr>
        <w:pStyle w:val="FootnoteText"/>
        <w:spacing w:after="0" w:line="240" w:lineRule="auto"/>
        <w:ind w:firstLine="709"/>
        <w:rPr>
          <w:rFonts w:ascii="Times New Roman" w:hAnsi="Times New Roman"/>
        </w:rPr>
      </w:pPr>
      <w:r w:rsidRPr="0085385B">
        <w:rPr>
          <w:rStyle w:val="FootnoteReference"/>
          <w:rFonts w:ascii="Times New Roman" w:hAnsi="Times New Roman"/>
        </w:rPr>
        <w:footnoteRef/>
      </w:r>
      <w:r w:rsidRPr="0085385B">
        <w:rPr>
          <w:rFonts w:ascii="Times New Roman" w:hAnsi="Times New Roman"/>
        </w:rPr>
        <w:t xml:space="preserve"> “5 Years Living with Fukushi</w:t>
      </w:r>
      <w:bookmarkStart w:id="26" w:name="_GoBack"/>
      <w:bookmarkEnd w:id="26"/>
      <w:r w:rsidRPr="0085385B">
        <w:rPr>
          <w:rFonts w:ascii="Times New Roman" w:hAnsi="Times New Roman"/>
        </w:rPr>
        <w:t xml:space="preserve">ma – 30 Years Living with Chernobyl”, dalam </w:t>
      </w:r>
      <w:hyperlink r:id="rId15" w:history="1">
        <w:r w:rsidRPr="0085385B">
          <w:rPr>
            <w:rStyle w:val="Hyperlink"/>
            <w:rFonts w:ascii="Times New Roman" w:hAnsi="Times New Roman"/>
          </w:rPr>
          <w:t>http://www.chernobylcongress.org/</w:t>
        </w:r>
      </w:hyperlink>
      <w:r w:rsidRPr="0085385B">
        <w:rPr>
          <w:rFonts w:ascii="Times New Roman" w:hAnsi="Times New Roman"/>
        </w:rPr>
        <w:t>, diakses pada tanggal 19 Mei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3C" w:rsidRDefault="0020773C">
    <w:pPr>
      <w:pStyle w:val="Header"/>
      <w:jc w:val="right"/>
    </w:pPr>
  </w:p>
  <w:p w:rsidR="0020773C" w:rsidRDefault="002077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3C" w:rsidRDefault="0020773C">
    <w:pPr>
      <w:pStyle w:val="Header"/>
      <w:jc w:val="right"/>
    </w:pPr>
    <w:r>
      <w:fldChar w:fldCharType="begin"/>
    </w:r>
    <w:r>
      <w:instrText xml:space="preserve"> PAGE   \* MERGEFORMAT </w:instrText>
    </w:r>
    <w:r>
      <w:fldChar w:fldCharType="separate"/>
    </w:r>
    <w:r w:rsidR="00455796">
      <w:rPr>
        <w:noProof/>
      </w:rPr>
      <w:t>64</w:t>
    </w:r>
    <w:r>
      <w:rPr>
        <w:noProof/>
      </w:rPr>
      <w:fldChar w:fldCharType="end"/>
    </w:r>
  </w:p>
  <w:p w:rsidR="0020773C" w:rsidRDefault="002077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3C" w:rsidRDefault="0020773C">
    <w:pPr>
      <w:pStyle w:val="Header"/>
      <w:jc w:val="right"/>
    </w:pPr>
    <w:r>
      <w:fldChar w:fldCharType="begin"/>
    </w:r>
    <w:r>
      <w:instrText xml:space="preserve"> PAGE   \* MERGEFORMAT </w:instrText>
    </w:r>
    <w:r>
      <w:fldChar w:fldCharType="separate"/>
    </w:r>
    <w:r w:rsidR="00455796">
      <w:rPr>
        <w:noProof/>
      </w:rPr>
      <w:t>82</w:t>
    </w:r>
    <w:r>
      <w:rPr>
        <w:noProof/>
      </w:rPr>
      <w:fldChar w:fldCharType="end"/>
    </w:r>
  </w:p>
  <w:p w:rsidR="0020773C" w:rsidRDefault="002077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73C" w:rsidRDefault="0020773C">
    <w:pPr>
      <w:pStyle w:val="Header"/>
      <w:jc w:val="right"/>
    </w:pPr>
    <w:r>
      <w:fldChar w:fldCharType="begin"/>
    </w:r>
    <w:r>
      <w:instrText xml:space="preserve"> PAGE   \* MERGEFORMAT </w:instrText>
    </w:r>
    <w:r>
      <w:fldChar w:fldCharType="separate"/>
    </w:r>
    <w:r w:rsidR="00455796">
      <w:rPr>
        <w:noProof/>
      </w:rPr>
      <w:t>89</w:t>
    </w:r>
    <w:r>
      <w:rPr>
        <w:noProof/>
      </w:rPr>
      <w:fldChar w:fldCharType="end"/>
    </w:r>
  </w:p>
  <w:p w:rsidR="0020773C" w:rsidRDefault="002077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62ED"/>
    <w:multiLevelType w:val="hybridMultilevel"/>
    <w:tmpl w:val="AED82ACA"/>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
    <w:nsid w:val="052D50F7"/>
    <w:multiLevelType w:val="hybridMultilevel"/>
    <w:tmpl w:val="A06A8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A5CAE"/>
    <w:multiLevelType w:val="hybridMultilevel"/>
    <w:tmpl w:val="9F88AAB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nsid w:val="080601D7"/>
    <w:multiLevelType w:val="hybridMultilevel"/>
    <w:tmpl w:val="7304FBB8"/>
    <w:lvl w:ilvl="0" w:tplc="04090019">
      <w:start w:val="1"/>
      <w:numFmt w:val="lowerLetter"/>
      <w:lvlText w:val="%1."/>
      <w:lvlJc w:val="left"/>
      <w:pPr>
        <w:ind w:left="2563" w:hanging="360"/>
      </w:pPr>
    </w:lvl>
    <w:lvl w:ilvl="1" w:tplc="04090019">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
    <w:nsid w:val="0D18773D"/>
    <w:multiLevelType w:val="hybridMultilevel"/>
    <w:tmpl w:val="8780C6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10AD65A3"/>
    <w:multiLevelType w:val="hybridMultilevel"/>
    <w:tmpl w:val="D128AA76"/>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nsid w:val="13067602"/>
    <w:multiLevelType w:val="hybridMultilevel"/>
    <w:tmpl w:val="E75A179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nsid w:val="13AE3092"/>
    <w:multiLevelType w:val="hybridMultilevel"/>
    <w:tmpl w:val="4192D09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14374693"/>
    <w:multiLevelType w:val="hybridMultilevel"/>
    <w:tmpl w:val="C82602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6319C"/>
    <w:multiLevelType w:val="hybridMultilevel"/>
    <w:tmpl w:val="75445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EC6640"/>
    <w:multiLevelType w:val="hybridMultilevel"/>
    <w:tmpl w:val="37B46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B33473"/>
    <w:multiLevelType w:val="hybridMultilevel"/>
    <w:tmpl w:val="F66663C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1F302ADA"/>
    <w:multiLevelType w:val="hybridMultilevel"/>
    <w:tmpl w:val="5BA89E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0076F9F"/>
    <w:multiLevelType w:val="hybridMultilevel"/>
    <w:tmpl w:val="EE7A54B0"/>
    <w:lvl w:ilvl="0" w:tplc="0409000F">
      <w:start w:val="1"/>
      <w:numFmt w:val="decimal"/>
      <w:lvlText w:val="%1."/>
      <w:lvlJc w:val="left"/>
      <w:pPr>
        <w:ind w:left="2127" w:hanging="360"/>
      </w:p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14">
    <w:nsid w:val="20603E2E"/>
    <w:multiLevelType w:val="hybridMultilevel"/>
    <w:tmpl w:val="683071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8005E"/>
    <w:multiLevelType w:val="hybridMultilevel"/>
    <w:tmpl w:val="12968A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086302"/>
    <w:multiLevelType w:val="hybridMultilevel"/>
    <w:tmpl w:val="C82602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C84A00"/>
    <w:multiLevelType w:val="hybridMultilevel"/>
    <w:tmpl w:val="EE7A54B0"/>
    <w:lvl w:ilvl="0" w:tplc="0409000F">
      <w:start w:val="1"/>
      <w:numFmt w:val="decimal"/>
      <w:lvlText w:val="%1."/>
      <w:lvlJc w:val="left"/>
      <w:pPr>
        <w:ind w:left="2127" w:hanging="360"/>
      </w:p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18">
    <w:nsid w:val="2BD42F3A"/>
    <w:multiLevelType w:val="hybridMultilevel"/>
    <w:tmpl w:val="37B46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E50BDF"/>
    <w:multiLevelType w:val="hybridMultilevel"/>
    <w:tmpl w:val="DD049A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D850911"/>
    <w:multiLevelType w:val="hybridMultilevel"/>
    <w:tmpl w:val="1E784F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B04083"/>
    <w:multiLevelType w:val="hybridMultilevel"/>
    <w:tmpl w:val="AC2ED55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31D15BBB"/>
    <w:multiLevelType w:val="hybridMultilevel"/>
    <w:tmpl w:val="11B0DB64"/>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3">
    <w:nsid w:val="31DE5838"/>
    <w:multiLevelType w:val="hybridMultilevel"/>
    <w:tmpl w:val="B5FAA9B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nsid w:val="3255183A"/>
    <w:multiLevelType w:val="hybridMultilevel"/>
    <w:tmpl w:val="9F88AAB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5">
    <w:nsid w:val="32564500"/>
    <w:multiLevelType w:val="hybridMultilevel"/>
    <w:tmpl w:val="96223626"/>
    <w:lvl w:ilvl="0" w:tplc="04090001">
      <w:start w:val="1"/>
      <w:numFmt w:val="bullet"/>
      <w:lvlText w:val=""/>
      <w:lvlJc w:val="left"/>
      <w:pPr>
        <w:ind w:left="2259" w:hanging="360"/>
      </w:pPr>
      <w:rPr>
        <w:rFonts w:ascii="Symbol" w:hAnsi="Symbol" w:hint="default"/>
      </w:rPr>
    </w:lvl>
    <w:lvl w:ilvl="1" w:tplc="04090003" w:tentative="1">
      <w:start w:val="1"/>
      <w:numFmt w:val="bullet"/>
      <w:lvlText w:val="o"/>
      <w:lvlJc w:val="left"/>
      <w:pPr>
        <w:ind w:left="2979" w:hanging="360"/>
      </w:pPr>
      <w:rPr>
        <w:rFonts w:ascii="Courier New" w:hAnsi="Courier New" w:cs="Courier New" w:hint="default"/>
      </w:rPr>
    </w:lvl>
    <w:lvl w:ilvl="2" w:tplc="04090005" w:tentative="1">
      <w:start w:val="1"/>
      <w:numFmt w:val="bullet"/>
      <w:lvlText w:val=""/>
      <w:lvlJc w:val="left"/>
      <w:pPr>
        <w:ind w:left="3699" w:hanging="360"/>
      </w:pPr>
      <w:rPr>
        <w:rFonts w:ascii="Wingdings" w:hAnsi="Wingdings" w:hint="default"/>
      </w:rPr>
    </w:lvl>
    <w:lvl w:ilvl="3" w:tplc="04090001" w:tentative="1">
      <w:start w:val="1"/>
      <w:numFmt w:val="bullet"/>
      <w:lvlText w:val=""/>
      <w:lvlJc w:val="left"/>
      <w:pPr>
        <w:ind w:left="4419" w:hanging="360"/>
      </w:pPr>
      <w:rPr>
        <w:rFonts w:ascii="Symbol" w:hAnsi="Symbol" w:hint="default"/>
      </w:rPr>
    </w:lvl>
    <w:lvl w:ilvl="4" w:tplc="04090003" w:tentative="1">
      <w:start w:val="1"/>
      <w:numFmt w:val="bullet"/>
      <w:lvlText w:val="o"/>
      <w:lvlJc w:val="left"/>
      <w:pPr>
        <w:ind w:left="5139" w:hanging="360"/>
      </w:pPr>
      <w:rPr>
        <w:rFonts w:ascii="Courier New" w:hAnsi="Courier New" w:cs="Courier New" w:hint="default"/>
      </w:rPr>
    </w:lvl>
    <w:lvl w:ilvl="5" w:tplc="04090005" w:tentative="1">
      <w:start w:val="1"/>
      <w:numFmt w:val="bullet"/>
      <w:lvlText w:val=""/>
      <w:lvlJc w:val="left"/>
      <w:pPr>
        <w:ind w:left="5859" w:hanging="360"/>
      </w:pPr>
      <w:rPr>
        <w:rFonts w:ascii="Wingdings" w:hAnsi="Wingdings" w:hint="default"/>
      </w:rPr>
    </w:lvl>
    <w:lvl w:ilvl="6" w:tplc="04090001" w:tentative="1">
      <w:start w:val="1"/>
      <w:numFmt w:val="bullet"/>
      <w:lvlText w:val=""/>
      <w:lvlJc w:val="left"/>
      <w:pPr>
        <w:ind w:left="6579" w:hanging="360"/>
      </w:pPr>
      <w:rPr>
        <w:rFonts w:ascii="Symbol" w:hAnsi="Symbol" w:hint="default"/>
      </w:rPr>
    </w:lvl>
    <w:lvl w:ilvl="7" w:tplc="04090003" w:tentative="1">
      <w:start w:val="1"/>
      <w:numFmt w:val="bullet"/>
      <w:lvlText w:val="o"/>
      <w:lvlJc w:val="left"/>
      <w:pPr>
        <w:ind w:left="7299" w:hanging="360"/>
      </w:pPr>
      <w:rPr>
        <w:rFonts w:ascii="Courier New" w:hAnsi="Courier New" w:cs="Courier New" w:hint="default"/>
      </w:rPr>
    </w:lvl>
    <w:lvl w:ilvl="8" w:tplc="04090005" w:tentative="1">
      <w:start w:val="1"/>
      <w:numFmt w:val="bullet"/>
      <w:lvlText w:val=""/>
      <w:lvlJc w:val="left"/>
      <w:pPr>
        <w:ind w:left="8019" w:hanging="360"/>
      </w:pPr>
      <w:rPr>
        <w:rFonts w:ascii="Wingdings" w:hAnsi="Wingdings" w:hint="default"/>
      </w:rPr>
    </w:lvl>
  </w:abstractNum>
  <w:abstractNum w:abstractNumId="26">
    <w:nsid w:val="3AC1360E"/>
    <w:multiLevelType w:val="hybridMultilevel"/>
    <w:tmpl w:val="C82602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AC6958"/>
    <w:multiLevelType w:val="hybridMultilevel"/>
    <w:tmpl w:val="15F808D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3E7DA3"/>
    <w:multiLevelType w:val="hybridMultilevel"/>
    <w:tmpl w:val="49C6969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9">
    <w:nsid w:val="43822475"/>
    <w:multiLevelType w:val="hybridMultilevel"/>
    <w:tmpl w:val="9BDA67FE"/>
    <w:lvl w:ilvl="0" w:tplc="0409000F">
      <w:start w:val="1"/>
      <w:numFmt w:val="decimal"/>
      <w:lvlText w:val="%1."/>
      <w:lvlJc w:val="left"/>
      <w:pPr>
        <w:ind w:left="2127" w:hanging="360"/>
      </w:p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30">
    <w:nsid w:val="448E4B1C"/>
    <w:multiLevelType w:val="hybridMultilevel"/>
    <w:tmpl w:val="6BACF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271FCE"/>
    <w:multiLevelType w:val="hybridMultilevel"/>
    <w:tmpl w:val="CC78D5C0"/>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2">
    <w:nsid w:val="49836B46"/>
    <w:multiLevelType w:val="hybridMultilevel"/>
    <w:tmpl w:val="88A6D9C6"/>
    <w:lvl w:ilvl="0" w:tplc="0409000F">
      <w:start w:val="1"/>
      <w:numFmt w:val="decimal"/>
      <w:lvlText w:val="%1."/>
      <w:lvlJc w:val="left"/>
      <w:pPr>
        <w:ind w:left="2127" w:hanging="360"/>
      </w:p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33">
    <w:nsid w:val="4C3B28B0"/>
    <w:multiLevelType w:val="hybridMultilevel"/>
    <w:tmpl w:val="22A476A2"/>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4">
    <w:nsid w:val="4CC44382"/>
    <w:multiLevelType w:val="hybridMultilevel"/>
    <w:tmpl w:val="4EA2F576"/>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5">
    <w:nsid w:val="4E914AB8"/>
    <w:multiLevelType w:val="hybridMultilevel"/>
    <w:tmpl w:val="7304FBB8"/>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6">
    <w:nsid w:val="50AE6219"/>
    <w:multiLevelType w:val="hybridMultilevel"/>
    <w:tmpl w:val="DD7A3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CD2067"/>
    <w:multiLevelType w:val="hybridMultilevel"/>
    <w:tmpl w:val="F66663C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nsid w:val="5170714D"/>
    <w:multiLevelType w:val="hybridMultilevel"/>
    <w:tmpl w:val="EA601CF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51BB3E07"/>
    <w:multiLevelType w:val="hybridMultilevel"/>
    <w:tmpl w:val="E8FCB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407749"/>
    <w:multiLevelType w:val="hybridMultilevel"/>
    <w:tmpl w:val="0D2CB676"/>
    <w:lvl w:ilvl="0" w:tplc="04090001">
      <w:start w:val="1"/>
      <w:numFmt w:val="bullet"/>
      <w:lvlText w:val=""/>
      <w:lvlJc w:val="left"/>
      <w:pPr>
        <w:ind w:left="2265" w:hanging="360"/>
      </w:pPr>
      <w:rPr>
        <w:rFonts w:ascii="Symbol" w:hAnsi="Symbo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41">
    <w:nsid w:val="54AE6CF1"/>
    <w:multiLevelType w:val="hybridMultilevel"/>
    <w:tmpl w:val="5B2C1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5148E9"/>
    <w:multiLevelType w:val="hybridMultilevel"/>
    <w:tmpl w:val="A9C6930A"/>
    <w:lvl w:ilvl="0" w:tplc="04090017">
      <w:start w:val="1"/>
      <w:numFmt w:val="lowerLetter"/>
      <w:lvlText w:val="%1)"/>
      <w:lvlJc w:val="left"/>
      <w:pPr>
        <w:ind w:left="3283" w:hanging="360"/>
      </w:pPr>
    </w:lvl>
    <w:lvl w:ilvl="1" w:tplc="04090019" w:tentative="1">
      <w:start w:val="1"/>
      <w:numFmt w:val="lowerLetter"/>
      <w:lvlText w:val="%2."/>
      <w:lvlJc w:val="left"/>
      <w:pPr>
        <w:ind w:left="4003" w:hanging="360"/>
      </w:pPr>
    </w:lvl>
    <w:lvl w:ilvl="2" w:tplc="0409001B" w:tentative="1">
      <w:start w:val="1"/>
      <w:numFmt w:val="lowerRoman"/>
      <w:lvlText w:val="%3."/>
      <w:lvlJc w:val="right"/>
      <w:pPr>
        <w:ind w:left="4723" w:hanging="180"/>
      </w:pPr>
    </w:lvl>
    <w:lvl w:ilvl="3" w:tplc="0409000F" w:tentative="1">
      <w:start w:val="1"/>
      <w:numFmt w:val="decimal"/>
      <w:lvlText w:val="%4."/>
      <w:lvlJc w:val="left"/>
      <w:pPr>
        <w:ind w:left="5443" w:hanging="360"/>
      </w:pPr>
    </w:lvl>
    <w:lvl w:ilvl="4" w:tplc="04090019" w:tentative="1">
      <w:start w:val="1"/>
      <w:numFmt w:val="lowerLetter"/>
      <w:lvlText w:val="%5."/>
      <w:lvlJc w:val="left"/>
      <w:pPr>
        <w:ind w:left="6163" w:hanging="360"/>
      </w:pPr>
    </w:lvl>
    <w:lvl w:ilvl="5" w:tplc="0409001B" w:tentative="1">
      <w:start w:val="1"/>
      <w:numFmt w:val="lowerRoman"/>
      <w:lvlText w:val="%6."/>
      <w:lvlJc w:val="right"/>
      <w:pPr>
        <w:ind w:left="6883" w:hanging="180"/>
      </w:pPr>
    </w:lvl>
    <w:lvl w:ilvl="6" w:tplc="0409000F" w:tentative="1">
      <w:start w:val="1"/>
      <w:numFmt w:val="decimal"/>
      <w:lvlText w:val="%7."/>
      <w:lvlJc w:val="left"/>
      <w:pPr>
        <w:ind w:left="7603" w:hanging="360"/>
      </w:pPr>
    </w:lvl>
    <w:lvl w:ilvl="7" w:tplc="04090019" w:tentative="1">
      <w:start w:val="1"/>
      <w:numFmt w:val="lowerLetter"/>
      <w:lvlText w:val="%8."/>
      <w:lvlJc w:val="left"/>
      <w:pPr>
        <w:ind w:left="8323" w:hanging="360"/>
      </w:pPr>
    </w:lvl>
    <w:lvl w:ilvl="8" w:tplc="0409001B" w:tentative="1">
      <w:start w:val="1"/>
      <w:numFmt w:val="lowerRoman"/>
      <w:lvlText w:val="%9."/>
      <w:lvlJc w:val="right"/>
      <w:pPr>
        <w:ind w:left="9043" w:hanging="180"/>
      </w:pPr>
    </w:lvl>
  </w:abstractNum>
  <w:abstractNum w:abstractNumId="43">
    <w:nsid w:val="56400A42"/>
    <w:multiLevelType w:val="hybridMultilevel"/>
    <w:tmpl w:val="5D18DC2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4">
    <w:nsid w:val="56E25A2D"/>
    <w:multiLevelType w:val="hybridMultilevel"/>
    <w:tmpl w:val="6AC2F6B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5">
    <w:nsid w:val="57674526"/>
    <w:multiLevelType w:val="hybridMultilevel"/>
    <w:tmpl w:val="F124B53E"/>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6">
    <w:nsid w:val="58364BBA"/>
    <w:multiLevelType w:val="hybridMultilevel"/>
    <w:tmpl w:val="B21C7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9521D1"/>
    <w:multiLevelType w:val="hybridMultilevel"/>
    <w:tmpl w:val="EBF8218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8">
    <w:nsid w:val="599F75F8"/>
    <w:multiLevelType w:val="hybridMultilevel"/>
    <w:tmpl w:val="E0D6F8D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9">
    <w:nsid w:val="5A0D775D"/>
    <w:multiLevelType w:val="hybridMultilevel"/>
    <w:tmpl w:val="4664FB5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0">
    <w:nsid w:val="5C3105E6"/>
    <w:multiLevelType w:val="hybridMultilevel"/>
    <w:tmpl w:val="37B46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9B5F0A"/>
    <w:multiLevelType w:val="hybridMultilevel"/>
    <w:tmpl w:val="8B6666D4"/>
    <w:lvl w:ilvl="0" w:tplc="DF789EE6">
      <w:start w:val="1"/>
      <w:numFmt w:val="bullet"/>
      <w:lvlText w:val="-"/>
      <w:lvlJc w:val="left"/>
      <w:pPr>
        <w:ind w:left="607" w:hanging="360"/>
      </w:pPr>
      <w:rPr>
        <w:rFonts w:ascii="Times New Roman" w:eastAsia="MS Mincho" w:hAnsi="Times New Roman" w:cs="Times New Roman"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52">
    <w:nsid w:val="5EB643EF"/>
    <w:multiLevelType w:val="hybridMultilevel"/>
    <w:tmpl w:val="F7680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1F82ACB"/>
    <w:multiLevelType w:val="hybridMultilevel"/>
    <w:tmpl w:val="93083F5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A75192"/>
    <w:multiLevelType w:val="hybridMultilevel"/>
    <w:tmpl w:val="37B46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D91217"/>
    <w:multiLevelType w:val="hybridMultilevel"/>
    <w:tmpl w:val="FEEA16B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6">
    <w:nsid w:val="69261311"/>
    <w:multiLevelType w:val="hybridMultilevel"/>
    <w:tmpl w:val="3F5AAB3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7">
    <w:nsid w:val="69BC2E86"/>
    <w:multiLevelType w:val="hybridMultilevel"/>
    <w:tmpl w:val="8A22E0E2"/>
    <w:lvl w:ilvl="0" w:tplc="0409000F">
      <w:start w:val="1"/>
      <w:numFmt w:val="decimal"/>
      <w:lvlText w:val="%1."/>
      <w:lvlJc w:val="left"/>
      <w:pPr>
        <w:ind w:left="2127" w:hanging="360"/>
      </w:p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58">
    <w:nsid w:val="6D0B13D4"/>
    <w:multiLevelType w:val="hybridMultilevel"/>
    <w:tmpl w:val="BA9ED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D3E329E"/>
    <w:multiLevelType w:val="hybridMultilevel"/>
    <w:tmpl w:val="868C2856"/>
    <w:lvl w:ilvl="0" w:tplc="04090019">
      <w:start w:val="1"/>
      <w:numFmt w:val="lowerLetter"/>
      <w:lvlText w:val="%1."/>
      <w:lvlJc w:val="left"/>
      <w:pPr>
        <w:ind w:left="1026" w:hanging="360"/>
      </w:p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60">
    <w:nsid w:val="6E6D1A8F"/>
    <w:multiLevelType w:val="hybridMultilevel"/>
    <w:tmpl w:val="17961D5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1">
    <w:nsid w:val="6EAC0F73"/>
    <w:multiLevelType w:val="hybridMultilevel"/>
    <w:tmpl w:val="CB7011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nsid w:val="71191151"/>
    <w:multiLevelType w:val="hybridMultilevel"/>
    <w:tmpl w:val="1FDA76C6"/>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3">
    <w:nsid w:val="773A4C99"/>
    <w:multiLevelType w:val="hybridMultilevel"/>
    <w:tmpl w:val="F70C3884"/>
    <w:lvl w:ilvl="0" w:tplc="04090011">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64">
    <w:nsid w:val="7A9E5854"/>
    <w:multiLevelType w:val="hybridMultilevel"/>
    <w:tmpl w:val="5B2C1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B0075B8"/>
    <w:multiLevelType w:val="hybridMultilevel"/>
    <w:tmpl w:val="D9F4F55E"/>
    <w:lvl w:ilvl="0" w:tplc="418628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B97241D"/>
    <w:multiLevelType w:val="hybridMultilevel"/>
    <w:tmpl w:val="442239B6"/>
    <w:lvl w:ilvl="0" w:tplc="04090019">
      <w:start w:val="1"/>
      <w:numFmt w:val="lowerLetter"/>
      <w:lvlText w:val="%1."/>
      <w:lvlJc w:val="left"/>
      <w:pPr>
        <w:ind w:left="2625" w:hanging="360"/>
      </w:pPr>
    </w:lvl>
    <w:lvl w:ilvl="1" w:tplc="04090019" w:tentative="1">
      <w:start w:val="1"/>
      <w:numFmt w:val="lowerLetter"/>
      <w:lvlText w:val="%2."/>
      <w:lvlJc w:val="left"/>
      <w:pPr>
        <w:ind w:left="3345" w:hanging="360"/>
      </w:pPr>
    </w:lvl>
    <w:lvl w:ilvl="2" w:tplc="0409001B" w:tentative="1">
      <w:start w:val="1"/>
      <w:numFmt w:val="lowerRoman"/>
      <w:lvlText w:val="%3."/>
      <w:lvlJc w:val="right"/>
      <w:pPr>
        <w:ind w:left="4065" w:hanging="180"/>
      </w:pPr>
    </w:lvl>
    <w:lvl w:ilvl="3" w:tplc="0409000F" w:tentative="1">
      <w:start w:val="1"/>
      <w:numFmt w:val="decimal"/>
      <w:lvlText w:val="%4."/>
      <w:lvlJc w:val="left"/>
      <w:pPr>
        <w:ind w:left="4785" w:hanging="360"/>
      </w:pPr>
    </w:lvl>
    <w:lvl w:ilvl="4" w:tplc="04090019" w:tentative="1">
      <w:start w:val="1"/>
      <w:numFmt w:val="lowerLetter"/>
      <w:lvlText w:val="%5."/>
      <w:lvlJc w:val="left"/>
      <w:pPr>
        <w:ind w:left="5505" w:hanging="360"/>
      </w:pPr>
    </w:lvl>
    <w:lvl w:ilvl="5" w:tplc="0409001B" w:tentative="1">
      <w:start w:val="1"/>
      <w:numFmt w:val="lowerRoman"/>
      <w:lvlText w:val="%6."/>
      <w:lvlJc w:val="right"/>
      <w:pPr>
        <w:ind w:left="6225" w:hanging="180"/>
      </w:pPr>
    </w:lvl>
    <w:lvl w:ilvl="6" w:tplc="0409000F" w:tentative="1">
      <w:start w:val="1"/>
      <w:numFmt w:val="decimal"/>
      <w:lvlText w:val="%7."/>
      <w:lvlJc w:val="left"/>
      <w:pPr>
        <w:ind w:left="6945" w:hanging="360"/>
      </w:pPr>
    </w:lvl>
    <w:lvl w:ilvl="7" w:tplc="04090019" w:tentative="1">
      <w:start w:val="1"/>
      <w:numFmt w:val="lowerLetter"/>
      <w:lvlText w:val="%8."/>
      <w:lvlJc w:val="left"/>
      <w:pPr>
        <w:ind w:left="7665" w:hanging="360"/>
      </w:pPr>
    </w:lvl>
    <w:lvl w:ilvl="8" w:tplc="0409001B" w:tentative="1">
      <w:start w:val="1"/>
      <w:numFmt w:val="lowerRoman"/>
      <w:lvlText w:val="%9."/>
      <w:lvlJc w:val="right"/>
      <w:pPr>
        <w:ind w:left="8385" w:hanging="180"/>
      </w:pPr>
    </w:lvl>
  </w:abstractNum>
  <w:abstractNum w:abstractNumId="67">
    <w:nsid w:val="7F74699A"/>
    <w:multiLevelType w:val="hybridMultilevel"/>
    <w:tmpl w:val="FEEA16B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27"/>
  </w:num>
  <w:num w:numId="2">
    <w:abstractNumId w:val="29"/>
  </w:num>
  <w:num w:numId="3">
    <w:abstractNumId w:val="5"/>
  </w:num>
  <w:num w:numId="4">
    <w:abstractNumId w:val="37"/>
  </w:num>
  <w:num w:numId="5">
    <w:abstractNumId w:val="31"/>
  </w:num>
  <w:num w:numId="6">
    <w:abstractNumId w:val="56"/>
  </w:num>
  <w:num w:numId="7">
    <w:abstractNumId w:val="62"/>
  </w:num>
  <w:num w:numId="8">
    <w:abstractNumId w:val="66"/>
  </w:num>
  <w:num w:numId="9">
    <w:abstractNumId w:val="0"/>
  </w:num>
  <w:num w:numId="10">
    <w:abstractNumId w:val="1"/>
  </w:num>
  <w:num w:numId="11">
    <w:abstractNumId w:val="9"/>
  </w:num>
  <w:num w:numId="12">
    <w:abstractNumId w:val="51"/>
  </w:num>
  <w:num w:numId="13">
    <w:abstractNumId w:val="11"/>
  </w:num>
  <w:num w:numId="14">
    <w:abstractNumId w:val="39"/>
  </w:num>
  <w:num w:numId="15">
    <w:abstractNumId w:val="36"/>
  </w:num>
  <w:num w:numId="16">
    <w:abstractNumId w:val="22"/>
  </w:num>
  <w:num w:numId="17">
    <w:abstractNumId w:val="33"/>
  </w:num>
  <w:num w:numId="18">
    <w:abstractNumId w:val="63"/>
  </w:num>
  <w:num w:numId="19">
    <w:abstractNumId w:val="34"/>
  </w:num>
  <w:num w:numId="20">
    <w:abstractNumId w:val="42"/>
  </w:num>
  <w:num w:numId="21">
    <w:abstractNumId w:val="13"/>
  </w:num>
  <w:num w:numId="22">
    <w:abstractNumId w:val="24"/>
  </w:num>
  <w:num w:numId="23">
    <w:abstractNumId w:val="49"/>
  </w:num>
  <w:num w:numId="24">
    <w:abstractNumId w:val="55"/>
  </w:num>
  <w:num w:numId="25">
    <w:abstractNumId w:val="4"/>
  </w:num>
  <w:num w:numId="26">
    <w:abstractNumId w:val="28"/>
  </w:num>
  <w:num w:numId="27">
    <w:abstractNumId w:val="43"/>
  </w:num>
  <w:num w:numId="28">
    <w:abstractNumId w:val="21"/>
  </w:num>
  <w:num w:numId="29">
    <w:abstractNumId w:val="2"/>
  </w:num>
  <w:num w:numId="30">
    <w:abstractNumId w:val="67"/>
  </w:num>
  <w:num w:numId="31">
    <w:abstractNumId w:val="60"/>
  </w:num>
  <w:num w:numId="32">
    <w:abstractNumId w:val="23"/>
  </w:num>
  <w:num w:numId="33">
    <w:abstractNumId w:val="7"/>
  </w:num>
  <w:num w:numId="34">
    <w:abstractNumId w:val="53"/>
  </w:num>
  <w:num w:numId="35">
    <w:abstractNumId w:val="17"/>
  </w:num>
  <w:num w:numId="36">
    <w:abstractNumId w:val="45"/>
  </w:num>
  <w:num w:numId="37">
    <w:abstractNumId w:val="35"/>
  </w:num>
  <w:num w:numId="38">
    <w:abstractNumId w:val="3"/>
  </w:num>
  <w:num w:numId="39">
    <w:abstractNumId w:val="8"/>
  </w:num>
  <w:num w:numId="40">
    <w:abstractNumId w:val="32"/>
  </w:num>
  <w:num w:numId="41">
    <w:abstractNumId w:val="12"/>
  </w:num>
  <w:num w:numId="42">
    <w:abstractNumId w:val="44"/>
  </w:num>
  <w:num w:numId="43">
    <w:abstractNumId w:val="47"/>
  </w:num>
  <w:num w:numId="44">
    <w:abstractNumId w:val="48"/>
  </w:num>
  <w:num w:numId="45">
    <w:abstractNumId w:val="40"/>
  </w:num>
  <w:num w:numId="46">
    <w:abstractNumId w:val="25"/>
  </w:num>
  <w:num w:numId="47">
    <w:abstractNumId w:val="6"/>
  </w:num>
  <w:num w:numId="48">
    <w:abstractNumId w:val="16"/>
  </w:num>
  <w:num w:numId="49">
    <w:abstractNumId w:val="61"/>
  </w:num>
  <w:num w:numId="50">
    <w:abstractNumId w:val="38"/>
  </w:num>
  <w:num w:numId="51">
    <w:abstractNumId w:val="26"/>
  </w:num>
  <w:num w:numId="52">
    <w:abstractNumId w:val="54"/>
  </w:num>
  <w:num w:numId="53">
    <w:abstractNumId w:val="18"/>
  </w:num>
  <w:num w:numId="54">
    <w:abstractNumId w:val="65"/>
  </w:num>
  <w:num w:numId="55">
    <w:abstractNumId w:val="50"/>
  </w:num>
  <w:num w:numId="56">
    <w:abstractNumId w:val="10"/>
  </w:num>
  <w:num w:numId="57">
    <w:abstractNumId w:val="46"/>
  </w:num>
  <w:num w:numId="58">
    <w:abstractNumId w:val="59"/>
  </w:num>
  <w:num w:numId="59">
    <w:abstractNumId w:val="20"/>
  </w:num>
  <w:num w:numId="60">
    <w:abstractNumId w:val="52"/>
  </w:num>
  <w:num w:numId="61">
    <w:abstractNumId w:val="15"/>
  </w:num>
  <w:num w:numId="62">
    <w:abstractNumId w:val="14"/>
  </w:num>
  <w:num w:numId="63">
    <w:abstractNumId w:val="41"/>
  </w:num>
  <w:num w:numId="64">
    <w:abstractNumId w:val="64"/>
  </w:num>
  <w:num w:numId="65">
    <w:abstractNumId w:val="57"/>
  </w:num>
  <w:num w:numId="66">
    <w:abstractNumId w:val="30"/>
  </w:num>
  <w:num w:numId="67">
    <w:abstractNumId w:val="19"/>
  </w:num>
  <w:num w:numId="68">
    <w:abstractNumId w:val="5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4E2"/>
    <w:rsid w:val="00002A89"/>
    <w:rsid w:val="000041CF"/>
    <w:rsid w:val="00007269"/>
    <w:rsid w:val="00020B66"/>
    <w:rsid w:val="0002134A"/>
    <w:rsid w:val="0002310B"/>
    <w:rsid w:val="00027481"/>
    <w:rsid w:val="000310F7"/>
    <w:rsid w:val="00044BFF"/>
    <w:rsid w:val="0004699D"/>
    <w:rsid w:val="0005156E"/>
    <w:rsid w:val="000546E8"/>
    <w:rsid w:val="0006146E"/>
    <w:rsid w:val="00063F20"/>
    <w:rsid w:val="00066E06"/>
    <w:rsid w:val="0006770C"/>
    <w:rsid w:val="00072019"/>
    <w:rsid w:val="00076DB8"/>
    <w:rsid w:val="00083101"/>
    <w:rsid w:val="0009038B"/>
    <w:rsid w:val="00097BD6"/>
    <w:rsid w:val="000A0AC6"/>
    <w:rsid w:val="000A115B"/>
    <w:rsid w:val="000A3B1A"/>
    <w:rsid w:val="000A4C74"/>
    <w:rsid w:val="000B008D"/>
    <w:rsid w:val="000B5AD7"/>
    <w:rsid w:val="000B5C59"/>
    <w:rsid w:val="000C0229"/>
    <w:rsid w:val="000C083D"/>
    <w:rsid w:val="000C4796"/>
    <w:rsid w:val="000C5803"/>
    <w:rsid w:val="000C66A7"/>
    <w:rsid w:val="000D5C15"/>
    <w:rsid w:val="000D7E18"/>
    <w:rsid w:val="000E3EB2"/>
    <w:rsid w:val="000E5A4C"/>
    <w:rsid w:val="000E77BE"/>
    <w:rsid w:val="000F2734"/>
    <w:rsid w:val="00102BAE"/>
    <w:rsid w:val="00110C8F"/>
    <w:rsid w:val="0011105A"/>
    <w:rsid w:val="001140A2"/>
    <w:rsid w:val="00114841"/>
    <w:rsid w:val="00115CB4"/>
    <w:rsid w:val="001224D2"/>
    <w:rsid w:val="00123556"/>
    <w:rsid w:val="00125529"/>
    <w:rsid w:val="001273CB"/>
    <w:rsid w:val="00131149"/>
    <w:rsid w:val="0013136D"/>
    <w:rsid w:val="00133039"/>
    <w:rsid w:val="001367A1"/>
    <w:rsid w:val="001429B2"/>
    <w:rsid w:val="00145443"/>
    <w:rsid w:val="00146D51"/>
    <w:rsid w:val="00154AC5"/>
    <w:rsid w:val="00155C3B"/>
    <w:rsid w:val="0015604F"/>
    <w:rsid w:val="001578FC"/>
    <w:rsid w:val="001600B4"/>
    <w:rsid w:val="00160CF3"/>
    <w:rsid w:val="00162A61"/>
    <w:rsid w:val="001670B5"/>
    <w:rsid w:val="00167E98"/>
    <w:rsid w:val="00176C5C"/>
    <w:rsid w:val="001827D8"/>
    <w:rsid w:val="00182BF6"/>
    <w:rsid w:val="00187FD7"/>
    <w:rsid w:val="00190E71"/>
    <w:rsid w:val="00191F67"/>
    <w:rsid w:val="001931B1"/>
    <w:rsid w:val="00196EAD"/>
    <w:rsid w:val="001A453B"/>
    <w:rsid w:val="001A6CC6"/>
    <w:rsid w:val="001A75FC"/>
    <w:rsid w:val="001B3A35"/>
    <w:rsid w:val="001B5776"/>
    <w:rsid w:val="001B5896"/>
    <w:rsid w:val="001B7FEB"/>
    <w:rsid w:val="001D245B"/>
    <w:rsid w:val="001D5B9F"/>
    <w:rsid w:val="001D5F96"/>
    <w:rsid w:val="001D7D4F"/>
    <w:rsid w:val="001E222A"/>
    <w:rsid w:val="001E2689"/>
    <w:rsid w:val="001E7B03"/>
    <w:rsid w:val="001F599A"/>
    <w:rsid w:val="001F5FA2"/>
    <w:rsid w:val="00203BC6"/>
    <w:rsid w:val="0020773C"/>
    <w:rsid w:val="0021229E"/>
    <w:rsid w:val="00224898"/>
    <w:rsid w:val="00225E59"/>
    <w:rsid w:val="00242597"/>
    <w:rsid w:val="00251DB3"/>
    <w:rsid w:val="00254127"/>
    <w:rsid w:val="002558EA"/>
    <w:rsid w:val="00267A52"/>
    <w:rsid w:val="00272EC1"/>
    <w:rsid w:val="0027455B"/>
    <w:rsid w:val="002757CD"/>
    <w:rsid w:val="0027662A"/>
    <w:rsid w:val="00276CD9"/>
    <w:rsid w:val="002902D9"/>
    <w:rsid w:val="0029123D"/>
    <w:rsid w:val="0029639E"/>
    <w:rsid w:val="00297543"/>
    <w:rsid w:val="002A00B5"/>
    <w:rsid w:val="002A0165"/>
    <w:rsid w:val="002A190E"/>
    <w:rsid w:val="002B1D29"/>
    <w:rsid w:val="002B33AA"/>
    <w:rsid w:val="002C456D"/>
    <w:rsid w:val="002C5407"/>
    <w:rsid w:val="002C765B"/>
    <w:rsid w:val="002D003E"/>
    <w:rsid w:val="002D2CD1"/>
    <w:rsid w:val="002D4EE8"/>
    <w:rsid w:val="002D590B"/>
    <w:rsid w:val="002E06DD"/>
    <w:rsid w:val="002E279F"/>
    <w:rsid w:val="002E37C1"/>
    <w:rsid w:val="002E76AA"/>
    <w:rsid w:val="002F05F2"/>
    <w:rsid w:val="002F29FC"/>
    <w:rsid w:val="002F36BD"/>
    <w:rsid w:val="002F3FA8"/>
    <w:rsid w:val="002F52A5"/>
    <w:rsid w:val="002F5D32"/>
    <w:rsid w:val="002F641B"/>
    <w:rsid w:val="002F799D"/>
    <w:rsid w:val="00303CAA"/>
    <w:rsid w:val="00303E60"/>
    <w:rsid w:val="003049E1"/>
    <w:rsid w:val="003103D7"/>
    <w:rsid w:val="0031219F"/>
    <w:rsid w:val="00315509"/>
    <w:rsid w:val="00316F62"/>
    <w:rsid w:val="0032113F"/>
    <w:rsid w:val="00330210"/>
    <w:rsid w:val="00331753"/>
    <w:rsid w:val="003319FC"/>
    <w:rsid w:val="003355F7"/>
    <w:rsid w:val="0034082A"/>
    <w:rsid w:val="00344362"/>
    <w:rsid w:val="00351F0A"/>
    <w:rsid w:val="0035315F"/>
    <w:rsid w:val="0035317E"/>
    <w:rsid w:val="00354E20"/>
    <w:rsid w:val="0035691B"/>
    <w:rsid w:val="00357A28"/>
    <w:rsid w:val="00361C1A"/>
    <w:rsid w:val="003660B4"/>
    <w:rsid w:val="00367F73"/>
    <w:rsid w:val="00372F2A"/>
    <w:rsid w:val="00375699"/>
    <w:rsid w:val="00377F75"/>
    <w:rsid w:val="00383974"/>
    <w:rsid w:val="00387586"/>
    <w:rsid w:val="003922DC"/>
    <w:rsid w:val="003A4420"/>
    <w:rsid w:val="003B1767"/>
    <w:rsid w:val="003B5E57"/>
    <w:rsid w:val="003B7750"/>
    <w:rsid w:val="003B7F72"/>
    <w:rsid w:val="003D02A8"/>
    <w:rsid w:val="003D102E"/>
    <w:rsid w:val="003D1053"/>
    <w:rsid w:val="003D1CE8"/>
    <w:rsid w:val="003D55A9"/>
    <w:rsid w:val="003D774E"/>
    <w:rsid w:val="003E76A7"/>
    <w:rsid w:val="003F38E1"/>
    <w:rsid w:val="003F6CF8"/>
    <w:rsid w:val="003F7C28"/>
    <w:rsid w:val="003F7D19"/>
    <w:rsid w:val="004034CF"/>
    <w:rsid w:val="00405782"/>
    <w:rsid w:val="00406B1B"/>
    <w:rsid w:val="0041058E"/>
    <w:rsid w:val="00415021"/>
    <w:rsid w:val="00417334"/>
    <w:rsid w:val="00421EF0"/>
    <w:rsid w:val="004228CF"/>
    <w:rsid w:val="004241ED"/>
    <w:rsid w:val="0042538D"/>
    <w:rsid w:val="00427C90"/>
    <w:rsid w:val="00431FEF"/>
    <w:rsid w:val="004341C2"/>
    <w:rsid w:val="00435698"/>
    <w:rsid w:val="00437A45"/>
    <w:rsid w:val="00440657"/>
    <w:rsid w:val="00447A42"/>
    <w:rsid w:val="004503D6"/>
    <w:rsid w:val="0045047F"/>
    <w:rsid w:val="00455796"/>
    <w:rsid w:val="004804DD"/>
    <w:rsid w:val="00484737"/>
    <w:rsid w:val="00487BBA"/>
    <w:rsid w:val="00492A9A"/>
    <w:rsid w:val="00496365"/>
    <w:rsid w:val="004A2459"/>
    <w:rsid w:val="004B64E2"/>
    <w:rsid w:val="004B72C3"/>
    <w:rsid w:val="004C08D6"/>
    <w:rsid w:val="004C3F62"/>
    <w:rsid w:val="004C4B93"/>
    <w:rsid w:val="004C7CC4"/>
    <w:rsid w:val="004D139B"/>
    <w:rsid w:val="004D3210"/>
    <w:rsid w:val="004D4F0D"/>
    <w:rsid w:val="004E0CB9"/>
    <w:rsid w:val="004E4349"/>
    <w:rsid w:val="004F094F"/>
    <w:rsid w:val="004F0F6A"/>
    <w:rsid w:val="004F1D93"/>
    <w:rsid w:val="004F5D90"/>
    <w:rsid w:val="00504515"/>
    <w:rsid w:val="00507A29"/>
    <w:rsid w:val="0051313D"/>
    <w:rsid w:val="005139AC"/>
    <w:rsid w:val="00514C18"/>
    <w:rsid w:val="00516BDE"/>
    <w:rsid w:val="005200B0"/>
    <w:rsid w:val="00521FEC"/>
    <w:rsid w:val="00523183"/>
    <w:rsid w:val="00526189"/>
    <w:rsid w:val="00531BAD"/>
    <w:rsid w:val="005322AD"/>
    <w:rsid w:val="00534FE6"/>
    <w:rsid w:val="005376B7"/>
    <w:rsid w:val="00554A34"/>
    <w:rsid w:val="00561EDD"/>
    <w:rsid w:val="0056352A"/>
    <w:rsid w:val="0056510D"/>
    <w:rsid w:val="00565250"/>
    <w:rsid w:val="00565E24"/>
    <w:rsid w:val="00575A65"/>
    <w:rsid w:val="00576BA6"/>
    <w:rsid w:val="0058091D"/>
    <w:rsid w:val="005867C7"/>
    <w:rsid w:val="005878B2"/>
    <w:rsid w:val="00592E54"/>
    <w:rsid w:val="0059469C"/>
    <w:rsid w:val="00596CAE"/>
    <w:rsid w:val="005A0585"/>
    <w:rsid w:val="005A4A2E"/>
    <w:rsid w:val="005A6731"/>
    <w:rsid w:val="005B7432"/>
    <w:rsid w:val="005C0414"/>
    <w:rsid w:val="005C0C15"/>
    <w:rsid w:val="005D2B0A"/>
    <w:rsid w:val="005D70B9"/>
    <w:rsid w:val="005E0ED6"/>
    <w:rsid w:val="005E1266"/>
    <w:rsid w:val="005E3BF5"/>
    <w:rsid w:val="005E6E00"/>
    <w:rsid w:val="005F258C"/>
    <w:rsid w:val="005F3C13"/>
    <w:rsid w:val="005F626B"/>
    <w:rsid w:val="005F6C62"/>
    <w:rsid w:val="00601ACF"/>
    <w:rsid w:val="00603643"/>
    <w:rsid w:val="006042EA"/>
    <w:rsid w:val="00610550"/>
    <w:rsid w:val="00612B11"/>
    <w:rsid w:val="00614774"/>
    <w:rsid w:val="00615A40"/>
    <w:rsid w:val="006168DF"/>
    <w:rsid w:val="0062176E"/>
    <w:rsid w:val="00623DD5"/>
    <w:rsid w:val="00633358"/>
    <w:rsid w:val="006339BB"/>
    <w:rsid w:val="006340DD"/>
    <w:rsid w:val="006345F1"/>
    <w:rsid w:val="00640AA6"/>
    <w:rsid w:val="00643B14"/>
    <w:rsid w:val="006447C8"/>
    <w:rsid w:val="00645A8F"/>
    <w:rsid w:val="006526F9"/>
    <w:rsid w:val="00652CF6"/>
    <w:rsid w:val="006554E8"/>
    <w:rsid w:val="00656F67"/>
    <w:rsid w:val="0065729D"/>
    <w:rsid w:val="0066109A"/>
    <w:rsid w:val="00661AE1"/>
    <w:rsid w:val="00661B91"/>
    <w:rsid w:val="006676EA"/>
    <w:rsid w:val="00673A6A"/>
    <w:rsid w:val="006745B7"/>
    <w:rsid w:val="00677A4B"/>
    <w:rsid w:val="006804C8"/>
    <w:rsid w:val="0068546D"/>
    <w:rsid w:val="00687089"/>
    <w:rsid w:val="00692331"/>
    <w:rsid w:val="006939E5"/>
    <w:rsid w:val="00696D6E"/>
    <w:rsid w:val="00697580"/>
    <w:rsid w:val="006A12BF"/>
    <w:rsid w:val="006A239C"/>
    <w:rsid w:val="006A322D"/>
    <w:rsid w:val="006A3547"/>
    <w:rsid w:val="006A4834"/>
    <w:rsid w:val="006A4953"/>
    <w:rsid w:val="006A5FCA"/>
    <w:rsid w:val="006B1E7D"/>
    <w:rsid w:val="006B1E90"/>
    <w:rsid w:val="006B2114"/>
    <w:rsid w:val="006B4337"/>
    <w:rsid w:val="006B494C"/>
    <w:rsid w:val="006B525C"/>
    <w:rsid w:val="006B7376"/>
    <w:rsid w:val="006C3671"/>
    <w:rsid w:val="006C5C2D"/>
    <w:rsid w:val="006C649A"/>
    <w:rsid w:val="006D2610"/>
    <w:rsid w:val="006D46AF"/>
    <w:rsid w:val="006D6245"/>
    <w:rsid w:val="006E00E5"/>
    <w:rsid w:val="006E7BAE"/>
    <w:rsid w:val="006F0A05"/>
    <w:rsid w:val="006F211D"/>
    <w:rsid w:val="006F3268"/>
    <w:rsid w:val="00700825"/>
    <w:rsid w:val="00700A9D"/>
    <w:rsid w:val="00700BA9"/>
    <w:rsid w:val="00703F41"/>
    <w:rsid w:val="007113C4"/>
    <w:rsid w:val="00711799"/>
    <w:rsid w:val="00711A08"/>
    <w:rsid w:val="00722508"/>
    <w:rsid w:val="007245CB"/>
    <w:rsid w:val="00726FFB"/>
    <w:rsid w:val="0074633D"/>
    <w:rsid w:val="00746752"/>
    <w:rsid w:val="00750BD4"/>
    <w:rsid w:val="00752AE9"/>
    <w:rsid w:val="00752F3A"/>
    <w:rsid w:val="00754893"/>
    <w:rsid w:val="007555BC"/>
    <w:rsid w:val="007729E3"/>
    <w:rsid w:val="00783AE6"/>
    <w:rsid w:val="00790C6F"/>
    <w:rsid w:val="00794EA1"/>
    <w:rsid w:val="00796986"/>
    <w:rsid w:val="007976D3"/>
    <w:rsid w:val="007A1AAB"/>
    <w:rsid w:val="007A2C56"/>
    <w:rsid w:val="007A3345"/>
    <w:rsid w:val="007A421C"/>
    <w:rsid w:val="007B127D"/>
    <w:rsid w:val="007C1B0A"/>
    <w:rsid w:val="007C6399"/>
    <w:rsid w:val="007D443A"/>
    <w:rsid w:val="007D620F"/>
    <w:rsid w:val="007E42B8"/>
    <w:rsid w:val="007E4B91"/>
    <w:rsid w:val="007E541E"/>
    <w:rsid w:val="007E722D"/>
    <w:rsid w:val="007F340C"/>
    <w:rsid w:val="007F7C4F"/>
    <w:rsid w:val="00802E9A"/>
    <w:rsid w:val="00807C14"/>
    <w:rsid w:val="008115BD"/>
    <w:rsid w:val="00811908"/>
    <w:rsid w:val="00811BC0"/>
    <w:rsid w:val="00814139"/>
    <w:rsid w:val="00821572"/>
    <w:rsid w:val="00822D25"/>
    <w:rsid w:val="008258B4"/>
    <w:rsid w:val="00831943"/>
    <w:rsid w:val="008330A3"/>
    <w:rsid w:val="00833832"/>
    <w:rsid w:val="00845FDF"/>
    <w:rsid w:val="00847C5A"/>
    <w:rsid w:val="00852C48"/>
    <w:rsid w:val="00854028"/>
    <w:rsid w:val="008638B4"/>
    <w:rsid w:val="00867CD4"/>
    <w:rsid w:val="008709B8"/>
    <w:rsid w:val="00871F3D"/>
    <w:rsid w:val="00871FE2"/>
    <w:rsid w:val="00872559"/>
    <w:rsid w:val="008771EC"/>
    <w:rsid w:val="008836D5"/>
    <w:rsid w:val="00883BEC"/>
    <w:rsid w:val="00884BB7"/>
    <w:rsid w:val="008869E0"/>
    <w:rsid w:val="008941AF"/>
    <w:rsid w:val="008A0346"/>
    <w:rsid w:val="008A0D08"/>
    <w:rsid w:val="008A20FF"/>
    <w:rsid w:val="008A411B"/>
    <w:rsid w:val="008A6F79"/>
    <w:rsid w:val="008B0A54"/>
    <w:rsid w:val="008B3352"/>
    <w:rsid w:val="008C27BA"/>
    <w:rsid w:val="008C5DB6"/>
    <w:rsid w:val="008D3A85"/>
    <w:rsid w:val="008D6502"/>
    <w:rsid w:val="008D786A"/>
    <w:rsid w:val="008E28AB"/>
    <w:rsid w:val="008E3021"/>
    <w:rsid w:val="008E70EF"/>
    <w:rsid w:val="008F33CF"/>
    <w:rsid w:val="008F3FAC"/>
    <w:rsid w:val="008F6090"/>
    <w:rsid w:val="00903BD0"/>
    <w:rsid w:val="009060F3"/>
    <w:rsid w:val="00906859"/>
    <w:rsid w:val="009107EC"/>
    <w:rsid w:val="00911EC7"/>
    <w:rsid w:val="00917CA4"/>
    <w:rsid w:val="009228FA"/>
    <w:rsid w:val="00925F5D"/>
    <w:rsid w:val="00930B6C"/>
    <w:rsid w:val="0093234F"/>
    <w:rsid w:val="00933FAB"/>
    <w:rsid w:val="00951502"/>
    <w:rsid w:val="00961287"/>
    <w:rsid w:val="00976788"/>
    <w:rsid w:val="00982B2D"/>
    <w:rsid w:val="00984298"/>
    <w:rsid w:val="0098488B"/>
    <w:rsid w:val="00984C49"/>
    <w:rsid w:val="0099590E"/>
    <w:rsid w:val="00997DDD"/>
    <w:rsid w:val="009A7822"/>
    <w:rsid w:val="009B3E38"/>
    <w:rsid w:val="009B49D5"/>
    <w:rsid w:val="009C455D"/>
    <w:rsid w:val="009C5A20"/>
    <w:rsid w:val="009C797E"/>
    <w:rsid w:val="009D081D"/>
    <w:rsid w:val="009D1B3F"/>
    <w:rsid w:val="009E1494"/>
    <w:rsid w:val="009E45E2"/>
    <w:rsid w:val="009E532E"/>
    <w:rsid w:val="009F3E26"/>
    <w:rsid w:val="00A01E6E"/>
    <w:rsid w:val="00A03383"/>
    <w:rsid w:val="00A0420C"/>
    <w:rsid w:val="00A05149"/>
    <w:rsid w:val="00A14338"/>
    <w:rsid w:val="00A212C9"/>
    <w:rsid w:val="00A25595"/>
    <w:rsid w:val="00A3270E"/>
    <w:rsid w:val="00A34685"/>
    <w:rsid w:val="00A34A6F"/>
    <w:rsid w:val="00A41E37"/>
    <w:rsid w:val="00A461D5"/>
    <w:rsid w:val="00A477ED"/>
    <w:rsid w:val="00A5180B"/>
    <w:rsid w:val="00A55CF6"/>
    <w:rsid w:val="00A635F8"/>
    <w:rsid w:val="00A63C4D"/>
    <w:rsid w:val="00A65E5A"/>
    <w:rsid w:val="00A73BDE"/>
    <w:rsid w:val="00A74239"/>
    <w:rsid w:val="00A74815"/>
    <w:rsid w:val="00A802A3"/>
    <w:rsid w:val="00A87F9D"/>
    <w:rsid w:val="00A958E0"/>
    <w:rsid w:val="00AA169E"/>
    <w:rsid w:val="00AA3C23"/>
    <w:rsid w:val="00AA6EFD"/>
    <w:rsid w:val="00AB25E2"/>
    <w:rsid w:val="00AB46F1"/>
    <w:rsid w:val="00AB79D3"/>
    <w:rsid w:val="00AC572D"/>
    <w:rsid w:val="00AC6E73"/>
    <w:rsid w:val="00AD0E65"/>
    <w:rsid w:val="00AD1552"/>
    <w:rsid w:val="00AD253D"/>
    <w:rsid w:val="00AD39F5"/>
    <w:rsid w:val="00AD5DF6"/>
    <w:rsid w:val="00AE142E"/>
    <w:rsid w:val="00AE2E10"/>
    <w:rsid w:val="00AE43A9"/>
    <w:rsid w:val="00AF4C07"/>
    <w:rsid w:val="00B01EAA"/>
    <w:rsid w:val="00B042D1"/>
    <w:rsid w:val="00B044F5"/>
    <w:rsid w:val="00B047E5"/>
    <w:rsid w:val="00B1032B"/>
    <w:rsid w:val="00B21596"/>
    <w:rsid w:val="00B219C5"/>
    <w:rsid w:val="00B43784"/>
    <w:rsid w:val="00B438D8"/>
    <w:rsid w:val="00B45D34"/>
    <w:rsid w:val="00B51738"/>
    <w:rsid w:val="00B53E86"/>
    <w:rsid w:val="00B56533"/>
    <w:rsid w:val="00B566B7"/>
    <w:rsid w:val="00B56D9B"/>
    <w:rsid w:val="00B62CC6"/>
    <w:rsid w:val="00B63780"/>
    <w:rsid w:val="00B63C8B"/>
    <w:rsid w:val="00B655A3"/>
    <w:rsid w:val="00B757D4"/>
    <w:rsid w:val="00B81E55"/>
    <w:rsid w:val="00B92CA0"/>
    <w:rsid w:val="00B92E6C"/>
    <w:rsid w:val="00B938E3"/>
    <w:rsid w:val="00B94B21"/>
    <w:rsid w:val="00B9791D"/>
    <w:rsid w:val="00BA13E1"/>
    <w:rsid w:val="00BA3F5C"/>
    <w:rsid w:val="00BA6620"/>
    <w:rsid w:val="00BB3188"/>
    <w:rsid w:val="00BC1063"/>
    <w:rsid w:val="00BC4044"/>
    <w:rsid w:val="00BC4C7C"/>
    <w:rsid w:val="00BC5339"/>
    <w:rsid w:val="00BD123C"/>
    <w:rsid w:val="00BD60B0"/>
    <w:rsid w:val="00BE0ECB"/>
    <w:rsid w:val="00BE0F22"/>
    <w:rsid w:val="00BE1BCA"/>
    <w:rsid w:val="00BE2596"/>
    <w:rsid w:val="00BE435B"/>
    <w:rsid w:val="00BF3EED"/>
    <w:rsid w:val="00BF56F5"/>
    <w:rsid w:val="00BF5CE2"/>
    <w:rsid w:val="00BF5F41"/>
    <w:rsid w:val="00BF7EDA"/>
    <w:rsid w:val="00C01DCC"/>
    <w:rsid w:val="00C03228"/>
    <w:rsid w:val="00C0365D"/>
    <w:rsid w:val="00C036E7"/>
    <w:rsid w:val="00C07F71"/>
    <w:rsid w:val="00C12EDB"/>
    <w:rsid w:val="00C13918"/>
    <w:rsid w:val="00C14905"/>
    <w:rsid w:val="00C15632"/>
    <w:rsid w:val="00C1657B"/>
    <w:rsid w:val="00C20560"/>
    <w:rsid w:val="00C21B7A"/>
    <w:rsid w:val="00C228E3"/>
    <w:rsid w:val="00C255C9"/>
    <w:rsid w:val="00C352E5"/>
    <w:rsid w:val="00C36788"/>
    <w:rsid w:val="00C40113"/>
    <w:rsid w:val="00C40A4B"/>
    <w:rsid w:val="00C43E33"/>
    <w:rsid w:val="00C44929"/>
    <w:rsid w:val="00C44A02"/>
    <w:rsid w:val="00C44CF0"/>
    <w:rsid w:val="00C5094B"/>
    <w:rsid w:val="00C629FC"/>
    <w:rsid w:val="00C639D4"/>
    <w:rsid w:val="00C63A2D"/>
    <w:rsid w:val="00C6452A"/>
    <w:rsid w:val="00C70527"/>
    <w:rsid w:val="00C8398A"/>
    <w:rsid w:val="00C92D85"/>
    <w:rsid w:val="00C94EB3"/>
    <w:rsid w:val="00C97758"/>
    <w:rsid w:val="00CA171C"/>
    <w:rsid w:val="00CA3D7E"/>
    <w:rsid w:val="00CA3E38"/>
    <w:rsid w:val="00CA7ADF"/>
    <w:rsid w:val="00CA7DA4"/>
    <w:rsid w:val="00CB08BA"/>
    <w:rsid w:val="00CB3496"/>
    <w:rsid w:val="00CB46D7"/>
    <w:rsid w:val="00CB48DA"/>
    <w:rsid w:val="00CC332C"/>
    <w:rsid w:val="00CC6FA0"/>
    <w:rsid w:val="00CD30C3"/>
    <w:rsid w:val="00CE17A5"/>
    <w:rsid w:val="00CE2D4E"/>
    <w:rsid w:val="00CE441A"/>
    <w:rsid w:val="00CE5321"/>
    <w:rsid w:val="00CE66A1"/>
    <w:rsid w:val="00CE6B09"/>
    <w:rsid w:val="00CF4A94"/>
    <w:rsid w:val="00CF6198"/>
    <w:rsid w:val="00D1286B"/>
    <w:rsid w:val="00D13E5B"/>
    <w:rsid w:val="00D15B27"/>
    <w:rsid w:val="00D21110"/>
    <w:rsid w:val="00D2400C"/>
    <w:rsid w:val="00D33A11"/>
    <w:rsid w:val="00D34B7E"/>
    <w:rsid w:val="00D35E21"/>
    <w:rsid w:val="00D36513"/>
    <w:rsid w:val="00D40019"/>
    <w:rsid w:val="00D44A2C"/>
    <w:rsid w:val="00D5083B"/>
    <w:rsid w:val="00D57748"/>
    <w:rsid w:val="00D609F9"/>
    <w:rsid w:val="00D60AB0"/>
    <w:rsid w:val="00D60BFF"/>
    <w:rsid w:val="00D71EDF"/>
    <w:rsid w:val="00D7545B"/>
    <w:rsid w:val="00D76695"/>
    <w:rsid w:val="00D77435"/>
    <w:rsid w:val="00D77D5B"/>
    <w:rsid w:val="00D86404"/>
    <w:rsid w:val="00D91EAF"/>
    <w:rsid w:val="00D967C1"/>
    <w:rsid w:val="00D9733D"/>
    <w:rsid w:val="00DA5185"/>
    <w:rsid w:val="00DB061E"/>
    <w:rsid w:val="00DB2C4B"/>
    <w:rsid w:val="00DB45F7"/>
    <w:rsid w:val="00DB51DB"/>
    <w:rsid w:val="00DC22F7"/>
    <w:rsid w:val="00DC45BA"/>
    <w:rsid w:val="00DE12EA"/>
    <w:rsid w:val="00DE3ECD"/>
    <w:rsid w:val="00DE6142"/>
    <w:rsid w:val="00DF66C2"/>
    <w:rsid w:val="00E01813"/>
    <w:rsid w:val="00E0497B"/>
    <w:rsid w:val="00E05DBD"/>
    <w:rsid w:val="00E06C19"/>
    <w:rsid w:val="00E1289D"/>
    <w:rsid w:val="00E1304E"/>
    <w:rsid w:val="00E16CBC"/>
    <w:rsid w:val="00E16D7A"/>
    <w:rsid w:val="00E226EE"/>
    <w:rsid w:val="00E40736"/>
    <w:rsid w:val="00E51592"/>
    <w:rsid w:val="00E520FD"/>
    <w:rsid w:val="00E637AD"/>
    <w:rsid w:val="00E6795C"/>
    <w:rsid w:val="00E70898"/>
    <w:rsid w:val="00E71EB5"/>
    <w:rsid w:val="00E8728E"/>
    <w:rsid w:val="00E87AF7"/>
    <w:rsid w:val="00E9094E"/>
    <w:rsid w:val="00E93A91"/>
    <w:rsid w:val="00E95161"/>
    <w:rsid w:val="00E96EE7"/>
    <w:rsid w:val="00EA610D"/>
    <w:rsid w:val="00EA7948"/>
    <w:rsid w:val="00EB1B86"/>
    <w:rsid w:val="00EB3A04"/>
    <w:rsid w:val="00EB41AA"/>
    <w:rsid w:val="00EB6146"/>
    <w:rsid w:val="00EB6E34"/>
    <w:rsid w:val="00EB7751"/>
    <w:rsid w:val="00ED18DB"/>
    <w:rsid w:val="00ED23D7"/>
    <w:rsid w:val="00ED57ED"/>
    <w:rsid w:val="00ED7FF5"/>
    <w:rsid w:val="00EE294F"/>
    <w:rsid w:val="00EE513A"/>
    <w:rsid w:val="00EE672B"/>
    <w:rsid w:val="00F00330"/>
    <w:rsid w:val="00F04B30"/>
    <w:rsid w:val="00F06E9B"/>
    <w:rsid w:val="00F141E5"/>
    <w:rsid w:val="00F2376B"/>
    <w:rsid w:val="00F243FC"/>
    <w:rsid w:val="00F27522"/>
    <w:rsid w:val="00F32188"/>
    <w:rsid w:val="00F357C9"/>
    <w:rsid w:val="00F4408B"/>
    <w:rsid w:val="00F44407"/>
    <w:rsid w:val="00F4546D"/>
    <w:rsid w:val="00F45E7E"/>
    <w:rsid w:val="00F46848"/>
    <w:rsid w:val="00F4687A"/>
    <w:rsid w:val="00F47337"/>
    <w:rsid w:val="00F5013A"/>
    <w:rsid w:val="00F54AB7"/>
    <w:rsid w:val="00F55D95"/>
    <w:rsid w:val="00F626F8"/>
    <w:rsid w:val="00F64FE8"/>
    <w:rsid w:val="00F8444A"/>
    <w:rsid w:val="00F84478"/>
    <w:rsid w:val="00F904DB"/>
    <w:rsid w:val="00F9142B"/>
    <w:rsid w:val="00F950D7"/>
    <w:rsid w:val="00F95F51"/>
    <w:rsid w:val="00FA058D"/>
    <w:rsid w:val="00FB4DE6"/>
    <w:rsid w:val="00FB795F"/>
    <w:rsid w:val="00FC0417"/>
    <w:rsid w:val="00FC0812"/>
    <w:rsid w:val="00FC785E"/>
    <w:rsid w:val="00FC7D9D"/>
    <w:rsid w:val="00FD5D5E"/>
    <w:rsid w:val="00FE024D"/>
    <w:rsid w:val="00FE3639"/>
    <w:rsid w:val="00FF1C13"/>
    <w:rsid w:val="00FF5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352A20-CA9F-4CD2-8113-3BA1D0762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2BAE"/>
    <w:pPr>
      <w:keepNext/>
      <w:spacing w:before="240" w:after="60"/>
      <w:outlineLvl w:val="0"/>
    </w:pPr>
    <w:rPr>
      <w:rFonts w:ascii="Times New Roman" w:eastAsia="MS Gothic" w:hAnsi="Times New Roman"/>
      <w:b/>
      <w:bCs/>
      <w:kern w:val="32"/>
      <w:sz w:val="24"/>
      <w:szCs w:val="32"/>
    </w:rPr>
  </w:style>
  <w:style w:type="paragraph" w:styleId="Heading2">
    <w:name w:val="heading 2"/>
    <w:basedOn w:val="Normal"/>
    <w:next w:val="Normal"/>
    <w:link w:val="Heading2Char"/>
    <w:uiPriority w:val="9"/>
    <w:semiHidden/>
    <w:unhideWhenUsed/>
    <w:qFormat/>
    <w:rsid w:val="00D36513"/>
    <w:pPr>
      <w:keepNext/>
      <w:spacing w:before="240" w:after="60"/>
      <w:outlineLvl w:val="1"/>
    </w:pPr>
    <w:rPr>
      <w:rFonts w:ascii="Times New Roman" w:eastAsia="MS Gothic" w:hAnsi="Times New Roman"/>
      <w:b/>
      <w:bCs/>
      <w:iCs/>
      <w:sz w:val="24"/>
      <w:szCs w:val="28"/>
    </w:rPr>
  </w:style>
  <w:style w:type="paragraph" w:styleId="Heading3">
    <w:name w:val="heading 3"/>
    <w:basedOn w:val="Normal"/>
    <w:next w:val="Normal"/>
    <w:link w:val="Heading3Char"/>
    <w:uiPriority w:val="9"/>
    <w:unhideWhenUsed/>
    <w:qFormat/>
    <w:rsid w:val="00623DD5"/>
    <w:pPr>
      <w:keepNext/>
      <w:spacing w:before="240" w:after="60"/>
      <w:outlineLvl w:val="2"/>
    </w:pPr>
    <w:rPr>
      <w:rFonts w:ascii="Calibri Light" w:eastAsia="MS Gothic" w:hAnsi="Calibri Light"/>
      <w:b/>
      <w:bCs/>
      <w:sz w:val="26"/>
      <w:szCs w:val="26"/>
    </w:rPr>
  </w:style>
  <w:style w:type="paragraph" w:styleId="Heading4">
    <w:name w:val="heading 4"/>
    <w:basedOn w:val="Normal"/>
    <w:next w:val="Normal"/>
    <w:link w:val="Heading4Char"/>
    <w:uiPriority w:val="9"/>
    <w:semiHidden/>
    <w:unhideWhenUsed/>
    <w:qFormat/>
    <w:rsid w:val="007B127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AB7"/>
    <w:pPr>
      <w:ind w:left="720"/>
      <w:contextualSpacing/>
    </w:pPr>
  </w:style>
  <w:style w:type="paragraph" w:styleId="FootnoteText">
    <w:name w:val="footnote text"/>
    <w:basedOn w:val="Normal"/>
    <w:link w:val="FootnoteTextChar"/>
    <w:uiPriority w:val="99"/>
    <w:unhideWhenUsed/>
    <w:rsid w:val="00BA13E1"/>
    <w:rPr>
      <w:sz w:val="20"/>
      <w:szCs w:val="20"/>
    </w:rPr>
  </w:style>
  <w:style w:type="character" w:customStyle="1" w:styleId="FootnoteTextChar">
    <w:name w:val="Footnote Text Char"/>
    <w:basedOn w:val="DefaultParagraphFont"/>
    <w:link w:val="FootnoteText"/>
    <w:uiPriority w:val="99"/>
    <w:rsid w:val="00BA13E1"/>
  </w:style>
  <w:style w:type="character" w:styleId="FootnoteReference">
    <w:name w:val="footnote reference"/>
    <w:uiPriority w:val="99"/>
    <w:semiHidden/>
    <w:unhideWhenUsed/>
    <w:rsid w:val="00BA13E1"/>
    <w:rPr>
      <w:vertAlign w:val="superscript"/>
    </w:rPr>
  </w:style>
  <w:style w:type="character" w:styleId="Hyperlink">
    <w:name w:val="Hyperlink"/>
    <w:uiPriority w:val="99"/>
    <w:unhideWhenUsed/>
    <w:rsid w:val="00ED23D7"/>
    <w:rPr>
      <w:color w:val="0563C1"/>
      <w:u w:val="single"/>
    </w:rPr>
  </w:style>
  <w:style w:type="paragraph" w:styleId="Header">
    <w:name w:val="header"/>
    <w:basedOn w:val="Normal"/>
    <w:link w:val="HeaderChar"/>
    <w:uiPriority w:val="99"/>
    <w:unhideWhenUsed/>
    <w:rsid w:val="00C01DCC"/>
    <w:pPr>
      <w:tabs>
        <w:tab w:val="center" w:pos="4680"/>
        <w:tab w:val="right" w:pos="9360"/>
      </w:tabs>
    </w:pPr>
  </w:style>
  <w:style w:type="character" w:customStyle="1" w:styleId="HeaderChar">
    <w:name w:val="Header Char"/>
    <w:link w:val="Header"/>
    <w:uiPriority w:val="99"/>
    <w:rsid w:val="00C01DCC"/>
    <w:rPr>
      <w:sz w:val="22"/>
      <w:szCs w:val="22"/>
    </w:rPr>
  </w:style>
  <w:style w:type="paragraph" w:styleId="Footer">
    <w:name w:val="footer"/>
    <w:basedOn w:val="Normal"/>
    <w:link w:val="FooterChar"/>
    <w:uiPriority w:val="99"/>
    <w:unhideWhenUsed/>
    <w:rsid w:val="00C01DCC"/>
    <w:pPr>
      <w:tabs>
        <w:tab w:val="center" w:pos="4680"/>
        <w:tab w:val="right" w:pos="9360"/>
      </w:tabs>
    </w:pPr>
  </w:style>
  <w:style w:type="character" w:customStyle="1" w:styleId="FooterChar">
    <w:name w:val="Footer Char"/>
    <w:link w:val="Footer"/>
    <w:uiPriority w:val="99"/>
    <w:rsid w:val="00C01DCC"/>
    <w:rPr>
      <w:sz w:val="22"/>
      <w:szCs w:val="22"/>
    </w:rPr>
  </w:style>
  <w:style w:type="character" w:styleId="LineNumber">
    <w:name w:val="line number"/>
    <w:uiPriority w:val="99"/>
    <w:semiHidden/>
    <w:unhideWhenUsed/>
    <w:rsid w:val="00E95161"/>
  </w:style>
  <w:style w:type="table" w:styleId="TableGrid">
    <w:name w:val="Table Grid"/>
    <w:basedOn w:val="TableNormal"/>
    <w:uiPriority w:val="39"/>
    <w:rsid w:val="00044B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semiHidden/>
    <w:rsid w:val="00D36513"/>
    <w:rPr>
      <w:rFonts w:ascii="Times New Roman" w:eastAsia="MS Gothic" w:hAnsi="Times New Roman" w:cs="Times New Roman"/>
      <w:b/>
      <w:bCs/>
      <w:iCs/>
      <w:sz w:val="24"/>
      <w:szCs w:val="28"/>
    </w:rPr>
  </w:style>
  <w:style w:type="character" w:customStyle="1" w:styleId="Heading1Char">
    <w:name w:val="Heading 1 Char"/>
    <w:link w:val="Heading1"/>
    <w:uiPriority w:val="9"/>
    <w:rsid w:val="00102BAE"/>
    <w:rPr>
      <w:rFonts w:ascii="Times New Roman" w:eastAsia="MS Gothic" w:hAnsi="Times New Roman" w:cs="Times New Roman"/>
      <w:b/>
      <w:bCs/>
      <w:kern w:val="32"/>
      <w:sz w:val="24"/>
      <w:szCs w:val="32"/>
    </w:rPr>
  </w:style>
  <w:style w:type="paragraph" w:styleId="TOC1">
    <w:name w:val="toc 1"/>
    <w:basedOn w:val="Normal"/>
    <w:next w:val="Normal"/>
    <w:autoRedefine/>
    <w:uiPriority w:val="39"/>
    <w:unhideWhenUsed/>
    <w:rsid w:val="00A41E37"/>
    <w:pPr>
      <w:tabs>
        <w:tab w:val="right" w:leader="dot" w:pos="7928"/>
      </w:tabs>
    </w:pPr>
    <w:rPr>
      <w:rFonts w:ascii="Times New Roman" w:hAnsi="Times New Roman"/>
      <w:b/>
      <w:noProof/>
      <w:sz w:val="24"/>
      <w:szCs w:val="24"/>
    </w:rPr>
  </w:style>
  <w:style w:type="character" w:customStyle="1" w:styleId="Heading3Char">
    <w:name w:val="Heading 3 Char"/>
    <w:link w:val="Heading3"/>
    <w:uiPriority w:val="9"/>
    <w:rsid w:val="00623DD5"/>
    <w:rPr>
      <w:rFonts w:ascii="Calibri Light" w:eastAsia="MS Gothic" w:hAnsi="Calibri Light" w:cs="Times New Roman"/>
      <w:b/>
      <w:bCs/>
      <w:sz w:val="26"/>
      <w:szCs w:val="26"/>
    </w:rPr>
  </w:style>
  <w:style w:type="character" w:customStyle="1" w:styleId="Heading4Char">
    <w:name w:val="Heading 4 Char"/>
    <w:link w:val="Heading4"/>
    <w:uiPriority w:val="9"/>
    <w:semiHidden/>
    <w:rsid w:val="007B127D"/>
    <w:rPr>
      <w:rFonts w:ascii="Calibri" w:eastAsia="MS Mincho" w:hAnsi="Calibri" w:cs="Times New Roman"/>
      <w:b/>
      <w:bCs/>
      <w:sz w:val="28"/>
      <w:szCs w:val="28"/>
    </w:rPr>
  </w:style>
  <w:style w:type="paragraph" w:styleId="TOC2">
    <w:name w:val="toc 2"/>
    <w:basedOn w:val="Normal"/>
    <w:next w:val="Normal"/>
    <w:autoRedefine/>
    <w:uiPriority w:val="39"/>
    <w:unhideWhenUsed/>
    <w:rsid w:val="00A41E37"/>
    <w:pPr>
      <w:tabs>
        <w:tab w:val="left" w:pos="660"/>
        <w:tab w:val="right" w:leader="dot" w:pos="7928"/>
      </w:tabs>
      <w:ind w:left="220"/>
    </w:pPr>
    <w:rPr>
      <w:rFonts w:ascii="Times New Roman" w:hAnsi="Times New Roman"/>
      <w:noProof/>
      <w:sz w:val="24"/>
      <w:szCs w:val="24"/>
    </w:rPr>
  </w:style>
  <w:style w:type="paragraph" w:styleId="TOC3">
    <w:name w:val="toc 3"/>
    <w:basedOn w:val="Normal"/>
    <w:next w:val="Normal"/>
    <w:autoRedefine/>
    <w:uiPriority w:val="39"/>
    <w:unhideWhenUsed/>
    <w:rsid w:val="00F243FC"/>
    <w:pPr>
      <w:ind w:left="440"/>
    </w:pPr>
  </w:style>
  <w:style w:type="paragraph" w:styleId="TOC4">
    <w:name w:val="toc 4"/>
    <w:basedOn w:val="Normal"/>
    <w:next w:val="Normal"/>
    <w:autoRedefine/>
    <w:uiPriority w:val="39"/>
    <w:unhideWhenUsed/>
    <w:rsid w:val="00F243FC"/>
    <w:pPr>
      <w:ind w:left="660"/>
    </w:pPr>
  </w:style>
  <w:style w:type="paragraph" w:styleId="TOCHeading">
    <w:name w:val="TOC Heading"/>
    <w:basedOn w:val="Heading1"/>
    <w:next w:val="Normal"/>
    <w:uiPriority w:val="39"/>
    <w:unhideWhenUsed/>
    <w:qFormat/>
    <w:rsid w:val="00903BD0"/>
    <w:pPr>
      <w:keepLines/>
      <w:spacing w:after="0"/>
      <w:outlineLvl w:val="9"/>
    </w:pPr>
    <w:rPr>
      <w:rFonts w:ascii="Calibri Light" w:hAnsi="Calibri Light"/>
      <w:b w:val="0"/>
      <w:bCs w:val="0"/>
      <w:color w:val="2E74B5"/>
      <w:kern w:val="0"/>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12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batan.go.id/ensiklopedi/08/01/02/01/08-01-02-01.html" TargetMode="External"/><Relationship Id="rId13" Type="http://schemas.openxmlformats.org/officeDocument/2006/relationships/hyperlink" Target="https://www.britannica.com/technology/unmanned-aerial-vehicle" TargetMode="External"/><Relationship Id="rId3" Type="http://schemas.openxmlformats.org/officeDocument/2006/relationships/hyperlink" Target="http://www.world-nuclear.org/information-library/safety-and-security/safety-of-plants/fukushima-accident.aspx" TargetMode="External"/><Relationship Id="rId7" Type="http://schemas.openxmlformats.org/officeDocument/2006/relationships/hyperlink" Target="http://kamus-internasional.com/definitions/?indonesian_word=sievert" TargetMode="External"/><Relationship Id="rId12" Type="http://schemas.openxmlformats.org/officeDocument/2006/relationships/hyperlink" Target="https://www.iaea.org/topics/radiation-protection/cooperation-fukushima-prefecture" TargetMode="External"/><Relationship Id="rId2" Type="http://schemas.openxmlformats.org/officeDocument/2006/relationships/hyperlink" Target="http://www.ndf.go.jp/soshiki/pamph_e.pdf" TargetMode="External"/><Relationship Id="rId1" Type="http://schemas.openxmlformats.org/officeDocument/2006/relationships/hyperlink" Target="http://www.world-nuclear.org/information-library/safety-and-security/safety-of-plants/fukushima-accident.aspx" TargetMode="External"/><Relationship Id="rId6" Type="http://schemas.openxmlformats.org/officeDocument/2006/relationships/hyperlink" Target="http://www.world-nuclear.org/information-library/safety-and-security/safety-of-plants/fukushima-accident.aspx" TargetMode="External"/><Relationship Id="rId11" Type="http://schemas.openxmlformats.org/officeDocument/2006/relationships/hyperlink" Target="http://global.liputan6.com/read/2188739/11-3-2011-gempa-9-sr-jepang-tsunami-dan-supermoon" TargetMode="External"/><Relationship Id="rId5" Type="http://schemas.openxmlformats.org/officeDocument/2006/relationships/hyperlink" Target="http://www-ns.iaea.org/tech-areas/emergency/ines.asp" TargetMode="External"/><Relationship Id="rId15" Type="http://schemas.openxmlformats.org/officeDocument/2006/relationships/hyperlink" Target="http://www.chernobylcongress.org/" TargetMode="External"/><Relationship Id="rId10" Type="http://schemas.openxmlformats.org/officeDocument/2006/relationships/hyperlink" Target="https://www.britannica.com/place/Fukushima-prefecture-Japan" TargetMode="External"/><Relationship Id="rId4" Type="http://schemas.openxmlformats.org/officeDocument/2006/relationships/hyperlink" Target="https://www.nei.org/News-Media/News/News-Archives/fukushima-chernobyl-and-the-nuclear-event-scale" TargetMode="External"/><Relationship Id="rId9" Type="http://schemas.openxmlformats.org/officeDocument/2006/relationships/hyperlink" Target="https://www.mcgill.ca/ehs/laboratory/radiation/manual/3" TargetMode="External"/><Relationship Id="rId14" Type="http://schemas.openxmlformats.org/officeDocument/2006/relationships/hyperlink" Target="https://www.iaea.org/newscenter/focus/nuclear-safety-action-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F7A74-4AD1-4569-8F56-55F89BD61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26925</CharactersWithSpaces>
  <SharedDoc>false</SharedDoc>
  <HLinks>
    <vt:vector size="312" baseType="variant">
      <vt:variant>
        <vt:i4>6357040</vt:i4>
      </vt:variant>
      <vt:variant>
        <vt:i4>153</vt:i4>
      </vt:variant>
      <vt:variant>
        <vt:i4>0</vt:i4>
      </vt:variant>
      <vt:variant>
        <vt:i4>5</vt:i4>
      </vt:variant>
      <vt:variant>
        <vt:lpwstr>http://www.tsukubascience.com/2011/04/understanding-radiation-becquerels-and-sieverts/</vt:lpwstr>
      </vt:variant>
      <vt:variant>
        <vt:lpwstr/>
      </vt:variant>
      <vt:variant>
        <vt:i4>6225936</vt:i4>
      </vt:variant>
      <vt:variant>
        <vt:i4>150</vt:i4>
      </vt:variant>
      <vt:variant>
        <vt:i4>0</vt:i4>
      </vt:variant>
      <vt:variant>
        <vt:i4>5</vt:i4>
      </vt:variant>
      <vt:variant>
        <vt:lpwstr>http://www.pref.fukushima.lg.jp/site/portal-english/en02-01.html</vt:lpwstr>
      </vt:variant>
      <vt:variant>
        <vt:lpwstr/>
      </vt:variant>
      <vt:variant>
        <vt:i4>2359313</vt:i4>
      </vt:variant>
      <vt:variant>
        <vt:i4>147</vt:i4>
      </vt:variant>
      <vt:variant>
        <vt:i4>0</vt:i4>
      </vt:variant>
      <vt:variant>
        <vt:i4>5</vt:i4>
      </vt:variant>
      <vt:variant>
        <vt:lpwstr>http://www.tepco.co.jp/en/news/library/archive-e.html?video_uuid=t0mc341c&amp;catid=61795</vt:lpwstr>
      </vt:variant>
      <vt:variant>
        <vt:lpwstr/>
      </vt:variant>
      <vt:variant>
        <vt:i4>5963788</vt:i4>
      </vt:variant>
      <vt:variant>
        <vt:i4>144</vt:i4>
      </vt:variant>
      <vt:variant>
        <vt:i4>0</vt:i4>
      </vt:variant>
      <vt:variant>
        <vt:i4>5</vt:i4>
      </vt:variant>
      <vt:variant>
        <vt:lpwstr>http://www.chernobylcongress.org/</vt:lpwstr>
      </vt:variant>
      <vt:variant>
        <vt:lpwstr/>
      </vt:variant>
      <vt:variant>
        <vt:i4>5636127</vt:i4>
      </vt:variant>
      <vt:variant>
        <vt:i4>141</vt:i4>
      </vt:variant>
      <vt:variant>
        <vt:i4>0</vt:i4>
      </vt:variant>
      <vt:variant>
        <vt:i4>5</vt:i4>
      </vt:variant>
      <vt:variant>
        <vt:lpwstr>https://www.iaea.org/newscenter/focus/nuclear-safety-action-plan</vt:lpwstr>
      </vt:variant>
      <vt:variant>
        <vt:lpwstr/>
      </vt:variant>
      <vt:variant>
        <vt:i4>4259870</vt:i4>
      </vt:variant>
      <vt:variant>
        <vt:i4>138</vt:i4>
      </vt:variant>
      <vt:variant>
        <vt:i4>0</vt:i4>
      </vt:variant>
      <vt:variant>
        <vt:i4>5</vt:i4>
      </vt:variant>
      <vt:variant>
        <vt:lpwstr>https://www.britannica.com/technology/unmanned-aerial-vehicle</vt:lpwstr>
      </vt:variant>
      <vt:variant>
        <vt:lpwstr/>
      </vt:variant>
      <vt:variant>
        <vt:i4>5963781</vt:i4>
      </vt:variant>
      <vt:variant>
        <vt:i4>135</vt:i4>
      </vt:variant>
      <vt:variant>
        <vt:i4>0</vt:i4>
      </vt:variant>
      <vt:variant>
        <vt:i4>5</vt:i4>
      </vt:variant>
      <vt:variant>
        <vt:lpwstr>https://www.iaea.org/topics/radiation-protection/cooperation-fukushima-prefecture</vt:lpwstr>
      </vt:variant>
      <vt:variant>
        <vt:lpwstr/>
      </vt:variant>
      <vt:variant>
        <vt:i4>1114180</vt:i4>
      </vt:variant>
      <vt:variant>
        <vt:i4>132</vt:i4>
      </vt:variant>
      <vt:variant>
        <vt:i4>0</vt:i4>
      </vt:variant>
      <vt:variant>
        <vt:i4>5</vt:i4>
      </vt:variant>
      <vt:variant>
        <vt:lpwstr>http://global.liputan6.com/read/2188739/11-3-2011-gempa-9-sr-jepang-tsunami-dan-supermoon</vt:lpwstr>
      </vt:variant>
      <vt:variant>
        <vt:lpwstr/>
      </vt:variant>
      <vt:variant>
        <vt:i4>8323132</vt:i4>
      </vt:variant>
      <vt:variant>
        <vt:i4>129</vt:i4>
      </vt:variant>
      <vt:variant>
        <vt:i4>0</vt:i4>
      </vt:variant>
      <vt:variant>
        <vt:i4>5</vt:i4>
      </vt:variant>
      <vt:variant>
        <vt:lpwstr>https://www.britannica.com/place/Fukushima-prefecture-Japan</vt:lpwstr>
      </vt:variant>
      <vt:variant>
        <vt:lpwstr/>
      </vt:variant>
      <vt:variant>
        <vt:i4>6357102</vt:i4>
      </vt:variant>
      <vt:variant>
        <vt:i4>126</vt:i4>
      </vt:variant>
      <vt:variant>
        <vt:i4>0</vt:i4>
      </vt:variant>
      <vt:variant>
        <vt:i4>5</vt:i4>
      </vt:variant>
      <vt:variant>
        <vt:lpwstr>https://www.mcgill.ca/ehs/laboratory/radiation/manual/3</vt:lpwstr>
      </vt:variant>
      <vt:variant>
        <vt:lpwstr/>
      </vt:variant>
      <vt:variant>
        <vt:i4>6619248</vt:i4>
      </vt:variant>
      <vt:variant>
        <vt:i4>123</vt:i4>
      </vt:variant>
      <vt:variant>
        <vt:i4>0</vt:i4>
      </vt:variant>
      <vt:variant>
        <vt:i4>5</vt:i4>
      </vt:variant>
      <vt:variant>
        <vt:lpwstr>http://www.batan.go.id/ensiklopedi/08/01/02/01/08-01-02-01.html</vt:lpwstr>
      </vt:variant>
      <vt:variant>
        <vt:lpwstr/>
      </vt:variant>
      <vt:variant>
        <vt:i4>3670109</vt:i4>
      </vt:variant>
      <vt:variant>
        <vt:i4>120</vt:i4>
      </vt:variant>
      <vt:variant>
        <vt:i4>0</vt:i4>
      </vt:variant>
      <vt:variant>
        <vt:i4>5</vt:i4>
      </vt:variant>
      <vt:variant>
        <vt:lpwstr>http://kamus-internasional.com/definitions/?indonesian_word=sievert</vt:lpwstr>
      </vt:variant>
      <vt:variant>
        <vt:lpwstr/>
      </vt:variant>
      <vt:variant>
        <vt:i4>1572933</vt:i4>
      </vt:variant>
      <vt:variant>
        <vt:i4>117</vt:i4>
      </vt:variant>
      <vt:variant>
        <vt:i4>0</vt:i4>
      </vt:variant>
      <vt:variant>
        <vt:i4>5</vt:i4>
      </vt:variant>
      <vt:variant>
        <vt:lpwstr>http://www.world-nuclear.org/information-library/safety-and-security/safety-of-plants/fukushima-accident.aspx</vt:lpwstr>
      </vt:variant>
      <vt:variant>
        <vt:lpwstr/>
      </vt:variant>
      <vt:variant>
        <vt:i4>6225924</vt:i4>
      </vt:variant>
      <vt:variant>
        <vt:i4>114</vt:i4>
      </vt:variant>
      <vt:variant>
        <vt:i4>0</vt:i4>
      </vt:variant>
      <vt:variant>
        <vt:i4>5</vt:i4>
      </vt:variant>
      <vt:variant>
        <vt:lpwstr>http://www-ns.iaea.org/tech-areas/emergency/ines.asp</vt:lpwstr>
      </vt:variant>
      <vt:variant>
        <vt:lpwstr/>
      </vt:variant>
      <vt:variant>
        <vt:i4>4259869</vt:i4>
      </vt:variant>
      <vt:variant>
        <vt:i4>111</vt:i4>
      </vt:variant>
      <vt:variant>
        <vt:i4>0</vt:i4>
      </vt:variant>
      <vt:variant>
        <vt:i4>5</vt:i4>
      </vt:variant>
      <vt:variant>
        <vt:lpwstr>https://www.nei.org/News-Media/News/News-Archives/fukushima-chernobyl-and-the-nuclear-event-scale</vt:lpwstr>
      </vt:variant>
      <vt:variant>
        <vt:lpwstr/>
      </vt:variant>
      <vt:variant>
        <vt:i4>1572933</vt:i4>
      </vt:variant>
      <vt:variant>
        <vt:i4>108</vt:i4>
      </vt:variant>
      <vt:variant>
        <vt:i4>0</vt:i4>
      </vt:variant>
      <vt:variant>
        <vt:i4>5</vt:i4>
      </vt:variant>
      <vt:variant>
        <vt:lpwstr>http://www.world-nuclear.org/information-library/safety-and-security/safety-of-plants/fukushima-accident.aspx</vt:lpwstr>
      </vt:variant>
      <vt:variant>
        <vt:lpwstr/>
      </vt:variant>
      <vt:variant>
        <vt:i4>1835127</vt:i4>
      </vt:variant>
      <vt:variant>
        <vt:i4>105</vt:i4>
      </vt:variant>
      <vt:variant>
        <vt:i4>0</vt:i4>
      </vt:variant>
      <vt:variant>
        <vt:i4>5</vt:i4>
      </vt:variant>
      <vt:variant>
        <vt:lpwstr>http://www.ndf.go.jp/soshiki/pamph_e.pdf</vt:lpwstr>
      </vt:variant>
      <vt:variant>
        <vt:lpwstr/>
      </vt:variant>
      <vt:variant>
        <vt:i4>1572933</vt:i4>
      </vt:variant>
      <vt:variant>
        <vt:i4>102</vt:i4>
      </vt:variant>
      <vt:variant>
        <vt:i4>0</vt:i4>
      </vt:variant>
      <vt:variant>
        <vt:i4>5</vt:i4>
      </vt:variant>
      <vt:variant>
        <vt:lpwstr>http://www.world-nuclear.org/information-library/safety-and-security/safety-of-plants/fukushima-accident.aspx</vt:lpwstr>
      </vt:variant>
      <vt:variant>
        <vt:lpwstr/>
      </vt:variant>
      <vt:variant>
        <vt:i4>2555937</vt:i4>
      </vt:variant>
      <vt:variant>
        <vt:i4>99</vt:i4>
      </vt:variant>
      <vt:variant>
        <vt:i4>0</vt:i4>
      </vt:variant>
      <vt:variant>
        <vt:i4>5</vt:i4>
      </vt:variant>
      <vt:variant>
        <vt:lpwstr>https://www.iaea.org/newscenter/news/international-fact-finding-mission-updates</vt:lpwstr>
      </vt:variant>
      <vt:variant>
        <vt:lpwstr/>
      </vt:variant>
      <vt:variant>
        <vt:i4>3014699</vt:i4>
      </vt:variant>
      <vt:variant>
        <vt:i4>96</vt:i4>
      </vt:variant>
      <vt:variant>
        <vt:i4>0</vt:i4>
      </vt:variant>
      <vt:variant>
        <vt:i4>5</vt:i4>
      </vt:variant>
      <vt:variant>
        <vt:lpwstr>https://www.iaea.org/newscenter/focus/fukushima</vt:lpwstr>
      </vt:variant>
      <vt:variant>
        <vt:lpwstr/>
      </vt:variant>
      <vt:variant>
        <vt:i4>2555958</vt:i4>
      </vt:variant>
      <vt:variant>
        <vt:i4>93</vt:i4>
      </vt:variant>
      <vt:variant>
        <vt:i4>0</vt:i4>
      </vt:variant>
      <vt:variant>
        <vt:i4>5</vt:i4>
      </vt:variant>
      <vt:variant>
        <vt:lpwstr>https://www.iaea.org/newscenter/focus/chernobyl</vt:lpwstr>
      </vt:variant>
      <vt:variant>
        <vt:lpwstr/>
      </vt:variant>
      <vt:variant>
        <vt:i4>7143482</vt:i4>
      </vt:variant>
      <vt:variant>
        <vt:i4>90</vt:i4>
      </vt:variant>
      <vt:variant>
        <vt:i4>0</vt:i4>
      </vt:variant>
      <vt:variant>
        <vt:i4>5</vt:i4>
      </vt:variant>
      <vt:variant>
        <vt:lpwstr>https://www.iaea.org/sites/default/files/actionplan-ns.pdf</vt:lpwstr>
      </vt:variant>
      <vt:variant>
        <vt:lpwstr/>
      </vt:variant>
      <vt:variant>
        <vt:i4>8192105</vt:i4>
      </vt:variant>
      <vt:variant>
        <vt:i4>87</vt:i4>
      </vt:variant>
      <vt:variant>
        <vt:i4>0</vt:i4>
      </vt:variant>
      <vt:variant>
        <vt:i4>5</vt:i4>
      </vt:variant>
      <vt:variant>
        <vt:lpwstr>https://www.iaea.org/newscenter/news/radiation-medicine-and-nuclear-technology-combats-cancer-in-jordan</vt:lpwstr>
      </vt:variant>
      <vt:variant>
        <vt:lpwstr/>
      </vt:variant>
      <vt:variant>
        <vt:i4>458823</vt:i4>
      </vt:variant>
      <vt:variant>
        <vt:i4>84</vt:i4>
      </vt:variant>
      <vt:variant>
        <vt:i4>0</vt:i4>
      </vt:variant>
      <vt:variant>
        <vt:i4>5</vt:i4>
      </vt:variant>
      <vt:variant>
        <vt:lpwstr>https://www.iaea.org/services/key-programmes/peaceful-uses-initiative</vt:lpwstr>
      </vt:variant>
      <vt:variant>
        <vt:lpwstr/>
      </vt:variant>
      <vt:variant>
        <vt:i4>3342445</vt:i4>
      </vt:variant>
      <vt:variant>
        <vt:i4>81</vt:i4>
      </vt:variant>
      <vt:variant>
        <vt:i4>0</vt:i4>
      </vt:variant>
      <vt:variant>
        <vt:i4>5</vt:i4>
      </vt:variant>
      <vt:variant>
        <vt:lpwstr>http://www.dictionary.com/browse/extrabudgetary</vt:lpwstr>
      </vt:variant>
      <vt:variant>
        <vt:lpwstr/>
      </vt:variant>
      <vt:variant>
        <vt:i4>655452</vt:i4>
      </vt:variant>
      <vt:variant>
        <vt:i4>78</vt:i4>
      </vt:variant>
      <vt:variant>
        <vt:i4>0</vt:i4>
      </vt:variant>
      <vt:variant>
        <vt:i4>5</vt:i4>
      </vt:variant>
      <vt:variant>
        <vt:lpwstr>https://www.iaea.org/about/organizational-structure/department-of-safeguards</vt:lpwstr>
      </vt:variant>
      <vt:variant>
        <vt:lpwstr/>
      </vt:variant>
      <vt:variant>
        <vt:i4>2228266</vt:i4>
      </vt:variant>
      <vt:variant>
        <vt:i4>75</vt:i4>
      </vt:variant>
      <vt:variant>
        <vt:i4>0</vt:i4>
      </vt:variant>
      <vt:variant>
        <vt:i4>5</vt:i4>
      </vt:variant>
      <vt:variant>
        <vt:lpwstr>https://www.iaea.org/about/organizational-structure/department-of-nuclear-sciences-and-applications</vt:lpwstr>
      </vt:variant>
      <vt:variant>
        <vt:lpwstr/>
      </vt:variant>
      <vt:variant>
        <vt:i4>1572867</vt:i4>
      </vt:variant>
      <vt:variant>
        <vt:i4>72</vt:i4>
      </vt:variant>
      <vt:variant>
        <vt:i4>0</vt:i4>
      </vt:variant>
      <vt:variant>
        <vt:i4>5</vt:i4>
      </vt:variant>
      <vt:variant>
        <vt:lpwstr>https://www.iaea.org/about/employment/mt</vt:lpwstr>
      </vt:variant>
      <vt:variant>
        <vt:lpwstr/>
      </vt:variant>
      <vt:variant>
        <vt:i4>6488176</vt:i4>
      </vt:variant>
      <vt:variant>
        <vt:i4>69</vt:i4>
      </vt:variant>
      <vt:variant>
        <vt:i4>0</vt:i4>
      </vt:variant>
      <vt:variant>
        <vt:i4>5</vt:i4>
      </vt:variant>
      <vt:variant>
        <vt:lpwstr>http://www-ns.iaea.org/</vt:lpwstr>
      </vt:variant>
      <vt:variant>
        <vt:lpwstr/>
      </vt:variant>
      <vt:variant>
        <vt:i4>6619248</vt:i4>
      </vt:variant>
      <vt:variant>
        <vt:i4>66</vt:i4>
      </vt:variant>
      <vt:variant>
        <vt:i4>0</vt:i4>
      </vt:variant>
      <vt:variant>
        <vt:i4>5</vt:i4>
      </vt:variant>
      <vt:variant>
        <vt:lpwstr>https://www.iaea.org/OurWork/ST/NE/Main/NEPIK-home.html</vt:lpwstr>
      </vt:variant>
      <vt:variant>
        <vt:lpwstr/>
      </vt:variant>
      <vt:variant>
        <vt:i4>4718616</vt:i4>
      </vt:variant>
      <vt:variant>
        <vt:i4>63</vt:i4>
      </vt:variant>
      <vt:variant>
        <vt:i4>0</vt:i4>
      </vt:variant>
      <vt:variant>
        <vt:i4>5</vt:i4>
      </vt:variant>
      <vt:variant>
        <vt:lpwstr>https://www.iaea.org/OurWork/ST/NE/NEFW/home.html</vt:lpwstr>
      </vt:variant>
      <vt:variant>
        <vt:lpwstr/>
      </vt:variant>
      <vt:variant>
        <vt:i4>8323122</vt:i4>
      </vt:variant>
      <vt:variant>
        <vt:i4>60</vt:i4>
      </vt:variant>
      <vt:variant>
        <vt:i4>0</vt:i4>
      </vt:variant>
      <vt:variant>
        <vt:i4>5</vt:i4>
      </vt:variant>
      <vt:variant>
        <vt:lpwstr>https://www.iaea.org/NuclearPower/</vt:lpwstr>
      </vt:variant>
      <vt:variant>
        <vt:lpwstr/>
      </vt:variant>
      <vt:variant>
        <vt:i4>1376334</vt:i4>
      </vt:variant>
      <vt:variant>
        <vt:i4>57</vt:i4>
      </vt:variant>
      <vt:variant>
        <vt:i4>0</vt:i4>
      </vt:variant>
      <vt:variant>
        <vt:i4>5</vt:i4>
      </vt:variant>
      <vt:variant>
        <vt:lpwstr>https://www.iaea.org/technicalcooperation/Home/index.html</vt:lpwstr>
      </vt:variant>
      <vt:variant>
        <vt:lpwstr/>
      </vt:variant>
      <vt:variant>
        <vt:i4>3866687</vt:i4>
      </vt:variant>
      <vt:variant>
        <vt:i4>54</vt:i4>
      </vt:variant>
      <vt:variant>
        <vt:i4>0</vt:i4>
      </vt:variant>
      <vt:variant>
        <vt:i4>5</vt:i4>
      </vt:variant>
      <vt:variant>
        <vt:lpwstr>https://www.iaea.org/about/statute</vt:lpwstr>
      </vt:variant>
      <vt:variant>
        <vt:lpwstr>a1-2</vt:lpwstr>
      </vt:variant>
      <vt:variant>
        <vt:i4>4063329</vt:i4>
      </vt:variant>
      <vt:variant>
        <vt:i4>51</vt:i4>
      </vt:variant>
      <vt:variant>
        <vt:i4>0</vt:i4>
      </vt:variant>
      <vt:variant>
        <vt:i4>5</vt:i4>
      </vt:variant>
      <vt:variant>
        <vt:lpwstr>http://www-naweb.iaea.org/na/index.html</vt:lpwstr>
      </vt:variant>
      <vt:variant>
        <vt:lpwstr/>
      </vt:variant>
      <vt:variant>
        <vt:i4>3866687</vt:i4>
      </vt:variant>
      <vt:variant>
        <vt:i4>48</vt:i4>
      </vt:variant>
      <vt:variant>
        <vt:i4>0</vt:i4>
      </vt:variant>
      <vt:variant>
        <vt:i4>5</vt:i4>
      </vt:variant>
      <vt:variant>
        <vt:lpwstr>https://www.iaea.org/about/statute</vt:lpwstr>
      </vt:variant>
      <vt:variant>
        <vt:lpwstr>a1-2</vt:lpwstr>
      </vt:variant>
      <vt:variant>
        <vt:i4>1572936</vt:i4>
      </vt:variant>
      <vt:variant>
        <vt:i4>45</vt:i4>
      </vt:variant>
      <vt:variant>
        <vt:i4>0</vt:i4>
      </vt:variant>
      <vt:variant>
        <vt:i4>5</vt:i4>
      </vt:variant>
      <vt:variant>
        <vt:lpwstr>https://www.iaea.org/sites/default/files/publications/magazines/bulletin/bull45-2/45205081720.pdf</vt:lpwstr>
      </vt:variant>
      <vt:variant>
        <vt:lpwstr/>
      </vt:variant>
      <vt:variant>
        <vt:i4>2293874</vt:i4>
      </vt:variant>
      <vt:variant>
        <vt:i4>42</vt:i4>
      </vt:variant>
      <vt:variant>
        <vt:i4>0</vt:i4>
      </vt:variant>
      <vt:variant>
        <vt:i4>5</vt:i4>
      </vt:variant>
      <vt:variant>
        <vt:lpwstr>https://www.iaea.org/about/mission</vt:lpwstr>
      </vt:variant>
      <vt:variant>
        <vt:lpwstr/>
      </vt:variant>
      <vt:variant>
        <vt:i4>4980828</vt:i4>
      </vt:variant>
      <vt:variant>
        <vt:i4>39</vt:i4>
      </vt:variant>
      <vt:variant>
        <vt:i4>0</vt:i4>
      </vt:variant>
      <vt:variant>
        <vt:i4>5</vt:i4>
      </vt:variant>
      <vt:variant>
        <vt:lpwstr>https://www.iaea.org/about/about-iaea</vt:lpwstr>
      </vt:variant>
      <vt:variant>
        <vt:lpwstr/>
      </vt:variant>
      <vt:variant>
        <vt:i4>6488169</vt:i4>
      </vt:variant>
      <vt:variant>
        <vt:i4>36</vt:i4>
      </vt:variant>
      <vt:variant>
        <vt:i4>0</vt:i4>
      </vt:variant>
      <vt:variant>
        <vt:i4>5</vt:i4>
      </vt:variant>
      <vt:variant>
        <vt:lpwstr>https://www.iaea.org/about/overview/history</vt:lpwstr>
      </vt:variant>
      <vt:variant>
        <vt:lpwstr/>
      </vt:variant>
      <vt:variant>
        <vt:i4>3276815</vt:i4>
      </vt:variant>
      <vt:variant>
        <vt:i4>33</vt:i4>
      </vt:variant>
      <vt:variant>
        <vt:i4>0</vt:i4>
      </vt:variant>
      <vt:variant>
        <vt:i4>5</vt:i4>
      </vt:variant>
      <vt:variant>
        <vt:lpwstr>http://www.un.org/ga/search/view_doc.asp?symbol=A/RES/1(I)</vt:lpwstr>
      </vt:variant>
      <vt:variant>
        <vt:lpwstr/>
      </vt:variant>
      <vt:variant>
        <vt:i4>4522006</vt:i4>
      </vt:variant>
      <vt:variant>
        <vt:i4>30</vt:i4>
      </vt:variant>
      <vt:variant>
        <vt:i4>0</vt:i4>
      </vt:variant>
      <vt:variant>
        <vt:i4>5</vt:i4>
      </vt:variant>
      <vt:variant>
        <vt:lpwstr>http://nationalgeographic.co.id/berita/2016/08/surat-einstein-kepada-roosevelt-kisah-dokumen-yang-mengubah-dunia</vt:lpwstr>
      </vt:variant>
      <vt:variant>
        <vt:lpwstr/>
      </vt:variant>
      <vt:variant>
        <vt:i4>5177416</vt:i4>
      </vt:variant>
      <vt:variant>
        <vt:i4>27</vt:i4>
      </vt:variant>
      <vt:variant>
        <vt:i4>0</vt:i4>
      </vt:variant>
      <vt:variant>
        <vt:i4>5</vt:i4>
      </vt:variant>
      <vt:variant>
        <vt:lpwstr>http://kbbi.web.id/nuklir</vt:lpwstr>
      </vt:variant>
      <vt:variant>
        <vt:lpwstr/>
      </vt:variant>
      <vt:variant>
        <vt:i4>2883654</vt:i4>
      </vt:variant>
      <vt:variant>
        <vt:i4>24</vt:i4>
      </vt:variant>
      <vt:variant>
        <vt:i4>0</vt:i4>
      </vt:variant>
      <vt:variant>
        <vt:i4>5</vt:i4>
      </vt:variant>
      <vt:variant>
        <vt:lpwstr>http://www.batan.go.id/prod_hukum/istilah.php</vt:lpwstr>
      </vt:variant>
      <vt:variant>
        <vt:lpwstr/>
      </vt:variant>
      <vt:variant>
        <vt:i4>4259904</vt:i4>
      </vt:variant>
      <vt:variant>
        <vt:i4>21</vt:i4>
      </vt:variant>
      <vt:variant>
        <vt:i4>0</vt:i4>
      </vt:variant>
      <vt:variant>
        <vt:i4>5</vt:i4>
      </vt:variant>
      <vt:variant>
        <vt:lpwstr>http://www.iaea.org/Publications/Documents/Conventions/index.html</vt:lpwstr>
      </vt:variant>
      <vt:variant>
        <vt:lpwstr/>
      </vt:variant>
      <vt:variant>
        <vt:i4>4849677</vt:i4>
      </vt:variant>
      <vt:variant>
        <vt:i4>18</vt:i4>
      </vt:variant>
      <vt:variant>
        <vt:i4>0</vt:i4>
      </vt:variant>
      <vt:variant>
        <vt:i4>5</vt:i4>
      </vt:variant>
      <vt:variant>
        <vt:lpwstr>https://cnpp.iaea.org/countryprofiles/Japan/Japan.htm</vt:lpwstr>
      </vt:variant>
      <vt:variant>
        <vt:lpwstr/>
      </vt:variant>
      <vt:variant>
        <vt:i4>5242900</vt:i4>
      </vt:variant>
      <vt:variant>
        <vt:i4>15</vt:i4>
      </vt:variant>
      <vt:variant>
        <vt:i4>0</vt:i4>
      </vt:variant>
      <vt:variant>
        <vt:i4>5</vt:i4>
      </vt:variant>
      <vt:variant>
        <vt:lpwstr>http://www.voaindonesia.com/a/korea-selatan-larang-impor-ikan-dari-sekitar-fukushima/1744573.html</vt:lpwstr>
      </vt:variant>
      <vt:variant>
        <vt:lpwstr/>
      </vt:variant>
      <vt:variant>
        <vt:i4>4980812</vt:i4>
      </vt:variant>
      <vt:variant>
        <vt:i4>12</vt:i4>
      </vt:variant>
      <vt:variant>
        <vt:i4>0</vt:i4>
      </vt:variant>
      <vt:variant>
        <vt:i4>5</vt:i4>
      </vt:variant>
      <vt:variant>
        <vt:lpwstr>https://japanesestation.com/mengenal-prefektur-di-jepang/</vt:lpwstr>
      </vt:variant>
      <vt:variant>
        <vt:lpwstr/>
      </vt:variant>
      <vt:variant>
        <vt:i4>1114180</vt:i4>
      </vt:variant>
      <vt:variant>
        <vt:i4>9</vt:i4>
      </vt:variant>
      <vt:variant>
        <vt:i4>0</vt:i4>
      </vt:variant>
      <vt:variant>
        <vt:i4>5</vt:i4>
      </vt:variant>
      <vt:variant>
        <vt:lpwstr>http://global.liputan6.com/read/2188739/11-3-2011-gempa-9-sr-jepang-tsunami-dan-supermoon</vt:lpwstr>
      </vt:variant>
      <vt:variant>
        <vt:lpwstr/>
      </vt:variant>
      <vt:variant>
        <vt:i4>7995440</vt:i4>
      </vt:variant>
      <vt:variant>
        <vt:i4>6</vt:i4>
      </vt:variant>
      <vt:variant>
        <vt:i4>0</vt:i4>
      </vt:variant>
      <vt:variant>
        <vt:i4>5</vt:i4>
      </vt:variant>
      <vt:variant>
        <vt:lpwstr>https://pubs.usgs.gov/gip/dynamic/fire.html</vt:lpwstr>
      </vt:variant>
      <vt:variant>
        <vt:lpwstr/>
      </vt:variant>
      <vt:variant>
        <vt:i4>2359343</vt:i4>
      </vt:variant>
      <vt:variant>
        <vt:i4>3</vt:i4>
      </vt:variant>
      <vt:variant>
        <vt:i4>0</vt:i4>
      </vt:variant>
      <vt:variant>
        <vt:i4>5</vt:i4>
      </vt:variant>
      <vt:variant>
        <vt:lpwstr>http://majalah1000guru.net/2011/01/energi-nuklir-di-jepang/</vt:lpwstr>
      </vt:variant>
      <vt:variant>
        <vt:lpwstr/>
      </vt:variant>
      <vt:variant>
        <vt:i4>4849677</vt:i4>
      </vt:variant>
      <vt:variant>
        <vt:i4>0</vt:i4>
      </vt:variant>
      <vt:variant>
        <vt:i4>0</vt:i4>
      </vt:variant>
      <vt:variant>
        <vt:i4>5</vt:i4>
      </vt:variant>
      <vt:variant>
        <vt:lpwstr>https://cnpp.iaea.org/countryprofiles/Japan/Japan.htm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dc:creator>
  <cp:keywords/>
  <dc:description/>
  <cp:lastModifiedBy>Reggy Tri Wilaksana</cp:lastModifiedBy>
  <cp:revision>3</cp:revision>
  <dcterms:created xsi:type="dcterms:W3CDTF">2017-08-22T04:44:00Z</dcterms:created>
  <dcterms:modified xsi:type="dcterms:W3CDTF">2017-08-22T04:45:00Z</dcterms:modified>
</cp:coreProperties>
</file>