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10" w:rsidRPr="00E50E81" w:rsidRDefault="001767EB" w:rsidP="00E50E81">
      <w:pPr>
        <w:spacing w:line="240" w:lineRule="auto"/>
        <w:jc w:val="center"/>
        <w:rPr>
          <w:rStyle w:val="hps"/>
          <w:rFonts w:ascii="Arial" w:hAnsi="Arial" w:cs="Arial"/>
          <w:b/>
          <w:sz w:val="20"/>
          <w:szCs w:val="20"/>
        </w:rPr>
      </w:pPr>
      <w:r w:rsidRPr="00E50E81">
        <w:rPr>
          <w:rStyle w:val="hps"/>
          <w:rFonts w:ascii="Arial" w:hAnsi="Arial" w:cs="Arial"/>
          <w:b/>
          <w:sz w:val="20"/>
          <w:szCs w:val="20"/>
        </w:rPr>
        <w:t>ABSTRACT</w:t>
      </w:r>
    </w:p>
    <w:p w:rsidR="001767EB" w:rsidRPr="00E50E81" w:rsidRDefault="001767EB" w:rsidP="00E50E81">
      <w:pPr>
        <w:spacing w:line="240" w:lineRule="auto"/>
        <w:jc w:val="both"/>
        <w:rPr>
          <w:rStyle w:val="hps"/>
          <w:rFonts w:ascii="Arial" w:hAnsi="Arial" w:cs="Arial"/>
          <w:i/>
          <w:sz w:val="20"/>
          <w:szCs w:val="20"/>
        </w:rPr>
      </w:pPr>
    </w:p>
    <w:p w:rsidR="001767EB" w:rsidRPr="00E50E81" w:rsidRDefault="001767EB" w:rsidP="00E50E81">
      <w:pPr>
        <w:spacing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E50E81">
        <w:rPr>
          <w:rStyle w:val="hps"/>
          <w:rFonts w:ascii="Arial" w:hAnsi="Arial" w:cs="Arial"/>
          <w:i/>
          <w:sz w:val="20"/>
          <w:szCs w:val="20"/>
        </w:rPr>
        <w:t>Damage caused by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wear and tear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can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reduce the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lifetime of the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wheels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and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rails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on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the train</w:t>
      </w:r>
      <w:r w:rsidRPr="00E50E81">
        <w:rPr>
          <w:rFonts w:ascii="Arial" w:hAnsi="Arial" w:cs="Arial"/>
          <w:i/>
          <w:sz w:val="20"/>
          <w:szCs w:val="20"/>
        </w:rPr>
        <w:t xml:space="preserve">. </w:t>
      </w:r>
      <w:r w:rsidRPr="00E50E81">
        <w:rPr>
          <w:rStyle w:val="hps"/>
          <w:rFonts w:ascii="Arial" w:hAnsi="Arial" w:cs="Arial"/>
          <w:i/>
          <w:sz w:val="20"/>
          <w:szCs w:val="20"/>
        </w:rPr>
        <w:t>Analysis of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wear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from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this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friction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must be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specified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ranging from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physical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interaction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between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wheel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and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rail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for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two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components of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its operation</w:t>
      </w:r>
      <w:r w:rsidRPr="00E50E81">
        <w:rPr>
          <w:rFonts w:ascii="Arial" w:hAnsi="Arial" w:cs="Arial"/>
          <w:i/>
          <w:sz w:val="20"/>
          <w:szCs w:val="20"/>
        </w:rPr>
        <w:t xml:space="preserve">. </w:t>
      </w:r>
      <w:r w:rsidRPr="00E50E81">
        <w:rPr>
          <w:rStyle w:val="hps"/>
          <w:rFonts w:ascii="Arial" w:hAnsi="Arial" w:cs="Arial"/>
          <w:i/>
          <w:sz w:val="20"/>
          <w:szCs w:val="20"/>
        </w:rPr>
        <w:t>Train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velocity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is directly proportional to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axle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load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 moving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train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on the tracks</w:t>
      </w:r>
      <w:r w:rsidRPr="00E50E81">
        <w:rPr>
          <w:rFonts w:ascii="Arial" w:hAnsi="Arial" w:cs="Arial"/>
          <w:i/>
          <w:sz w:val="20"/>
          <w:szCs w:val="20"/>
        </w:rPr>
        <w:t xml:space="preserve">,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this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event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will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affect the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="00E50E81" w:rsidRPr="00E50E81">
        <w:rPr>
          <w:rStyle w:val="hps"/>
          <w:rFonts w:ascii="Arial" w:hAnsi="Arial" w:cs="Arial"/>
          <w:i/>
          <w:sz w:val="20"/>
          <w:szCs w:val="20"/>
        </w:rPr>
        <w:t>force</w:t>
      </w:r>
      <w:r w:rsidRPr="00E50E81">
        <w:rPr>
          <w:rStyle w:val="hps"/>
          <w:rFonts w:ascii="Arial" w:hAnsi="Arial" w:cs="Arial"/>
          <w:i/>
          <w:sz w:val="20"/>
          <w:szCs w:val="20"/>
        </w:rPr>
        <w:t xml:space="preserve"> of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the contact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occurred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and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should be thoroughly investigated</w:t>
      </w:r>
      <w:r w:rsidRPr="00E50E81">
        <w:rPr>
          <w:rFonts w:ascii="Arial" w:hAnsi="Arial" w:cs="Arial"/>
          <w:i/>
          <w:sz w:val="20"/>
          <w:szCs w:val="20"/>
        </w:rPr>
        <w:t>.</w:t>
      </w:r>
    </w:p>
    <w:p w:rsidR="001767EB" w:rsidRPr="00E50E81" w:rsidRDefault="001767EB" w:rsidP="00E50E81">
      <w:pPr>
        <w:spacing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E50E81">
        <w:rPr>
          <w:rStyle w:val="hps"/>
          <w:rFonts w:ascii="Arial" w:hAnsi="Arial" w:cs="Arial"/>
          <w:i/>
          <w:sz w:val="20"/>
          <w:szCs w:val="20"/>
        </w:rPr>
        <w:t>Analytical methods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traditionally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to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investigate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the contact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between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wheel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and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rail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has been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developed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using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Hertz</w:t>
      </w:r>
      <w:r w:rsidRPr="00E50E81">
        <w:rPr>
          <w:rFonts w:ascii="Arial" w:hAnsi="Arial" w:cs="Arial"/>
          <w:i/>
          <w:sz w:val="20"/>
          <w:szCs w:val="20"/>
        </w:rPr>
        <w:t xml:space="preserve">'s theorem </w:t>
      </w:r>
      <w:r w:rsidRPr="00E50E81">
        <w:rPr>
          <w:rStyle w:val="hps"/>
          <w:rFonts w:ascii="Arial" w:hAnsi="Arial" w:cs="Arial"/>
          <w:i/>
          <w:sz w:val="20"/>
          <w:szCs w:val="20"/>
        </w:rPr>
        <w:t>but the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problem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="00E50E81" w:rsidRPr="00E50E81">
        <w:rPr>
          <w:rFonts w:ascii="Arial" w:hAnsi="Arial" w:cs="Arial"/>
          <w:i/>
          <w:sz w:val="20"/>
          <w:szCs w:val="20"/>
        </w:rPr>
        <w:t xml:space="preserve">contact that </w:t>
      </w:r>
      <w:r w:rsidRPr="00E50E81">
        <w:rPr>
          <w:rStyle w:val="hps"/>
          <w:rFonts w:ascii="Arial" w:hAnsi="Arial" w:cs="Arial"/>
          <w:i/>
          <w:sz w:val="20"/>
          <w:szCs w:val="20"/>
        </w:rPr>
        <w:t>could be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solved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="00E50E81" w:rsidRPr="00E50E81">
        <w:rPr>
          <w:rFonts w:ascii="Arial" w:hAnsi="Arial" w:cs="Arial"/>
          <w:i/>
          <w:sz w:val="20"/>
          <w:szCs w:val="20"/>
        </w:rPr>
        <w:t>there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are still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very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limited</w:t>
      </w:r>
      <w:r w:rsidRPr="00E50E81">
        <w:rPr>
          <w:rFonts w:ascii="Arial" w:hAnsi="Arial" w:cs="Arial"/>
          <w:i/>
          <w:sz w:val="20"/>
          <w:szCs w:val="20"/>
        </w:rPr>
        <w:t xml:space="preserve">. </w:t>
      </w:r>
      <w:r w:rsidRPr="00E50E81">
        <w:rPr>
          <w:rStyle w:val="hps"/>
          <w:rFonts w:ascii="Arial" w:hAnsi="Arial" w:cs="Arial"/>
          <w:i/>
          <w:sz w:val="20"/>
          <w:szCs w:val="20"/>
        </w:rPr>
        <w:t>Numerical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method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based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on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finite element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method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can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be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an alternative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to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obtain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 broader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analysis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solutions</w:t>
      </w:r>
      <w:r w:rsidRPr="00E50E81">
        <w:rPr>
          <w:rFonts w:ascii="Arial" w:hAnsi="Arial" w:cs="Arial"/>
          <w:i/>
          <w:sz w:val="20"/>
          <w:szCs w:val="20"/>
        </w:rPr>
        <w:t xml:space="preserve">.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This method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has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been developed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in several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decades</w:t>
      </w:r>
      <w:r w:rsidRPr="00E50E81">
        <w:rPr>
          <w:rFonts w:ascii="Arial" w:hAnsi="Arial" w:cs="Arial"/>
          <w:i/>
          <w:sz w:val="20"/>
          <w:szCs w:val="20"/>
        </w:rPr>
        <w:t>.</w:t>
      </w:r>
    </w:p>
    <w:p w:rsidR="001767EB" w:rsidRPr="00E50E81" w:rsidRDefault="001767EB" w:rsidP="00E50E81">
      <w:pPr>
        <w:spacing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E50E81">
        <w:rPr>
          <w:rStyle w:val="hps"/>
          <w:rFonts w:ascii="Arial" w:hAnsi="Arial" w:cs="Arial"/>
          <w:i/>
          <w:sz w:val="20"/>
          <w:szCs w:val="20"/>
        </w:rPr>
        <w:t>Contact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the wheel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and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rail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by inserting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 sliding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variable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can be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solved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="00E50E81" w:rsidRPr="00E50E81">
        <w:rPr>
          <w:rFonts w:ascii="Arial" w:hAnsi="Arial" w:cs="Arial"/>
          <w:i/>
          <w:sz w:val="20"/>
          <w:szCs w:val="20"/>
        </w:rPr>
        <w:t xml:space="preserve">with </w:t>
      </w:r>
      <w:r w:rsidRPr="00E50E81">
        <w:rPr>
          <w:rStyle w:val="hps"/>
          <w:rFonts w:ascii="Arial" w:hAnsi="Arial" w:cs="Arial"/>
          <w:i/>
          <w:sz w:val="20"/>
          <w:szCs w:val="20"/>
        </w:rPr>
        <w:t>numerical</w:t>
      </w:r>
      <w:r w:rsidRPr="00E50E81">
        <w:rPr>
          <w:rFonts w:ascii="Arial" w:hAnsi="Arial" w:cs="Arial"/>
          <w:i/>
          <w:sz w:val="20"/>
          <w:szCs w:val="20"/>
        </w:rPr>
        <w:t xml:space="preserve">, </w:t>
      </w:r>
      <w:r w:rsidRPr="00E50E81">
        <w:rPr>
          <w:rStyle w:val="hps"/>
          <w:rFonts w:ascii="Arial" w:hAnsi="Arial" w:cs="Arial"/>
          <w:i/>
          <w:sz w:val="20"/>
          <w:szCs w:val="20"/>
        </w:rPr>
        <w:t>in the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analysis of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contact force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and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wear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volume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can be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analyzed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from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the function of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the velocity of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the carriage</w:t>
      </w:r>
      <w:r w:rsidRPr="00E50E81">
        <w:rPr>
          <w:rFonts w:ascii="Arial" w:hAnsi="Arial" w:cs="Arial"/>
          <w:i/>
          <w:sz w:val="20"/>
          <w:szCs w:val="20"/>
        </w:rPr>
        <w:t>.</w:t>
      </w:r>
    </w:p>
    <w:p w:rsidR="001767EB" w:rsidRPr="00E50E81" w:rsidRDefault="001767EB" w:rsidP="00E50E81">
      <w:pPr>
        <w:spacing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E50E81">
        <w:rPr>
          <w:rStyle w:val="hps"/>
          <w:rFonts w:ascii="Arial" w:hAnsi="Arial" w:cs="Arial"/>
          <w:i/>
          <w:sz w:val="20"/>
          <w:szCs w:val="20"/>
        </w:rPr>
        <w:t>The results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of numerical analysis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performed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virtually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on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 train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wheel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diameter of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780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mm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(</w:t>
      </w:r>
      <w:r w:rsidRPr="00E50E81">
        <w:rPr>
          <w:rFonts w:ascii="Arial" w:hAnsi="Arial" w:cs="Arial"/>
          <w:i/>
          <w:sz w:val="20"/>
          <w:szCs w:val="20"/>
        </w:rPr>
        <w:t xml:space="preserve">material </w:t>
      </w:r>
      <w:r w:rsidRPr="00E50E81">
        <w:rPr>
          <w:rStyle w:val="hps"/>
          <w:rFonts w:ascii="Arial" w:hAnsi="Arial" w:cs="Arial"/>
          <w:i/>
          <w:sz w:val="20"/>
          <w:szCs w:val="20"/>
        </w:rPr>
        <w:t>STY80W</w:t>
      </w:r>
      <w:r w:rsidRPr="00E50E81">
        <w:rPr>
          <w:rFonts w:ascii="Arial" w:hAnsi="Arial" w:cs="Arial"/>
          <w:i/>
          <w:sz w:val="20"/>
          <w:szCs w:val="20"/>
        </w:rPr>
        <w:t xml:space="preserve">-1), </w:t>
      </w:r>
      <w:r w:rsidRPr="00E50E81">
        <w:rPr>
          <w:rStyle w:val="hps"/>
          <w:rFonts w:ascii="Arial" w:hAnsi="Arial" w:cs="Arial"/>
          <w:i/>
          <w:sz w:val="20"/>
          <w:szCs w:val="20"/>
        </w:rPr>
        <w:t>rail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type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A75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(</w:t>
      </w:r>
      <w:r w:rsidRPr="00E50E81">
        <w:rPr>
          <w:rFonts w:ascii="Arial" w:hAnsi="Arial" w:cs="Arial"/>
          <w:i/>
          <w:sz w:val="20"/>
          <w:szCs w:val="20"/>
        </w:rPr>
        <w:t xml:space="preserve">DIN536),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the velocity of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the train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120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km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/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h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(</w:t>
      </w:r>
      <w:r w:rsidRPr="00E50E81">
        <w:rPr>
          <w:rFonts w:ascii="Arial" w:hAnsi="Arial" w:cs="Arial"/>
          <w:i/>
          <w:sz w:val="20"/>
          <w:szCs w:val="20"/>
        </w:rPr>
        <w:t xml:space="preserve">33.3 </w:t>
      </w:r>
      <w:r w:rsidRPr="00E50E81">
        <w:rPr>
          <w:rStyle w:val="hps"/>
          <w:rFonts w:ascii="Arial" w:hAnsi="Arial" w:cs="Arial"/>
          <w:i/>
          <w:sz w:val="20"/>
          <w:szCs w:val="20"/>
        </w:rPr>
        <w:t>m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/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s</w:t>
      </w:r>
      <w:r w:rsidRPr="00E50E81">
        <w:rPr>
          <w:rFonts w:ascii="Arial" w:hAnsi="Arial" w:cs="Arial"/>
          <w:i/>
          <w:sz w:val="20"/>
          <w:szCs w:val="20"/>
        </w:rPr>
        <w:t xml:space="preserve">),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the weight of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the train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82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tons</w:t>
      </w:r>
      <w:r w:rsidRPr="00E50E81">
        <w:rPr>
          <w:rFonts w:ascii="Arial" w:hAnsi="Arial" w:cs="Arial"/>
          <w:i/>
          <w:sz w:val="20"/>
          <w:szCs w:val="20"/>
        </w:rPr>
        <w:t xml:space="preserve">,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the load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supported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by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each wheel is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67.035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="00E50E81" w:rsidRPr="00E50E81">
        <w:rPr>
          <w:rStyle w:val="hps"/>
          <w:rFonts w:ascii="Arial" w:hAnsi="Arial" w:cs="Arial"/>
          <w:i/>
          <w:sz w:val="20"/>
          <w:szCs w:val="20"/>
        </w:rPr>
        <w:t>k</w:t>
      </w:r>
      <w:r w:rsidRPr="00E50E81">
        <w:rPr>
          <w:rStyle w:val="hps"/>
          <w:rFonts w:ascii="Arial" w:hAnsi="Arial" w:cs="Arial"/>
          <w:i/>
          <w:sz w:val="20"/>
          <w:szCs w:val="20"/>
        </w:rPr>
        <w:t>N</w:t>
      </w:r>
      <w:r w:rsidRPr="00E50E81">
        <w:rPr>
          <w:rFonts w:ascii="Arial" w:hAnsi="Arial" w:cs="Arial"/>
          <w:i/>
          <w:sz w:val="20"/>
          <w:szCs w:val="20"/>
        </w:rPr>
        <w:t xml:space="preserve">, </w:t>
      </w:r>
      <w:r w:rsidRPr="00E50E81">
        <w:rPr>
          <w:rStyle w:val="hps"/>
          <w:rFonts w:ascii="Arial" w:hAnsi="Arial" w:cs="Arial"/>
          <w:i/>
          <w:sz w:val="20"/>
          <w:szCs w:val="20"/>
        </w:rPr>
        <w:t>the maximum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contact pressure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obtained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at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721.83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MPa</w:t>
      </w:r>
      <w:r w:rsidRPr="00E50E81">
        <w:rPr>
          <w:rFonts w:ascii="Arial" w:hAnsi="Arial" w:cs="Arial"/>
          <w:i/>
          <w:sz w:val="20"/>
          <w:szCs w:val="20"/>
        </w:rPr>
        <w:t xml:space="preserve">, </w:t>
      </w:r>
      <w:r w:rsidRPr="00E50E81">
        <w:rPr>
          <w:rStyle w:val="hps"/>
          <w:rFonts w:ascii="Arial" w:hAnsi="Arial" w:cs="Arial"/>
          <w:i/>
          <w:sz w:val="20"/>
          <w:szCs w:val="20"/>
        </w:rPr>
        <w:t>and the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wear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volume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of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3.2</w:t>
      </w:r>
      <w:r w:rsidRPr="00E50E81">
        <w:rPr>
          <w:rFonts w:ascii="Arial" w:hAnsi="Arial" w:cs="Arial"/>
          <w:i/>
          <w:sz w:val="20"/>
          <w:szCs w:val="20"/>
        </w:rPr>
        <w:t xml:space="preserve"> </w:t>
      </w:r>
      <w:r w:rsidRPr="00E50E81">
        <w:rPr>
          <w:rStyle w:val="hps"/>
          <w:rFonts w:ascii="Arial" w:hAnsi="Arial" w:cs="Arial"/>
          <w:i/>
          <w:sz w:val="20"/>
          <w:szCs w:val="20"/>
        </w:rPr>
        <w:t>x10</w:t>
      </w:r>
      <w:r w:rsidRPr="00E50E81">
        <w:rPr>
          <w:rStyle w:val="atn"/>
          <w:rFonts w:ascii="Arial" w:hAnsi="Arial" w:cs="Arial"/>
          <w:i/>
          <w:sz w:val="20"/>
          <w:szCs w:val="20"/>
        </w:rPr>
        <w:t>-</w:t>
      </w:r>
      <w:r w:rsidRPr="00E50E81">
        <w:rPr>
          <w:rFonts w:ascii="Arial" w:hAnsi="Arial" w:cs="Arial"/>
          <w:i/>
          <w:sz w:val="20"/>
          <w:szCs w:val="20"/>
        </w:rPr>
        <w:t xml:space="preserve">5 </w:t>
      </w:r>
      <w:r w:rsidRPr="00E50E81">
        <w:rPr>
          <w:rStyle w:val="hps"/>
          <w:rFonts w:ascii="Arial" w:hAnsi="Arial" w:cs="Arial"/>
          <w:i/>
          <w:sz w:val="20"/>
          <w:szCs w:val="20"/>
        </w:rPr>
        <w:t>μm</w:t>
      </w:r>
      <w:r w:rsidR="00E50E81" w:rsidRPr="00E50E81">
        <w:rPr>
          <w:rStyle w:val="hps"/>
          <w:rFonts w:ascii="Arial" w:hAnsi="Arial" w:cs="Arial"/>
          <w:i/>
          <w:sz w:val="20"/>
          <w:szCs w:val="20"/>
          <w:vertAlign w:val="superscript"/>
        </w:rPr>
        <w:t>3</w:t>
      </w:r>
      <w:r w:rsidRPr="00E50E81">
        <w:rPr>
          <w:rFonts w:ascii="Arial" w:hAnsi="Arial" w:cs="Arial"/>
          <w:i/>
          <w:sz w:val="20"/>
          <w:szCs w:val="20"/>
        </w:rPr>
        <w:t>.</w:t>
      </w:r>
    </w:p>
    <w:sectPr w:rsidR="001767EB" w:rsidRPr="00E50E81" w:rsidSect="00E50E81">
      <w:footerReference w:type="default" r:id="rId6"/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C1" w:rsidRDefault="00D503C1" w:rsidP="00E50E81">
      <w:pPr>
        <w:spacing w:after="0" w:line="240" w:lineRule="auto"/>
      </w:pPr>
      <w:r>
        <w:separator/>
      </w:r>
    </w:p>
  </w:endnote>
  <w:endnote w:type="continuationSeparator" w:id="1">
    <w:p w:rsidR="00D503C1" w:rsidRDefault="00D503C1" w:rsidP="00E5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016"/>
      <w:docPartObj>
        <w:docPartGallery w:val="Page Numbers (Bottom of Page)"/>
        <w:docPartUnique/>
      </w:docPartObj>
    </w:sdtPr>
    <w:sdtContent>
      <w:p w:rsidR="00E50E81" w:rsidRDefault="0015595C">
        <w:pPr>
          <w:pStyle w:val="Footer"/>
          <w:jc w:val="right"/>
        </w:pPr>
        <w:r>
          <w:t>ii</w:t>
        </w:r>
      </w:p>
    </w:sdtContent>
  </w:sdt>
  <w:p w:rsidR="00E50E81" w:rsidRDefault="00E50E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C1" w:rsidRDefault="00D503C1" w:rsidP="00E50E81">
      <w:pPr>
        <w:spacing w:after="0" w:line="240" w:lineRule="auto"/>
      </w:pPr>
      <w:r>
        <w:separator/>
      </w:r>
    </w:p>
  </w:footnote>
  <w:footnote w:type="continuationSeparator" w:id="1">
    <w:p w:rsidR="00D503C1" w:rsidRDefault="00D503C1" w:rsidP="00E5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7EB"/>
    <w:rsid w:val="0015595C"/>
    <w:rsid w:val="001767EB"/>
    <w:rsid w:val="001853B8"/>
    <w:rsid w:val="0055259B"/>
    <w:rsid w:val="008B4E10"/>
    <w:rsid w:val="00D503C1"/>
    <w:rsid w:val="00DB0957"/>
    <w:rsid w:val="00E5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767EB"/>
  </w:style>
  <w:style w:type="character" w:customStyle="1" w:styleId="atn">
    <w:name w:val="atn"/>
    <w:basedOn w:val="DefaultParagraphFont"/>
    <w:rsid w:val="001767EB"/>
  </w:style>
  <w:style w:type="paragraph" w:styleId="Header">
    <w:name w:val="header"/>
    <w:basedOn w:val="Normal"/>
    <w:link w:val="HeaderChar"/>
    <w:uiPriority w:val="99"/>
    <w:semiHidden/>
    <w:unhideWhenUsed/>
    <w:rsid w:val="00E5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E81"/>
  </w:style>
  <w:style w:type="paragraph" w:styleId="Footer">
    <w:name w:val="footer"/>
    <w:basedOn w:val="Normal"/>
    <w:link w:val="FooterChar"/>
    <w:uiPriority w:val="99"/>
    <w:unhideWhenUsed/>
    <w:rsid w:val="00E5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YONAN</dc:creator>
  <cp:keywords/>
  <dc:description/>
  <cp:lastModifiedBy>YONAN</cp:lastModifiedBy>
  <cp:revision>3</cp:revision>
  <dcterms:created xsi:type="dcterms:W3CDTF">2011-05-31T06:14:00Z</dcterms:created>
  <dcterms:modified xsi:type="dcterms:W3CDTF">2011-06-02T01:40:00Z</dcterms:modified>
</cp:coreProperties>
</file>