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31" w:rsidRPr="0039319F" w:rsidRDefault="00E66B31" w:rsidP="00141403">
      <w:pPr>
        <w:jc w:val="center"/>
        <w:rPr>
          <w:b/>
        </w:rPr>
      </w:pPr>
      <w:r w:rsidRPr="0039319F">
        <w:rPr>
          <w:b/>
        </w:rPr>
        <w:t>FACTORS</w:t>
      </w:r>
      <w:r w:rsidR="00AC6A58" w:rsidRPr="0039319F">
        <w:rPr>
          <w:b/>
        </w:rPr>
        <w:t xml:space="preserve"> DETERMINING </w:t>
      </w:r>
      <w:r w:rsidRPr="0039319F">
        <w:rPr>
          <w:b/>
        </w:rPr>
        <w:t>VALUE AND CUSTOMER TRUST</w:t>
      </w:r>
      <w:r w:rsidR="00AC6A58" w:rsidRPr="0039319F">
        <w:rPr>
          <w:b/>
        </w:rPr>
        <w:t xml:space="preserve"> BUILDING</w:t>
      </w:r>
    </w:p>
    <w:p w:rsidR="0039319F" w:rsidRPr="0039319F" w:rsidRDefault="0039319F" w:rsidP="00141403">
      <w:pPr>
        <w:jc w:val="center"/>
        <w:rPr>
          <w:b/>
        </w:rPr>
      </w:pPr>
      <w:r>
        <w:br/>
      </w:r>
      <w:r w:rsidRPr="0039319F">
        <w:rPr>
          <w:b/>
        </w:rPr>
        <w:t>Sri Sustariyah, Sucherly, Undang Juju, OtongKaryono</w:t>
      </w:r>
    </w:p>
    <w:p w:rsidR="00E66B31" w:rsidRDefault="004530D3" w:rsidP="004530D3">
      <w:pPr>
        <w:jc w:val="center"/>
        <w:rPr>
          <w:lang w:val="id-ID"/>
        </w:rPr>
      </w:pPr>
      <w:r>
        <w:rPr>
          <w:lang w:val="id-ID"/>
        </w:rPr>
        <w:t>Langlangbuana University</w:t>
      </w:r>
    </w:p>
    <w:p w:rsidR="00E66B31" w:rsidRDefault="00E66B31" w:rsidP="00AF49C3">
      <w:pPr>
        <w:jc w:val="center"/>
      </w:pPr>
      <w:bookmarkStart w:id="0" w:name="_GoBack"/>
      <w:bookmarkEnd w:id="0"/>
    </w:p>
    <w:p w:rsidR="00E66B31" w:rsidRDefault="00E66B31" w:rsidP="00AF49C3">
      <w:pPr>
        <w:jc w:val="center"/>
      </w:pPr>
      <w:r>
        <w:t>ABSTRACT</w:t>
      </w:r>
    </w:p>
    <w:p w:rsidR="00E66B31" w:rsidRDefault="00E66B31" w:rsidP="00E66B31"/>
    <w:p w:rsidR="00736EEE" w:rsidRDefault="00E66B31" w:rsidP="003D0847">
      <w:pPr>
        <w:jc w:val="both"/>
      </w:pPr>
      <w:r>
        <w:t xml:space="preserve">Relationship marketing and service quality </w:t>
      </w:r>
      <w:r w:rsidR="00AF49C3">
        <w:t xml:space="preserve">are </w:t>
      </w:r>
      <w:r>
        <w:t xml:space="preserve"> determinant factor</w:t>
      </w:r>
      <w:r w:rsidR="00AF49C3">
        <w:t>s</w:t>
      </w:r>
      <w:r>
        <w:t xml:space="preserve"> in enhancing the value and confidence for customers. BPJS </w:t>
      </w:r>
      <w:r w:rsidR="00334A7B">
        <w:t xml:space="preserve">(Social GuaranteeProvider Board)  for the health </w:t>
      </w:r>
      <w:r>
        <w:t xml:space="preserve">is a new program organized by the government to </w:t>
      </w:r>
      <w:r w:rsidR="003856DB">
        <w:t xml:space="preserve">increase </w:t>
      </w:r>
      <w:r>
        <w:t>public health</w:t>
      </w:r>
      <w:r w:rsidR="003856DB">
        <w:t>’s improvement</w:t>
      </w:r>
      <w:r>
        <w:t xml:space="preserve">. </w:t>
      </w:r>
      <w:r w:rsidR="00974F88">
        <w:t>The implementation</w:t>
      </w:r>
      <w:r>
        <w:t xml:space="preserve"> the government's </w:t>
      </w:r>
      <w:r w:rsidR="00D16607">
        <w:t xml:space="preserve"> new product in the field</w:t>
      </w:r>
      <w:r w:rsidR="00580CF7">
        <w:t xml:space="preserve"> of health</w:t>
      </w:r>
      <w:r>
        <w:t xml:space="preserve"> marketing activities </w:t>
      </w:r>
      <w:r w:rsidR="00580CF7">
        <w:t>using</w:t>
      </w:r>
      <w:r>
        <w:t xml:space="preserve"> the proximity </w:t>
      </w:r>
      <w:r w:rsidR="001D5965">
        <w:t xml:space="preserve">system </w:t>
      </w:r>
      <w:r>
        <w:t xml:space="preserve">to customers and quality of service delivery </w:t>
      </w:r>
      <w:r w:rsidR="006849BD">
        <w:t xml:space="preserve">has becoma one </w:t>
      </w:r>
      <w:r>
        <w:t xml:space="preserve"> effective</w:t>
      </w:r>
      <w:r w:rsidR="006849BD">
        <w:t xml:space="preserve"> strategies</w:t>
      </w:r>
      <w:r>
        <w:t xml:space="preserve"> in increasing public confidence. The </w:t>
      </w:r>
      <w:r w:rsidR="00B34736">
        <w:t>goal</w:t>
      </w:r>
      <w:r>
        <w:t xml:space="preserve"> of this study focuses on the effect of relationship marketing and service quality to customer value and its impact on customer confidence.The method </w:t>
      </w:r>
      <w:r w:rsidR="00B34736">
        <w:t>of</w:t>
      </w:r>
      <w:r>
        <w:t xml:space="preserve"> research</w:t>
      </w:r>
      <w:r w:rsidR="00B34736">
        <w:t xml:space="preserve"> uses</w:t>
      </w:r>
      <w:r w:rsidR="00733A7F">
        <w:t>a</w:t>
      </w:r>
      <w:r>
        <w:t xml:space="preserve"> quantitative</w:t>
      </w:r>
      <w:r w:rsidR="00B34736">
        <w:t xml:space="preserve"> approach</w:t>
      </w:r>
      <w:r>
        <w:t xml:space="preserve"> equipped with expert judgment. Samples </w:t>
      </w:r>
      <w:r w:rsidR="007E2FF4">
        <w:t xml:space="preserve">used in the research </w:t>
      </w:r>
      <w:r>
        <w:t>are  BPJS participants</w:t>
      </w:r>
      <w:r w:rsidR="007E2FF4">
        <w:t>’ patients</w:t>
      </w:r>
      <w:r>
        <w:t xml:space="preserve"> at General Hospitals</w:t>
      </w:r>
      <w:r w:rsidR="00F639CE">
        <w:t xml:space="preserve"> of</w:t>
      </w:r>
      <w:r>
        <w:t xml:space="preserve"> Local Government i</w:t>
      </w:r>
      <w:r w:rsidR="004140FD">
        <w:t>n West Java Province. Technique</w:t>
      </w:r>
      <w:r>
        <w:t xml:space="preserve"> of data </w:t>
      </w:r>
      <w:r w:rsidR="004140FD">
        <w:t>collection</w:t>
      </w:r>
      <w:r>
        <w:t xml:space="preserve"> is  proportional cluster random sampling and </w:t>
      </w:r>
      <w:r w:rsidR="004140FD">
        <w:t xml:space="preserve">the </w:t>
      </w:r>
      <w:r>
        <w:t xml:space="preserve">analysis technique used is the analysis of SEM (structural equation modeling).Descriptive research results show that relational marketing, service quality, customer value and customer </w:t>
      </w:r>
      <w:r w:rsidR="003D0847">
        <w:t>trustranging</w:t>
      </w:r>
      <w:r>
        <w:t xml:space="preserve"> from poor to the very good</w:t>
      </w:r>
      <w:r w:rsidR="00007D4F">
        <w:t xml:space="preserve"> level</w:t>
      </w:r>
      <w:r>
        <w:t xml:space="preserve">. The results of the study on each indicator </w:t>
      </w:r>
      <w:r w:rsidR="00EA56B9">
        <w:t>show that</w:t>
      </w:r>
      <w:r>
        <w:t xml:space="preserve"> some indicators are less than optimal</w:t>
      </w:r>
      <w:r w:rsidR="00EA56B9">
        <w:t xml:space="preserve"> still</w:t>
      </w:r>
      <w:r>
        <w:t xml:space="preserve">. </w:t>
      </w:r>
      <w:r w:rsidR="007231D9">
        <w:t>Results of v</w:t>
      </w:r>
      <w:r>
        <w:t>erification research prove that the relationship marketing and service quality</w:t>
      </w:r>
      <w:r w:rsidR="007231D9">
        <w:t xml:space="preserve"> show</w:t>
      </w:r>
      <w:r>
        <w:t xml:space="preserve"> positive and significant impact on customer value and </w:t>
      </w:r>
      <w:r w:rsidR="007231D9">
        <w:t xml:space="preserve">the </w:t>
      </w:r>
      <w:r>
        <w:t xml:space="preserve">customer value </w:t>
      </w:r>
      <w:r w:rsidR="007231D9">
        <w:t>shows</w:t>
      </w:r>
      <w:r>
        <w:t xml:space="preserve"> significant </w:t>
      </w:r>
      <w:r w:rsidR="007231D9">
        <w:t xml:space="preserve">and </w:t>
      </w:r>
      <w:r>
        <w:t xml:space="preserve">positive effect on customer </w:t>
      </w:r>
      <w:r w:rsidR="007231D9">
        <w:t>trust</w:t>
      </w:r>
    </w:p>
    <w:p w:rsidR="00E66B31" w:rsidRDefault="00E66B31" w:rsidP="003D0847">
      <w:pPr>
        <w:jc w:val="both"/>
      </w:pPr>
      <w:r>
        <w:t>.</w:t>
      </w:r>
    </w:p>
    <w:p w:rsidR="00D636AD" w:rsidRDefault="00E66B31" w:rsidP="00E66B31">
      <w:r>
        <w:t xml:space="preserve">Keywords: Relational Marketing, Service Quality, Customer Value and Customer </w:t>
      </w:r>
      <w:r w:rsidR="00736EEE">
        <w:t>Trust</w:t>
      </w:r>
      <w:r>
        <w:t>.</w:t>
      </w:r>
    </w:p>
    <w:p w:rsidR="00C9574F" w:rsidRDefault="00C9574F" w:rsidP="00E66B31"/>
    <w:p w:rsidR="00C9574F" w:rsidRDefault="00F71021" w:rsidP="00C9574F">
      <w:r>
        <w:t>INTRODUCTION</w:t>
      </w:r>
    </w:p>
    <w:p w:rsidR="00C9574F" w:rsidRDefault="00C9574F" w:rsidP="00E30785">
      <w:pPr>
        <w:jc w:val="both"/>
      </w:pPr>
      <w:r>
        <w:t xml:space="preserve">Customer trust is </w:t>
      </w:r>
      <w:r w:rsidR="0055396F">
        <w:t>shaped</w:t>
      </w:r>
      <w:r>
        <w:t xml:space="preserve"> from the value </w:t>
      </w:r>
      <w:r w:rsidR="0055396F">
        <w:t>obtained</w:t>
      </w:r>
      <w:r>
        <w:t xml:space="preserve"> by the consumer (Peppers and Rogers </w:t>
      </w:r>
      <w:r w:rsidR="005326F6">
        <w:t xml:space="preserve">as quoted by </w:t>
      </w:r>
      <w:r>
        <w:t xml:space="preserve">Fadilah, et.al, 2012; Palmatter 2008 and Hasan, Kiong and Ainuddin, 2014). Customer value has been </w:t>
      </w:r>
      <w:r w:rsidR="00E30785">
        <w:t>relat</w:t>
      </w:r>
      <w:r>
        <w:t xml:space="preserve">ed to trust (Rasheed and Abadi, 2014; Hasan, Kiong and Ainuddin, 2014 and Kamtarin, 2012). </w:t>
      </w:r>
      <w:r w:rsidR="00222250">
        <w:t>An increasing</w:t>
      </w:r>
      <w:r>
        <w:t xml:space="preserve"> customer value can be </w:t>
      </w:r>
      <w:r w:rsidR="009D71F0">
        <w:t>gained by improving the service quality</w:t>
      </w:r>
      <w:r>
        <w:t xml:space="preserve">. </w:t>
      </w:r>
      <w:r w:rsidR="004D7A6F">
        <w:t>Accordingly, c</w:t>
      </w:r>
      <w:r>
        <w:t xml:space="preserve">ustomer value can be created through the </w:t>
      </w:r>
      <w:r w:rsidR="00ED6298">
        <w:t xml:space="preserve">service </w:t>
      </w:r>
      <w:r>
        <w:t xml:space="preserve">quality </w:t>
      </w:r>
      <w:r w:rsidR="00ED6298">
        <w:t>provided by the company to their</w:t>
      </w:r>
      <w:r>
        <w:t xml:space="preserve"> customers. The better the </w:t>
      </w:r>
      <w:r w:rsidR="0087330E">
        <w:t>service quality</w:t>
      </w:r>
      <w:r>
        <w:t xml:space="preserve">, the higher the value received by consumers. Quality of </w:t>
      </w:r>
      <w:r w:rsidR="00717920">
        <w:t>self - service</w:t>
      </w:r>
      <w:r>
        <w:t xml:space="preserve"> according to Chen (2007) can not be separated from the company's internal support, especially the support of human resources.</w:t>
      </w:r>
    </w:p>
    <w:p w:rsidR="00476FCD" w:rsidRDefault="00476FCD" w:rsidP="00E30785">
      <w:pPr>
        <w:jc w:val="both"/>
      </w:pPr>
    </w:p>
    <w:p w:rsidR="00C9574F" w:rsidRDefault="00C9574F" w:rsidP="00476FCD">
      <w:pPr>
        <w:jc w:val="both"/>
      </w:pPr>
      <w:r>
        <w:t>Focus</w:t>
      </w:r>
      <w:r w:rsidR="003E7EC6">
        <w:t>ing</w:t>
      </w:r>
      <w:r>
        <w:t xml:space="preserve"> on improving the </w:t>
      </w:r>
      <w:r w:rsidR="005971C8">
        <w:t xml:space="preserve">service </w:t>
      </w:r>
      <w:r>
        <w:t xml:space="preserve">quality in the program BPJS </w:t>
      </w:r>
      <w:r w:rsidR="003E7EC6">
        <w:t xml:space="preserve"> becomes </w:t>
      </w:r>
      <w:r>
        <w:t xml:space="preserve">a major prerequisite as a step in supporting BPJS program systematically. Perception of value received by </w:t>
      </w:r>
      <w:r w:rsidR="003E7EC6">
        <w:t xml:space="preserve">the </w:t>
      </w:r>
      <w:r>
        <w:t xml:space="preserve">consumers </w:t>
      </w:r>
      <w:r w:rsidR="003E7EC6">
        <w:t>is</w:t>
      </w:r>
      <w:r>
        <w:t xml:space="preserve"> made up </w:t>
      </w:r>
      <w:r w:rsidR="003E7EC6">
        <w:t>by</w:t>
      </w:r>
      <w:r>
        <w:t xml:space="preserve"> health services provided by the government </w:t>
      </w:r>
      <w:r w:rsidR="003E7EC6">
        <w:t>on</w:t>
      </w:r>
      <w:r>
        <w:t xml:space="preserve"> BPJS program participants. Research conducted by Dalinjong (2012: 1) shows that in general, participants and non-participants will get the health insurance that is appropriate when the value of the provider (</w:t>
      </w:r>
      <w:r w:rsidR="005E1483">
        <w:t xml:space="preserve">namely </w:t>
      </w:r>
      <w:r>
        <w:t>government) provide</w:t>
      </w:r>
      <w:r w:rsidR="00E92CBB">
        <w:t>s</w:t>
      </w:r>
      <w:r>
        <w:t xml:space="preserve"> services in accordance with standards that have been determined</w:t>
      </w:r>
      <w:r w:rsidR="00E92CBB">
        <w:t xml:space="preserve"> in advance</w:t>
      </w:r>
      <w:r>
        <w:t xml:space="preserve">. </w:t>
      </w:r>
      <w:r w:rsidR="007A721A">
        <w:t>This r</w:t>
      </w:r>
      <w:r>
        <w:t xml:space="preserve">esult </w:t>
      </w:r>
      <w:r w:rsidR="007A721A">
        <w:t xml:space="preserve">has become </w:t>
      </w:r>
      <w:r>
        <w:t xml:space="preserve"> evidence that patients can receive the value if the provider can understand what is expected by the consumer. In fact BPJS </w:t>
      </w:r>
      <w:r w:rsidR="007A721A">
        <w:t xml:space="preserve">for </w:t>
      </w:r>
      <w:r>
        <w:t xml:space="preserve">Health program that is being implemented by the current government in general has not fully met the expectations of society. </w:t>
      </w:r>
      <w:r>
        <w:lastRenderedPageBreak/>
        <w:t xml:space="preserve">The problems that arise </w:t>
      </w:r>
      <w:r w:rsidR="008A1AA5">
        <w:t>are</w:t>
      </w:r>
      <w:r>
        <w:t xml:space="preserve"> not because of convenience and ease of perceived health facilities but the complexity of the system and difficulties when applying for public health services </w:t>
      </w:r>
      <w:r w:rsidR="006E0928">
        <w:t xml:space="preserve">which in fact </w:t>
      </w:r>
      <w:r>
        <w:t>to be one of the main reasons (Kompasiana.com, 2014).</w:t>
      </w:r>
    </w:p>
    <w:p w:rsidR="006E0928" w:rsidRDefault="006E0928" w:rsidP="00C9574F"/>
    <w:p w:rsidR="00C9574F" w:rsidRDefault="00786AB7" w:rsidP="006E0928">
      <w:pPr>
        <w:jc w:val="both"/>
      </w:pPr>
      <w:r>
        <w:t>Building good</w:t>
      </w:r>
      <w:r w:rsidR="00C9574F">
        <w:t xml:space="preserve"> relationship with the community </w:t>
      </w:r>
      <w:r>
        <w:t xml:space="preserve"> means</w:t>
      </w:r>
      <w:r w:rsidR="00C9574F">
        <w:t xml:space="preserve"> to smooth</w:t>
      </w:r>
      <w:r>
        <w:t xml:space="preserve">en </w:t>
      </w:r>
      <w:r w:rsidR="00C9574F">
        <w:t xml:space="preserve"> the process of supervision and </w:t>
      </w:r>
      <w:r>
        <w:t xml:space="preserve">BPJS improvement of </w:t>
      </w:r>
      <w:r w:rsidR="00C9574F">
        <w:t xml:space="preserve">system </w:t>
      </w:r>
      <w:r>
        <w:t>implementation</w:t>
      </w:r>
      <w:r w:rsidR="00C9574F">
        <w:t xml:space="preserve">, especially a system that regulates the </w:t>
      </w:r>
      <w:r w:rsidR="00087433">
        <w:t>Provider</w:t>
      </w:r>
      <w:r w:rsidR="00C9574F">
        <w:t xml:space="preserve"> of Hea</w:t>
      </w:r>
      <w:r w:rsidR="00087433">
        <w:t xml:space="preserve">lth Services such as hospitals; accordingly the </w:t>
      </w:r>
      <w:r w:rsidR="00C9574F">
        <w:t xml:space="preserve">government's role as the owner of the program and the community should be mutually integrated and work together to participate in the success of government programs considered to be very beneficial for the community. The marketing approach became one of the alternatives that can be done by the government is to do relationship marketing. Relationship marketing is not only used in any product marketing, relationship marketing are also useful for marketing of services and social marketing as well as on marketing </w:t>
      </w:r>
      <w:r w:rsidR="00A607A7">
        <w:t xml:space="preserve">the BPJS </w:t>
      </w:r>
      <w:r w:rsidR="00C9574F">
        <w:t xml:space="preserve">program. Relationship Marketing in the science of marketing is a marketing principle that emphasizes long-term relationship with customers, suppliers, and distributors. In other words, Relationship Marketing is an integrated design that strengthens the company's marketing competence (Tjiptono, 2008: 214). The importance of developing and pursuing the relationship in the organization of </w:t>
      </w:r>
      <w:r w:rsidR="007123BF">
        <w:t>government</w:t>
      </w:r>
      <w:r w:rsidR="00C9574F">
        <w:t xml:space="preserve"> on the implementation of the program of the </w:t>
      </w:r>
      <w:r w:rsidR="007123BF">
        <w:t>BPJS</w:t>
      </w:r>
      <w:r w:rsidR="00C9574F">
        <w:t xml:space="preserve"> is to convince the customers so that people know the excellence of the product and services offered. Relationship Marketing is not just a marketing priority to profitability, but it also applies equally in social marketing. According</w:t>
      </w:r>
      <w:r w:rsidR="00196037">
        <w:t xml:space="preserve"> to</w:t>
      </w:r>
      <w:r w:rsidR="00C9574F">
        <w:t xml:space="preserve">Lupiyoadi (2006: 72) relationship marketing is highly relevant in the marketing of services, given the involvement of and interaction between customers and </w:t>
      </w:r>
      <w:r w:rsidR="00393CC8">
        <w:t>relatively high service providers</w:t>
      </w:r>
      <w:r w:rsidR="00C9574F">
        <w:t>.</w:t>
      </w:r>
    </w:p>
    <w:p w:rsidR="006E0928" w:rsidRDefault="006E0928" w:rsidP="00C9574F"/>
    <w:p w:rsidR="00C9574F" w:rsidRDefault="00C9574F" w:rsidP="00CA5758">
      <w:pPr>
        <w:jc w:val="both"/>
      </w:pPr>
      <w:r w:rsidRPr="00CA5758">
        <w:t>Zeithaml</w:t>
      </w:r>
      <w:r>
        <w:t xml:space="preserve">et al. (2006: 184) explains that relationship marketing is one of the company's </w:t>
      </w:r>
      <w:r w:rsidR="00CA5758">
        <w:t>strategies</w:t>
      </w:r>
      <w:r>
        <w:t xml:space="preserve"> to maintain a good relationship with the customer in the long term. This strategy focuses more on how to keep the </w:t>
      </w:r>
      <w:r w:rsidR="00CA5758">
        <w:t xml:space="preserve">existing </w:t>
      </w:r>
      <w:r>
        <w:t xml:space="preserve">customers, in order not to switch to products of competitors. Wibowo (2009) stated that the relationship marketing </w:t>
      </w:r>
      <w:r w:rsidR="00CA5758">
        <w:t xml:space="preserve">is </w:t>
      </w:r>
      <w:r>
        <w:t>one</w:t>
      </w:r>
      <w:r w:rsidR="00CA5758">
        <w:t xml:space="preserve"> of the </w:t>
      </w:r>
      <w:r>
        <w:t>way</w:t>
      </w:r>
      <w:r w:rsidR="00CA5758">
        <w:t>s</w:t>
      </w:r>
      <w:r>
        <w:t xml:space="preserve"> to attract, maintain, and enhance long-term relationship with the customer</w:t>
      </w:r>
      <w:r w:rsidR="00CA5758">
        <w:t>s</w:t>
      </w:r>
      <w:r>
        <w:t xml:space="preserve">. Therefore, it is important for the company to be more concerned with the customer, because one of the key factors the company to survive in the </w:t>
      </w:r>
      <w:r w:rsidR="005D1FFB">
        <w:t xml:space="preserve">current </w:t>
      </w:r>
      <w:r>
        <w:t>existing markets is to maintain and sustain a long-term relationship with the customer (Perien and Richard, 2010: 195). According Palmatier et al. (2012: 206) relationship marketing is a strategic tool to en</w:t>
      </w:r>
      <w:r w:rsidR="005D1FFB">
        <w:t>hance value and maintain qualified</w:t>
      </w:r>
      <w:r>
        <w:t xml:space="preserve"> relationships with customers.</w:t>
      </w:r>
    </w:p>
    <w:p w:rsidR="00CA5758" w:rsidRDefault="00CA5758" w:rsidP="00C9574F"/>
    <w:p w:rsidR="00C9574F" w:rsidRDefault="00C9574F" w:rsidP="00D80EB3">
      <w:pPr>
        <w:jc w:val="both"/>
      </w:pPr>
      <w:r>
        <w:t xml:space="preserve">The </w:t>
      </w:r>
      <w:r w:rsidR="00A342D4">
        <w:t>relationship</w:t>
      </w:r>
      <w:r>
        <w:t xml:space="preserve"> between relationship marketing and customer value expressed by Velnampy and Sivesan (2012); Bhatnagar (2012); Jemaa and TOURNOIS (2014), which examines the relationship marketing with value, it is assumed to have a good relationship and ongoing with customers along with the ability of providers to provide value and meet the expectations of the customer, making it easier to keep the customer at this time, and will make the costs to be incurred by the company will be much less than trying to attract new customers they use conventional marketing communication such as advertising (Sui and Baloglu in Rai Main, 2012). The company should be able to give an advantage or benefit to the customer of a relationship built to the customer (Rauyruen and Miller, 2007: 107). Giving </w:t>
      </w:r>
      <w:r w:rsidR="00B87956">
        <w:t>benefit</w:t>
      </w:r>
      <w:r>
        <w:t xml:space="preserve"> of a relationship or relational benefit actually means </w:t>
      </w:r>
      <w:r w:rsidR="00B87956">
        <w:t xml:space="preserve">that it </w:t>
      </w:r>
      <w:r>
        <w:t xml:space="preserve">can be beneficial to both parties, both the customer and the company (Ruiz-Molina et al., 2009: 109).Based on </w:t>
      </w:r>
      <w:r w:rsidR="00D80EB3">
        <w:t>the above study, the researcheris</w:t>
      </w:r>
      <w:r>
        <w:t xml:space="preserve"> interested in doing in-depth research related to "Determinant Factors in Developing Values </w:t>
      </w:r>
      <w:r>
        <w:rPr>
          <w:rFonts w:ascii="Cambria Math" w:hAnsi="Cambria Math" w:cs="Cambria Math"/>
        </w:rPr>
        <w:t>​​</w:t>
      </w:r>
      <w:r>
        <w:t xml:space="preserve">and </w:t>
      </w:r>
      <w:r w:rsidR="00D80EB3">
        <w:lastRenderedPageBreak/>
        <w:t>Trust</w:t>
      </w:r>
      <w:r>
        <w:t xml:space="preserve"> (Survey on </w:t>
      </w:r>
      <w:r w:rsidR="00D80EB3">
        <w:t>P</w:t>
      </w:r>
      <w:r>
        <w:t>atient</w:t>
      </w:r>
      <w:r w:rsidR="00D80EB3">
        <w:t>s of</w:t>
      </w:r>
      <w:r>
        <w:t xml:space="preserve"> BPJS </w:t>
      </w:r>
      <w:r w:rsidR="00D80EB3">
        <w:t xml:space="preserve">for Health </w:t>
      </w:r>
      <w:r>
        <w:t>Participants in the General Hospital of West Java Province).</w:t>
      </w:r>
    </w:p>
    <w:p w:rsidR="00C9574F" w:rsidRDefault="00C9574F" w:rsidP="00C9574F"/>
    <w:p w:rsidR="00E22270" w:rsidRPr="003A38E1" w:rsidRDefault="00E22270" w:rsidP="00E22270">
      <w:pPr>
        <w:rPr>
          <w:b/>
        </w:rPr>
      </w:pPr>
      <w:r w:rsidRPr="003A38E1">
        <w:rPr>
          <w:b/>
        </w:rPr>
        <w:t>LITERATURE REVIEW</w:t>
      </w:r>
    </w:p>
    <w:p w:rsidR="00E22270" w:rsidRDefault="00E22270" w:rsidP="005E4E0F">
      <w:pPr>
        <w:jc w:val="both"/>
      </w:pPr>
      <w:r>
        <w:t xml:space="preserve">Relationship marketing  is a philosophy of running a business </w:t>
      </w:r>
      <w:r w:rsidR="004371C5">
        <w:t>focusing</w:t>
      </w:r>
      <w:r>
        <w:t xml:space="preserve"> primarily on the improvement of services to existing customers </w:t>
      </w:r>
      <w:r w:rsidR="004371C5">
        <w:t xml:space="preserve">rather </w:t>
      </w:r>
      <w:r>
        <w:t xml:space="preserve">than to find new customers. From these </w:t>
      </w:r>
      <w:r w:rsidR="00FA19CA">
        <w:t>definition we can say that</w:t>
      </w:r>
      <w:r>
        <w:t xml:space="preserve"> Relationship Marketing is an attempt to know consumers better, so the company can meet the</w:t>
      </w:r>
      <w:r w:rsidR="00FA19CA">
        <w:t>ir</w:t>
      </w:r>
      <w:r>
        <w:t xml:space="preserve"> needs and wants in the long term (Zeithmal et al., 2012: 138).</w:t>
      </w:r>
    </w:p>
    <w:p w:rsidR="00E22270" w:rsidRDefault="00E22270" w:rsidP="00E22270">
      <w:r>
        <w:t xml:space="preserve">The above definition is supported by the opinion of Arafat </w:t>
      </w:r>
      <w:r w:rsidR="00C56108">
        <w:t>andSemadi</w:t>
      </w:r>
      <w:r>
        <w:t>, et al (2012: 161) who argued that the relationship with the customer in the long term is not just creating a transaction.</w:t>
      </w:r>
      <w:r w:rsidR="0077137D">
        <w:t xml:space="preserve"> It, furhermore, becomes</w:t>
      </w:r>
      <w:r>
        <w:t xml:space="preserve"> a new paradigm for achieving marketing success </w:t>
      </w:r>
      <w:r w:rsidR="0077137D">
        <w:t xml:space="preserve">which </w:t>
      </w:r>
      <w:r>
        <w:t xml:space="preserve">is to establish and maintain relationships with customers on an ongoing basis. </w:t>
      </w:r>
      <w:r w:rsidR="0077137D">
        <w:t>This new p</w:t>
      </w:r>
      <w:r>
        <w:t>aradigm is called relationship marketing.</w:t>
      </w:r>
    </w:p>
    <w:p w:rsidR="00FA19CA" w:rsidRDefault="00FA19CA" w:rsidP="00E22270"/>
    <w:p w:rsidR="00E22270" w:rsidRDefault="00E22270" w:rsidP="00441CC1">
      <w:pPr>
        <w:jc w:val="both"/>
      </w:pPr>
      <w:r>
        <w:t xml:space="preserve">The rationale for this marketing practice is that building relationships with customers that are considered very </w:t>
      </w:r>
      <w:r w:rsidR="00730DEA">
        <w:t xml:space="preserve">effective </w:t>
      </w:r>
      <w:r>
        <w:t xml:space="preserve">cost compared with the search for new customers or existing customers who already get a breakup. Indeed, the establishment of long-term relationships between marketers with customers it </w:t>
      </w:r>
      <w:r w:rsidR="00BA450A">
        <w:t>begins</w:t>
      </w:r>
      <w:r>
        <w:t xml:space="preserve"> from the creation of the transaction, and similar transactions repeated again and eventually into the fabric of a long-term relationship. Berry in Hennig-Thurau, et al (2010: 368) defines the term relationship marketing is an attempt to attract, manage, and provide various services by utilizing the company's good relationships with customers. Here also </w:t>
      </w:r>
      <w:r w:rsidR="00BA3896">
        <w:t xml:space="preserve">he </w:t>
      </w:r>
      <w:r>
        <w:t xml:space="preserve">emphasized that relationship marketing is a further </w:t>
      </w:r>
      <w:r w:rsidR="00BA3896">
        <w:t xml:space="preserve">step </w:t>
      </w:r>
      <w:r>
        <w:t>to reach new customers, namely to foster relationships with customers in order to remain loyal to the company. Further</w:t>
      </w:r>
      <w:r w:rsidR="00BB5CA6">
        <w:t>more,</w:t>
      </w:r>
      <w:r>
        <w:t xml:space="preserve">Kotler and Keller (2012: 171) argues that relationship marketing is a movement of the mindset that is solely based on competition and conflict, toward a mindset that is based on a relationship of interdependence and mutually beneficial cooperation. Relationship marketing recognizes the importance of the various parties, among others: suppliers, employees, distributors, agents, and retailers to work together to provide the best values </w:t>
      </w:r>
      <w:r>
        <w:rPr>
          <w:rFonts w:ascii="Cambria Math" w:hAnsi="Cambria Math" w:cs="Cambria Math"/>
        </w:rPr>
        <w:t>​​</w:t>
      </w:r>
      <w:r>
        <w:t>for the target customer.</w:t>
      </w:r>
    </w:p>
    <w:p w:rsidR="00FA19CA" w:rsidRDefault="00FA19CA" w:rsidP="00E22270"/>
    <w:p w:rsidR="00C9574F" w:rsidRDefault="00E22270" w:rsidP="00BB5CA6">
      <w:pPr>
        <w:jc w:val="both"/>
      </w:pPr>
      <w:r>
        <w:t xml:space="preserve">Zeithaml et al. (2012: 158) states that the primary purpose of relationship marketing is to build and retain </w:t>
      </w:r>
      <w:r w:rsidR="001935C3">
        <w:t>commited</w:t>
      </w:r>
      <w:r w:rsidR="00A32A45">
        <w:t xml:space="preserve">profitable </w:t>
      </w:r>
      <w:r>
        <w:t>subscribers for the company and at the same time minimizing the time and effort spent on less profitable customers. Based on research conducted by K</w:t>
      </w:r>
      <w:r w:rsidR="00E03103">
        <w:t>inard and Capella, in Semadi</w:t>
      </w:r>
      <w:r>
        <w:t>, et al (2012: 163) "states that the benefits of relational defined as a benefit received by customers of long-term relationship and outside the core service performance (Gwinner et al., In Yu and Yang, 2009 ). While the study was conducted by Arturo et.al in Hashem (2012: 130) states that relational benefits as benefits tend to be received by the customer as a result of involvement in a long-term relationship with the service provider.</w:t>
      </w:r>
    </w:p>
    <w:p w:rsidR="00E22270" w:rsidRDefault="00E22270" w:rsidP="00E22270"/>
    <w:p w:rsidR="00307D7E" w:rsidRDefault="00307D7E" w:rsidP="00307D7E">
      <w:r>
        <w:t>METHODOLOGY</w:t>
      </w:r>
    </w:p>
    <w:p w:rsidR="00307D7E" w:rsidRDefault="00307D7E" w:rsidP="000735E1">
      <w:pPr>
        <w:jc w:val="both"/>
      </w:pPr>
      <w:r>
        <w:t>This</w:t>
      </w:r>
      <w:r w:rsidR="000735E1">
        <w:t xml:space="preserve"> study uses quantitative method </w:t>
      </w:r>
      <w:r>
        <w:t xml:space="preserve"> by distributing questionnaires to the respondent</w:t>
      </w:r>
      <w:r w:rsidR="000735E1">
        <w:t>s</w:t>
      </w:r>
      <w:r>
        <w:t xml:space="preserve">. Technique using the questionnaire is a way of collecting data by delivering or distributing a list of questions to the respondents, with the hope they will provide a response to the questionnaire. Questionnaire </w:t>
      </w:r>
      <w:r w:rsidR="00F65AE4">
        <w:t>distribution</w:t>
      </w:r>
      <w:r>
        <w:t xml:space="preserve"> was conducted </w:t>
      </w:r>
      <w:r w:rsidR="00F65AE4">
        <w:t xml:space="preserve">uisnga </w:t>
      </w:r>
      <w:r>
        <w:t xml:space="preserve">survey technique, the researchers directly into the field to collect data both primary and secondary data with dimensional </w:t>
      </w:r>
      <w:r w:rsidR="00F65AE4">
        <w:t>cross-sectional data</w:t>
      </w:r>
      <w:r>
        <w:t>, meaning t</w:t>
      </w:r>
      <w:r w:rsidR="000B5EBE">
        <w:t>hat data is current and not time series data</w:t>
      </w:r>
      <w:r>
        <w:t>.</w:t>
      </w:r>
    </w:p>
    <w:p w:rsidR="00E22270" w:rsidRDefault="00221508" w:rsidP="00D960E9">
      <w:pPr>
        <w:jc w:val="both"/>
      </w:pPr>
      <w:r>
        <w:lastRenderedPageBreak/>
        <w:t>I</w:t>
      </w:r>
      <w:r w:rsidR="00307D7E">
        <w:t xml:space="preserve">n </w:t>
      </w:r>
      <w:r>
        <w:t xml:space="preserve">conducting </w:t>
      </w:r>
      <w:r w:rsidR="00307D7E">
        <w:t xml:space="preserve"> verification analysis</w:t>
      </w:r>
      <w:r>
        <w:t>, this research uses</w:t>
      </w:r>
      <w:r w:rsidR="00307D7E">
        <w:t xml:space="preserve"> analysis of Structural Equation Modeling (SEM). The basic decision SEM analysis  is tailored to the research model developed by the researchers that allows suitable for </w:t>
      </w:r>
      <w:r w:rsidR="00545E4B">
        <w:t>doing analysis</w:t>
      </w:r>
      <w:r w:rsidR="00307D7E">
        <w:t xml:space="preserve"> using SEM. </w:t>
      </w:r>
      <w:r w:rsidR="00423F39">
        <w:t xml:space="preserve">The advantage of </w:t>
      </w:r>
      <w:r w:rsidR="00307D7E">
        <w:t xml:space="preserve">SEM </w:t>
      </w:r>
      <w:r w:rsidR="00423F39">
        <w:t>is</w:t>
      </w:r>
      <w:r w:rsidR="00307D7E">
        <w:t xml:space="preserve"> its ability to present a comprehensive model along with its ability to confirm the dimensions of a construct or factor as well as the ability to measure the impact / relationship theoretically. SEM is also seen as a combination of confirmatory factor analysis and regression analysis. Confirmatory factor analysis </w:t>
      </w:r>
      <w:r w:rsidR="00663042">
        <w:t>of</w:t>
      </w:r>
      <w:r w:rsidR="00307D7E">
        <w:t xml:space="preserve"> the measurement model will produce </w:t>
      </w:r>
      <w:r w:rsidR="00663042">
        <w:t xml:space="preserve">the </w:t>
      </w:r>
      <w:r w:rsidR="00307D7E">
        <w:t xml:space="preserve">so-called coefficient of standard loading or lambda value (I). The lambda value is used to assess the suitability, or unidimensionalitas of instruments in </w:t>
      </w:r>
      <w:r w:rsidR="00127AAB">
        <w:t>creaying a</w:t>
      </w:r>
      <w:r w:rsidR="00307D7E">
        <w:t xml:space="preserve"> factor</w:t>
      </w:r>
    </w:p>
    <w:p w:rsidR="00307D7E" w:rsidRDefault="00307D7E" w:rsidP="00307D7E"/>
    <w:p w:rsidR="009B5090" w:rsidRDefault="009B5090" w:rsidP="009B5090">
      <w:r>
        <w:t>RESULTS</w:t>
      </w:r>
    </w:p>
    <w:p w:rsidR="00307D7E" w:rsidRDefault="009B5090" w:rsidP="004764D3">
      <w:pPr>
        <w:jc w:val="both"/>
      </w:pPr>
      <w:r>
        <w:t>This study uses analysis Structural Equation Modeling (SEM)</w:t>
      </w:r>
      <w:r w:rsidR="004764D3">
        <w:t xml:space="preserve"> with the assistance of </w:t>
      </w:r>
      <w:r>
        <w:t xml:space="preserve"> IBM SPSSAMOS 20</w:t>
      </w:r>
      <w:r w:rsidR="004764D3">
        <w:t xml:space="preserve"> Software</w:t>
      </w:r>
      <w:r>
        <w:t xml:space="preserve">. The theoretical model has been described in the path diagram </w:t>
      </w:r>
      <w:r w:rsidR="00CF44A3">
        <w:t xml:space="preserve">which then </w:t>
      </w:r>
      <w:r>
        <w:t xml:space="preserve">will be analyzed based on the data obtained. After testing parameters, and </w:t>
      </w:r>
      <w:r w:rsidR="00551CD8">
        <w:t xml:space="preserve">the </w:t>
      </w:r>
      <w:r>
        <w:t xml:space="preserve">model </w:t>
      </w:r>
      <w:r w:rsidR="00551CD8">
        <w:t xml:space="preserve">the next test is </w:t>
      </w:r>
      <w:r w:rsidR="0032488E">
        <w:t xml:space="preserve">to </w:t>
      </w:r>
      <w:r w:rsidR="00551CD8">
        <w:t xml:space="preserve">analyse using </w:t>
      </w:r>
      <w:r>
        <w:t xml:space="preserve">Structural Equation Model (SEM) in Full Model </w:t>
      </w:r>
      <w:r w:rsidR="00D11C07">
        <w:t xml:space="preserve"> which </w:t>
      </w:r>
      <w:r>
        <w:t xml:space="preserve">is intended to test the model and hypotheses developed in this study. Testing the model in Structural Equation Model done with two tests, </w:t>
      </w:r>
      <w:r w:rsidR="002C5B7C">
        <w:t xml:space="preserve">namely </w:t>
      </w:r>
      <w:r>
        <w:t xml:space="preserve"> test</w:t>
      </w:r>
      <w:r w:rsidR="002C5B7C">
        <w:t xml:space="preserve">ing </w:t>
      </w:r>
      <w:r>
        <w:t xml:space="preserve"> the </w:t>
      </w:r>
      <w:r w:rsidR="002C5B7C">
        <w:t xml:space="preserve">goodness of fit </w:t>
      </w:r>
      <w:r>
        <w:t xml:space="preserve"> of the model and test the significance of causality through regression coefficient test. The results of data processing for SEM analysis shown in Figure 4.9, Table 4</w:t>
      </w:r>
      <w:r w:rsidR="00AE1E5B">
        <w:t>.</w:t>
      </w:r>
      <w:r>
        <w:t>102 and Tables 4</w:t>
      </w:r>
      <w:r w:rsidR="00AE1E5B">
        <w:t>.</w:t>
      </w:r>
      <w:r>
        <w:t xml:space="preserve">103. Structural model is the relationship between the latent variables (variables that can not be measured directly and require several indicators to measure) the independent and dependent </w:t>
      </w:r>
      <w:r w:rsidR="00702B65">
        <w:t>variables</w:t>
      </w:r>
      <w:r>
        <w:t>(Bollen, 1989).</w:t>
      </w:r>
    </w:p>
    <w:p w:rsidR="009B5090" w:rsidRDefault="00AE4A03" w:rsidP="009B5090">
      <w:r>
        <w:rPr>
          <w:noProof/>
        </w:rPr>
        <w:drawing>
          <wp:anchor distT="0" distB="0" distL="0" distR="0" simplePos="0" relativeHeight="251659264" behindDoc="1" locked="0" layoutInCell="1" allowOverlap="1">
            <wp:simplePos x="0" y="0"/>
            <wp:positionH relativeFrom="column">
              <wp:posOffset>-1038225</wp:posOffset>
            </wp:positionH>
            <wp:positionV relativeFrom="paragraph">
              <wp:posOffset>148590</wp:posOffset>
            </wp:positionV>
            <wp:extent cx="7819390" cy="4568190"/>
            <wp:effectExtent l="1905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19390" cy="4568190"/>
                    </a:xfrm>
                    <a:prstGeom prst="rect">
                      <a:avLst/>
                    </a:prstGeom>
                  </pic:spPr>
                </pic:pic>
              </a:graphicData>
            </a:graphic>
          </wp:anchor>
        </w:drawing>
      </w: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AE4A03" w:rsidP="00AE4A03">
      <w:pPr>
        <w:tabs>
          <w:tab w:val="left" w:pos="2775"/>
          <w:tab w:val="left" w:pos="3165"/>
        </w:tabs>
        <w:rPr>
          <w:color w:val="000000"/>
        </w:rPr>
      </w:pPr>
      <w:r>
        <w:rPr>
          <w:color w:val="000000"/>
        </w:rPr>
        <w:tab/>
      </w:r>
    </w:p>
    <w:p w:rsidR="00283EB7" w:rsidRDefault="00283EB7" w:rsidP="00283EB7">
      <w:pPr>
        <w:jc w:val="center"/>
        <w:rPr>
          <w:color w:val="000000"/>
        </w:rPr>
      </w:pPr>
    </w:p>
    <w:p w:rsidR="00283EB7" w:rsidRDefault="00283EB7" w:rsidP="00283EB7">
      <w:pPr>
        <w:jc w:val="center"/>
        <w:rPr>
          <w:color w:val="000000"/>
        </w:rPr>
      </w:pPr>
    </w:p>
    <w:p w:rsidR="00283EB7" w:rsidRDefault="00283EB7" w:rsidP="00AE4A03">
      <w:pPr>
        <w:tabs>
          <w:tab w:val="left" w:pos="5415"/>
        </w:tabs>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283EB7" w:rsidP="00283EB7">
      <w:pPr>
        <w:jc w:val="center"/>
        <w:rPr>
          <w:color w:val="000000"/>
        </w:rPr>
      </w:pPr>
    </w:p>
    <w:p w:rsidR="00283EB7" w:rsidRDefault="00AE4A03" w:rsidP="00283EB7">
      <w:pPr>
        <w:jc w:val="center"/>
        <w:rPr>
          <w:color w:val="000000"/>
        </w:rPr>
      </w:pPr>
      <w:r>
        <w:rPr>
          <w:color w:val="000000"/>
        </w:rPr>
        <w:lastRenderedPageBreak/>
        <w:t>Figure</w:t>
      </w:r>
      <w:r w:rsidR="00283EB7">
        <w:rPr>
          <w:color w:val="000000"/>
        </w:rPr>
        <w:t xml:space="preserve"> 1 </w:t>
      </w:r>
      <w:r>
        <w:rPr>
          <w:color w:val="000000"/>
        </w:rPr>
        <w:t xml:space="preserve">Result </w:t>
      </w:r>
      <w:r w:rsidR="00CB1A86">
        <w:rPr>
          <w:color w:val="000000"/>
        </w:rPr>
        <w:t xml:space="preserve">of Endogenous Construct Confirmatory </w:t>
      </w:r>
      <w:r w:rsidR="00283EB7">
        <w:rPr>
          <w:color w:val="000000"/>
        </w:rPr>
        <w:t xml:space="preserve"> Model </w:t>
      </w:r>
      <w:r w:rsidR="00CB1A86">
        <w:rPr>
          <w:color w:val="000000"/>
        </w:rPr>
        <w:t>Test</w:t>
      </w:r>
    </w:p>
    <w:p w:rsidR="009B5090" w:rsidRDefault="009B5090" w:rsidP="00283EB7">
      <w:pPr>
        <w:rPr>
          <w:color w:val="000000"/>
          <w:sz w:val="20"/>
          <w:szCs w:val="20"/>
        </w:rPr>
      </w:pPr>
    </w:p>
    <w:p w:rsidR="00283EB7" w:rsidRDefault="00283EB7" w:rsidP="00283EB7">
      <w:pPr>
        <w:rPr>
          <w:color w:val="000000"/>
          <w:sz w:val="20"/>
          <w:szCs w:val="20"/>
        </w:rPr>
      </w:pPr>
    </w:p>
    <w:p w:rsidR="00283EB7" w:rsidRDefault="00D61F01" w:rsidP="00D61F01">
      <w:pPr>
        <w:jc w:val="center"/>
        <w:rPr>
          <w:color w:val="000000"/>
        </w:rPr>
      </w:pPr>
      <w:r>
        <w:rPr>
          <w:color w:val="000000"/>
        </w:rPr>
        <w:t>Tab</w:t>
      </w:r>
      <w:r w:rsidR="00283EB7">
        <w:rPr>
          <w:color w:val="000000"/>
        </w:rPr>
        <w:t>l</w:t>
      </w:r>
      <w:r>
        <w:rPr>
          <w:color w:val="000000"/>
        </w:rPr>
        <w:t>e</w:t>
      </w:r>
      <w:r w:rsidR="00283EB7">
        <w:rPr>
          <w:color w:val="000000"/>
        </w:rPr>
        <w:t xml:space="preserve"> 2 </w:t>
      </w:r>
      <w:r>
        <w:rPr>
          <w:color w:val="000000"/>
        </w:rPr>
        <w:t xml:space="preserve">Result of </w:t>
      </w:r>
      <w:r w:rsidR="00283EB7" w:rsidRPr="00D61F01">
        <w:rPr>
          <w:iCs/>
          <w:color w:val="000000"/>
        </w:rPr>
        <w:t>Full Model</w:t>
      </w:r>
      <w:r w:rsidRPr="00D61F01">
        <w:rPr>
          <w:iCs/>
          <w:color w:val="000000"/>
        </w:rPr>
        <w:t xml:space="preserve"> Test</w:t>
      </w:r>
    </w:p>
    <w:tbl>
      <w:tblPr>
        <w:tblStyle w:val="TableGrid"/>
        <w:tblW w:w="0" w:type="auto"/>
        <w:jc w:val="center"/>
        <w:tblLook w:val="04A0"/>
      </w:tblPr>
      <w:tblGrid>
        <w:gridCol w:w="2038"/>
        <w:gridCol w:w="2038"/>
        <w:gridCol w:w="1012"/>
        <w:gridCol w:w="2039"/>
      </w:tblGrid>
      <w:tr w:rsidR="00283EB7" w:rsidTr="00C303A8">
        <w:trPr>
          <w:jc w:val="center"/>
        </w:trPr>
        <w:tc>
          <w:tcPr>
            <w:tcW w:w="2038" w:type="dxa"/>
          </w:tcPr>
          <w:p w:rsidR="00283EB7" w:rsidRDefault="002573F0" w:rsidP="00C303A8">
            <w:pPr>
              <w:jc w:val="both"/>
              <w:rPr>
                <w:rFonts w:cs="Times New Roman"/>
                <w:color w:val="000000"/>
              </w:rPr>
            </w:pPr>
            <w:r>
              <w:rPr>
                <w:rFonts w:cs="Times New Roman"/>
                <w:color w:val="000000"/>
              </w:rPr>
              <w:t>Criteria</w:t>
            </w:r>
          </w:p>
        </w:tc>
        <w:tc>
          <w:tcPr>
            <w:tcW w:w="2038" w:type="dxa"/>
          </w:tcPr>
          <w:p w:rsidR="00283EB7" w:rsidRDefault="00283EB7" w:rsidP="00C303A8">
            <w:pPr>
              <w:jc w:val="both"/>
              <w:rPr>
                <w:rFonts w:cs="Times New Roman"/>
                <w:color w:val="000000"/>
              </w:rPr>
            </w:pPr>
            <w:r>
              <w:rPr>
                <w:rFonts w:cs="Times New Roman"/>
                <w:color w:val="000000"/>
              </w:rPr>
              <w:t>Cut of Value</w:t>
            </w:r>
          </w:p>
        </w:tc>
        <w:tc>
          <w:tcPr>
            <w:tcW w:w="1012" w:type="dxa"/>
          </w:tcPr>
          <w:p w:rsidR="00283EB7" w:rsidRDefault="002573F0" w:rsidP="00C303A8">
            <w:pPr>
              <w:jc w:val="both"/>
              <w:rPr>
                <w:rFonts w:cs="Times New Roman"/>
                <w:color w:val="000000"/>
              </w:rPr>
            </w:pPr>
            <w:r>
              <w:rPr>
                <w:rFonts w:cs="Times New Roman"/>
                <w:color w:val="000000"/>
              </w:rPr>
              <w:t>Result</w:t>
            </w:r>
          </w:p>
        </w:tc>
        <w:tc>
          <w:tcPr>
            <w:tcW w:w="2039" w:type="dxa"/>
          </w:tcPr>
          <w:p w:rsidR="00283EB7" w:rsidRDefault="002573F0" w:rsidP="00C303A8">
            <w:pPr>
              <w:jc w:val="both"/>
              <w:rPr>
                <w:rFonts w:cs="Times New Roman"/>
                <w:color w:val="000000"/>
              </w:rPr>
            </w:pPr>
            <w:r>
              <w:rPr>
                <w:rFonts w:cs="Times New Roman"/>
                <w:color w:val="000000"/>
              </w:rPr>
              <w:t>Evaluat</w:t>
            </w:r>
            <w:r w:rsidR="00283EB7">
              <w:rPr>
                <w:rFonts w:cs="Times New Roman"/>
                <w:color w:val="000000"/>
              </w:rPr>
              <w:t>i</w:t>
            </w:r>
            <w:r>
              <w:rPr>
                <w:rFonts w:cs="Times New Roman"/>
                <w:color w:val="000000"/>
              </w:rPr>
              <w:t>on</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i/>
                <w:iCs/>
                <w:color w:val="000000"/>
              </w:rPr>
              <w:t>Chi-Square</w:t>
            </w:r>
          </w:p>
        </w:tc>
        <w:tc>
          <w:tcPr>
            <w:tcW w:w="2038" w:type="dxa"/>
          </w:tcPr>
          <w:p w:rsidR="00283EB7" w:rsidRDefault="002F78E7" w:rsidP="00C303A8">
            <w:pPr>
              <w:jc w:val="both"/>
              <w:rPr>
                <w:rFonts w:cs="Times New Roman"/>
                <w:color w:val="000000"/>
              </w:rPr>
            </w:pPr>
            <w:r>
              <w:rPr>
                <w:rFonts w:cs="Times New Roman"/>
                <w:color w:val="000000"/>
              </w:rPr>
              <w:t>Expected to be small</w:t>
            </w:r>
          </w:p>
        </w:tc>
        <w:tc>
          <w:tcPr>
            <w:tcW w:w="1012" w:type="dxa"/>
          </w:tcPr>
          <w:p w:rsidR="00283EB7" w:rsidRDefault="00283EB7" w:rsidP="00C303A8">
            <w:pPr>
              <w:jc w:val="both"/>
              <w:rPr>
                <w:rFonts w:cs="Times New Roman"/>
                <w:color w:val="000000"/>
              </w:rPr>
            </w:pPr>
            <w:r>
              <w:rPr>
                <w:rFonts w:cs="Times New Roman"/>
                <w:color w:val="000000"/>
              </w:rPr>
              <w:t>393.691</w:t>
            </w:r>
          </w:p>
        </w:tc>
        <w:tc>
          <w:tcPr>
            <w:tcW w:w="2039" w:type="dxa"/>
          </w:tcPr>
          <w:p w:rsidR="00283EB7" w:rsidRDefault="002F78E7" w:rsidP="002F78E7">
            <w:pPr>
              <w:jc w:val="both"/>
              <w:rPr>
                <w:rFonts w:cs="Times New Roman"/>
                <w:color w:val="000000"/>
              </w:rPr>
            </w:pPr>
            <w:r>
              <w:rPr>
                <w:rFonts w:cs="Times New Roman"/>
                <w:color w:val="000000"/>
              </w:rPr>
              <w:t>Large samp</w:t>
            </w:r>
            <w:r w:rsidR="00283EB7">
              <w:rPr>
                <w:rFonts w:cs="Times New Roman"/>
                <w:color w:val="000000"/>
              </w:rPr>
              <w:t>l</w:t>
            </w:r>
            <w:r>
              <w:rPr>
                <w:rFonts w:cs="Times New Roman"/>
                <w:color w:val="000000"/>
              </w:rPr>
              <w:t>e</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i/>
                <w:iCs/>
                <w:color w:val="000000"/>
              </w:rPr>
              <w:t>Probability</w:t>
            </w:r>
          </w:p>
        </w:tc>
        <w:tc>
          <w:tcPr>
            <w:tcW w:w="2038" w:type="dxa"/>
          </w:tcPr>
          <w:p w:rsidR="00283EB7" w:rsidRDefault="00283EB7" w:rsidP="00C303A8">
            <w:pPr>
              <w:jc w:val="both"/>
              <w:rPr>
                <w:rFonts w:cs="Times New Roman"/>
                <w:color w:val="000000"/>
              </w:rPr>
            </w:pPr>
            <w:r>
              <w:rPr>
                <w:rFonts w:cs="Times New Roman"/>
                <w:color w:val="000000"/>
              </w:rPr>
              <w:t>&gt; 0,05</w:t>
            </w:r>
          </w:p>
        </w:tc>
        <w:tc>
          <w:tcPr>
            <w:tcW w:w="1012" w:type="dxa"/>
          </w:tcPr>
          <w:p w:rsidR="00283EB7" w:rsidRDefault="00283EB7" w:rsidP="00C303A8">
            <w:pPr>
              <w:jc w:val="both"/>
              <w:rPr>
                <w:rFonts w:cs="Times New Roman"/>
                <w:color w:val="000000"/>
              </w:rPr>
            </w:pPr>
            <w:r>
              <w:rPr>
                <w:rFonts w:cs="Times New Roman"/>
                <w:color w:val="000000"/>
              </w:rPr>
              <w:t>0.000</w:t>
            </w:r>
          </w:p>
        </w:tc>
        <w:tc>
          <w:tcPr>
            <w:tcW w:w="2039" w:type="dxa"/>
          </w:tcPr>
          <w:p w:rsidR="00283EB7" w:rsidRDefault="002F78E7" w:rsidP="00C303A8">
            <w:pPr>
              <w:jc w:val="both"/>
              <w:rPr>
                <w:rFonts w:cs="Times New Roman"/>
                <w:color w:val="000000"/>
              </w:rPr>
            </w:pPr>
            <w:r>
              <w:rPr>
                <w:rFonts w:cs="Times New Roman"/>
                <w:color w:val="000000"/>
              </w:rPr>
              <w:t>Large sample</w:t>
            </w:r>
          </w:p>
        </w:tc>
      </w:tr>
      <w:tr w:rsidR="00283EB7" w:rsidTr="00C303A8">
        <w:trPr>
          <w:jc w:val="center"/>
        </w:trPr>
        <w:tc>
          <w:tcPr>
            <w:tcW w:w="2038" w:type="dxa"/>
          </w:tcPr>
          <w:p w:rsidR="00283EB7" w:rsidRDefault="00283EB7" w:rsidP="00C303A8">
            <w:pPr>
              <w:jc w:val="both"/>
              <w:rPr>
                <w:rFonts w:cs="Times New Roman"/>
                <w:i/>
                <w:iCs/>
                <w:color w:val="000000"/>
              </w:rPr>
            </w:pPr>
            <w:r>
              <w:rPr>
                <w:rFonts w:cs="Times New Roman"/>
                <w:color w:val="000000"/>
              </w:rPr>
              <w:t>GFI</w:t>
            </w:r>
          </w:p>
        </w:tc>
        <w:tc>
          <w:tcPr>
            <w:tcW w:w="2038" w:type="dxa"/>
          </w:tcPr>
          <w:p w:rsidR="00283EB7" w:rsidRDefault="00283EB7" w:rsidP="00C303A8">
            <w:pPr>
              <w:jc w:val="both"/>
              <w:rPr>
                <w:rFonts w:cs="Times New Roman"/>
                <w:color w:val="000000"/>
              </w:rPr>
            </w:pPr>
            <w:r>
              <w:rPr>
                <w:rFonts w:cs="Times New Roman"/>
                <w:color w:val="000000"/>
              </w:rPr>
              <w:t>&gt; 0,90</w:t>
            </w:r>
          </w:p>
        </w:tc>
        <w:tc>
          <w:tcPr>
            <w:tcW w:w="1012" w:type="dxa"/>
          </w:tcPr>
          <w:p w:rsidR="00283EB7" w:rsidRDefault="00283EB7" w:rsidP="00C303A8">
            <w:pPr>
              <w:jc w:val="both"/>
              <w:rPr>
                <w:rFonts w:cs="Times New Roman"/>
                <w:color w:val="000000"/>
              </w:rPr>
            </w:pPr>
            <w:r>
              <w:rPr>
                <w:rFonts w:cs="Times New Roman"/>
                <w:color w:val="000000"/>
              </w:rPr>
              <w:t>0.911</w:t>
            </w:r>
          </w:p>
        </w:tc>
        <w:tc>
          <w:tcPr>
            <w:tcW w:w="2039" w:type="dxa"/>
          </w:tcPr>
          <w:p w:rsidR="00283EB7" w:rsidRDefault="002F78E7" w:rsidP="00C303A8">
            <w:pPr>
              <w:jc w:val="both"/>
              <w:rPr>
                <w:rFonts w:cs="Times New Roman"/>
                <w:color w:val="000000"/>
              </w:rPr>
            </w:pPr>
            <w:r>
              <w:rPr>
                <w:rFonts w:cs="Times New Roman"/>
                <w:color w:val="000000"/>
              </w:rPr>
              <w:t>Good</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color w:val="000000"/>
              </w:rPr>
              <w:t>TLI</w:t>
            </w:r>
          </w:p>
        </w:tc>
        <w:tc>
          <w:tcPr>
            <w:tcW w:w="2038" w:type="dxa"/>
          </w:tcPr>
          <w:p w:rsidR="00283EB7" w:rsidRDefault="00283EB7" w:rsidP="00C303A8">
            <w:pPr>
              <w:jc w:val="both"/>
              <w:rPr>
                <w:rFonts w:cs="Times New Roman"/>
                <w:color w:val="000000"/>
              </w:rPr>
            </w:pPr>
            <w:r>
              <w:rPr>
                <w:rFonts w:cs="Times New Roman"/>
                <w:color w:val="000000"/>
              </w:rPr>
              <w:t>&gt; 0,95</w:t>
            </w:r>
          </w:p>
        </w:tc>
        <w:tc>
          <w:tcPr>
            <w:tcW w:w="1012" w:type="dxa"/>
          </w:tcPr>
          <w:p w:rsidR="00283EB7" w:rsidRDefault="00283EB7" w:rsidP="00C303A8">
            <w:pPr>
              <w:jc w:val="both"/>
              <w:rPr>
                <w:rFonts w:cs="Times New Roman"/>
                <w:color w:val="000000"/>
              </w:rPr>
            </w:pPr>
            <w:r>
              <w:rPr>
                <w:rFonts w:cs="Times New Roman"/>
                <w:color w:val="000000"/>
              </w:rPr>
              <w:t>0.947</w:t>
            </w:r>
          </w:p>
        </w:tc>
        <w:tc>
          <w:tcPr>
            <w:tcW w:w="2039" w:type="dxa"/>
          </w:tcPr>
          <w:p w:rsidR="00283EB7" w:rsidRDefault="00283EB7" w:rsidP="00C303A8">
            <w:pPr>
              <w:jc w:val="both"/>
              <w:rPr>
                <w:rFonts w:cs="Times New Roman"/>
                <w:color w:val="000000"/>
              </w:rPr>
            </w:pPr>
            <w:r>
              <w:rPr>
                <w:rFonts w:cs="Times New Roman"/>
                <w:color w:val="000000"/>
              </w:rPr>
              <w:t xml:space="preserve">Marginal </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color w:val="000000"/>
              </w:rPr>
              <w:t>CFI</w:t>
            </w:r>
          </w:p>
        </w:tc>
        <w:tc>
          <w:tcPr>
            <w:tcW w:w="2038" w:type="dxa"/>
          </w:tcPr>
          <w:p w:rsidR="00283EB7" w:rsidRDefault="00283EB7" w:rsidP="00C303A8">
            <w:pPr>
              <w:jc w:val="both"/>
              <w:rPr>
                <w:rFonts w:cs="Times New Roman"/>
                <w:color w:val="000000"/>
              </w:rPr>
            </w:pPr>
            <w:r>
              <w:rPr>
                <w:rFonts w:cs="Times New Roman"/>
                <w:color w:val="000000"/>
              </w:rPr>
              <w:t>&gt; 0,95</w:t>
            </w:r>
          </w:p>
        </w:tc>
        <w:tc>
          <w:tcPr>
            <w:tcW w:w="1012" w:type="dxa"/>
          </w:tcPr>
          <w:p w:rsidR="00283EB7" w:rsidRDefault="00283EB7" w:rsidP="00C303A8">
            <w:pPr>
              <w:rPr>
                <w:rFonts w:cs="Times New Roman"/>
                <w:color w:val="000000"/>
              </w:rPr>
            </w:pPr>
            <w:r>
              <w:rPr>
                <w:rFonts w:cs="Times New Roman"/>
                <w:color w:val="000000"/>
              </w:rPr>
              <w:t>0.934</w:t>
            </w:r>
          </w:p>
        </w:tc>
        <w:tc>
          <w:tcPr>
            <w:tcW w:w="2039" w:type="dxa"/>
          </w:tcPr>
          <w:p w:rsidR="00283EB7" w:rsidRDefault="00283EB7" w:rsidP="00C303A8">
            <w:pPr>
              <w:jc w:val="both"/>
              <w:rPr>
                <w:rFonts w:cs="Times New Roman"/>
                <w:color w:val="000000"/>
              </w:rPr>
            </w:pPr>
            <w:r>
              <w:rPr>
                <w:rFonts w:cs="Times New Roman"/>
                <w:color w:val="000000"/>
              </w:rPr>
              <w:t>Marginal</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color w:val="000000"/>
              </w:rPr>
              <w:t>CMIN/DF</w:t>
            </w:r>
          </w:p>
        </w:tc>
        <w:tc>
          <w:tcPr>
            <w:tcW w:w="2038" w:type="dxa"/>
          </w:tcPr>
          <w:p w:rsidR="00283EB7" w:rsidRDefault="00283EB7" w:rsidP="00C303A8">
            <w:pPr>
              <w:jc w:val="both"/>
              <w:rPr>
                <w:rFonts w:cs="Times New Roman"/>
                <w:color w:val="000000"/>
              </w:rPr>
            </w:pPr>
            <w:r>
              <w:rPr>
                <w:rFonts w:cs="Times New Roman"/>
                <w:color w:val="000000"/>
              </w:rPr>
              <w:t>&lt; 2,00</w:t>
            </w:r>
          </w:p>
        </w:tc>
        <w:tc>
          <w:tcPr>
            <w:tcW w:w="1012" w:type="dxa"/>
          </w:tcPr>
          <w:p w:rsidR="00283EB7" w:rsidRDefault="00283EB7" w:rsidP="00C303A8">
            <w:pPr>
              <w:jc w:val="both"/>
              <w:rPr>
                <w:rFonts w:cs="Times New Roman"/>
                <w:color w:val="000000"/>
              </w:rPr>
            </w:pPr>
            <w:r>
              <w:rPr>
                <w:rFonts w:cs="Times New Roman"/>
                <w:color w:val="000000"/>
              </w:rPr>
              <w:t>1.920</w:t>
            </w:r>
          </w:p>
        </w:tc>
        <w:tc>
          <w:tcPr>
            <w:tcW w:w="2039" w:type="dxa"/>
          </w:tcPr>
          <w:p w:rsidR="00283EB7" w:rsidRDefault="002F78E7" w:rsidP="00C303A8">
            <w:pPr>
              <w:jc w:val="both"/>
              <w:rPr>
                <w:rFonts w:cs="Times New Roman"/>
                <w:color w:val="000000"/>
              </w:rPr>
            </w:pPr>
            <w:r>
              <w:rPr>
                <w:rFonts w:cs="Times New Roman"/>
                <w:color w:val="000000"/>
              </w:rPr>
              <w:t>Good</w:t>
            </w:r>
          </w:p>
        </w:tc>
      </w:tr>
      <w:tr w:rsidR="00283EB7" w:rsidTr="00C303A8">
        <w:trPr>
          <w:jc w:val="center"/>
        </w:trPr>
        <w:tc>
          <w:tcPr>
            <w:tcW w:w="2038" w:type="dxa"/>
          </w:tcPr>
          <w:p w:rsidR="00283EB7" w:rsidRDefault="00283EB7" w:rsidP="00C303A8">
            <w:pPr>
              <w:jc w:val="both"/>
              <w:rPr>
                <w:rFonts w:cs="Times New Roman"/>
                <w:color w:val="000000"/>
              </w:rPr>
            </w:pPr>
            <w:r>
              <w:rPr>
                <w:rFonts w:cs="Times New Roman"/>
                <w:color w:val="000000"/>
              </w:rPr>
              <w:t>RMSEA</w:t>
            </w:r>
          </w:p>
        </w:tc>
        <w:tc>
          <w:tcPr>
            <w:tcW w:w="2038" w:type="dxa"/>
          </w:tcPr>
          <w:p w:rsidR="00283EB7" w:rsidRDefault="00283EB7" w:rsidP="00C303A8">
            <w:pPr>
              <w:jc w:val="both"/>
              <w:rPr>
                <w:rFonts w:cs="Times New Roman"/>
                <w:color w:val="000000"/>
              </w:rPr>
            </w:pPr>
            <w:r>
              <w:rPr>
                <w:rFonts w:cs="Times New Roman"/>
                <w:color w:val="000000"/>
              </w:rPr>
              <w:t>&lt; 0,08</w:t>
            </w:r>
          </w:p>
        </w:tc>
        <w:tc>
          <w:tcPr>
            <w:tcW w:w="1012" w:type="dxa"/>
          </w:tcPr>
          <w:p w:rsidR="00283EB7" w:rsidRDefault="00283EB7" w:rsidP="00C303A8">
            <w:pPr>
              <w:jc w:val="both"/>
              <w:rPr>
                <w:rFonts w:cs="Times New Roman"/>
                <w:color w:val="000000"/>
              </w:rPr>
            </w:pPr>
            <w:r>
              <w:rPr>
                <w:rFonts w:cs="Times New Roman"/>
                <w:color w:val="000000"/>
              </w:rPr>
              <w:t>0.049</w:t>
            </w:r>
          </w:p>
        </w:tc>
        <w:tc>
          <w:tcPr>
            <w:tcW w:w="2039" w:type="dxa"/>
          </w:tcPr>
          <w:p w:rsidR="00283EB7" w:rsidRDefault="002F78E7" w:rsidP="00C303A8">
            <w:pPr>
              <w:jc w:val="both"/>
              <w:rPr>
                <w:rFonts w:cs="Times New Roman"/>
                <w:color w:val="000000"/>
              </w:rPr>
            </w:pPr>
            <w:r>
              <w:rPr>
                <w:rFonts w:cs="Times New Roman"/>
                <w:color w:val="000000"/>
              </w:rPr>
              <w:t>Good</w:t>
            </w:r>
          </w:p>
        </w:tc>
      </w:tr>
    </w:tbl>
    <w:p w:rsidR="00283EB7" w:rsidRDefault="00351C4B" w:rsidP="00283EB7">
      <w:pPr>
        <w:rPr>
          <w:color w:val="000000"/>
        </w:rPr>
      </w:pPr>
      <w:r>
        <w:rPr>
          <w:color w:val="000000"/>
        </w:rPr>
        <w:t xml:space="preserve">        Source</w:t>
      </w:r>
      <w:r w:rsidR="00283EB7">
        <w:rPr>
          <w:color w:val="000000"/>
        </w:rPr>
        <w:t>; data</w:t>
      </w:r>
      <w:r>
        <w:rPr>
          <w:color w:val="000000"/>
        </w:rPr>
        <w:t xml:space="preserve"> managed</w:t>
      </w:r>
      <w:r w:rsidR="00283EB7">
        <w:rPr>
          <w:color w:val="000000"/>
        </w:rPr>
        <w:t>, 2015</w:t>
      </w:r>
    </w:p>
    <w:p w:rsidR="003A4B00" w:rsidRDefault="003A4B00" w:rsidP="00283EB7">
      <w:pPr>
        <w:rPr>
          <w:color w:val="000000"/>
        </w:rPr>
      </w:pPr>
    </w:p>
    <w:p w:rsidR="003A4B00" w:rsidRDefault="003A4B00" w:rsidP="00D36FF3">
      <w:pPr>
        <w:jc w:val="both"/>
      </w:pPr>
      <w:r>
        <w:t>Based on observations in the picture on the graphic analysis of the full model</w:t>
      </w:r>
      <w:r w:rsidR="00D36FF3">
        <w:t xml:space="preserve">, it </w:t>
      </w:r>
      <w:r>
        <w:t xml:space="preserve"> can be shown that the model meets the criteria</w:t>
      </w:r>
      <w:r w:rsidR="00D36FF3">
        <w:t xml:space="preserve"> of goodness of </w:t>
      </w:r>
      <w:r>
        <w:t xml:space="preserve"> fit</w:t>
      </w:r>
      <w:r w:rsidR="00D36FF3">
        <w:t>.C</w:t>
      </w:r>
      <w:r>
        <w:t xml:space="preserve">alculated chi-square test on a full model obtain the chi-square value of 393.691 over the chi-square table for degrees of freedom 205 at the 5% significance level of 239 403. These results suggest that the overall model meets the criteria of model fit. </w:t>
      </w:r>
      <w:r w:rsidRPr="00162C1A">
        <w:rPr>
          <w:color w:val="FF0000"/>
        </w:rPr>
        <w:t>Probability value of 0</w:t>
      </w:r>
      <w:r w:rsidR="00D534F1" w:rsidRPr="00162C1A">
        <w:rPr>
          <w:color w:val="FF0000"/>
        </w:rPr>
        <w:t xml:space="preserve">,000meaning that </w:t>
      </w:r>
      <w:r w:rsidRPr="00162C1A">
        <w:rPr>
          <w:color w:val="FF0000"/>
        </w:rPr>
        <w:t xml:space="preserve"> the value is </w:t>
      </w:r>
      <w:r w:rsidR="00D534F1" w:rsidRPr="00162C1A">
        <w:rPr>
          <w:color w:val="FF0000"/>
        </w:rPr>
        <w:t>below</w:t>
      </w:r>
      <w:r w:rsidRPr="00162C1A">
        <w:rPr>
          <w:color w:val="FF0000"/>
        </w:rPr>
        <w:t xml:space="preserve"> 0.05 as well as other criteria that meets </w:t>
      </w:r>
      <w:r w:rsidR="00D534F1" w:rsidRPr="00162C1A">
        <w:rPr>
          <w:color w:val="FF0000"/>
        </w:rPr>
        <w:t>the index of goodness of fit well</w:t>
      </w:r>
      <w:r>
        <w:t>.</w:t>
      </w:r>
    </w:p>
    <w:p w:rsidR="00D36FF3" w:rsidRDefault="00D36FF3" w:rsidP="003A4B00"/>
    <w:p w:rsidR="003A4B00" w:rsidRDefault="003A4B00" w:rsidP="00B67AB4">
      <w:pPr>
        <w:jc w:val="both"/>
      </w:pPr>
      <w:r>
        <w:t xml:space="preserve">The amount of direct </w:t>
      </w:r>
      <w:r w:rsidR="00C12026">
        <w:t>effect</w:t>
      </w:r>
      <w:r>
        <w:t xml:space="preserve"> based on the results of the analysis conducted, it appears that the results estimated parameter values </w:t>
      </w:r>
      <w:r w:rsidR="00234549">
        <w:t>of directeffect of</w:t>
      </w:r>
      <w:r>
        <w:t xml:space="preserve"> independent variables </w:t>
      </w:r>
      <w:r w:rsidR="00234549">
        <w:t xml:space="preserve">on </w:t>
      </w:r>
      <w:r>
        <w:t>the dependent variable is as shown in Table 4</w:t>
      </w:r>
      <w:r w:rsidR="00234549">
        <w:t>.</w:t>
      </w:r>
      <w:r>
        <w:t>106.</w:t>
      </w:r>
    </w:p>
    <w:p w:rsidR="00234549" w:rsidRDefault="00234549" w:rsidP="003A4B00"/>
    <w:p w:rsidR="003A4B00" w:rsidRDefault="003A4B00" w:rsidP="00234549">
      <w:pPr>
        <w:jc w:val="center"/>
      </w:pPr>
      <w:r>
        <w:t xml:space="preserve">Table 3 </w:t>
      </w:r>
      <w:r w:rsidR="00F35D04">
        <w:t xml:space="preserve">Direct Effect </w:t>
      </w:r>
      <w:r>
        <w:t xml:space="preserve">Estimation Results </w:t>
      </w:r>
    </w:p>
    <w:p w:rsidR="003A4B00" w:rsidRDefault="003A4B00" w:rsidP="003A4B00"/>
    <w:tbl>
      <w:tblPr>
        <w:tblW w:w="7746"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070"/>
        <w:gridCol w:w="464"/>
        <w:gridCol w:w="2277"/>
        <w:gridCol w:w="1120"/>
        <w:gridCol w:w="1095"/>
        <w:gridCol w:w="720"/>
      </w:tblGrid>
      <w:tr w:rsidR="0092215A" w:rsidTr="00C303A8">
        <w:trPr>
          <w:tblHeader/>
          <w:jc w:val="center"/>
        </w:trPr>
        <w:tc>
          <w:tcPr>
            <w:tcW w:w="2070" w:type="dxa"/>
            <w:tcBorders>
              <w:top w:val="single" w:sz="6" w:space="0" w:color="auto"/>
              <w:bottom w:val="single" w:sz="6" w:space="0" w:color="auto"/>
            </w:tcBorders>
            <w:tcMar>
              <w:top w:w="15" w:type="dxa"/>
              <w:left w:w="140" w:type="dxa"/>
              <w:bottom w:w="15" w:type="dxa"/>
              <w:right w:w="140" w:type="dxa"/>
            </w:tcMar>
            <w:vAlign w:val="center"/>
          </w:tcPr>
          <w:p w:rsidR="0092215A" w:rsidRDefault="00CD66B8" w:rsidP="00C303A8">
            <w:pPr>
              <w:jc w:val="center"/>
              <w:rPr>
                <w:sz w:val="20"/>
                <w:szCs w:val="20"/>
              </w:rPr>
            </w:pPr>
            <w:r>
              <w:rPr>
                <w:sz w:val="20"/>
                <w:szCs w:val="20"/>
              </w:rPr>
              <w:t>Dependent Variables</w:t>
            </w:r>
          </w:p>
        </w:tc>
        <w:tc>
          <w:tcPr>
            <w:tcW w:w="464" w:type="dxa"/>
            <w:tcBorders>
              <w:top w:val="single" w:sz="6" w:space="0" w:color="auto"/>
              <w:bottom w:val="single" w:sz="6" w:space="0" w:color="auto"/>
            </w:tcBorders>
            <w:tcMar>
              <w:top w:w="15" w:type="dxa"/>
              <w:left w:w="140" w:type="dxa"/>
              <w:bottom w:w="15" w:type="dxa"/>
              <w:right w:w="140" w:type="dxa"/>
            </w:tcMar>
            <w:vAlign w:val="center"/>
          </w:tcPr>
          <w:p w:rsidR="0092215A" w:rsidRDefault="0092215A" w:rsidP="00C303A8">
            <w:pPr>
              <w:jc w:val="center"/>
              <w:rPr>
                <w:sz w:val="20"/>
                <w:szCs w:val="20"/>
              </w:rPr>
            </w:pPr>
          </w:p>
        </w:tc>
        <w:tc>
          <w:tcPr>
            <w:tcW w:w="2277" w:type="dxa"/>
            <w:tcBorders>
              <w:top w:val="single" w:sz="6" w:space="0" w:color="auto"/>
              <w:bottom w:val="single" w:sz="6" w:space="0" w:color="auto"/>
              <w:right w:val="single" w:sz="6" w:space="0" w:color="auto"/>
            </w:tcBorders>
            <w:tcMar>
              <w:top w:w="15" w:type="dxa"/>
              <w:left w:w="140" w:type="dxa"/>
              <w:bottom w:w="15" w:type="dxa"/>
              <w:right w:w="140" w:type="dxa"/>
            </w:tcMar>
            <w:vAlign w:val="center"/>
          </w:tcPr>
          <w:p w:rsidR="0092215A" w:rsidRDefault="00CD66B8" w:rsidP="00C303A8">
            <w:pPr>
              <w:jc w:val="center"/>
              <w:rPr>
                <w:sz w:val="20"/>
                <w:szCs w:val="20"/>
              </w:rPr>
            </w:pPr>
            <w:r>
              <w:rPr>
                <w:sz w:val="20"/>
                <w:szCs w:val="20"/>
              </w:rPr>
              <w:t>Independent Variables</w:t>
            </w:r>
          </w:p>
        </w:tc>
        <w:tc>
          <w:tcPr>
            <w:tcW w:w="1120" w:type="dxa"/>
            <w:tcBorders>
              <w:top w:val="single" w:sz="6" w:space="0" w:color="auto"/>
              <w:bottom w:val="single" w:sz="6" w:space="0" w:color="auto"/>
            </w:tcBorders>
            <w:tcMar>
              <w:top w:w="15" w:type="dxa"/>
              <w:left w:w="140" w:type="dxa"/>
              <w:bottom w:w="15" w:type="dxa"/>
              <w:right w:w="140" w:type="dxa"/>
            </w:tcMar>
            <w:vAlign w:val="center"/>
            <w:hideMark/>
          </w:tcPr>
          <w:p w:rsidR="0092215A" w:rsidRDefault="0092215A" w:rsidP="00C303A8">
            <w:pPr>
              <w:jc w:val="center"/>
              <w:rPr>
                <w:sz w:val="20"/>
                <w:szCs w:val="20"/>
              </w:rPr>
            </w:pPr>
            <w:r>
              <w:rPr>
                <w:sz w:val="20"/>
                <w:szCs w:val="20"/>
              </w:rPr>
              <w:t>Direct effect</w:t>
            </w:r>
          </w:p>
        </w:tc>
        <w:tc>
          <w:tcPr>
            <w:tcW w:w="1095" w:type="dxa"/>
            <w:tcBorders>
              <w:top w:val="single" w:sz="6" w:space="0" w:color="auto"/>
              <w:bottom w:val="single" w:sz="6" w:space="0" w:color="auto"/>
            </w:tcBorders>
            <w:tcMar>
              <w:top w:w="15" w:type="dxa"/>
              <w:left w:w="140" w:type="dxa"/>
              <w:bottom w:w="15" w:type="dxa"/>
              <w:right w:w="140" w:type="dxa"/>
            </w:tcMar>
            <w:vAlign w:val="center"/>
            <w:hideMark/>
          </w:tcPr>
          <w:p w:rsidR="0092215A" w:rsidRDefault="0092215A" w:rsidP="00CD66B8">
            <w:pPr>
              <w:jc w:val="center"/>
              <w:rPr>
                <w:sz w:val="20"/>
                <w:szCs w:val="20"/>
              </w:rPr>
            </w:pPr>
            <w:r>
              <w:rPr>
                <w:sz w:val="20"/>
                <w:szCs w:val="20"/>
              </w:rPr>
              <w:t>T</w:t>
            </w:r>
            <w:r w:rsidR="00CD66B8">
              <w:rPr>
                <w:sz w:val="20"/>
                <w:szCs w:val="20"/>
              </w:rPr>
              <w:t xml:space="preserve"> observation</w:t>
            </w:r>
            <w:r>
              <w:rPr>
                <w:sz w:val="20"/>
                <w:szCs w:val="20"/>
              </w:rPr>
              <w:t>/ C.R.</w:t>
            </w:r>
          </w:p>
        </w:tc>
        <w:tc>
          <w:tcPr>
            <w:tcW w:w="720" w:type="dxa"/>
            <w:tcBorders>
              <w:top w:val="single" w:sz="6" w:space="0" w:color="auto"/>
              <w:bottom w:val="single" w:sz="6" w:space="0" w:color="auto"/>
            </w:tcBorders>
            <w:tcMar>
              <w:top w:w="15" w:type="dxa"/>
              <w:left w:w="140" w:type="dxa"/>
              <w:bottom w:w="15" w:type="dxa"/>
              <w:right w:w="140" w:type="dxa"/>
            </w:tcMar>
            <w:vAlign w:val="center"/>
            <w:hideMark/>
          </w:tcPr>
          <w:p w:rsidR="0092215A" w:rsidRDefault="0092215A" w:rsidP="00C303A8">
            <w:pPr>
              <w:jc w:val="center"/>
              <w:rPr>
                <w:sz w:val="20"/>
                <w:szCs w:val="20"/>
              </w:rPr>
            </w:pPr>
            <w:r>
              <w:rPr>
                <w:sz w:val="20"/>
                <w:szCs w:val="20"/>
              </w:rPr>
              <w:t>P (sig)</w:t>
            </w:r>
          </w:p>
        </w:tc>
      </w:tr>
      <w:tr w:rsidR="0092215A" w:rsidTr="00C303A8">
        <w:trPr>
          <w:jc w:val="center"/>
        </w:trPr>
        <w:tc>
          <w:tcPr>
            <w:tcW w:w="2070" w:type="dxa"/>
            <w:tcMar>
              <w:top w:w="15" w:type="dxa"/>
              <w:left w:w="57" w:type="dxa"/>
              <w:bottom w:w="15" w:type="dxa"/>
              <w:right w:w="57" w:type="dxa"/>
            </w:tcMar>
            <w:vAlign w:val="center"/>
            <w:hideMark/>
          </w:tcPr>
          <w:p w:rsidR="0092215A" w:rsidRDefault="00EC7C37" w:rsidP="00C303A8">
            <w:pPr>
              <w:rPr>
                <w:sz w:val="20"/>
                <w:szCs w:val="20"/>
              </w:rPr>
            </w:pPr>
            <w:r>
              <w:rPr>
                <w:sz w:val="20"/>
                <w:szCs w:val="20"/>
              </w:rPr>
              <w:t>Customer value</w:t>
            </w:r>
          </w:p>
        </w:tc>
        <w:tc>
          <w:tcPr>
            <w:tcW w:w="464" w:type="dxa"/>
            <w:noWrap/>
            <w:tcMar>
              <w:top w:w="15" w:type="dxa"/>
              <w:left w:w="57" w:type="dxa"/>
              <w:bottom w:w="15" w:type="dxa"/>
              <w:right w:w="57" w:type="dxa"/>
            </w:tcMar>
            <w:vAlign w:val="center"/>
            <w:hideMark/>
          </w:tcPr>
          <w:p w:rsidR="0092215A" w:rsidRDefault="0092215A" w:rsidP="00C303A8">
            <w:pPr>
              <w:rPr>
                <w:sz w:val="20"/>
                <w:szCs w:val="20"/>
              </w:rPr>
            </w:pPr>
            <w:r>
              <w:rPr>
                <w:sz w:val="20"/>
                <w:szCs w:val="20"/>
              </w:rPr>
              <w:t>&lt;---</w:t>
            </w:r>
          </w:p>
        </w:tc>
        <w:tc>
          <w:tcPr>
            <w:tcW w:w="2277" w:type="dxa"/>
            <w:tcBorders>
              <w:right w:val="single" w:sz="6" w:space="0" w:color="auto"/>
            </w:tcBorders>
            <w:tcMar>
              <w:top w:w="15" w:type="dxa"/>
              <w:left w:w="140" w:type="dxa"/>
              <w:bottom w:w="15" w:type="dxa"/>
              <w:right w:w="140" w:type="dxa"/>
            </w:tcMar>
            <w:vAlign w:val="center"/>
            <w:hideMark/>
          </w:tcPr>
          <w:p w:rsidR="0092215A" w:rsidRDefault="00CD379A" w:rsidP="00C303A8">
            <w:pPr>
              <w:rPr>
                <w:sz w:val="20"/>
                <w:szCs w:val="20"/>
              </w:rPr>
            </w:pPr>
            <w:r>
              <w:rPr>
                <w:sz w:val="20"/>
                <w:szCs w:val="20"/>
              </w:rPr>
              <w:t>Relationship Marketing</w:t>
            </w:r>
          </w:p>
        </w:tc>
        <w:tc>
          <w:tcPr>
            <w:tcW w:w="1120"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.332</w:t>
            </w:r>
          </w:p>
        </w:tc>
        <w:tc>
          <w:tcPr>
            <w:tcW w:w="1095"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3.824</w:t>
            </w:r>
          </w:p>
        </w:tc>
        <w:tc>
          <w:tcPr>
            <w:tcW w:w="720"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w:t>
            </w:r>
          </w:p>
        </w:tc>
      </w:tr>
      <w:tr w:rsidR="0092215A" w:rsidTr="00C303A8">
        <w:trPr>
          <w:jc w:val="center"/>
        </w:trPr>
        <w:tc>
          <w:tcPr>
            <w:tcW w:w="2070" w:type="dxa"/>
            <w:tcMar>
              <w:top w:w="15" w:type="dxa"/>
              <w:left w:w="57" w:type="dxa"/>
              <w:bottom w:w="15" w:type="dxa"/>
              <w:right w:w="57" w:type="dxa"/>
            </w:tcMar>
            <w:vAlign w:val="center"/>
            <w:hideMark/>
          </w:tcPr>
          <w:p w:rsidR="0092215A" w:rsidRDefault="00EC7C37" w:rsidP="00C303A8">
            <w:pPr>
              <w:rPr>
                <w:sz w:val="20"/>
                <w:szCs w:val="20"/>
              </w:rPr>
            </w:pPr>
            <w:r>
              <w:rPr>
                <w:sz w:val="20"/>
                <w:szCs w:val="20"/>
              </w:rPr>
              <w:t>Customer value</w:t>
            </w:r>
          </w:p>
        </w:tc>
        <w:tc>
          <w:tcPr>
            <w:tcW w:w="464" w:type="dxa"/>
            <w:noWrap/>
            <w:tcMar>
              <w:top w:w="15" w:type="dxa"/>
              <w:left w:w="57" w:type="dxa"/>
              <w:bottom w:w="15" w:type="dxa"/>
              <w:right w:w="57" w:type="dxa"/>
            </w:tcMar>
            <w:vAlign w:val="center"/>
            <w:hideMark/>
          </w:tcPr>
          <w:p w:rsidR="0092215A" w:rsidRDefault="0092215A" w:rsidP="00C303A8">
            <w:pPr>
              <w:rPr>
                <w:sz w:val="20"/>
                <w:szCs w:val="20"/>
              </w:rPr>
            </w:pPr>
            <w:r>
              <w:rPr>
                <w:sz w:val="20"/>
                <w:szCs w:val="20"/>
              </w:rPr>
              <w:t>&lt;---</w:t>
            </w:r>
          </w:p>
        </w:tc>
        <w:tc>
          <w:tcPr>
            <w:tcW w:w="2277" w:type="dxa"/>
            <w:tcBorders>
              <w:right w:val="single" w:sz="6" w:space="0" w:color="auto"/>
            </w:tcBorders>
            <w:tcMar>
              <w:top w:w="15" w:type="dxa"/>
              <w:left w:w="140" w:type="dxa"/>
              <w:bottom w:w="15" w:type="dxa"/>
              <w:right w:w="140" w:type="dxa"/>
            </w:tcMar>
            <w:vAlign w:val="center"/>
            <w:hideMark/>
          </w:tcPr>
          <w:p w:rsidR="0092215A" w:rsidRDefault="00CD379A" w:rsidP="00C303A8">
            <w:pPr>
              <w:rPr>
                <w:sz w:val="20"/>
                <w:szCs w:val="20"/>
              </w:rPr>
            </w:pPr>
            <w:r>
              <w:rPr>
                <w:sz w:val="20"/>
                <w:szCs w:val="20"/>
              </w:rPr>
              <w:t>Service Quality</w:t>
            </w:r>
          </w:p>
        </w:tc>
        <w:tc>
          <w:tcPr>
            <w:tcW w:w="1120"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.515</w:t>
            </w:r>
          </w:p>
        </w:tc>
        <w:tc>
          <w:tcPr>
            <w:tcW w:w="1095"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5.163</w:t>
            </w:r>
          </w:p>
        </w:tc>
        <w:tc>
          <w:tcPr>
            <w:tcW w:w="720" w:type="dxa"/>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w:t>
            </w:r>
          </w:p>
        </w:tc>
      </w:tr>
      <w:tr w:rsidR="0092215A" w:rsidTr="00C303A8">
        <w:trPr>
          <w:jc w:val="center"/>
        </w:trPr>
        <w:tc>
          <w:tcPr>
            <w:tcW w:w="2070" w:type="dxa"/>
            <w:tcBorders>
              <w:bottom w:val="single" w:sz="6" w:space="0" w:color="auto"/>
            </w:tcBorders>
            <w:tcMar>
              <w:top w:w="15" w:type="dxa"/>
              <w:left w:w="57" w:type="dxa"/>
              <w:bottom w:w="15" w:type="dxa"/>
              <w:right w:w="57" w:type="dxa"/>
            </w:tcMar>
            <w:vAlign w:val="center"/>
            <w:hideMark/>
          </w:tcPr>
          <w:p w:rsidR="0092215A" w:rsidRDefault="00EC7C37" w:rsidP="00C303A8">
            <w:pPr>
              <w:rPr>
                <w:sz w:val="20"/>
                <w:szCs w:val="20"/>
              </w:rPr>
            </w:pPr>
            <w:r>
              <w:rPr>
                <w:sz w:val="20"/>
                <w:szCs w:val="20"/>
              </w:rPr>
              <w:t>Trust</w:t>
            </w:r>
          </w:p>
        </w:tc>
        <w:tc>
          <w:tcPr>
            <w:tcW w:w="464" w:type="dxa"/>
            <w:tcBorders>
              <w:bottom w:val="single" w:sz="6" w:space="0" w:color="auto"/>
            </w:tcBorders>
            <w:noWrap/>
            <w:tcMar>
              <w:top w:w="15" w:type="dxa"/>
              <w:left w:w="57" w:type="dxa"/>
              <w:bottom w:w="15" w:type="dxa"/>
              <w:right w:w="57" w:type="dxa"/>
            </w:tcMar>
            <w:vAlign w:val="center"/>
            <w:hideMark/>
          </w:tcPr>
          <w:p w:rsidR="0092215A" w:rsidRDefault="0092215A" w:rsidP="00C303A8">
            <w:pPr>
              <w:rPr>
                <w:sz w:val="20"/>
                <w:szCs w:val="20"/>
              </w:rPr>
            </w:pPr>
            <w:r>
              <w:rPr>
                <w:sz w:val="20"/>
                <w:szCs w:val="20"/>
              </w:rPr>
              <w:t>&lt;---</w:t>
            </w:r>
          </w:p>
        </w:tc>
        <w:tc>
          <w:tcPr>
            <w:tcW w:w="2277" w:type="dxa"/>
            <w:tcBorders>
              <w:bottom w:val="single" w:sz="6" w:space="0" w:color="auto"/>
              <w:right w:val="single" w:sz="6" w:space="0" w:color="auto"/>
            </w:tcBorders>
            <w:tcMar>
              <w:top w:w="15" w:type="dxa"/>
              <w:left w:w="140" w:type="dxa"/>
              <w:bottom w:w="15" w:type="dxa"/>
              <w:right w:w="140" w:type="dxa"/>
            </w:tcMar>
            <w:vAlign w:val="center"/>
            <w:hideMark/>
          </w:tcPr>
          <w:p w:rsidR="0092215A" w:rsidRDefault="00CD379A" w:rsidP="00C303A8">
            <w:pPr>
              <w:rPr>
                <w:sz w:val="20"/>
                <w:szCs w:val="20"/>
              </w:rPr>
            </w:pPr>
            <w:r>
              <w:rPr>
                <w:sz w:val="20"/>
                <w:szCs w:val="20"/>
              </w:rPr>
              <w:t>Customer value</w:t>
            </w:r>
          </w:p>
        </w:tc>
        <w:tc>
          <w:tcPr>
            <w:tcW w:w="1120" w:type="dxa"/>
            <w:tcBorders>
              <w:bottom w:val="single" w:sz="6" w:space="0" w:color="auto"/>
            </w:tcBorders>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.799</w:t>
            </w:r>
          </w:p>
        </w:tc>
        <w:tc>
          <w:tcPr>
            <w:tcW w:w="1095" w:type="dxa"/>
            <w:tcBorders>
              <w:bottom w:val="single" w:sz="6" w:space="0" w:color="auto"/>
            </w:tcBorders>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7.697</w:t>
            </w:r>
          </w:p>
        </w:tc>
        <w:tc>
          <w:tcPr>
            <w:tcW w:w="720" w:type="dxa"/>
            <w:tcBorders>
              <w:bottom w:val="single" w:sz="6" w:space="0" w:color="auto"/>
            </w:tcBorders>
            <w:tcMar>
              <w:top w:w="15" w:type="dxa"/>
              <w:left w:w="57" w:type="dxa"/>
              <w:bottom w:w="15" w:type="dxa"/>
              <w:right w:w="57" w:type="dxa"/>
            </w:tcMar>
            <w:vAlign w:val="center"/>
            <w:hideMark/>
          </w:tcPr>
          <w:p w:rsidR="0092215A" w:rsidRDefault="0092215A" w:rsidP="00C303A8">
            <w:pPr>
              <w:jc w:val="right"/>
              <w:rPr>
                <w:sz w:val="20"/>
                <w:szCs w:val="20"/>
              </w:rPr>
            </w:pPr>
            <w:r>
              <w:rPr>
                <w:sz w:val="20"/>
                <w:szCs w:val="20"/>
              </w:rPr>
              <w:t>***</w:t>
            </w:r>
          </w:p>
        </w:tc>
      </w:tr>
    </w:tbl>
    <w:p w:rsidR="003A4B00" w:rsidRDefault="003A4B00" w:rsidP="003A4B00"/>
    <w:p w:rsidR="00925211" w:rsidRDefault="00925211" w:rsidP="00925211">
      <w:r>
        <w:t xml:space="preserve">Based on the direct effect </w:t>
      </w:r>
      <w:r w:rsidR="002515E3">
        <w:t xml:space="preserve">from </w:t>
      </w:r>
      <w:r>
        <w:t xml:space="preserve">the relationship marketing </w:t>
      </w:r>
      <w:r w:rsidR="002515E3">
        <w:t xml:space="preserve">variable </w:t>
      </w:r>
      <w:r>
        <w:t>to customer value amounted to (0.332) 2 x 100% = 11.</w:t>
      </w:r>
      <w:r w:rsidR="002515E3">
        <w:t xml:space="preserve">022%, while the direct effect from </w:t>
      </w:r>
      <w:r>
        <w:t xml:space="preserve"> the </w:t>
      </w:r>
      <w:r w:rsidR="002515E3">
        <w:t xml:space="preserve">service </w:t>
      </w:r>
      <w:r>
        <w:t xml:space="preserve">quality </w:t>
      </w:r>
      <w:r w:rsidR="002515E3">
        <w:t xml:space="preserve">variable </w:t>
      </w:r>
      <w:r w:rsidR="004255E4">
        <w:t>to the customer value is</w:t>
      </w:r>
      <w:r>
        <w:t xml:space="preserve"> (0.515) 2 x 100% = 26.522% and the direct </w:t>
      </w:r>
      <w:r w:rsidR="004255E4">
        <w:t>effect</w:t>
      </w:r>
      <w:r>
        <w:t xml:space="preserve"> of customer value </w:t>
      </w:r>
      <w:r w:rsidR="004255E4">
        <w:t xml:space="preserve">to </w:t>
      </w:r>
      <w:r>
        <w:t xml:space="preserve"> trust </w:t>
      </w:r>
      <w:r w:rsidR="004255E4">
        <w:t>is</w:t>
      </w:r>
      <w:r>
        <w:t xml:space="preserve"> (0.799) 2 x100% = 63.840%.</w:t>
      </w:r>
    </w:p>
    <w:p w:rsidR="00925211" w:rsidRDefault="00925211" w:rsidP="00925211">
      <w:r>
        <w:t>a) The amount of Indirect Effect and Total Effect</w:t>
      </w:r>
    </w:p>
    <w:p w:rsidR="00925211" w:rsidRDefault="00925211" w:rsidP="00925211">
      <w:r>
        <w:t xml:space="preserve">The indirect effect means </w:t>
      </w:r>
      <w:r w:rsidR="004A2D46">
        <w:t xml:space="preserve">that </w:t>
      </w:r>
      <w:r>
        <w:t>the effect of an exogenous var</w:t>
      </w:r>
      <w:r w:rsidR="004A2D46">
        <w:t>iable to endogenous dep</w:t>
      </w:r>
      <w:r>
        <w:t xml:space="preserve">endent </w:t>
      </w:r>
      <w:r w:rsidR="004A2D46">
        <w:t xml:space="preserve">variable </w:t>
      </w:r>
      <w:r>
        <w:t xml:space="preserve">through </w:t>
      </w:r>
      <w:r w:rsidR="002A36BC">
        <w:t xml:space="preserve">other </w:t>
      </w:r>
      <w:r>
        <w:t xml:space="preserve">exogenous variables. While the total effect  is the sum of direct </w:t>
      </w:r>
      <w:r w:rsidR="00B464AE">
        <w:t>effect and indirect effect</w:t>
      </w:r>
      <w:r>
        <w:t>. Based on the analysis performed, the amount of In</w:t>
      </w:r>
      <w:r w:rsidR="00C53FEF">
        <w:t xml:space="preserve">direct Effect and Total Effect is shown in </w:t>
      </w:r>
      <w:r>
        <w:t>table4.107.</w:t>
      </w:r>
    </w:p>
    <w:p w:rsidR="00925211" w:rsidRDefault="00925211" w:rsidP="00925211"/>
    <w:p w:rsidR="00925211" w:rsidRDefault="00925211" w:rsidP="00925211"/>
    <w:p w:rsidR="00925211" w:rsidRDefault="00925211" w:rsidP="00925211"/>
    <w:p w:rsidR="00925211" w:rsidRDefault="00925211" w:rsidP="00925211"/>
    <w:p w:rsidR="00925211" w:rsidRDefault="00925211" w:rsidP="00925211"/>
    <w:p w:rsidR="0092215A" w:rsidRDefault="00925211" w:rsidP="00925211">
      <w:r>
        <w:t>      Table 4 the Indirect Effect and Total Effect</w:t>
      </w:r>
    </w:p>
    <w:p w:rsidR="00925211" w:rsidRDefault="00925211" w:rsidP="00925211"/>
    <w:tbl>
      <w:tblPr>
        <w:tblStyle w:val="TableGrid"/>
        <w:tblW w:w="0" w:type="auto"/>
        <w:jc w:val="center"/>
        <w:tblLook w:val="04A0"/>
      </w:tblPr>
      <w:tblGrid>
        <w:gridCol w:w="670"/>
        <w:gridCol w:w="3406"/>
        <w:gridCol w:w="1702"/>
        <w:gridCol w:w="1418"/>
      </w:tblGrid>
      <w:tr w:rsidR="00912EA5" w:rsidTr="00C303A8">
        <w:trPr>
          <w:jc w:val="center"/>
        </w:trPr>
        <w:tc>
          <w:tcPr>
            <w:tcW w:w="670" w:type="dxa"/>
          </w:tcPr>
          <w:p w:rsidR="00912EA5" w:rsidRDefault="00912EA5" w:rsidP="00C303A8">
            <w:pPr>
              <w:jc w:val="both"/>
              <w:rPr>
                <w:rFonts w:cs="Times New Roman"/>
                <w:b/>
                <w:bCs/>
              </w:rPr>
            </w:pPr>
            <w:r>
              <w:rPr>
                <w:rFonts w:cs="Times New Roman"/>
                <w:b/>
                <w:bCs/>
              </w:rPr>
              <w:t>No</w:t>
            </w:r>
          </w:p>
        </w:tc>
        <w:tc>
          <w:tcPr>
            <w:tcW w:w="3406" w:type="dxa"/>
          </w:tcPr>
          <w:p w:rsidR="00912EA5" w:rsidRDefault="00F35530" w:rsidP="00C303A8">
            <w:pPr>
              <w:jc w:val="both"/>
              <w:rPr>
                <w:rFonts w:cs="Times New Roman"/>
                <w:b/>
                <w:bCs/>
              </w:rPr>
            </w:pPr>
            <w:r>
              <w:rPr>
                <w:rFonts w:cs="Times New Roman"/>
                <w:b/>
                <w:bCs/>
              </w:rPr>
              <w:t>Path</w:t>
            </w:r>
          </w:p>
        </w:tc>
        <w:tc>
          <w:tcPr>
            <w:tcW w:w="1702" w:type="dxa"/>
          </w:tcPr>
          <w:p w:rsidR="00912EA5" w:rsidRDefault="00912EA5" w:rsidP="00C303A8">
            <w:pPr>
              <w:jc w:val="both"/>
              <w:rPr>
                <w:rFonts w:cs="Times New Roman"/>
                <w:b/>
                <w:bCs/>
              </w:rPr>
            </w:pPr>
            <w:r>
              <w:rPr>
                <w:rFonts w:cs="Times New Roman"/>
                <w:b/>
                <w:bCs/>
              </w:rPr>
              <w:t>Indirect effect</w:t>
            </w:r>
          </w:p>
        </w:tc>
        <w:tc>
          <w:tcPr>
            <w:tcW w:w="1418" w:type="dxa"/>
          </w:tcPr>
          <w:p w:rsidR="00912EA5" w:rsidRDefault="00912EA5" w:rsidP="00C303A8">
            <w:pPr>
              <w:jc w:val="both"/>
              <w:rPr>
                <w:rFonts w:cs="Times New Roman"/>
                <w:b/>
                <w:bCs/>
              </w:rPr>
            </w:pPr>
            <w:r>
              <w:rPr>
                <w:rFonts w:cs="Times New Roman"/>
                <w:b/>
                <w:bCs/>
              </w:rPr>
              <w:t>Total effect</w:t>
            </w:r>
          </w:p>
        </w:tc>
      </w:tr>
      <w:tr w:rsidR="00912EA5" w:rsidTr="00C303A8">
        <w:trPr>
          <w:jc w:val="center"/>
        </w:trPr>
        <w:tc>
          <w:tcPr>
            <w:tcW w:w="670" w:type="dxa"/>
          </w:tcPr>
          <w:p w:rsidR="00912EA5" w:rsidRDefault="00912EA5" w:rsidP="00C303A8">
            <w:pPr>
              <w:jc w:val="both"/>
              <w:rPr>
                <w:rFonts w:cs="Times New Roman"/>
              </w:rPr>
            </w:pPr>
            <w:r>
              <w:rPr>
                <w:rFonts w:cs="Times New Roman"/>
              </w:rPr>
              <w:t>1</w:t>
            </w:r>
          </w:p>
        </w:tc>
        <w:tc>
          <w:tcPr>
            <w:tcW w:w="3406" w:type="dxa"/>
          </w:tcPr>
          <w:p w:rsidR="00912EA5" w:rsidRDefault="00912EA5" w:rsidP="00C303A8">
            <w:pPr>
              <w:jc w:val="both"/>
              <w:rPr>
                <w:rFonts w:cs="Times New Roman"/>
              </w:rPr>
            </w:pPr>
            <w:r>
              <w:rPr>
                <w:rFonts w:cs="Times New Roman"/>
              </w:rPr>
              <w:t>X</w:t>
            </w:r>
            <w:r>
              <w:rPr>
                <w:rFonts w:cs="Times New Roman"/>
                <w:vertAlign w:val="subscript"/>
              </w:rPr>
              <w:t>1</w:t>
            </w:r>
            <w:r>
              <w:rPr>
                <w:rFonts w:cs="Times New Roman"/>
              </w:rPr>
              <w:t xml:space="preserve"> ------&gt; Y </w:t>
            </w:r>
            <w:r w:rsidR="00F35530">
              <w:rPr>
                <w:rFonts w:cs="Times New Roman"/>
              </w:rPr>
              <w:t>through</w:t>
            </w:r>
            <w:r>
              <w:rPr>
                <w:rFonts w:cs="Times New Roman"/>
              </w:rPr>
              <w:t xml:space="preserve"> X</w:t>
            </w:r>
            <w:r>
              <w:rPr>
                <w:rFonts w:cs="Times New Roman"/>
                <w:vertAlign w:val="subscript"/>
              </w:rPr>
              <w:t>2</w:t>
            </w:r>
          </w:p>
          <w:p w:rsidR="00912EA5" w:rsidRDefault="00F35530" w:rsidP="00F35530">
            <w:pPr>
              <w:jc w:val="both"/>
              <w:rPr>
                <w:rFonts w:cs="Times New Roman"/>
              </w:rPr>
            </w:pPr>
            <w:r>
              <w:rPr>
                <w:rFonts w:cs="Times New Roman"/>
              </w:rPr>
              <w:t>Relationship marketing</w:t>
            </w:r>
            <w:r w:rsidR="00912EA5">
              <w:rPr>
                <w:rFonts w:cs="Times New Roman"/>
              </w:rPr>
              <w:t xml:space="preserve"> ---&gt;</w:t>
            </w:r>
            <w:r>
              <w:rPr>
                <w:rFonts w:cs="Times New Roman"/>
              </w:rPr>
              <w:t>Customer valuethrough service quality</w:t>
            </w:r>
          </w:p>
        </w:tc>
        <w:tc>
          <w:tcPr>
            <w:tcW w:w="1702" w:type="dxa"/>
            <w:vAlign w:val="center"/>
          </w:tcPr>
          <w:p w:rsidR="00912EA5" w:rsidRDefault="00912EA5" w:rsidP="00C303A8">
            <w:pPr>
              <w:jc w:val="center"/>
              <w:rPr>
                <w:rFonts w:cs="Times New Roman"/>
              </w:rPr>
            </w:pPr>
            <w:r>
              <w:rPr>
                <w:rFonts w:cs="Times New Roman"/>
              </w:rPr>
              <w:t>0.107</w:t>
            </w:r>
          </w:p>
        </w:tc>
        <w:tc>
          <w:tcPr>
            <w:tcW w:w="1418" w:type="dxa"/>
            <w:vAlign w:val="center"/>
          </w:tcPr>
          <w:p w:rsidR="00912EA5" w:rsidRDefault="00912EA5" w:rsidP="00C303A8">
            <w:pPr>
              <w:jc w:val="center"/>
              <w:rPr>
                <w:rFonts w:cs="Times New Roman"/>
              </w:rPr>
            </w:pPr>
            <w:r>
              <w:rPr>
                <w:rFonts w:cs="Times New Roman"/>
              </w:rPr>
              <w:t>0.217</w:t>
            </w:r>
          </w:p>
        </w:tc>
      </w:tr>
      <w:tr w:rsidR="00912EA5" w:rsidTr="00C303A8">
        <w:trPr>
          <w:jc w:val="center"/>
        </w:trPr>
        <w:tc>
          <w:tcPr>
            <w:tcW w:w="670" w:type="dxa"/>
          </w:tcPr>
          <w:p w:rsidR="00912EA5" w:rsidRDefault="00912EA5" w:rsidP="00C303A8">
            <w:pPr>
              <w:jc w:val="both"/>
              <w:rPr>
                <w:rFonts w:cs="Times New Roman"/>
              </w:rPr>
            </w:pPr>
            <w:r>
              <w:rPr>
                <w:rFonts w:cs="Times New Roman"/>
              </w:rPr>
              <w:t>2</w:t>
            </w:r>
          </w:p>
        </w:tc>
        <w:tc>
          <w:tcPr>
            <w:tcW w:w="3406" w:type="dxa"/>
          </w:tcPr>
          <w:p w:rsidR="00912EA5" w:rsidRDefault="00912EA5" w:rsidP="00C303A8">
            <w:pPr>
              <w:jc w:val="both"/>
              <w:rPr>
                <w:rFonts w:cs="Times New Roman"/>
              </w:rPr>
            </w:pPr>
            <w:r>
              <w:rPr>
                <w:rFonts w:cs="Times New Roman"/>
              </w:rPr>
              <w:t>X</w:t>
            </w:r>
            <w:r>
              <w:rPr>
                <w:rFonts w:cs="Times New Roman"/>
                <w:vertAlign w:val="subscript"/>
              </w:rPr>
              <w:t>2</w:t>
            </w:r>
            <w:r>
              <w:rPr>
                <w:rFonts w:cs="Times New Roman"/>
              </w:rPr>
              <w:t xml:space="preserve"> ------&gt; Y melalui X</w:t>
            </w:r>
            <w:r>
              <w:rPr>
                <w:rFonts w:cs="Times New Roman"/>
                <w:vertAlign w:val="subscript"/>
              </w:rPr>
              <w:t>1</w:t>
            </w:r>
          </w:p>
          <w:p w:rsidR="00912EA5" w:rsidRDefault="00644719" w:rsidP="00C303A8">
            <w:pPr>
              <w:jc w:val="both"/>
              <w:rPr>
                <w:rFonts w:cs="Times New Roman"/>
              </w:rPr>
            </w:pPr>
            <w:r>
              <w:rPr>
                <w:rFonts w:cs="Times New Roman"/>
              </w:rPr>
              <w:t>Service quality</w:t>
            </w:r>
            <w:r w:rsidR="00912EA5">
              <w:rPr>
                <w:rFonts w:cs="Times New Roman"/>
              </w:rPr>
              <w:t xml:space="preserve"> ---&gt;</w:t>
            </w:r>
            <w:r w:rsidR="00EC0030">
              <w:rPr>
                <w:rFonts w:cs="Times New Roman"/>
              </w:rPr>
              <w:t>Customer valuethrough Relationship marketing</w:t>
            </w:r>
          </w:p>
        </w:tc>
        <w:tc>
          <w:tcPr>
            <w:tcW w:w="1702" w:type="dxa"/>
            <w:vAlign w:val="center"/>
          </w:tcPr>
          <w:p w:rsidR="00912EA5" w:rsidRDefault="00912EA5" w:rsidP="00C303A8">
            <w:pPr>
              <w:jc w:val="center"/>
              <w:rPr>
                <w:rFonts w:cs="Times New Roman"/>
              </w:rPr>
            </w:pPr>
            <w:r>
              <w:rPr>
                <w:rFonts w:cs="Times New Roman"/>
              </w:rPr>
              <w:t>0.107</w:t>
            </w:r>
          </w:p>
        </w:tc>
        <w:tc>
          <w:tcPr>
            <w:tcW w:w="1418" w:type="dxa"/>
            <w:vAlign w:val="center"/>
          </w:tcPr>
          <w:p w:rsidR="00912EA5" w:rsidRDefault="00912EA5" w:rsidP="00C303A8">
            <w:pPr>
              <w:jc w:val="center"/>
              <w:rPr>
                <w:rFonts w:cs="Times New Roman"/>
              </w:rPr>
            </w:pPr>
            <w:r>
              <w:rPr>
                <w:rFonts w:cs="Times New Roman"/>
              </w:rPr>
              <w:t>0.372</w:t>
            </w:r>
          </w:p>
        </w:tc>
      </w:tr>
    </w:tbl>
    <w:p w:rsidR="0079587B" w:rsidRDefault="0079587B" w:rsidP="00E162D6"/>
    <w:p w:rsidR="00E162D6" w:rsidRDefault="00E162D6" w:rsidP="0079587B">
      <w:pPr>
        <w:jc w:val="both"/>
      </w:pPr>
      <w:r>
        <w:t xml:space="preserve">Based on the data in the table above, the value of the indirect effect of relationship marketing on customer value </w:t>
      </w:r>
      <w:r w:rsidR="008354A1">
        <w:t>mediated by</w:t>
      </w:r>
      <w:r>
        <w:t xml:space="preserve"> quality of service is 0.107 or 10.70%. While the total effect produced between variables in the model and the results of the study </w:t>
      </w:r>
      <w:r w:rsidR="00D574F5">
        <w:t>is</w:t>
      </w:r>
      <w:r>
        <w:t xml:space="preserve"> the total effect on the value of customer relationship marketing </w:t>
      </w:r>
      <w:r w:rsidR="00D574F5">
        <w:t>mediated</w:t>
      </w:r>
      <w:r w:rsidR="00D43E5E">
        <w:t xml:space="preserve"> by</w:t>
      </w:r>
      <w:r>
        <w:t xml:space="preserve"> service quality </w:t>
      </w:r>
      <w:r w:rsidR="00D43E5E">
        <w:t>is</w:t>
      </w:r>
      <w:r w:rsidR="009D6AD0">
        <w:t xml:space="preserve"> 0,217 or </w:t>
      </w:r>
      <w:r>
        <w:t xml:space="preserve"> 21.70%, which is the sum of the direct effects + indirect effects. Furthermore, value of the indirect effect of service quality to customers </w:t>
      </w:r>
      <w:r w:rsidR="006D5961">
        <w:t>mediated by</w:t>
      </w:r>
      <w:r>
        <w:t xml:space="preserve"> relationship marketing is 0.107 or 10.70% and the total effect on the quality of service</w:t>
      </w:r>
      <w:r w:rsidR="001962F8">
        <w:t xml:space="preserve"> either directly or indirectly is as much as</w:t>
      </w:r>
      <w:r>
        <w:t xml:space="preserve"> 0.372 or 37.20%.</w:t>
      </w:r>
    </w:p>
    <w:p w:rsidR="00E162D6" w:rsidRDefault="00E162D6" w:rsidP="00E162D6"/>
    <w:p w:rsidR="00E162D6" w:rsidRDefault="00E162D6" w:rsidP="00E162D6">
      <w:r>
        <w:t>CONCLUSION</w:t>
      </w:r>
    </w:p>
    <w:p w:rsidR="00E162D6" w:rsidRDefault="00E162D6" w:rsidP="009F436C">
      <w:pPr>
        <w:jc w:val="both"/>
      </w:pPr>
      <w:r>
        <w:t>Relationship marketing and service quality significant</w:t>
      </w:r>
      <w:r w:rsidR="006E50F9">
        <w:t xml:space="preserve">lyand </w:t>
      </w:r>
      <w:r>
        <w:t>positive</w:t>
      </w:r>
      <w:r w:rsidR="006E50F9">
        <w:t>lya</w:t>
      </w:r>
      <w:r>
        <w:t>ffect simultaneously towards customer value. Relationship marketing positive</w:t>
      </w:r>
      <w:r w:rsidR="002015BB">
        <w:t xml:space="preserve">ly </w:t>
      </w:r>
      <w:r>
        <w:t xml:space="preserve"> and significant</w:t>
      </w:r>
      <w:r w:rsidR="002015BB">
        <w:t>lyaffect</w:t>
      </w:r>
      <w:r w:rsidR="00F5567C">
        <w:t>s</w:t>
      </w:r>
      <w:r>
        <w:t xml:space="preserve"> on customer value. </w:t>
      </w:r>
      <w:r w:rsidR="002450BF">
        <w:t>Service q</w:t>
      </w:r>
      <w:r>
        <w:t>uality positive</w:t>
      </w:r>
      <w:r w:rsidR="002450BF">
        <w:t>ly</w:t>
      </w:r>
      <w:r>
        <w:t xml:space="preserve"> and significant</w:t>
      </w:r>
      <w:r w:rsidR="002450BF">
        <w:t>ly</w:t>
      </w:r>
      <w:r w:rsidR="00D80C7A">
        <w:t>affect</w:t>
      </w:r>
      <w:r w:rsidR="00F5567C">
        <w:t>s</w:t>
      </w:r>
      <w:r>
        <w:t xml:space="preserve"> on customer value. Customer value  significant</w:t>
      </w:r>
      <w:r w:rsidR="00F5567C">
        <w:t>ly and</w:t>
      </w:r>
      <w:r>
        <w:t xml:space="preserve"> positive</w:t>
      </w:r>
      <w:r w:rsidR="00F5567C">
        <w:t>lya</w:t>
      </w:r>
      <w:r>
        <w:t>ffect</w:t>
      </w:r>
      <w:r w:rsidR="00F5567C">
        <w:t>s</w:t>
      </w:r>
      <w:r>
        <w:t xml:space="preserve"> on customer </w:t>
      </w:r>
      <w:r w:rsidR="00F5567C">
        <w:t>trust</w:t>
      </w:r>
      <w:r>
        <w:t>.</w:t>
      </w:r>
    </w:p>
    <w:p w:rsidR="009F436C" w:rsidRDefault="009F436C" w:rsidP="00E162D6"/>
    <w:p w:rsidR="00E162D6" w:rsidRDefault="00411DB2" w:rsidP="009F436C">
      <w:pPr>
        <w:jc w:val="both"/>
      </w:pPr>
      <w:r>
        <w:t xml:space="preserve">Improvement of </w:t>
      </w:r>
      <w:r w:rsidR="00E162D6">
        <w:t xml:space="preserve"> BPJS </w:t>
      </w:r>
      <w:r>
        <w:t xml:space="preserve">system dissemination </w:t>
      </w:r>
      <w:r w:rsidR="00E162D6">
        <w:t>program to the public</w:t>
      </w:r>
      <w:r w:rsidR="00F914E6">
        <w:t xml:space="preserve"> is necessary</w:t>
      </w:r>
      <w:r w:rsidR="00E162D6">
        <w:t xml:space="preserve">, </w:t>
      </w:r>
      <w:r w:rsidR="006B7F9A">
        <w:t xml:space="preserve">because </w:t>
      </w:r>
      <w:r w:rsidR="00E162D6">
        <w:t xml:space="preserve">the BPJS program is still relatively new policy program </w:t>
      </w:r>
      <w:r w:rsidR="006B7F9A">
        <w:t>from</w:t>
      </w:r>
      <w:r w:rsidR="00E162D6">
        <w:t xml:space="preserve"> the government as well as to increase the government's commitment in providing convenience and proximity to the public </w:t>
      </w:r>
      <w:r w:rsidR="00573D11">
        <w:t>on</w:t>
      </w:r>
      <w:r w:rsidR="00E162D6">
        <w:t xml:space="preserve"> BPJS </w:t>
      </w:r>
      <w:r w:rsidR="00573D11">
        <w:t xml:space="preserve">for health </w:t>
      </w:r>
      <w:r w:rsidR="00E162D6">
        <w:t xml:space="preserve">program. </w:t>
      </w:r>
      <w:r w:rsidR="00592902">
        <w:t>Improvement of</w:t>
      </w:r>
      <w:r w:rsidR="00E162D6">
        <w:t xml:space="preserve"> health care system </w:t>
      </w:r>
      <w:r w:rsidR="00592902">
        <w:t>for</w:t>
      </w:r>
      <w:r w:rsidR="00E162D6">
        <w:t xml:space="preserve"> BPJS </w:t>
      </w:r>
      <w:r w:rsidR="00592902">
        <w:t>patient</w:t>
      </w:r>
      <w:r w:rsidR="004C44CC">
        <w:t xml:space="preserve">s is necessary by increasing the </w:t>
      </w:r>
      <w:r w:rsidR="00E162D6">
        <w:t xml:space="preserve">budget for the health sector, especially to complete the infrastructure and expanding the capacity of Regional General Hospital </w:t>
      </w:r>
      <w:r w:rsidR="0071717B">
        <w:t xml:space="preserve">which is </w:t>
      </w:r>
      <w:r w:rsidR="00E162D6">
        <w:t xml:space="preserve">still limited in the quantity of </w:t>
      </w:r>
      <w:r w:rsidR="0071717B">
        <w:t>service</w:t>
      </w:r>
      <w:r w:rsidR="00E162D6">
        <w:t>.</w:t>
      </w:r>
    </w:p>
    <w:p w:rsidR="009F436C" w:rsidRDefault="009F436C" w:rsidP="00E162D6"/>
    <w:p w:rsidR="00925211" w:rsidRDefault="00E162D6" w:rsidP="009F436C">
      <w:pPr>
        <w:jc w:val="both"/>
      </w:pPr>
      <w:r>
        <w:t xml:space="preserve">Organizers </w:t>
      </w:r>
      <w:r w:rsidR="00FC6BA0">
        <w:t xml:space="preserve">of </w:t>
      </w:r>
      <w:r>
        <w:t xml:space="preserve">BPJS </w:t>
      </w:r>
      <w:r w:rsidR="00FC6BA0">
        <w:t xml:space="preserve">for health needconduct </w:t>
      </w:r>
      <w:r>
        <w:t xml:space="preserve">monitoring and evaluation of program </w:t>
      </w:r>
      <w:r w:rsidR="00FC6BA0">
        <w:t xml:space="preserve">of BPJS </w:t>
      </w:r>
      <w:r>
        <w:t xml:space="preserve">implementation </w:t>
      </w:r>
      <w:r w:rsidR="009E3F2D">
        <w:t>considering that there are some</w:t>
      </w:r>
      <w:r>
        <w:t xml:space="preserve"> problems </w:t>
      </w:r>
      <w:r w:rsidR="009E3F2D">
        <w:t>concerning</w:t>
      </w:r>
      <w:r>
        <w:t xml:space="preserve"> both technical and non-technical</w:t>
      </w:r>
      <w:r w:rsidR="009E3F2D">
        <w:t xml:space="preserve"> ones</w:t>
      </w:r>
      <w:r>
        <w:t xml:space="preserve">. Increase capacity and work ethic of the employees of both administrative staff and health professionals in order to improve the quality of work. Improve the performance of Regional General Hospital </w:t>
      </w:r>
      <w:r w:rsidR="00B0686E">
        <w:t xml:space="preserve">employees </w:t>
      </w:r>
      <w:r>
        <w:t xml:space="preserve">and BPJS </w:t>
      </w:r>
      <w:r w:rsidR="00B0686E">
        <w:t xml:space="preserve">for health employees </w:t>
      </w:r>
      <w:r>
        <w:t xml:space="preserve">in West Java province, </w:t>
      </w:r>
      <w:r w:rsidR="00781631">
        <w:t>considering</w:t>
      </w:r>
      <w:r>
        <w:t xml:space="preserve"> the increasing levels of participation </w:t>
      </w:r>
      <w:r w:rsidR="00781631">
        <w:t xml:space="preserve">in </w:t>
      </w:r>
      <w:r>
        <w:t xml:space="preserve">BPJS when compared </w:t>
      </w:r>
      <w:r w:rsidR="00781631">
        <w:t>to</w:t>
      </w:r>
      <w:r>
        <w:t xml:space="preserve"> PT. Askes. </w:t>
      </w:r>
      <w:r w:rsidR="0030132C">
        <w:t xml:space="preserve">ImproveBPJS </w:t>
      </w:r>
      <w:r>
        <w:t xml:space="preserve">system program </w:t>
      </w:r>
      <w:r w:rsidR="00742F22">
        <w:t>considering</w:t>
      </w:r>
      <w:r>
        <w:t xml:space="preserve"> the level of public confidence in the consistency of BPJS </w:t>
      </w:r>
      <w:r w:rsidR="009C1D70">
        <w:t>prorgam</w:t>
      </w:r>
      <w:r w:rsidR="00FA2505">
        <w:t xml:space="preserve"> is </w:t>
      </w:r>
      <w:r>
        <w:t xml:space="preserve">still </w:t>
      </w:r>
      <w:r w:rsidR="00FA2505">
        <w:t>moderate</w:t>
      </w:r>
      <w:r>
        <w:t xml:space="preserve">. Consistency </w:t>
      </w:r>
      <w:r w:rsidR="00AF0E51">
        <w:t xml:space="preserve">of </w:t>
      </w:r>
      <w:r>
        <w:t xml:space="preserve">government as the organizer of the BPJS </w:t>
      </w:r>
      <w:r w:rsidR="00AF0E51">
        <w:t xml:space="preserve">is </w:t>
      </w:r>
      <w:r>
        <w:t xml:space="preserve">already quite high, but the process of service delivery by both BPJS </w:t>
      </w:r>
      <w:r w:rsidR="00232F18">
        <w:t>organisors</w:t>
      </w:r>
      <w:r>
        <w:t xml:space="preserve">as well as by the Regional General Hospital still needs to be improved, especially in the capacity of health care for </w:t>
      </w:r>
      <w:r w:rsidR="00232F18">
        <w:t xml:space="preserve">BPJS </w:t>
      </w:r>
      <w:r>
        <w:t xml:space="preserve">patients. The government </w:t>
      </w:r>
      <w:r w:rsidR="004F3D45">
        <w:t>should be</w:t>
      </w:r>
      <w:r>
        <w:t xml:space="preserve"> more focused</w:t>
      </w:r>
      <w:r w:rsidR="00622844">
        <w:t xml:space="preserve"> their </w:t>
      </w:r>
      <w:r>
        <w:t xml:space="preserve"> attention to the aspect of relationship marketing, service qual</w:t>
      </w:r>
      <w:r w:rsidR="00974DBF">
        <w:t xml:space="preserve">ity, </w:t>
      </w:r>
      <w:r w:rsidR="00F3029F">
        <w:t xml:space="preserve">and </w:t>
      </w:r>
      <w:r w:rsidR="00974DBF">
        <w:t xml:space="preserve">added value for customers, namely </w:t>
      </w:r>
      <w:r>
        <w:t>BPJS</w:t>
      </w:r>
      <w:r w:rsidR="00974DBF">
        <w:t xml:space="preserve"> participants </w:t>
      </w:r>
      <w:r w:rsidR="00B3630B">
        <w:t xml:space="preserve"> to increase public trust</w:t>
      </w:r>
      <w:r>
        <w:t xml:space="preserve"> in the BPJS program organized by the government.</w:t>
      </w:r>
    </w:p>
    <w:p w:rsidR="00E162D6" w:rsidRDefault="00E162D6" w:rsidP="00E162D6"/>
    <w:p w:rsidR="00E162D6" w:rsidRDefault="006D1BA4" w:rsidP="00E162D6">
      <w:r>
        <w:t>Refrences</w:t>
      </w:r>
    </w:p>
    <w:p w:rsidR="006D1BA4" w:rsidRDefault="006D1BA4" w:rsidP="006D1BA4">
      <w:pPr>
        <w:ind w:left="709" w:hanging="709"/>
        <w:jc w:val="both"/>
        <w:rPr>
          <w:rFonts w:asciiTheme="minorBidi" w:hAnsiTheme="minorBidi"/>
        </w:rPr>
      </w:pPr>
      <w:r>
        <w:rPr>
          <w:rFonts w:asciiTheme="minorBidi" w:hAnsiTheme="minorBidi"/>
        </w:rPr>
        <w:t>Chen Po-Tsang , Hsin-Hui Hu. 2010. The effect of relational benefits on perceived value in relation to customer loyalty: An empirical study in the Australian coffee outlets industry. International Journal of Hospitality Management. 0278-4319/$ – see front matter 2009 Elsevier Ltd. All rights reserved. doi:10.1016/j.ijhm.2009.09.006.</w:t>
      </w:r>
    </w:p>
    <w:p w:rsidR="006D1BA4" w:rsidRDefault="006D1BA4" w:rsidP="006D1BA4">
      <w:pPr>
        <w:ind w:left="709" w:hanging="709"/>
        <w:jc w:val="both"/>
        <w:rPr>
          <w:rFonts w:asciiTheme="minorBidi" w:hAnsiTheme="minorBidi"/>
        </w:rPr>
      </w:pPr>
      <w:r>
        <w:rPr>
          <w:rFonts w:asciiTheme="minorBidi" w:hAnsiTheme="minorBidi"/>
        </w:rPr>
        <w:t>Fadilah, Sri, Nurleli, Rini Lestari danHeliana. 2012. MembangunKepercayaanKonsumen : FaktorPentingpadaLembaga Zakat Seluruh Indonesia. Prosiding SnaPP2012 : Sosial, Ekonomi, danHumaniora. ISSN 2089-3590.</w:t>
      </w:r>
    </w:p>
    <w:p w:rsidR="006D1BA4" w:rsidRDefault="006D1BA4" w:rsidP="006D1BA4">
      <w:pPr>
        <w:ind w:left="600" w:hanging="600"/>
        <w:jc w:val="both"/>
        <w:rPr>
          <w:rFonts w:asciiTheme="minorBidi" w:hAnsiTheme="minorBidi"/>
        </w:rPr>
      </w:pPr>
      <w:r>
        <w:rPr>
          <w:rFonts w:asciiTheme="minorBidi" w:hAnsiTheme="minorBidi"/>
        </w:rPr>
        <w:t>Fandy Tjiptono,2008, StrategiBisnisPemasaran. Andi. Yogyakarta.</w:t>
      </w:r>
    </w:p>
    <w:p w:rsidR="006D1BA4" w:rsidRDefault="006D1BA4" w:rsidP="006D1BA4">
      <w:pPr>
        <w:ind w:left="851" w:hanging="851"/>
        <w:jc w:val="both"/>
        <w:rPr>
          <w:rFonts w:asciiTheme="minorBidi" w:hAnsiTheme="minorBidi"/>
        </w:rPr>
      </w:pPr>
      <w:r>
        <w:rPr>
          <w:rFonts w:asciiTheme="minorBidi" w:hAnsiTheme="minorBidi"/>
        </w:rPr>
        <w:t xml:space="preserve">Hennig-Thurau, Thorsten, Edward C. Malthouse, Christian Friege, Sonja Gensler, Lara Lobschat, ArvindRangaswamy, and Bernd Skiera (2010), “The Impact of New Media on Customer Relationships,” </w:t>
      </w:r>
      <w:r>
        <w:rPr>
          <w:rFonts w:asciiTheme="minorBidi" w:hAnsiTheme="minorBidi"/>
          <w:i/>
        </w:rPr>
        <w:t>Journal of Service Research</w:t>
      </w:r>
      <w:r>
        <w:rPr>
          <w:rFonts w:asciiTheme="minorBidi" w:hAnsiTheme="minorBidi"/>
        </w:rPr>
        <w:t>, 13(3), 311-30.</w:t>
      </w:r>
    </w:p>
    <w:p w:rsidR="006D1BA4" w:rsidRDefault="006D1BA4" w:rsidP="006D1BA4">
      <w:pPr>
        <w:ind w:left="851" w:hanging="851"/>
        <w:jc w:val="both"/>
        <w:rPr>
          <w:rFonts w:asciiTheme="minorBidi" w:hAnsiTheme="minorBidi"/>
        </w:rPr>
      </w:pPr>
      <w:r>
        <w:rPr>
          <w:rFonts w:asciiTheme="minorBidi" w:eastAsiaTheme="minorEastAsia" w:hAnsiTheme="minorBidi"/>
        </w:rPr>
        <w:t>Kotler Philip , dan Gary Amstrong. 2012 . Principles Of Marketing, Global Edition, 14 Edition, Pearson Education.</w:t>
      </w:r>
    </w:p>
    <w:p w:rsidR="006D1BA4" w:rsidRDefault="006D1BA4" w:rsidP="006D1BA4">
      <w:pPr>
        <w:ind w:left="709" w:hanging="709"/>
        <w:jc w:val="both"/>
        <w:rPr>
          <w:rFonts w:asciiTheme="minorBidi" w:hAnsiTheme="minorBidi"/>
        </w:rPr>
      </w:pPr>
      <w:r>
        <w:rPr>
          <w:rFonts w:asciiTheme="minorBidi" w:hAnsiTheme="minorBidi"/>
        </w:rPr>
        <w:t xml:space="preserve">Rasheed, A Firend and Masoumeh F. Abadi. 2014. Impact of Service Quality, Trust and Perceived value on Customer Loyalty in Malaysia Service Industries. International Conference on Accounting Studies 2014, 18-19 August 2014, Kuala Lumpur Malaysia. Procedia. Social and Behavioral Sciences 164 (2014) 298 – 304. </w:t>
      </w:r>
    </w:p>
    <w:p w:rsidR="006D1BA4" w:rsidRDefault="006D1BA4" w:rsidP="006D1BA4">
      <w:pPr>
        <w:ind w:left="709" w:hanging="709"/>
        <w:jc w:val="both"/>
        <w:rPr>
          <w:rFonts w:asciiTheme="minorBidi" w:hAnsiTheme="minorBidi"/>
        </w:rPr>
      </w:pPr>
      <w:r>
        <w:rPr>
          <w:rFonts w:asciiTheme="minorBidi" w:hAnsiTheme="minorBidi"/>
        </w:rPr>
        <w:t>Wibowo, HerryArianto Lestari, 2009. Pengaruh Relationship Marketing terhadapLoyalitasPelangganMelaluiKepuasanPelanggan, JurnalAplikasiManajemen, Vol. 17, No. 4, pp. 818-823.</w:t>
      </w:r>
    </w:p>
    <w:p w:rsidR="006D1BA4" w:rsidRDefault="006D1BA4" w:rsidP="006D1BA4">
      <w:pPr>
        <w:ind w:left="709" w:hanging="709"/>
        <w:jc w:val="both"/>
        <w:rPr>
          <w:rFonts w:asciiTheme="minorBidi" w:hAnsiTheme="minorBidi"/>
        </w:rPr>
      </w:pPr>
      <w:r>
        <w:rPr>
          <w:rFonts w:asciiTheme="minorBidi" w:hAnsiTheme="minorBidi"/>
        </w:rPr>
        <w:t>Wulandari, LuhPutu Sri., Semadi Ni Wayandan Sri SupraptiKetutNurcahya. 2012. PENGARUH ManfaatRelasionalTerhadapKepuasan Dan LoyalitasNasabah Bank (Studipada Bank BPD Bali CabangUtama Denpasar). JurnalManajemen, StrategiBisnis, danKewirausahaan Vol. 6, No. 2 Agustus 2012.</w:t>
      </w:r>
    </w:p>
    <w:p w:rsidR="006D1BA4" w:rsidRDefault="006D1BA4" w:rsidP="006D1BA4">
      <w:pPr>
        <w:ind w:left="851" w:hanging="851"/>
        <w:jc w:val="both"/>
        <w:rPr>
          <w:rFonts w:asciiTheme="minorBidi" w:eastAsiaTheme="minorEastAsia" w:hAnsiTheme="minorBidi"/>
        </w:rPr>
      </w:pPr>
      <w:r>
        <w:rPr>
          <w:rFonts w:asciiTheme="minorBidi" w:hAnsiTheme="minorBidi"/>
        </w:rPr>
        <w:t xml:space="preserve">Zeithaml, A Valerie, Mary Jo Bitner and Dwayne D. Gremler. 2012. </w:t>
      </w:r>
      <w:r>
        <w:rPr>
          <w:rFonts w:asciiTheme="minorBidi" w:eastAsiaTheme="minorEastAsia" w:hAnsiTheme="minorBidi"/>
        </w:rPr>
        <w:t>Services Marketing (6th Edition)</w:t>
      </w:r>
      <w:r>
        <w:rPr>
          <w:rFonts w:asciiTheme="minorBidi" w:hAnsiTheme="minorBidi"/>
        </w:rPr>
        <w:t xml:space="preserve"> : Integrating Customer Focus Across the Firm. ISBN-13: 978-0078112058. McGraw-Hill/Irwin; 6 edition (March 12, 2012).</w:t>
      </w:r>
    </w:p>
    <w:p w:rsidR="006D1BA4" w:rsidRDefault="006D1BA4" w:rsidP="006D1BA4">
      <w:r>
        <w:rPr>
          <w:rFonts w:asciiTheme="minorBidi" w:hAnsiTheme="minorBidi"/>
        </w:rPr>
        <w:t xml:space="preserve">Zeithaml, A Valerie, Mary Jo Bitner and Dwayne D. Gremler. 2012. </w:t>
      </w:r>
      <w:r>
        <w:rPr>
          <w:rFonts w:asciiTheme="minorBidi" w:eastAsiaTheme="minorEastAsia" w:hAnsiTheme="minorBidi"/>
        </w:rPr>
        <w:t>Services Marketing (6th Edition)</w:t>
      </w:r>
      <w:r>
        <w:rPr>
          <w:rFonts w:asciiTheme="minorBidi" w:hAnsiTheme="minorBidi"/>
        </w:rPr>
        <w:t xml:space="preserve"> : Integrating Customer Focus Across the Firm. ISBN-13: 978-0078112058. McGraw-Hill/Irwin; 6 edition (March 12, 2012)</w:t>
      </w:r>
    </w:p>
    <w:sectPr w:rsidR="006D1BA4" w:rsidSect="00D636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Condense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NarrowAHCD">
    <w:altName w:val="Symbol"/>
    <w:charset w:val="02"/>
    <w:family w:val="swiss"/>
    <w:pitch w:val="variable"/>
    <w:sig w:usb0="00000000" w:usb1="10000000" w:usb2="00000000" w:usb3="00000000" w:csb0="80000000" w:csb1="00000000"/>
  </w:font>
  <w:font w:name="TimesAHCD">
    <w:altName w:val="Symbol"/>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Times New Roman"/>
    <w:panose1 w:val="00000000000000000000"/>
    <w:charset w:val="00"/>
    <w:family w:val="roman"/>
    <w:notTrueType/>
    <w:pitch w:val="default"/>
    <w:sig w:usb0="00000000" w:usb1="00000000" w:usb2="00000000" w:usb3="00000000" w:csb0="00000000" w:csb1="00000000"/>
  </w:font>
  <w:font w:name="Antique Olive">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Korinna">
    <w:altName w:val="Kartika"/>
    <w:panose1 w:val="00000000000000000000"/>
    <w:charset w:val="00"/>
    <w:family w:val="roman"/>
    <w:notTrueType/>
    <w:pitch w:val="variable"/>
    <w:sig w:usb0="00000003" w:usb1="00000000" w:usb2="00000000" w:usb3="00000000" w:csb0="00000001" w:csb1="00000000"/>
  </w:font>
  <w:font w:name="Helvetica 35 Thin">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F13"/>
    <w:multiLevelType w:val="multilevel"/>
    <w:tmpl w:val="F6DAC958"/>
    <w:lvl w:ilvl="0">
      <w:start w:val="1"/>
      <w:numFmt w:val="decimal"/>
      <w:pStyle w:val="Heading1"/>
      <w:suff w:val="nothing"/>
      <w:lvlText w:val="Modul %1"/>
      <w:lvlJc w:val="left"/>
      <w:pPr>
        <w:ind w:left="0" w:firstLine="0"/>
      </w:pPr>
      <w:rPr>
        <w:rFonts w:ascii="HelveticaCondensed" w:hAnsi="Arial NarrowAHCD" w:hint="default"/>
        <w:b/>
        <w:i w:val="0"/>
        <w:sz w:val="72"/>
      </w:rPr>
    </w:lvl>
    <w:lvl w:ilvl="1">
      <w:start w:val="1"/>
      <w:numFmt w:val="none"/>
      <w:lvlRestart w:val="0"/>
      <w:suff w:val="nothing"/>
      <w:lvlText w:val=""/>
      <w:lvlJc w:val="left"/>
      <w:pPr>
        <w:ind w:left="0" w:firstLine="0"/>
      </w:pPr>
      <w:rPr>
        <w:rFonts w:ascii="HelveticaCondensed" w:hAnsi="Arial NarrowAHCD" w:hint="default"/>
        <w:b/>
        <w:i w:val="0"/>
        <w:sz w:val="28"/>
      </w:rPr>
    </w:lvl>
    <w:lvl w:ilvl="2">
      <w:start w:val="1"/>
      <w:numFmt w:val="decimal"/>
      <w:lvlRestart w:val="0"/>
      <w:lvlText w:val="%1.%3"/>
      <w:lvlJc w:val="left"/>
      <w:pPr>
        <w:tabs>
          <w:tab w:val="num" w:pos="567"/>
        </w:tabs>
        <w:ind w:left="567" w:hanging="567"/>
      </w:pPr>
      <w:rPr>
        <w:rFonts w:ascii="HelveticaCondensed" w:hAnsi="TimesAHCD" w:hint="default"/>
        <w:b/>
        <w:i w:val="0"/>
        <w:sz w:val="28"/>
      </w:rPr>
    </w:lvl>
    <w:lvl w:ilvl="3">
      <w:numFmt w:val="decimal"/>
      <w:lvlText w:val="%1.%3.%4"/>
      <w:lvlJc w:val="left"/>
      <w:pPr>
        <w:tabs>
          <w:tab w:val="num" w:pos="680"/>
        </w:tabs>
        <w:ind w:left="680" w:hanging="680"/>
      </w:pPr>
      <w:rPr>
        <w:rFonts w:ascii="HelveticaCondensed" w:hAnsi="Arial NarrowAHCD" w:hint="default"/>
        <w:b/>
        <w:i w:val="0"/>
        <w:sz w:val="24"/>
      </w:rPr>
    </w:lvl>
    <w:lvl w:ilvl="4">
      <w:start w:val="1"/>
      <w:numFmt w:val="none"/>
      <w:lvlRestart w:val="0"/>
      <w:suff w:val="nothing"/>
      <w:lvlText w:val=""/>
      <w:lvlJc w:val="left"/>
      <w:pPr>
        <w:ind w:left="0" w:firstLine="0"/>
      </w:pPr>
      <w:rPr>
        <w:rFonts w:hint="default"/>
      </w:rPr>
    </w:lvl>
    <w:lvl w:ilvl="5">
      <w:start w:val="1"/>
      <w:numFmt w:val="bullet"/>
      <w:lvlRestart w:val="0"/>
      <w:lvlText w:val=""/>
      <w:lvlJc w:val="left"/>
      <w:pPr>
        <w:tabs>
          <w:tab w:val="num" w:pos="397"/>
        </w:tabs>
        <w:ind w:left="397" w:hanging="397"/>
      </w:pPr>
      <w:rPr>
        <w:rFonts w:ascii="Symbol" w:hAnsi="Symbol" w:hint="default"/>
        <w:b w:val="0"/>
        <w:i w:val="0"/>
      </w:rPr>
    </w:lvl>
    <w:lvl w:ilvl="6">
      <w:start w:val="1"/>
      <w:numFmt w:val="decimal"/>
      <w:isLgl/>
      <w:lvlText w:val="%7."/>
      <w:lvlJc w:val="left"/>
      <w:pPr>
        <w:tabs>
          <w:tab w:val="num" w:pos="720"/>
        </w:tabs>
        <w:ind w:left="397" w:hanging="397"/>
      </w:pPr>
      <w:rPr>
        <w:rFonts w:hint="default"/>
        <w:b w:val="0"/>
      </w:rPr>
    </w:lvl>
    <w:lvl w:ilvl="7">
      <w:start w:val="1"/>
      <w:numFmt w:val="bullet"/>
      <w:lvlRestart w:val="0"/>
      <w:lvlText w:val=""/>
      <w:lvlJc w:val="left"/>
      <w:pPr>
        <w:tabs>
          <w:tab w:val="num" w:pos="794"/>
        </w:tabs>
        <w:ind w:left="794" w:hanging="397"/>
      </w:pPr>
      <w:rPr>
        <w:rFonts w:ascii="Symbol" w:hAnsi="Symbol" w:hint="default"/>
      </w:rPr>
    </w:lvl>
    <w:lvl w:ilvl="8">
      <w:start w:val="1"/>
      <w:numFmt w:val="decimal"/>
      <w:lvlRestart w:val="0"/>
      <w:suff w:val="space"/>
      <w:lvlText w:val="%1.%9"/>
      <w:lvlJc w:val="left"/>
      <w:pPr>
        <w:ind w:left="0" w:firstLine="0"/>
      </w:pPr>
      <w:rPr>
        <w:rFonts w:ascii="Korinna BT" w:hAnsi="Antique Olive" w:hint="default"/>
        <w:b/>
        <w:i/>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B31"/>
    <w:rsid w:val="00007D4F"/>
    <w:rsid w:val="000125C7"/>
    <w:rsid w:val="0002694B"/>
    <w:rsid w:val="000735E1"/>
    <w:rsid w:val="00087433"/>
    <w:rsid w:val="000B5EBE"/>
    <w:rsid w:val="00127AAB"/>
    <w:rsid w:val="00133B58"/>
    <w:rsid w:val="00141403"/>
    <w:rsid w:val="00161CCF"/>
    <w:rsid w:val="00162C1A"/>
    <w:rsid w:val="001935C3"/>
    <w:rsid w:val="00196037"/>
    <w:rsid w:val="001962F8"/>
    <w:rsid w:val="001D5965"/>
    <w:rsid w:val="001D6A81"/>
    <w:rsid w:val="002015BB"/>
    <w:rsid w:val="00221508"/>
    <w:rsid w:val="00222250"/>
    <w:rsid w:val="00232F18"/>
    <w:rsid w:val="00234549"/>
    <w:rsid w:val="002450BF"/>
    <w:rsid w:val="002515E3"/>
    <w:rsid w:val="002573F0"/>
    <w:rsid w:val="00281A53"/>
    <w:rsid w:val="00283EB7"/>
    <w:rsid w:val="002A36BC"/>
    <w:rsid w:val="002C5B7C"/>
    <w:rsid w:val="002E7141"/>
    <w:rsid w:val="002F78E7"/>
    <w:rsid w:val="0030132C"/>
    <w:rsid w:val="00307D7E"/>
    <w:rsid w:val="0032488E"/>
    <w:rsid w:val="00334A7B"/>
    <w:rsid w:val="003406D3"/>
    <w:rsid w:val="00351C4B"/>
    <w:rsid w:val="003856DB"/>
    <w:rsid w:val="0039319F"/>
    <w:rsid w:val="00393CC8"/>
    <w:rsid w:val="003A38E1"/>
    <w:rsid w:val="003A4B00"/>
    <w:rsid w:val="003D0847"/>
    <w:rsid w:val="003E7EC6"/>
    <w:rsid w:val="004111FE"/>
    <w:rsid w:val="00411DB2"/>
    <w:rsid w:val="004140FD"/>
    <w:rsid w:val="00423341"/>
    <w:rsid w:val="00423F39"/>
    <w:rsid w:val="004255E4"/>
    <w:rsid w:val="004371C5"/>
    <w:rsid w:val="00441CC1"/>
    <w:rsid w:val="004530D3"/>
    <w:rsid w:val="004764D3"/>
    <w:rsid w:val="00476FCD"/>
    <w:rsid w:val="004A2D46"/>
    <w:rsid w:val="004C44CC"/>
    <w:rsid w:val="004D0699"/>
    <w:rsid w:val="004D1EA4"/>
    <w:rsid w:val="004D7A6F"/>
    <w:rsid w:val="004F3D45"/>
    <w:rsid w:val="005326F6"/>
    <w:rsid w:val="00545E4B"/>
    <w:rsid w:val="00551CD8"/>
    <w:rsid w:val="0055396F"/>
    <w:rsid w:val="00573D11"/>
    <w:rsid w:val="00580CF7"/>
    <w:rsid w:val="00592902"/>
    <w:rsid w:val="005971C8"/>
    <w:rsid w:val="005D1FFB"/>
    <w:rsid w:val="005E1483"/>
    <w:rsid w:val="005E4E0F"/>
    <w:rsid w:val="0060088B"/>
    <w:rsid w:val="00622844"/>
    <w:rsid w:val="00644719"/>
    <w:rsid w:val="00663042"/>
    <w:rsid w:val="006849BD"/>
    <w:rsid w:val="006B7F9A"/>
    <w:rsid w:val="006D1BA4"/>
    <w:rsid w:val="006D5961"/>
    <w:rsid w:val="006E0928"/>
    <w:rsid w:val="006E50F9"/>
    <w:rsid w:val="00702B65"/>
    <w:rsid w:val="007123BF"/>
    <w:rsid w:val="0071645F"/>
    <w:rsid w:val="0071717B"/>
    <w:rsid w:val="00717920"/>
    <w:rsid w:val="007231D9"/>
    <w:rsid w:val="00730DEA"/>
    <w:rsid w:val="00733A7F"/>
    <w:rsid w:val="00736EEE"/>
    <w:rsid w:val="00742F22"/>
    <w:rsid w:val="00744846"/>
    <w:rsid w:val="0077137D"/>
    <w:rsid w:val="00781631"/>
    <w:rsid w:val="00786AB7"/>
    <w:rsid w:val="0079587B"/>
    <w:rsid w:val="007A721A"/>
    <w:rsid w:val="007E2FF4"/>
    <w:rsid w:val="00816F9D"/>
    <w:rsid w:val="00817D5F"/>
    <w:rsid w:val="00823CD4"/>
    <w:rsid w:val="008354A1"/>
    <w:rsid w:val="0085221D"/>
    <w:rsid w:val="00852FCA"/>
    <w:rsid w:val="008569A1"/>
    <w:rsid w:val="0087330E"/>
    <w:rsid w:val="008A1AA5"/>
    <w:rsid w:val="008A7919"/>
    <w:rsid w:val="008C3CB1"/>
    <w:rsid w:val="00912EA5"/>
    <w:rsid w:val="0092215A"/>
    <w:rsid w:val="00925211"/>
    <w:rsid w:val="00974DBF"/>
    <w:rsid w:val="00974F88"/>
    <w:rsid w:val="009B5090"/>
    <w:rsid w:val="009C1D70"/>
    <w:rsid w:val="009C3382"/>
    <w:rsid w:val="009D6AD0"/>
    <w:rsid w:val="009D71F0"/>
    <w:rsid w:val="009E3F2D"/>
    <w:rsid w:val="009F436C"/>
    <w:rsid w:val="009F7C9B"/>
    <w:rsid w:val="00A32A45"/>
    <w:rsid w:val="00A342D4"/>
    <w:rsid w:val="00A47D4C"/>
    <w:rsid w:val="00A607A7"/>
    <w:rsid w:val="00AC6A58"/>
    <w:rsid w:val="00AD104D"/>
    <w:rsid w:val="00AE1E5B"/>
    <w:rsid w:val="00AE4A03"/>
    <w:rsid w:val="00AF0E51"/>
    <w:rsid w:val="00AF49C3"/>
    <w:rsid w:val="00B0686E"/>
    <w:rsid w:val="00B34736"/>
    <w:rsid w:val="00B3630B"/>
    <w:rsid w:val="00B464AE"/>
    <w:rsid w:val="00B67AB4"/>
    <w:rsid w:val="00B87956"/>
    <w:rsid w:val="00BA3896"/>
    <w:rsid w:val="00BA450A"/>
    <w:rsid w:val="00BB5CA6"/>
    <w:rsid w:val="00C12026"/>
    <w:rsid w:val="00C53FEF"/>
    <w:rsid w:val="00C56108"/>
    <w:rsid w:val="00C63D9F"/>
    <w:rsid w:val="00C9574F"/>
    <w:rsid w:val="00CA5758"/>
    <w:rsid w:val="00CA68F1"/>
    <w:rsid w:val="00CB1A86"/>
    <w:rsid w:val="00CD379A"/>
    <w:rsid w:val="00CD66B8"/>
    <w:rsid w:val="00CF44A3"/>
    <w:rsid w:val="00D11C07"/>
    <w:rsid w:val="00D16607"/>
    <w:rsid w:val="00D22AA4"/>
    <w:rsid w:val="00D36FF3"/>
    <w:rsid w:val="00D43E5E"/>
    <w:rsid w:val="00D534F1"/>
    <w:rsid w:val="00D574F5"/>
    <w:rsid w:val="00D61F01"/>
    <w:rsid w:val="00D636AD"/>
    <w:rsid w:val="00D80C7A"/>
    <w:rsid w:val="00D80EB3"/>
    <w:rsid w:val="00D81CF2"/>
    <w:rsid w:val="00D8543F"/>
    <w:rsid w:val="00D960E9"/>
    <w:rsid w:val="00E03103"/>
    <w:rsid w:val="00E162D6"/>
    <w:rsid w:val="00E22270"/>
    <w:rsid w:val="00E26EF1"/>
    <w:rsid w:val="00E30785"/>
    <w:rsid w:val="00E641D7"/>
    <w:rsid w:val="00E66B31"/>
    <w:rsid w:val="00E87BCC"/>
    <w:rsid w:val="00E92CBB"/>
    <w:rsid w:val="00EA56B9"/>
    <w:rsid w:val="00EC0030"/>
    <w:rsid w:val="00EC7C37"/>
    <w:rsid w:val="00ED6298"/>
    <w:rsid w:val="00F3029F"/>
    <w:rsid w:val="00F35530"/>
    <w:rsid w:val="00F35D04"/>
    <w:rsid w:val="00F5567C"/>
    <w:rsid w:val="00F639CE"/>
    <w:rsid w:val="00F65AE4"/>
    <w:rsid w:val="00F71021"/>
    <w:rsid w:val="00F7365B"/>
    <w:rsid w:val="00F8104B"/>
    <w:rsid w:val="00F914E6"/>
    <w:rsid w:val="00F949E7"/>
    <w:rsid w:val="00FA19CA"/>
    <w:rsid w:val="00FA2505"/>
    <w:rsid w:val="00FB7790"/>
    <w:rsid w:val="00FC6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5B"/>
    <w:rPr>
      <w:rFonts w:ascii="Times New Roman" w:hAnsi="Times New Roman"/>
      <w:sz w:val="24"/>
      <w:szCs w:val="24"/>
    </w:rPr>
  </w:style>
  <w:style w:type="paragraph" w:styleId="Heading1">
    <w:name w:val="heading 1"/>
    <w:basedOn w:val="Normal"/>
    <w:next w:val="Normal"/>
    <w:link w:val="Heading1Char"/>
    <w:qFormat/>
    <w:rsid w:val="00F7365B"/>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7365B"/>
    <w:pPr>
      <w:keepNext/>
      <w:spacing w:before="360" w:after="60"/>
      <w:jc w:val="both"/>
      <w:outlineLvl w:val="1"/>
    </w:pPr>
    <w:rPr>
      <w:rFonts w:ascii="Book Antiqua" w:eastAsia="Times New Roman" w:hAnsi="Book Antiqua"/>
      <w:b/>
      <w:i/>
      <w:sz w:val="28"/>
      <w:lang w:val="en-GB"/>
    </w:rPr>
  </w:style>
  <w:style w:type="paragraph" w:styleId="Heading3">
    <w:name w:val="heading 3"/>
    <w:basedOn w:val="Normal"/>
    <w:next w:val="Normal"/>
    <w:link w:val="Heading3Char"/>
    <w:qFormat/>
    <w:rsid w:val="00F7365B"/>
    <w:pPr>
      <w:keepNext/>
      <w:spacing w:before="240" w:after="60"/>
      <w:outlineLvl w:val="2"/>
    </w:pPr>
    <w:rPr>
      <w:rFonts w:ascii="Arial" w:eastAsia="Times New Roman" w:hAnsi="Arial"/>
      <w:b/>
      <w:lang w:val="en-GB"/>
    </w:rPr>
  </w:style>
  <w:style w:type="paragraph" w:styleId="Heading4">
    <w:name w:val="heading 4"/>
    <w:basedOn w:val="Normal"/>
    <w:next w:val="Normal"/>
    <w:link w:val="Heading4Char"/>
    <w:qFormat/>
    <w:rsid w:val="00F7365B"/>
    <w:pPr>
      <w:keepNext/>
      <w:numPr>
        <w:ilvl w:val="12"/>
      </w:numPr>
      <w:tabs>
        <w:tab w:val="left" w:pos="2410"/>
        <w:tab w:val="left" w:pos="2694"/>
      </w:tabs>
      <w:spacing w:before="120"/>
      <w:ind w:left="1077" w:hanging="357"/>
      <w:jc w:val="both"/>
      <w:outlineLvl w:val="3"/>
    </w:pPr>
    <w:rPr>
      <w:rFonts w:ascii="Korinna" w:eastAsia="Times New Roman" w:hAnsi="Korinna"/>
      <w:b/>
      <w:spacing w:val="-3"/>
    </w:rPr>
  </w:style>
  <w:style w:type="paragraph" w:styleId="Heading5">
    <w:name w:val="heading 5"/>
    <w:basedOn w:val="Normal"/>
    <w:next w:val="Normal"/>
    <w:link w:val="Heading5Char"/>
    <w:qFormat/>
    <w:rsid w:val="00F7365B"/>
    <w:pPr>
      <w:keepNext/>
      <w:spacing w:before="40" w:after="40"/>
      <w:outlineLvl w:val="4"/>
    </w:pPr>
    <w:rPr>
      <w:rFonts w:ascii="Korinna" w:eastAsia="Times New Roman" w:hAnsi="Korinna"/>
      <w:b/>
      <w:spacing w:val="-3"/>
    </w:rPr>
  </w:style>
  <w:style w:type="paragraph" w:styleId="Heading6">
    <w:name w:val="heading 6"/>
    <w:basedOn w:val="Normal"/>
    <w:next w:val="Normal"/>
    <w:link w:val="Heading6Char"/>
    <w:qFormat/>
    <w:rsid w:val="00F7365B"/>
    <w:pPr>
      <w:keepNext/>
      <w:framePr w:hSpace="180" w:wrap="around" w:vAnchor="text" w:hAnchor="page" w:x="1273" w:y="21"/>
      <w:tabs>
        <w:tab w:val="left" w:pos="284"/>
      </w:tabs>
      <w:jc w:val="center"/>
      <w:outlineLvl w:val="5"/>
    </w:pPr>
    <w:rPr>
      <w:rFonts w:ascii="Helvetica 35 Thin" w:eastAsia="Times New Roman" w:hAnsi="Helvetica 35 Thi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65B"/>
    <w:rPr>
      <w:rFonts w:ascii="Arial" w:eastAsia="Times New Roman" w:hAnsi="Arial" w:cs="Arial"/>
      <w:b/>
      <w:bCs/>
      <w:kern w:val="32"/>
      <w:sz w:val="32"/>
      <w:szCs w:val="32"/>
    </w:rPr>
  </w:style>
  <w:style w:type="character" w:customStyle="1" w:styleId="Heading2Char">
    <w:name w:val="Heading 2 Char"/>
    <w:basedOn w:val="DefaultParagraphFont"/>
    <w:link w:val="Heading2"/>
    <w:rsid w:val="00F7365B"/>
    <w:rPr>
      <w:rFonts w:ascii="Book Antiqua" w:eastAsia="Times New Roman" w:hAnsi="Book Antiqua"/>
      <w:b/>
      <w:i/>
      <w:sz w:val="28"/>
      <w:szCs w:val="24"/>
      <w:lang w:val="en-GB"/>
    </w:rPr>
  </w:style>
  <w:style w:type="character" w:customStyle="1" w:styleId="Heading3Char">
    <w:name w:val="Heading 3 Char"/>
    <w:basedOn w:val="DefaultParagraphFont"/>
    <w:link w:val="Heading3"/>
    <w:rsid w:val="00F7365B"/>
    <w:rPr>
      <w:rFonts w:ascii="Arial" w:eastAsia="Times New Roman" w:hAnsi="Arial"/>
      <w:b/>
      <w:sz w:val="24"/>
      <w:szCs w:val="24"/>
      <w:lang w:val="en-GB"/>
    </w:rPr>
  </w:style>
  <w:style w:type="character" w:customStyle="1" w:styleId="Heading4Char">
    <w:name w:val="Heading 4 Char"/>
    <w:basedOn w:val="DefaultParagraphFont"/>
    <w:link w:val="Heading4"/>
    <w:rsid w:val="00F7365B"/>
    <w:rPr>
      <w:rFonts w:ascii="Korinna" w:eastAsia="Times New Roman" w:hAnsi="Korinna"/>
      <w:b/>
      <w:spacing w:val="-3"/>
      <w:sz w:val="24"/>
      <w:szCs w:val="24"/>
    </w:rPr>
  </w:style>
  <w:style w:type="character" w:customStyle="1" w:styleId="Heading5Char">
    <w:name w:val="Heading 5 Char"/>
    <w:basedOn w:val="DefaultParagraphFont"/>
    <w:link w:val="Heading5"/>
    <w:rsid w:val="00F7365B"/>
    <w:rPr>
      <w:rFonts w:ascii="Korinna" w:eastAsia="Times New Roman" w:hAnsi="Korinna"/>
      <w:b/>
      <w:spacing w:val="-3"/>
      <w:sz w:val="24"/>
      <w:szCs w:val="24"/>
    </w:rPr>
  </w:style>
  <w:style w:type="character" w:customStyle="1" w:styleId="Heading6Char">
    <w:name w:val="Heading 6 Char"/>
    <w:basedOn w:val="DefaultParagraphFont"/>
    <w:link w:val="Heading6"/>
    <w:rsid w:val="00F7365B"/>
    <w:rPr>
      <w:rFonts w:ascii="Helvetica 35 Thin" w:eastAsia="Times New Roman" w:hAnsi="Helvetica 35 Thin"/>
      <w:b/>
      <w:sz w:val="40"/>
      <w:szCs w:val="24"/>
    </w:rPr>
  </w:style>
  <w:style w:type="character" w:styleId="Strong">
    <w:name w:val="Strong"/>
    <w:uiPriority w:val="22"/>
    <w:qFormat/>
    <w:rsid w:val="00F7365B"/>
    <w:rPr>
      <w:b/>
      <w:bCs/>
    </w:rPr>
  </w:style>
  <w:style w:type="character" w:styleId="Emphasis">
    <w:name w:val="Emphasis"/>
    <w:uiPriority w:val="20"/>
    <w:qFormat/>
    <w:rsid w:val="00F7365B"/>
    <w:rPr>
      <w:i/>
      <w:iCs/>
    </w:rPr>
  </w:style>
  <w:style w:type="paragraph" w:styleId="ListParagraph">
    <w:name w:val="List Paragraph"/>
    <w:basedOn w:val="Normal"/>
    <w:uiPriority w:val="34"/>
    <w:qFormat/>
    <w:rsid w:val="00F7365B"/>
    <w:pPr>
      <w:ind w:left="720"/>
      <w:contextualSpacing/>
    </w:pPr>
    <w:rPr>
      <w:rFonts w:eastAsia="Times New Roman"/>
    </w:rPr>
  </w:style>
  <w:style w:type="table" w:styleId="TableGrid">
    <w:name w:val="Table Grid"/>
    <w:basedOn w:val="TableNormal"/>
    <w:uiPriority w:val="59"/>
    <w:rsid w:val="00283EB7"/>
    <w:rPr>
      <w:rFonts w:asciiTheme="minorHAnsi" w:eastAsia="Times New Roman" w:hAnsiTheme="minorHAns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2947</Words>
  <Characters>16803</Characters>
  <Application>Microsoft Office Word</Application>
  <DocSecurity>0</DocSecurity>
  <Lines>140</Lines>
  <Paragraphs>39</Paragraphs>
  <ScaleCrop>false</ScaleCrop>
  <Company>Deftones</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Tiatira</dc:creator>
  <cp:keywords/>
  <dc:description/>
  <cp:lastModifiedBy>Corporate Edition</cp:lastModifiedBy>
  <cp:revision>2</cp:revision>
  <dcterms:created xsi:type="dcterms:W3CDTF">2017-06-16T01:55:00Z</dcterms:created>
  <dcterms:modified xsi:type="dcterms:W3CDTF">2017-06-16T01:55:00Z</dcterms:modified>
</cp:coreProperties>
</file>