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2D" w:rsidRPr="008A1A2D" w:rsidRDefault="008A1A2D" w:rsidP="008A1A2D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0" w:name="_Toc483211712"/>
      <w:bookmarkStart w:id="1" w:name="_Toc483877664"/>
      <w:bookmarkStart w:id="2" w:name="_GoBack"/>
      <w:r w:rsidRPr="008A1A2D">
        <w:rPr>
          <w:rFonts w:cs="Times New Roman"/>
          <w:szCs w:val="24"/>
        </w:rPr>
        <w:t>DAFTAR PUSTAKA</w:t>
      </w:r>
      <w:bookmarkEnd w:id="0"/>
      <w:bookmarkEnd w:id="1"/>
    </w:p>
    <w:p w:rsidR="008A1A2D" w:rsidRPr="008A1A2D" w:rsidRDefault="008A1A2D" w:rsidP="008A1A2D">
      <w:pPr>
        <w:spacing w:after="0"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Alkatiri, Zeffry. </w:t>
      </w:r>
      <w:r w:rsidRPr="008A1A2D">
        <w:rPr>
          <w:rFonts w:ascii="Times New Roman" w:hAnsi="Times New Roman" w:cs="Times New Roman"/>
          <w:i/>
          <w:sz w:val="24"/>
          <w:szCs w:val="24"/>
        </w:rPr>
        <w:t xml:space="preserve">Multikultur dan Multiperspektif dalam HAM Internasional, </w:t>
      </w:r>
      <w:r w:rsidRPr="008A1A2D">
        <w:rPr>
          <w:rFonts w:ascii="Times New Roman" w:hAnsi="Times New Roman" w:cs="Times New Roman"/>
          <w:sz w:val="24"/>
          <w:szCs w:val="24"/>
        </w:rPr>
        <w:t>WACANA VOL. 8 NO. 2 (2006)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Ali, Rabia. </w:t>
      </w:r>
      <w:r w:rsidRPr="008A1A2D">
        <w:rPr>
          <w:rFonts w:ascii="Times New Roman" w:hAnsi="Times New Roman" w:cs="Times New Roman"/>
          <w:i/>
          <w:sz w:val="24"/>
          <w:szCs w:val="24"/>
        </w:rPr>
        <w:t>“The Dark Side of Honour: Women Victims in Pakistan</w:t>
      </w:r>
      <w:r w:rsidRPr="008A1A2D">
        <w:rPr>
          <w:rFonts w:ascii="Times New Roman" w:hAnsi="Times New Roman" w:cs="Times New Roman"/>
          <w:sz w:val="24"/>
          <w:szCs w:val="24"/>
        </w:rPr>
        <w:t>”, Lahore: Shirkat Gah. 2001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Brown, Chris</w:t>
      </w:r>
      <w:r w:rsidRPr="008A1A2D">
        <w:rPr>
          <w:rFonts w:ascii="Times New Roman" w:hAnsi="Times New Roman" w:cs="Times New Roman"/>
          <w:i/>
          <w:sz w:val="24"/>
          <w:szCs w:val="24"/>
        </w:rPr>
        <w:t>. Understanding International Relation</w:t>
      </w:r>
      <w:r w:rsidRPr="008A1A2D">
        <w:rPr>
          <w:rFonts w:ascii="Times New Roman" w:hAnsi="Times New Roman" w:cs="Times New Roman"/>
          <w:sz w:val="24"/>
          <w:szCs w:val="24"/>
        </w:rPr>
        <w:t>s, 2nd ed., New York: Palgrave. 2011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Budiyanto. </w:t>
      </w:r>
      <w:r w:rsidRPr="008A1A2D">
        <w:rPr>
          <w:rFonts w:ascii="Times New Roman" w:hAnsi="Times New Roman" w:cs="Times New Roman"/>
          <w:i/>
          <w:sz w:val="24"/>
          <w:szCs w:val="24"/>
        </w:rPr>
        <w:t>Dasar-Dasar Ilmu Tata Negara</w:t>
      </w:r>
      <w:r w:rsidRPr="008A1A2D">
        <w:rPr>
          <w:rFonts w:ascii="Times New Roman" w:hAnsi="Times New Roman" w:cs="Times New Roman"/>
          <w:sz w:val="24"/>
          <w:szCs w:val="24"/>
        </w:rPr>
        <w:t>. Jakarta: Erlangga. 2000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Charlesworth, Hilary. Christine Chinkin and Shelley Wright, “Feminist Approaches to International Law,” The American Journal of International Law 85 (1991): 613-645.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Chesler, Phyllis dan Nathan Bloom, “Hindu vs. Muslim Honor Killings.” Dalam The Middle East Quartely, Vol. 19, No 5, (Summer 2012)</w:t>
      </w: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“</w:t>
      </w:r>
      <w:hyperlink r:id="rId8" w:tgtFrame="_blank" w:history="1">
        <w:r w:rsidRPr="008A1A2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Convention on the Elimination of All Forms of Discrimination against Women</w:t>
        </w:r>
      </w:hyperlink>
      <w:r w:rsidRPr="008A1A2D">
        <w:rPr>
          <w:rFonts w:ascii="Times New Roman" w:hAnsi="Times New Roman" w:cs="Times New Roman"/>
          <w:i/>
          <w:sz w:val="24"/>
          <w:szCs w:val="24"/>
        </w:rPr>
        <w:t> (</w:t>
      </w:r>
      <w:r w:rsidRPr="008A1A2D">
        <w:rPr>
          <w:rFonts w:ascii="Times New Roman" w:hAnsi="Times New Roman" w:cs="Times New Roman"/>
          <w:sz w:val="24"/>
          <w:szCs w:val="24"/>
        </w:rPr>
        <w:t>CEDAW),</w:t>
      </w:r>
      <w:r w:rsidRPr="008A1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1A2D">
        <w:rPr>
          <w:rFonts w:ascii="Times New Roman" w:hAnsi="Times New Roman" w:cs="Times New Roman"/>
          <w:sz w:val="24"/>
          <w:szCs w:val="24"/>
        </w:rPr>
        <w:t xml:space="preserve">dalam </w:t>
      </w:r>
      <w:hyperlink r:id="rId9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http://www.un.org/womenwatch/daw/cedaw/text/econvention.htm</w:t>
        </w:r>
      </w:hyperlink>
      <w:r w:rsidRPr="008A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“</w:t>
      </w:r>
      <w:hyperlink r:id="rId10" w:tgtFrame="_blank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Declaration of Basic Principles of Justice for Victims of Crime and Abuse of Power</w:t>
        </w:r>
      </w:hyperlink>
      <w:r w:rsidRPr="008A1A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”, dalam 96</w:t>
      </w:r>
      <w:r w:rsidRPr="008A1A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th</w:t>
      </w:r>
      <w:r w:rsidRPr="008A1A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Plenary Meeting, dalam </w:t>
      </w:r>
      <w:hyperlink r:id="rId11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http://www.un.org/documents/ga/res/40/a40r034.htm</w:t>
        </w:r>
      </w:hyperlink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Donnelly, Jack. </w:t>
      </w:r>
      <w:r w:rsidRPr="008A1A2D">
        <w:rPr>
          <w:rFonts w:ascii="Times New Roman" w:hAnsi="Times New Roman" w:cs="Times New Roman"/>
          <w:i/>
          <w:sz w:val="24"/>
          <w:szCs w:val="24"/>
        </w:rPr>
        <w:t>'The relative universality of human rights'</w:t>
      </w:r>
      <w:r w:rsidRPr="008A1A2D">
        <w:rPr>
          <w:rFonts w:ascii="Times New Roman" w:hAnsi="Times New Roman" w:cs="Times New Roman"/>
          <w:sz w:val="24"/>
          <w:szCs w:val="24"/>
        </w:rPr>
        <w:t>, Human Rights Quarterly’, vol. 29, no. 2 (2007)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Donnelly, Jack. (1989). </w:t>
      </w:r>
      <w:r w:rsidRPr="008A1A2D">
        <w:rPr>
          <w:rFonts w:ascii="Times New Roman" w:hAnsi="Times New Roman" w:cs="Times New Roman"/>
          <w:i/>
          <w:sz w:val="24"/>
          <w:szCs w:val="24"/>
        </w:rPr>
        <w:t>Universal Human Rights in Theory and Practice</w:t>
      </w:r>
      <w:r w:rsidRPr="008A1A2D">
        <w:rPr>
          <w:rFonts w:ascii="Times New Roman" w:hAnsi="Times New Roman" w:cs="Times New Roman"/>
          <w:sz w:val="24"/>
          <w:szCs w:val="24"/>
        </w:rPr>
        <w:t>. London: Cornell University Press.</w:t>
      </w: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Grindle,M.S. </w:t>
      </w:r>
      <w:r w:rsidRPr="008A1A2D">
        <w:rPr>
          <w:rFonts w:ascii="Times New Roman" w:hAnsi="Times New Roman" w:cs="Times New Roman"/>
          <w:i/>
          <w:sz w:val="24"/>
          <w:szCs w:val="24"/>
        </w:rPr>
        <w:t>Politics and Policy Implementation in the Third World</w:t>
      </w:r>
      <w:r w:rsidRPr="008A1A2D">
        <w:rPr>
          <w:rFonts w:ascii="Times New Roman" w:hAnsi="Times New Roman" w:cs="Times New Roman"/>
          <w:sz w:val="24"/>
          <w:szCs w:val="24"/>
        </w:rPr>
        <w:t>, Princetone University Press. 1980</w:t>
      </w: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Hajjar, Lisa. “Religion, State Power, and Domestic Violence in Muslim Societies: A Framework for Comparative Analysis.”, dalam</w:t>
      </w:r>
      <w:r w:rsidRPr="008A1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1A2D">
        <w:rPr>
          <w:rFonts w:ascii="Times New Roman" w:hAnsi="Times New Roman" w:cs="Times New Roman"/>
          <w:sz w:val="24"/>
          <w:szCs w:val="24"/>
        </w:rPr>
        <w:t>Law and Social Inquiry, Vol. 29, No. 1 (Winter, 2004)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Haspel, M. </w:t>
      </w:r>
      <w:r w:rsidRPr="008A1A2D">
        <w:rPr>
          <w:rFonts w:ascii="Times New Roman" w:hAnsi="Times New Roman" w:cs="Times New Roman"/>
          <w:i/>
          <w:sz w:val="24"/>
          <w:szCs w:val="24"/>
        </w:rPr>
        <w:t>'Menschenrechte in Geschichte und Gegenwart'</w:t>
      </w:r>
      <w:r w:rsidRPr="008A1A2D">
        <w:rPr>
          <w:rFonts w:ascii="Times New Roman" w:hAnsi="Times New Roman" w:cs="Times New Roman"/>
          <w:sz w:val="24"/>
          <w:szCs w:val="24"/>
        </w:rPr>
        <w:t>, Menschenrechte, ed S Frech, Wochenschau Verl., Schwalbach/Ts, 2005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Honour Based Violences Awareness, diakses dari </w:t>
      </w:r>
      <w:hyperlink r:id="rId12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http://hbv-awareness.com/statistics-data/</w:t>
        </w:r>
      </w:hyperlink>
      <w:r w:rsidRPr="008A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lastRenderedPageBreak/>
        <w:t xml:space="preserve">Human Rights Commision in Pakistan, Human Rights Monitor, dalam </w:t>
      </w:r>
      <w:hyperlink r:id="rId13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http://hrcpmonitor.org/</w:t>
        </w:r>
      </w:hyperlink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Hussain, Mazna. “</w:t>
      </w:r>
      <w:r w:rsidRPr="008A1A2D">
        <w:rPr>
          <w:rFonts w:ascii="Times New Roman" w:hAnsi="Times New Roman" w:cs="Times New Roman"/>
          <w:i/>
          <w:sz w:val="24"/>
          <w:szCs w:val="24"/>
        </w:rPr>
        <w:t>Take my Riches, Give me Justice: A Contextual Analysis of Pakistan’s Honor Crimes Legislation</w:t>
      </w:r>
      <w:r w:rsidRPr="008A1A2D">
        <w:rPr>
          <w:rFonts w:ascii="Times New Roman" w:hAnsi="Times New Roman" w:cs="Times New Roman"/>
          <w:sz w:val="24"/>
          <w:szCs w:val="24"/>
        </w:rPr>
        <w:t>”, dalam Harvard Journal of Law &amp; Gender, Vol. 29, (2006)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Jackson, Robert &amp; Georg Sorensen, </w:t>
      </w:r>
      <w:r w:rsidRPr="008A1A2D">
        <w:rPr>
          <w:rFonts w:ascii="Times New Roman" w:hAnsi="Times New Roman" w:cs="Times New Roman"/>
          <w:i/>
          <w:sz w:val="24"/>
          <w:szCs w:val="24"/>
        </w:rPr>
        <w:t>Introduction to International Relations</w:t>
      </w:r>
      <w:r w:rsidRPr="008A1A2D">
        <w:rPr>
          <w:rFonts w:ascii="Times New Roman" w:hAnsi="Times New Roman" w:cs="Times New Roman"/>
          <w:sz w:val="24"/>
          <w:szCs w:val="24"/>
        </w:rPr>
        <w:t>, Oxford: Oxford University Press, 1990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Johari, J.C. </w:t>
      </w:r>
      <w:r w:rsidRPr="008A1A2D">
        <w:rPr>
          <w:rFonts w:ascii="Times New Roman" w:hAnsi="Times New Roman" w:cs="Times New Roman"/>
          <w:i/>
          <w:sz w:val="24"/>
          <w:szCs w:val="24"/>
        </w:rPr>
        <w:t>International Relations and Politics (Theoritical Perspectives</w:t>
      </w:r>
      <w:r w:rsidRPr="008A1A2D">
        <w:rPr>
          <w:rFonts w:ascii="Times New Roman" w:hAnsi="Times New Roman" w:cs="Times New Roman"/>
          <w:sz w:val="24"/>
          <w:szCs w:val="24"/>
        </w:rPr>
        <w:t>), New Delhi: Sterling Publishers Private Limited, 1985.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Kant, Immanuel. </w:t>
      </w:r>
      <w:r w:rsidRPr="008A1A2D">
        <w:rPr>
          <w:rFonts w:ascii="Times New Roman" w:hAnsi="Times New Roman" w:cs="Times New Roman"/>
          <w:i/>
          <w:sz w:val="24"/>
          <w:szCs w:val="24"/>
        </w:rPr>
        <w:t>Groundwork for the metaphysics of morals</w:t>
      </w:r>
      <w:r w:rsidRPr="008A1A2D">
        <w:rPr>
          <w:rFonts w:ascii="Times New Roman" w:hAnsi="Times New Roman" w:cs="Times New Roman"/>
          <w:sz w:val="24"/>
          <w:szCs w:val="24"/>
        </w:rPr>
        <w:t>, New Haven: Yale University Press,. 2002 (1785)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Korteweg, AC dan G. Yurdakul, </w:t>
      </w:r>
      <w:r w:rsidRPr="008A1A2D">
        <w:rPr>
          <w:rFonts w:ascii="Times New Roman" w:hAnsi="Times New Roman" w:cs="Times New Roman"/>
          <w:i/>
          <w:sz w:val="24"/>
          <w:szCs w:val="24"/>
        </w:rPr>
        <w:t>Religion, Culture and the Politicization of Honour-Related Violence</w:t>
      </w:r>
      <w:r w:rsidRPr="008A1A2D">
        <w:rPr>
          <w:rFonts w:ascii="Times New Roman" w:hAnsi="Times New Roman" w:cs="Times New Roman"/>
          <w:sz w:val="24"/>
          <w:szCs w:val="24"/>
        </w:rPr>
        <w:t>. (Jenewa: UNRISD, 2010)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Kirchschläger, P. </w:t>
      </w:r>
      <w:r w:rsidRPr="008A1A2D">
        <w:rPr>
          <w:rFonts w:ascii="Times New Roman" w:hAnsi="Times New Roman" w:cs="Times New Roman"/>
          <w:i/>
          <w:sz w:val="24"/>
          <w:szCs w:val="24"/>
        </w:rPr>
        <w:t>'Universality of Human Rights'</w:t>
      </w:r>
      <w:r w:rsidRPr="008A1A2D">
        <w:rPr>
          <w:rFonts w:ascii="Times New Roman" w:hAnsi="Times New Roman" w:cs="Times New Roman"/>
          <w:sz w:val="24"/>
          <w:szCs w:val="24"/>
        </w:rPr>
        <w:t xml:space="preserve"> dalam The EWC Statement Series (2011)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Lari, Mahila Zia. </w:t>
      </w:r>
      <w:r w:rsidRPr="008A1A2D">
        <w:rPr>
          <w:rFonts w:ascii="Times New Roman" w:hAnsi="Times New Roman" w:cs="Times New Roman"/>
          <w:i/>
          <w:sz w:val="24"/>
          <w:szCs w:val="24"/>
        </w:rPr>
        <w:t>A Pilot Case Study: Honor Killing in Pakistan and Compliance of Law</w:t>
      </w:r>
      <w:r w:rsidRPr="008A1A2D">
        <w:rPr>
          <w:rFonts w:ascii="Times New Roman" w:hAnsi="Times New Roman" w:cs="Times New Roman"/>
          <w:sz w:val="24"/>
          <w:szCs w:val="24"/>
        </w:rPr>
        <w:t xml:space="preserve"> (Pakistan: Aurat Publication and Information Service Foundation, 2011)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Linda Walter, Theories of Universal Human Rights and the Individual’s Perspective, Politikon: IAPSS Political Science Journal Vol.25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Masoed, Mochtar. Ekonomi Politik Internasional dan Pembangunan, Pustaka Pelajar: Yogyakarta, 2003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Menke, C. &amp; A. Pollmann, Philosophie der Menschenrechte zur Einführung, Junius, Hamburg, 2007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Muzafar, Iqbal. </w:t>
      </w:r>
      <w:r w:rsidRPr="008A1A2D">
        <w:rPr>
          <w:rFonts w:ascii="Times New Roman" w:hAnsi="Times New Roman" w:cs="Times New Roman"/>
          <w:i/>
          <w:sz w:val="24"/>
          <w:szCs w:val="24"/>
        </w:rPr>
        <w:t>Honour killing</w:t>
      </w:r>
      <w:r w:rsidRPr="008A1A2D">
        <w:rPr>
          <w:rFonts w:ascii="Times New Roman" w:hAnsi="Times New Roman" w:cs="Times New Roman"/>
          <w:sz w:val="24"/>
          <w:szCs w:val="24"/>
        </w:rPr>
        <w:t xml:space="preserve"> and Silence of Justice System in Pakistan. Lund University. 2006.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Niaz, U. “Violence against women in South Asian countries.” Arch Womens Mental Health (online), Austria, April 17, 2003, dalam </w:t>
      </w:r>
      <w:hyperlink r:id="rId14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http://link.springer.com/10.1007/s00737-003-0171-9</w:t>
        </w:r>
      </w:hyperlink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Nickel, J. Human Rights. Diakses dari: </w:t>
      </w:r>
      <w:hyperlink r:id="rId15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http://plato.stanford.edu/archives/win2013/entries/rights-human/</w:t>
        </w:r>
      </w:hyperlink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Olivia, Yessi. Perkembangan Studi Hubungan Internasional, Jurnal Transnasional, Vol. 3, No. 2, Februari 2012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Pakistan Law, dalam </w:t>
      </w:r>
      <w:hyperlink r:id="rId16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http://www.pakistani.org/pakistan/constitution/part2.ch1.html</w:t>
        </w:r>
      </w:hyperlink>
      <w:r w:rsidRPr="008A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lastRenderedPageBreak/>
        <w:t xml:space="preserve"> “Pakistan Statistic”, dalam </w:t>
      </w:r>
      <w:hyperlink r:id="rId17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http://www.unicef.org/infocountry/pakistan_pakistan_statistc.html </w:t>
        </w:r>
      </w:hyperlink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Seminar Direktorat Perjanjian Ekonomi dan Sosial Budaya Departemen Luar Negeri.    Pemerintah Propinsi Sulawesi Selatan, Makassar, 5 – 7 September 2005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Smartt, Ursula. “</w:t>
      </w:r>
      <w:r w:rsidRPr="008A1A2D">
        <w:rPr>
          <w:rFonts w:ascii="Times New Roman" w:hAnsi="Times New Roman" w:cs="Times New Roman"/>
          <w:i/>
          <w:sz w:val="24"/>
          <w:szCs w:val="24"/>
        </w:rPr>
        <w:t>Honour killing</w:t>
      </w:r>
      <w:r w:rsidRPr="008A1A2D">
        <w:rPr>
          <w:rFonts w:ascii="Times New Roman" w:hAnsi="Times New Roman" w:cs="Times New Roman"/>
          <w:sz w:val="24"/>
          <w:szCs w:val="24"/>
        </w:rPr>
        <w:t>s.”</w:t>
      </w:r>
      <w:r w:rsidRPr="008A1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1A2D">
        <w:rPr>
          <w:rFonts w:ascii="Times New Roman" w:hAnsi="Times New Roman" w:cs="Times New Roman"/>
          <w:sz w:val="24"/>
          <w:szCs w:val="24"/>
        </w:rPr>
        <w:t xml:space="preserve"> dalam Justice of the Peace, Vol. 170, (2016)</w:t>
      </w: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Sukawarsini, Djelantik. Diplomat dan Diplomasi: Diplomasi antara Teori dan Praktik, Yogyakarta: Graha Ilmu</w:t>
      </w:r>
    </w:p>
    <w:p w:rsidR="008A1A2D" w:rsidRPr="008A1A2D" w:rsidRDefault="008A1A2D" w:rsidP="008A1A2D">
      <w:pPr>
        <w:pStyle w:val="FootnoteText"/>
        <w:ind w:firstLine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1A2D">
        <w:rPr>
          <w:rFonts w:ascii="Times New Roman" w:hAnsi="Times New Roman" w:cs="Times New Roman"/>
          <w:sz w:val="24"/>
          <w:szCs w:val="24"/>
        </w:rPr>
        <w:t>United Nations Statistics Division, “The World’s Women 2015: Violence Againsts Women</w:t>
      </w:r>
      <w:r w:rsidRPr="008A1A2D">
        <w:rPr>
          <w:rFonts w:ascii="Times New Roman" w:hAnsi="Times New Roman" w:cs="Times New Roman"/>
          <w:i/>
          <w:sz w:val="24"/>
          <w:szCs w:val="24"/>
        </w:rPr>
        <w:t>”</w:t>
      </w:r>
      <w:r w:rsidRPr="008A1A2D">
        <w:rPr>
          <w:rFonts w:ascii="Times New Roman" w:hAnsi="Times New Roman" w:cs="Times New Roman"/>
          <w:sz w:val="24"/>
          <w:szCs w:val="24"/>
        </w:rPr>
        <w:t xml:space="preserve">, dalam http://unstats.un.org/unsd/gender/chapter6/chapter6.html </w:t>
      </w:r>
      <w:r w:rsidRPr="008A1A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diakses 10 Januari 2017 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8" w:tgtFrame="_blank" w:history="1">
        <w:r w:rsidRPr="008A1A2D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“Universal Declaration on Cultural Diversity</w:t>
        </w:r>
      </w:hyperlink>
      <w:r w:rsidRPr="008A1A2D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”, </w:t>
      </w:r>
      <w:r w:rsidRPr="008A1A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UNESCO, dalam </w:t>
      </w:r>
      <w:r w:rsidRPr="008A1A2D">
        <w:rPr>
          <w:rFonts w:ascii="Times New Roman" w:hAnsi="Times New Roman" w:cs="Times New Roman"/>
          <w:sz w:val="24"/>
          <w:szCs w:val="24"/>
        </w:rPr>
        <w:t>http://unesdoc.unesco.org/images/0012/001271/127162e.pdf</w:t>
      </w: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>“</w:t>
      </w:r>
      <w:r w:rsidRPr="008A1A2D">
        <w:rPr>
          <w:rFonts w:ascii="Times New Roman" w:hAnsi="Times New Roman" w:cs="Times New Roman"/>
          <w:i/>
          <w:sz w:val="24"/>
          <w:szCs w:val="24"/>
        </w:rPr>
        <w:t>Universal Declaration of Human Rights</w:t>
      </w:r>
      <w:r w:rsidRPr="008A1A2D">
        <w:rPr>
          <w:rFonts w:ascii="Times New Roman" w:hAnsi="Times New Roman" w:cs="Times New Roman"/>
          <w:sz w:val="24"/>
          <w:szCs w:val="24"/>
        </w:rPr>
        <w:t xml:space="preserve">” dalam </w:t>
      </w:r>
      <w:hyperlink r:id="rId19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http://www.ohchr.org/EN/UDHR/Documents/UDHR_Translations/eng.pdf diakses 10 Januari 2017</w:t>
        </w:r>
      </w:hyperlink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United Nation, </w:t>
      </w:r>
      <w:r w:rsidRPr="008A1A2D">
        <w:rPr>
          <w:rFonts w:ascii="Times New Roman" w:hAnsi="Times New Roman" w:cs="Times New Roman"/>
          <w:i/>
          <w:sz w:val="24"/>
          <w:szCs w:val="24"/>
        </w:rPr>
        <w:t>Convention of Vienna</w:t>
      </w:r>
      <w:r w:rsidRPr="008A1A2D">
        <w:rPr>
          <w:rFonts w:ascii="Times New Roman" w:hAnsi="Times New Roman" w:cs="Times New Roman"/>
          <w:sz w:val="24"/>
          <w:szCs w:val="24"/>
        </w:rPr>
        <w:t xml:space="preserve">, diakses dari </w:t>
      </w:r>
      <w:hyperlink r:id="rId20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https://treaties.un.org/doc/Publication/UNTS/Volume%201155/volume-1155-I-18232-English.pdf</w:t>
        </w:r>
      </w:hyperlink>
      <w:r w:rsidRPr="008A1A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UN WOMEN, Committee of Elemination of Discrimination Against Women, dalam </w:t>
      </w:r>
      <w:hyperlink r:id="rId21" w:history="1">
        <w:r w:rsidRPr="008A1A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https://documents-dds-ny.un.org/doc/UNDOC/GEN/N05/454/37/PDF/N0545437.pdf?OpenElement</w:t>
        </w:r>
      </w:hyperlink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Wahab, Abdul S. Analisis Kebijaksanaan. Bumi Aksara: Jakarta. 2002. </w:t>
      </w:r>
    </w:p>
    <w:p w:rsidR="008A1A2D" w:rsidRPr="008A1A2D" w:rsidRDefault="008A1A2D" w:rsidP="008A1A2D">
      <w:pPr>
        <w:pStyle w:val="FootnoteText"/>
        <w:ind w:firstLine="0"/>
        <w:rPr>
          <w:rFonts w:ascii="Times New Roman" w:hAnsi="Times New Roman" w:cs="Times New Roman"/>
          <w:sz w:val="24"/>
          <w:szCs w:val="24"/>
        </w:rPr>
      </w:pPr>
    </w:p>
    <w:p w:rsidR="008A1A2D" w:rsidRPr="008A1A2D" w:rsidRDefault="008A1A2D" w:rsidP="008A1A2D">
      <w:pPr>
        <w:spacing w:after="0"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A1A2D">
        <w:rPr>
          <w:rFonts w:ascii="Times New Roman" w:hAnsi="Times New Roman" w:cs="Times New Roman"/>
          <w:sz w:val="24"/>
          <w:szCs w:val="24"/>
        </w:rPr>
        <w:t xml:space="preserve">Warraich, Sohail Akbar. </w:t>
      </w:r>
      <w:r w:rsidRPr="008A1A2D">
        <w:rPr>
          <w:rFonts w:ascii="Times New Roman" w:hAnsi="Times New Roman" w:cs="Times New Roman"/>
          <w:i/>
          <w:sz w:val="24"/>
          <w:szCs w:val="24"/>
        </w:rPr>
        <w:t>Honour killing</w:t>
      </w:r>
      <w:r w:rsidRPr="008A1A2D">
        <w:rPr>
          <w:rFonts w:ascii="Times New Roman" w:hAnsi="Times New Roman" w:cs="Times New Roman"/>
          <w:sz w:val="24"/>
          <w:szCs w:val="24"/>
        </w:rPr>
        <w:t>s and the Law in Pakistan: Honour Crimes, Paradigms, And Violence Against Women, Edited by Lynn Welchman, Sara Hossain, Oxford University Press, 2005</w:t>
      </w:r>
    </w:p>
    <w:bookmarkEnd w:id="2"/>
    <w:p w:rsidR="00A41E44" w:rsidRPr="008A1A2D" w:rsidRDefault="00A41E44" w:rsidP="008A1A2D">
      <w:pPr>
        <w:ind w:firstLine="0"/>
      </w:pPr>
    </w:p>
    <w:sectPr w:rsidR="00A41E44" w:rsidRPr="008A1A2D" w:rsidSect="00B92BAB">
      <w:headerReference w:type="default" r:id="rId22"/>
      <w:footerReference w:type="default" r:id="rId23"/>
      <w:headerReference w:type="first" r:id="rId24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32" w:rsidRDefault="00CF4532" w:rsidP="00CF4532">
      <w:pPr>
        <w:spacing w:after="0" w:line="240" w:lineRule="auto"/>
      </w:pPr>
      <w:r>
        <w:separator/>
      </w:r>
    </w:p>
  </w:endnote>
  <w:endnote w:type="continuationSeparator" w:id="0">
    <w:p w:rsidR="00CF4532" w:rsidRDefault="00CF4532" w:rsidP="00CF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CF" w:rsidRDefault="008A1A2D">
    <w:pPr>
      <w:pStyle w:val="Footer"/>
      <w:jc w:val="center"/>
    </w:pPr>
  </w:p>
  <w:p w:rsidR="00CF33CF" w:rsidRDefault="008A1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32" w:rsidRDefault="00CF4532" w:rsidP="00CF4532">
      <w:pPr>
        <w:spacing w:after="0" w:line="240" w:lineRule="auto"/>
      </w:pPr>
      <w:r>
        <w:separator/>
      </w:r>
    </w:p>
  </w:footnote>
  <w:footnote w:type="continuationSeparator" w:id="0">
    <w:p w:rsidR="00CF4532" w:rsidRDefault="00CF4532" w:rsidP="00CF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CF" w:rsidRDefault="008A1A2D">
    <w:pPr>
      <w:pStyle w:val="Header"/>
      <w:jc w:val="right"/>
    </w:pPr>
  </w:p>
  <w:p w:rsidR="00CF33CF" w:rsidRDefault="008A1A2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CF" w:rsidRDefault="008A1A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27C"/>
    <w:multiLevelType w:val="hybridMultilevel"/>
    <w:tmpl w:val="AD4E0E96"/>
    <w:lvl w:ilvl="0" w:tplc="9F16C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A3528"/>
    <w:multiLevelType w:val="hybridMultilevel"/>
    <w:tmpl w:val="0720AD7E"/>
    <w:lvl w:ilvl="0" w:tplc="5E4CF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05C2"/>
    <w:multiLevelType w:val="hybridMultilevel"/>
    <w:tmpl w:val="1B4EC8FE"/>
    <w:lvl w:ilvl="0" w:tplc="CD5CC2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0A1D34"/>
    <w:multiLevelType w:val="hybridMultilevel"/>
    <w:tmpl w:val="9054859E"/>
    <w:lvl w:ilvl="0" w:tplc="9896175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504647"/>
    <w:multiLevelType w:val="hybridMultilevel"/>
    <w:tmpl w:val="F7E8492C"/>
    <w:lvl w:ilvl="0" w:tplc="AB4027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C2E85"/>
    <w:multiLevelType w:val="hybridMultilevel"/>
    <w:tmpl w:val="C0DC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D43"/>
    <w:multiLevelType w:val="hybridMultilevel"/>
    <w:tmpl w:val="CC1A7DD0"/>
    <w:lvl w:ilvl="0" w:tplc="7074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976989"/>
    <w:multiLevelType w:val="hybridMultilevel"/>
    <w:tmpl w:val="D53AC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4B6A2D"/>
    <w:multiLevelType w:val="hybridMultilevel"/>
    <w:tmpl w:val="16C00764"/>
    <w:lvl w:ilvl="0" w:tplc="D2A0D9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73331"/>
    <w:multiLevelType w:val="hybridMultilevel"/>
    <w:tmpl w:val="615C8EA6"/>
    <w:lvl w:ilvl="0" w:tplc="EB22F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95DDB"/>
    <w:multiLevelType w:val="hybridMultilevel"/>
    <w:tmpl w:val="A1BA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2F32"/>
    <w:multiLevelType w:val="hybridMultilevel"/>
    <w:tmpl w:val="F438BEF2"/>
    <w:lvl w:ilvl="0" w:tplc="67C0A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8E08E6"/>
    <w:multiLevelType w:val="hybridMultilevel"/>
    <w:tmpl w:val="7CE27C10"/>
    <w:lvl w:ilvl="0" w:tplc="1562AEC6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D220A0"/>
    <w:multiLevelType w:val="hybridMultilevel"/>
    <w:tmpl w:val="067AD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679CF"/>
    <w:multiLevelType w:val="hybridMultilevel"/>
    <w:tmpl w:val="702A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D41E3"/>
    <w:multiLevelType w:val="hybridMultilevel"/>
    <w:tmpl w:val="09F66680"/>
    <w:lvl w:ilvl="0" w:tplc="A3B25C9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AE2E4B"/>
    <w:multiLevelType w:val="hybridMultilevel"/>
    <w:tmpl w:val="1CF8AE40"/>
    <w:lvl w:ilvl="0" w:tplc="5EC8B03C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1975C89"/>
    <w:multiLevelType w:val="hybridMultilevel"/>
    <w:tmpl w:val="E650158A"/>
    <w:lvl w:ilvl="0" w:tplc="F5B6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E875A4"/>
    <w:multiLevelType w:val="hybridMultilevel"/>
    <w:tmpl w:val="5470C3AA"/>
    <w:lvl w:ilvl="0" w:tplc="3E9C3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7B5F8A"/>
    <w:multiLevelType w:val="multilevel"/>
    <w:tmpl w:val="B48AC9F8"/>
    <w:lvl w:ilvl="0">
      <w:start w:val="1"/>
      <w:numFmt w:val="decimal"/>
      <w:pStyle w:val="Heading1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7D00DEA"/>
    <w:multiLevelType w:val="hybridMultilevel"/>
    <w:tmpl w:val="E7B4A2EC"/>
    <w:lvl w:ilvl="0" w:tplc="E6084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6B6314"/>
    <w:multiLevelType w:val="hybridMultilevel"/>
    <w:tmpl w:val="BAA2513C"/>
    <w:lvl w:ilvl="0" w:tplc="F710BC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757168"/>
    <w:multiLevelType w:val="hybridMultilevel"/>
    <w:tmpl w:val="6FCA1F88"/>
    <w:lvl w:ilvl="0" w:tplc="4EF0A4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AD7A93"/>
    <w:multiLevelType w:val="hybridMultilevel"/>
    <w:tmpl w:val="E1F4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7B6A"/>
    <w:multiLevelType w:val="hybridMultilevel"/>
    <w:tmpl w:val="307676DA"/>
    <w:lvl w:ilvl="0" w:tplc="664E54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F60232"/>
    <w:multiLevelType w:val="hybridMultilevel"/>
    <w:tmpl w:val="46C8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82348"/>
    <w:multiLevelType w:val="hybridMultilevel"/>
    <w:tmpl w:val="C5E0C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90B8A"/>
    <w:multiLevelType w:val="hybridMultilevel"/>
    <w:tmpl w:val="0EA64BA6"/>
    <w:lvl w:ilvl="0" w:tplc="2730B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D6544D"/>
    <w:multiLevelType w:val="hybridMultilevel"/>
    <w:tmpl w:val="274258E0"/>
    <w:lvl w:ilvl="0" w:tplc="5CC0B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930FBF"/>
    <w:multiLevelType w:val="hybridMultilevel"/>
    <w:tmpl w:val="C7D83CFC"/>
    <w:lvl w:ilvl="0" w:tplc="F4AAE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E31875"/>
    <w:multiLevelType w:val="hybridMultilevel"/>
    <w:tmpl w:val="7088AB1E"/>
    <w:lvl w:ilvl="0" w:tplc="2AD8F0F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F06B7B"/>
    <w:multiLevelType w:val="hybridMultilevel"/>
    <w:tmpl w:val="899A6572"/>
    <w:lvl w:ilvl="0" w:tplc="45C4F19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24"/>
  </w:num>
  <w:num w:numId="5">
    <w:abstractNumId w:val="10"/>
  </w:num>
  <w:num w:numId="6">
    <w:abstractNumId w:val="25"/>
  </w:num>
  <w:num w:numId="7">
    <w:abstractNumId w:val="28"/>
  </w:num>
  <w:num w:numId="8">
    <w:abstractNumId w:val="5"/>
  </w:num>
  <w:num w:numId="9">
    <w:abstractNumId w:val="23"/>
  </w:num>
  <w:num w:numId="10">
    <w:abstractNumId w:val="1"/>
  </w:num>
  <w:num w:numId="11">
    <w:abstractNumId w:val="31"/>
  </w:num>
  <w:num w:numId="12">
    <w:abstractNumId w:val="0"/>
  </w:num>
  <w:num w:numId="13">
    <w:abstractNumId w:val="26"/>
  </w:num>
  <w:num w:numId="14">
    <w:abstractNumId w:val="27"/>
  </w:num>
  <w:num w:numId="15">
    <w:abstractNumId w:val="14"/>
  </w:num>
  <w:num w:numId="16">
    <w:abstractNumId w:val="8"/>
  </w:num>
  <w:num w:numId="17">
    <w:abstractNumId w:val="13"/>
  </w:num>
  <w:num w:numId="18">
    <w:abstractNumId w:val="15"/>
  </w:num>
  <w:num w:numId="19">
    <w:abstractNumId w:val="3"/>
  </w:num>
  <w:num w:numId="20">
    <w:abstractNumId w:val="29"/>
  </w:num>
  <w:num w:numId="21">
    <w:abstractNumId w:val="4"/>
  </w:num>
  <w:num w:numId="22">
    <w:abstractNumId w:val="30"/>
  </w:num>
  <w:num w:numId="23">
    <w:abstractNumId w:val="21"/>
  </w:num>
  <w:num w:numId="24">
    <w:abstractNumId w:val="7"/>
  </w:num>
  <w:num w:numId="25">
    <w:abstractNumId w:val="16"/>
  </w:num>
  <w:num w:numId="26">
    <w:abstractNumId w:val="12"/>
  </w:num>
  <w:num w:numId="27">
    <w:abstractNumId w:val="2"/>
  </w:num>
  <w:num w:numId="28">
    <w:abstractNumId w:val="18"/>
  </w:num>
  <w:num w:numId="29">
    <w:abstractNumId w:val="20"/>
  </w:num>
  <w:num w:numId="30">
    <w:abstractNumId w:val="6"/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B"/>
    <w:rsid w:val="00117D5D"/>
    <w:rsid w:val="00146F35"/>
    <w:rsid w:val="008A1A2D"/>
    <w:rsid w:val="00A41E44"/>
    <w:rsid w:val="00B92BAB"/>
    <w:rsid w:val="00C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2D"/>
  </w:style>
  <w:style w:type="paragraph" w:styleId="Heading1">
    <w:name w:val="heading 1"/>
    <w:basedOn w:val="Normal"/>
    <w:next w:val="Normal"/>
    <w:link w:val="Heading1Char"/>
    <w:uiPriority w:val="9"/>
    <w:qFormat/>
    <w:rsid w:val="00146F35"/>
    <w:pPr>
      <w:keepNext/>
      <w:keepLines/>
      <w:numPr>
        <w:numId w:val="1"/>
      </w:numPr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F35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6F3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6F35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4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F35"/>
  </w:style>
  <w:style w:type="paragraph" w:styleId="Footer">
    <w:name w:val="footer"/>
    <w:basedOn w:val="Normal"/>
    <w:link w:val="FooterChar"/>
    <w:uiPriority w:val="99"/>
    <w:unhideWhenUsed/>
    <w:rsid w:val="0014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35"/>
  </w:style>
  <w:style w:type="character" w:customStyle="1" w:styleId="Heading3Char">
    <w:name w:val="Heading 3 Char"/>
    <w:basedOn w:val="DefaultParagraphFont"/>
    <w:link w:val="Heading3"/>
    <w:uiPriority w:val="9"/>
    <w:semiHidden/>
    <w:rsid w:val="00CF45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F4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53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F45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45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4532"/>
    <w:rPr>
      <w:vertAlign w:val="superscript"/>
    </w:rPr>
  </w:style>
  <w:style w:type="table" w:styleId="TableGrid">
    <w:name w:val="Table Grid"/>
    <w:basedOn w:val="TableNormal"/>
    <w:uiPriority w:val="59"/>
    <w:rsid w:val="00CF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2D"/>
  </w:style>
  <w:style w:type="paragraph" w:styleId="Heading1">
    <w:name w:val="heading 1"/>
    <w:basedOn w:val="Normal"/>
    <w:next w:val="Normal"/>
    <w:link w:val="Heading1Char"/>
    <w:uiPriority w:val="9"/>
    <w:qFormat/>
    <w:rsid w:val="00146F35"/>
    <w:pPr>
      <w:keepNext/>
      <w:keepLines/>
      <w:numPr>
        <w:numId w:val="1"/>
      </w:numPr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F35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6F3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6F35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4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F35"/>
  </w:style>
  <w:style w:type="paragraph" w:styleId="Footer">
    <w:name w:val="footer"/>
    <w:basedOn w:val="Normal"/>
    <w:link w:val="FooterChar"/>
    <w:uiPriority w:val="99"/>
    <w:unhideWhenUsed/>
    <w:rsid w:val="00146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35"/>
  </w:style>
  <w:style w:type="character" w:customStyle="1" w:styleId="Heading3Char">
    <w:name w:val="Heading 3 Char"/>
    <w:basedOn w:val="DefaultParagraphFont"/>
    <w:link w:val="Heading3"/>
    <w:uiPriority w:val="9"/>
    <w:semiHidden/>
    <w:rsid w:val="00CF45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F4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53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F45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45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4532"/>
    <w:rPr>
      <w:vertAlign w:val="superscript"/>
    </w:rPr>
  </w:style>
  <w:style w:type="table" w:styleId="TableGrid">
    <w:name w:val="Table Grid"/>
    <w:basedOn w:val="TableNormal"/>
    <w:uiPriority w:val="59"/>
    <w:rsid w:val="00CF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ohchr.org/english/law/cedaw.htm" TargetMode="External"/><Relationship Id="rId13" Type="http://schemas.openxmlformats.org/officeDocument/2006/relationships/hyperlink" Target="http://hrcpmonitor.org/" TargetMode="External"/><Relationship Id="rId18" Type="http://schemas.openxmlformats.org/officeDocument/2006/relationships/hyperlink" Target="http://portal.unesco.org/en/ev.php-URL_ID=13179&amp;URL_DO=DO_TOPIC&amp;URL_SECTION=201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ocuments-dds-ny.un.org/doc/UNDOC/GEN/N05/454/37/PDF/N0545437.pdf?OpenEle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bv-awareness.com/statistics-data/" TargetMode="External"/><Relationship Id="rId17" Type="http://schemas.openxmlformats.org/officeDocument/2006/relationships/hyperlink" Target="http://www.unicef.org/infocountry/pakistan_pakistan_statistc.html%20diakses%2017%20Februari%2020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kistani.org/pakistan/constitution/part2.ch1.html" TargetMode="External"/><Relationship Id="rId20" Type="http://schemas.openxmlformats.org/officeDocument/2006/relationships/hyperlink" Target="https://treaties.un.org/doc/Publication/UNTS/Volume%201155/volume-1155-I-18232-English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.org/documents/ga/res/40/a40r034.ht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plato.stanford.edu/archives/win2013/entries/rights-human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2.ohchr.org/english/law/victims.htm" TargetMode="External"/><Relationship Id="rId19" Type="http://schemas.openxmlformats.org/officeDocument/2006/relationships/hyperlink" Target="http://www.ohchr.org/EN/UDHR/Documents/UDHR_Translations/eng.pdf%20diakses%2010%20Januari%20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womenwatch/daw/cedaw/text/econvention.htm" TargetMode="External"/><Relationship Id="rId14" Type="http://schemas.openxmlformats.org/officeDocument/2006/relationships/hyperlink" Target="http://link.springer.com/10.1007/s00737-003-0171-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Alline</dc:creator>
  <cp:lastModifiedBy>Alline</cp:lastModifiedBy>
  <cp:revision>2</cp:revision>
  <dcterms:created xsi:type="dcterms:W3CDTF">2017-06-05T05:00:00Z</dcterms:created>
  <dcterms:modified xsi:type="dcterms:W3CDTF">2017-06-05T05:00:00Z</dcterms:modified>
</cp:coreProperties>
</file>