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99C" w:rsidRPr="00A614CF" w:rsidRDefault="005E799C" w:rsidP="001F1642">
      <w:pPr>
        <w:spacing w:line="480" w:lineRule="auto"/>
        <w:jc w:val="center"/>
        <w:rPr>
          <w:rFonts w:ascii="Times New Roman" w:hAnsi="Times New Roman" w:cs="Times New Roman"/>
          <w:b/>
          <w:sz w:val="24"/>
          <w:szCs w:val="24"/>
        </w:rPr>
      </w:pPr>
      <w:r w:rsidRPr="00A614CF">
        <w:rPr>
          <w:rFonts w:ascii="Times New Roman" w:hAnsi="Times New Roman" w:cs="Times New Roman"/>
          <w:b/>
          <w:sz w:val="24"/>
          <w:szCs w:val="24"/>
        </w:rPr>
        <w:t>BAB II</w:t>
      </w:r>
    </w:p>
    <w:p w:rsidR="005E799C" w:rsidRPr="00A614CF" w:rsidRDefault="005E799C" w:rsidP="001F1642">
      <w:pPr>
        <w:spacing w:line="480" w:lineRule="auto"/>
        <w:jc w:val="center"/>
        <w:rPr>
          <w:rFonts w:ascii="Times New Roman" w:hAnsi="Times New Roman" w:cs="Times New Roman"/>
          <w:b/>
          <w:sz w:val="24"/>
          <w:szCs w:val="24"/>
        </w:rPr>
      </w:pPr>
      <w:r w:rsidRPr="00A614CF">
        <w:rPr>
          <w:rFonts w:ascii="Times New Roman" w:hAnsi="Times New Roman" w:cs="Times New Roman"/>
          <w:b/>
          <w:sz w:val="24"/>
          <w:szCs w:val="24"/>
        </w:rPr>
        <w:t xml:space="preserve">KEBIJAKAN ASEAN </w:t>
      </w:r>
      <w:r w:rsidRPr="00A614CF">
        <w:rPr>
          <w:rFonts w:ascii="Times New Roman" w:hAnsi="Times New Roman" w:cs="Times New Roman"/>
          <w:b/>
          <w:i/>
          <w:sz w:val="24"/>
          <w:szCs w:val="24"/>
        </w:rPr>
        <w:t xml:space="preserve">SINGLE WINDOW </w:t>
      </w:r>
      <w:r w:rsidRPr="00A614CF">
        <w:rPr>
          <w:rFonts w:ascii="Times New Roman" w:hAnsi="Times New Roman" w:cs="Times New Roman"/>
          <w:b/>
          <w:sz w:val="24"/>
          <w:szCs w:val="24"/>
        </w:rPr>
        <w:t>DAN IMPLEMENTASINYA PADA BEA DAN CUKAI</w:t>
      </w:r>
    </w:p>
    <w:p w:rsidR="005E799C" w:rsidRDefault="005E799C" w:rsidP="006840E8">
      <w:pPr>
        <w:pStyle w:val="ListParagraph"/>
        <w:numPr>
          <w:ilvl w:val="0"/>
          <w:numId w:val="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Konektivitas ASEAN Dalam Sektor Logistik</w:t>
      </w:r>
    </w:p>
    <w:p w:rsidR="007E4D7C" w:rsidRDefault="00BB4127" w:rsidP="007E4D7C">
      <w:pPr>
        <w:pStyle w:val="ListParagraph"/>
        <w:numPr>
          <w:ilvl w:val="0"/>
          <w:numId w:val="2"/>
        </w:numPr>
        <w:spacing w:line="480" w:lineRule="auto"/>
        <w:ind w:left="709"/>
        <w:jc w:val="both"/>
        <w:rPr>
          <w:rFonts w:ascii="Times New Roman" w:hAnsi="Times New Roman" w:cs="Times New Roman"/>
          <w:b/>
          <w:sz w:val="24"/>
          <w:szCs w:val="24"/>
        </w:rPr>
      </w:pPr>
      <w:r>
        <w:rPr>
          <w:rFonts w:ascii="Times New Roman" w:hAnsi="Times New Roman" w:cs="Times New Roman"/>
          <w:b/>
          <w:sz w:val="24"/>
          <w:szCs w:val="24"/>
        </w:rPr>
        <w:t>Latar B</w:t>
      </w:r>
      <w:r w:rsidR="005E799C" w:rsidRPr="001F1642">
        <w:rPr>
          <w:rFonts w:ascii="Times New Roman" w:hAnsi="Times New Roman" w:cs="Times New Roman"/>
          <w:b/>
          <w:sz w:val="24"/>
          <w:szCs w:val="24"/>
        </w:rPr>
        <w:t>elakang Konektivitas ASEAN</w:t>
      </w:r>
    </w:p>
    <w:p w:rsidR="001F1642" w:rsidRPr="007E4D7C" w:rsidRDefault="00D84E84" w:rsidP="007E4D7C">
      <w:pPr>
        <w:pStyle w:val="ListParagraph"/>
        <w:spacing w:line="480" w:lineRule="auto"/>
        <w:ind w:firstLine="720"/>
        <w:jc w:val="both"/>
        <w:rPr>
          <w:rFonts w:ascii="Times New Roman" w:hAnsi="Times New Roman" w:cs="Times New Roman"/>
          <w:b/>
          <w:sz w:val="24"/>
          <w:szCs w:val="24"/>
        </w:rPr>
      </w:pPr>
      <w:r w:rsidRPr="007E4D7C">
        <w:rPr>
          <w:rFonts w:ascii="Times New Roman" w:hAnsi="Times New Roman" w:cs="Times New Roman"/>
          <w:sz w:val="24"/>
          <w:szCs w:val="24"/>
        </w:rPr>
        <w:t>Prestasi yang telah diraih ASEAN mengingatkan banyak pihak pada integrasi regionalisme Uni Eropa. Berbagai harapan mengenai terwujudnya Masyarakat ASEAN terus digulirkan. Namun demikian, masih terdapat tantangan yang harus dihadapi dalam mencapai tujuan Masyarakat ASEAN 2015. Salah satu tantangan berat tersebut adalah masalah keterhubungan atau konektivitas (</w:t>
      </w:r>
      <w:r w:rsidRPr="007E4D7C">
        <w:rPr>
          <w:rFonts w:ascii="Times New Roman" w:hAnsi="Times New Roman" w:cs="Times New Roman"/>
          <w:i/>
          <w:sz w:val="24"/>
          <w:szCs w:val="24"/>
        </w:rPr>
        <w:t>connectivity</w:t>
      </w:r>
      <w:r w:rsidRPr="007E4D7C">
        <w:rPr>
          <w:rFonts w:ascii="Times New Roman" w:hAnsi="Times New Roman" w:cs="Times New Roman"/>
          <w:sz w:val="24"/>
          <w:szCs w:val="24"/>
        </w:rPr>
        <w:t>) di antara negara-negara anggota ASEAN sendiri. Tantangan lain adalah menjadikan ASEAN yang saling terhubung dengan baik (</w:t>
      </w:r>
      <w:r w:rsidRPr="007E4D7C">
        <w:rPr>
          <w:rFonts w:ascii="Times New Roman" w:hAnsi="Times New Roman" w:cs="Times New Roman"/>
          <w:i/>
          <w:sz w:val="24"/>
          <w:szCs w:val="24"/>
        </w:rPr>
        <w:t>well-interconnected</w:t>
      </w:r>
      <w:r w:rsidRPr="007E4D7C">
        <w:rPr>
          <w:rFonts w:ascii="Times New Roman" w:hAnsi="Times New Roman" w:cs="Times New Roman"/>
          <w:sz w:val="24"/>
          <w:szCs w:val="24"/>
        </w:rPr>
        <w:t>) sehingga akan membuat ASEAN menjadi kekuatan pemacu (</w:t>
      </w:r>
      <w:r w:rsidRPr="007E4D7C">
        <w:rPr>
          <w:rFonts w:ascii="Times New Roman" w:hAnsi="Times New Roman" w:cs="Times New Roman"/>
          <w:i/>
          <w:sz w:val="24"/>
          <w:szCs w:val="24"/>
        </w:rPr>
        <w:t>diving force</w:t>
      </w:r>
      <w:r w:rsidRPr="007E4D7C">
        <w:rPr>
          <w:rFonts w:ascii="Times New Roman" w:hAnsi="Times New Roman" w:cs="Times New Roman"/>
          <w:sz w:val="24"/>
          <w:szCs w:val="24"/>
        </w:rPr>
        <w:t>) baik di kawasan Asia Pasifik maupun Dunia Internasional.</w:t>
      </w:r>
    </w:p>
    <w:p w:rsidR="001F1642" w:rsidRDefault="00D84E84" w:rsidP="007E4D7C">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Berkenaan dengan konektivitas ASEAN, dalam KTT ASEAN ke-17 di Hanoi, Vietnam, pada 28 Oktober 2010 para pemimpin ASEAN telah berhasil mencapai kesepakatan dan mengadopsi </w:t>
      </w:r>
      <w:r>
        <w:rPr>
          <w:rFonts w:ascii="Times New Roman" w:hAnsi="Times New Roman" w:cs="Times New Roman"/>
          <w:i/>
          <w:sz w:val="24"/>
          <w:szCs w:val="24"/>
        </w:rPr>
        <w:t xml:space="preserve">Master Plan of </w:t>
      </w:r>
      <w:r>
        <w:rPr>
          <w:rFonts w:ascii="Times New Roman" w:hAnsi="Times New Roman" w:cs="Times New Roman"/>
          <w:sz w:val="24"/>
          <w:szCs w:val="24"/>
        </w:rPr>
        <w:t xml:space="preserve"> ASEAN </w:t>
      </w:r>
      <w:r>
        <w:rPr>
          <w:rFonts w:ascii="Times New Roman" w:hAnsi="Times New Roman" w:cs="Times New Roman"/>
          <w:i/>
          <w:sz w:val="24"/>
          <w:szCs w:val="24"/>
        </w:rPr>
        <w:t xml:space="preserve">Connectivity </w:t>
      </w:r>
      <w:r>
        <w:rPr>
          <w:rFonts w:ascii="Times New Roman" w:hAnsi="Times New Roman" w:cs="Times New Roman"/>
          <w:sz w:val="24"/>
          <w:szCs w:val="24"/>
        </w:rPr>
        <w:t>(MPAC) yang bertujuan untuk mendorong pertumbuhan ekonomi dan mempersempit kesenjangan pembangunan dengan meningkatkan keterkaitan fisik, kelembagaan dan hubungan manusia (</w:t>
      </w:r>
      <w:r>
        <w:rPr>
          <w:rFonts w:ascii="Times New Roman" w:hAnsi="Times New Roman" w:cs="Times New Roman"/>
          <w:i/>
          <w:sz w:val="24"/>
          <w:szCs w:val="24"/>
        </w:rPr>
        <w:t>physical, institutional, and people-to-people linkages</w:t>
      </w:r>
      <w:r w:rsidR="001F1642">
        <w:rPr>
          <w:rFonts w:ascii="Times New Roman" w:hAnsi="Times New Roman" w:cs="Times New Roman"/>
          <w:sz w:val="24"/>
          <w:szCs w:val="24"/>
        </w:rPr>
        <w:t>) di kawasan Asia Tenggara.</w:t>
      </w:r>
    </w:p>
    <w:p w:rsidR="008C5F0E" w:rsidRDefault="00D84E84" w:rsidP="008C5F0E">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Faktor-faktor pendorong penyususan MPAC</w:t>
      </w:r>
      <w:r w:rsidR="005B3F71">
        <w:rPr>
          <w:rFonts w:ascii="Times New Roman" w:hAnsi="Times New Roman" w:cs="Times New Roman"/>
          <w:sz w:val="24"/>
          <w:szCs w:val="24"/>
        </w:rPr>
        <w:t>:</w:t>
      </w:r>
    </w:p>
    <w:p w:rsidR="008C5F0E" w:rsidRDefault="005B3F71" w:rsidP="005D4F18">
      <w:pPr>
        <w:pStyle w:val="ListParagraph"/>
        <w:numPr>
          <w:ilvl w:val="0"/>
          <w:numId w:val="15"/>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Kekuatan ekonomi dunia saat ini tengah mengalami pergeseran yang cukup berarti; yang semula berakibat pada negara-negara Barat, kemudian beralih ke Timur. Asia Pasifik sebagai representasi kekuatan ekonomi di belahan Timur akan memainkan perannya sebagai kawasan yang paling menarik untuk dua dasawarsa ke depan dalam hal pembangunan ekonomi. Asia Tenggara dengan ASEAN-nya menjadi bagian yang tidak terpisahkan dari masa depan kawasan Asia Pasifik.</w:t>
      </w:r>
    </w:p>
    <w:p w:rsidR="008C5F0E" w:rsidRDefault="005B3F71" w:rsidP="005D4F18">
      <w:pPr>
        <w:pStyle w:val="ListParagraph"/>
        <w:numPr>
          <w:ilvl w:val="0"/>
          <w:numId w:val="15"/>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Pertumbuhan ekonomi kawasan Asia akan terus berlanjut dengan ditopang oleh pertumbuhan ekonomi China dan India. Beberapa negara di kawasan tersebut juga terus memberikan pengaruh dan progres yang cukup berarti, seperti Jepang, Korea Selatan, Indonesia, dan Vietnam.</w:t>
      </w:r>
    </w:p>
    <w:p w:rsidR="001F1642" w:rsidRPr="008C5F0E" w:rsidRDefault="005B3F71" w:rsidP="005D4F18">
      <w:pPr>
        <w:pStyle w:val="ListParagraph"/>
        <w:numPr>
          <w:ilvl w:val="0"/>
          <w:numId w:val="15"/>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Organisasi regional ASEAN tengah menjadi kawasan yang terus berkembang dengan pesat pasca krisis ekonomi global. Dengan saling terhubungnya antar sesama negara-negara ASEAN melalui pembangunan ekonomi yang didukung oleh jaringan infrastruktur dan suprastrukur, tekonologi komunikasi dan informasi, serta pergerakan antar penduduk ASEAN, maka kawasan ini akan menghasilkan entitas Masyarakat ASEAN yang tangguh dan kedepannya dapat berperan penting dalam kancah politik internasional.</w:t>
      </w:r>
    </w:p>
    <w:p w:rsidR="008C5F0E" w:rsidRPr="00A47E6F" w:rsidRDefault="00FB2B70" w:rsidP="005D4F18">
      <w:pPr>
        <w:pStyle w:val="ListParagraph"/>
        <w:numPr>
          <w:ilvl w:val="0"/>
          <w:numId w:val="23"/>
        </w:numPr>
        <w:spacing w:line="480" w:lineRule="auto"/>
        <w:ind w:left="709"/>
        <w:jc w:val="both"/>
        <w:rPr>
          <w:rFonts w:ascii="Times New Roman" w:hAnsi="Times New Roman" w:cs="Times New Roman"/>
          <w:sz w:val="24"/>
          <w:szCs w:val="24"/>
        </w:rPr>
      </w:pPr>
      <w:r w:rsidRPr="00A47E6F">
        <w:rPr>
          <w:rFonts w:ascii="Times New Roman" w:hAnsi="Times New Roman" w:cs="Times New Roman"/>
          <w:b/>
          <w:sz w:val="24"/>
          <w:szCs w:val="24"/>
        </w:rPr>
        <w:lastRenderedPageBreak/>
        <w:t>Peluang dan Tantangan</w:t>
      </w:r>
      <w:r w:rsidR="0042162E" w:rsidRPr="00A47E6F">
        <w:rPr>
          <w:rFonts w:ascii="Times New Roman" w:hAnsi="Times New Roman" w:cs="Times New Roman"/>
          <w:b/>
          <w:sz w:val="24"/>
          <w:szCs w:val="24"/>
        </w:rPr>
        <w:t xml:space="preserve"> Konektivitas ASEAN</w:t>
      </w:r>
    </w:p>
    <w:p w:rsidR="008C5F0E" w:rsidRDefault="00B27F49" w:rsidP="008C5F0E">
      <w:pPr>
        <w:pStyle w:val="ListParagraph"/>
        <w:spacing w:line="480" w:lineRule="auto"/>
        <w:ind w:left="709"/>
        <w:jc w:val="both"/>
        <w:rPr>
          <w:rFonts w:ascii="Times New Roman" w:hAnsi="Times New Roman" w:cs="Times New Roman"/>
          <w:sz w:val="24"/>
          <w:szCs w:val="24"/>
        </w:rPr>
      </w:pPr>
      <w:r w:rsidRPr="008C5F0E">
        <w:rPr>
          <w:rFonts w:ascii="Times New Roman" w:hAnsi="Times New Roman" w:cs="Times New Roman"/>
          <w:sz w:val="24"/>
          <w:szCs w:val="24"/>
        </w:rPr>
        <w:t>Pilar dan peluang Konektivitas ASEAN:</w:t>
      </w:r>
    </w:p>
    <w:p w:rsidR="008C5F0E" w:rsidRDefault="00B27F49" w:rsidP="005D4F18">
      <w:pPr>
        <w:pStyle w:val="ListParagraph"/>
        <w:numPr>
          <w:ilvl w:val="0"/>
          <w:numId w:val="16"/>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 xml:space="preserve">Sebagai tahapan fundamental dalam mewujudkan Komunitas ASEAN yang memiliki pertumbuhan ekonomi yang berkesinambungan, mempersempit kesenjangan pembangunan, dan meningkatkan keterhubungan di antara negara-negara ASEAN dengan sesama anggota dan dengan dunia internasional, MPAC sebagai dokumen strategis dan rencana aksi berujuan untuk menjadi acuan rencana aksi pelaksanaan dalam tiga pilar ASEAN </w:t>
      </w:r>
      <w:r w:rsidRPr="008C5F0E">
        <w:rPr>
          <w:rFonts w:ascii="Times New Roman" w:hAnsi="Times New Roman" w:cs="Times New Roman"/>
          <w:i/>
          <w:sz w:val="24"/>
          <w:szCs w:val="24"/>
        </w:rPr>
        <w:t>Connectivity</w:t>
      </w:r>
      <w:r w:rsidRPr="008C5F0E">
        <w:rPr>
          <w:rFonts w:ascii="Times New Roman" w:hAnsi="Times New Roman" w:cs="Times New Roman"/>
          <w:sz w:val="24"/>
          <w:szCs w:val="24"/>
        </w:rPr>
        <w:t>, yakni pembangunan infrastruktur fisik (</w:t>
      </w:r>
      <w:r w:rsidRPr="008C5F0E">
        <w:rPr>
          <w:rFonts w:ascii="Times New Roman" w:hAnsi="Times New Roman" w:cs="Times New Roman"/>
          <w:i/>
          <w:sz w:val="24"/>
          <w:szCs w:val="24"/>
        </w:rPr>
        <w:t>physical connectivity</w:t>
      </w:r>
      <w:r w:rsidRPr="008C5F0E">
        <w:rPr>
          <w:rFonts w:ascii="Times New Roman" w:hAnsi="Times New Roman" w:cs="Times New Roman"/>
          <w:sz w:val="24"/>
          <w:szCs w:val="24"/>
        </w:rPr>
        <w:t xml:space="preserve">), kelembagaan, mekanisme, dan proses </w:t>
      </w:r>
      <w:r w:rsidR="001303BE" w:rsidRPr="008C5F0E">
        <w:rPr>
          <w:rFonts w:ascii="Times New Roman" w:hAnsi="Times New Roman" w:cs="Times New Roman"/>
          <w:sz w:val="24"/>
          <w:szCs w:val="24"/>
        </w:rPr>
        <w:t>yang efektif (</w:t>
      </w:r>
      <w:r w:rsidR="001303BE" w:rsidRPr="008C5F0E">
        <w:rPr>
          <w:rFonts w:ascii="Times New Roman" w:hAnsi="Times New Roman" w:cs="Times New Roman"/>
          <w:i/>
          <w:sz w:val="24"/>
          <w:szCs w:val="24"/>
        </w:rPr>
        <w:t>institutional connectivity</w:t>
      </w:r>
      <w:r w:rsidR="001303BE" w:rsidRPr="008C5F0E">
        <w:rPr>
          <w:rFonts w:ascii="Times New Roman" w:hAnsi="Times New Roman" w:cs="Times New Roman"/>
          <w:sz w:val="24"/>
          <w:szCs w:val="24"/>
        </w:rPr>
        <w:t>), dan penguatan antar penduduk yang ditandai dengan peningkatan mobilitas Masyarakat ASEAN (</w:t>
      </w:r>
      <w:r w:rsidR="001303BE" w:rsidRPr="008C5F0E">
        <w:rPr>
          <w:rFonts w:ascii="Times New Roman" w:hAnsi="Times New Roman" w:cs="Times New Roman"/>
          <w:i/>
          <w:sz w:val="24"/>
          <w:szCs w:val="24"/>
        </w:rPr>
        <w:t>people-to-people connectivity</w:t>
      </w:r>
      <w:r w:rsidR="001303BE" w:rsidRPr="008C5F0E">
        <w:rPr>
          <w:rFonts w:ascii="Times New Roman" w:hAnsi="Times New Roman" w:cs="Times New Roman"/>
          <w:sz w:val="24"/>
          <w:szCs w:val="24"/>
        </w:rPr>
        <w:t>).</w:t>
      </w:r>
    </w:p>
    <w:p w:rsidR="008C5F0E" w:rsidRDefault="001303BE" w:rsidP="005D4F18">
      <w:pPr>
        <w:pStyle w:val="ListParagraph"/>
        <w:numPr>
          <w:ilvl w:val="0"/>
          <w:numId w:val="16"/>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Konektivitas ASEAN akan sangat membantu dalam mencapai pertumbuhan yang lebih tinggi, memfasilitasi pasar tunggal dan jaringan produksi yang lebih terintegrasi, mendorong perdagangan antar kawasan, menarik lebih banyak penanaman modal, serta mempromosikan dan memperkuat ikatan-ikatan budaya dan historis yang dimiliki oleh masing-masing negara.</w:t>
      </w:r>
    </w:p>
    <w:p w:rsidR="00104C0C" w:rsidRPr="008C5F0E" w:rsidRDefault="001303BE" w:rsidP="005D4F18">
      <w:pPr>
        <w:pStyle w:val="ListParagraph"/>
        <w:numPr>
          <w:ilvl w:val="0"/>
          <w:numId w:val="16"/>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ASEAN berada di lokasi yang strategis dan sentral di Asia. Hal ini berpotensi bagi ASEAN sebagai kawasan pusat (</w:t>
      </w:r>
      <w:r w:rsidRPr="008C5F0E">
        <w:rPr>
          <w:rFonts w:ascii="Times New Roman" w:hAnsi="Times New Roman" w:cs="Times New Roman"/>
          <w:i/>
          <w:sz w:val="24"/>
          <w:szCs w:val="24"/>
        </w:rPr>
        <w:t>regional hub</w:t>
      </w:r>
      <w:r w:rsidRPr="008C5F0E">
        <w:rPr>
          <w:rFonts w:ascii="Times New Roman" w:hAnsi="Times New Roman" w:cs="Times New Roman"/>
          <w:sz w:val="24"/>
          <w:szCs w:val="24"/>
        </w:rPr>
        <w:t xml:space="preserve">) di Asia antara lain dalam bidang perdagangan barang dan jasa, pendidikan, pariwisata, dan logistik. ASEAN juga memiliki peluang besar dalam </w:t>
      </w:r>
      <w:r w:rsidRPr="008C5F0E">
        <w:rPr>
          <w:rFonts w:ascii="Times New Roman" w:hAnsi="Times New Roman" w:cs="Times New Roman"/>
          <w:sz w:val="24"/>
          <w:szCs w:val="24"/>
        </w:rPr>
        <w:lastRenderedPageBreak/>
        <w:t>mengembangkan potensi-potensi yang dimiliki pada pasar di kawasan terdekat yang juga sedang mengalami perkembangan yang sangat pesar, ya</w:t>
      </w:r>
      <w:r w:rsidR="00104C0C" w:rsidRPr="008C5F0E">
        <w:rPr>
          <w:rFonts w:ascii="Times New Roman" w:hAnsi="Times New Roman" w:cs="Times New Roman"/>
          <w:sz w:val="24"/>
          <w:szCs w:val="24"/>
        </w:rPr>
        <w:t>kni Asia Timur dan Asia Selatan.</w:t>
      </w:r>
    </w:p>
    <w:p w:rsidR="00104C0C" w:rsidRDefault="00104C0C" w:rsidP="001F1642">
      <w:pPr>
        <w:spacing w:line="480" w:lineRule="auto"/>
        <w:ind w:left="1134" w:firstLine="426"/>
        <w:jc w:val="both"/>
        <w:rPr>
          <w:rFonts w:ascii="Times New Roman" w:hAnsi="Times New Roman" w:cs="Times New Roman"/>
          <w:sz w:val="24"/>
          <w:szCs w:val="24"/>
        </w:rPr>
      </w:pPr>
      <w:r w:rsidRPr="00104C0C">
        <w:rPr>
          <w:rFonts w:ascii="Times New Roman" w:hAnsi="Times New Roman" w:cs="Times New Roman"/>
          <w:sz w:val="24"/>
          <w:szCs w:val="24"/>
        </w:rPr>
        <w:t>Gambaran sederhana tentang ASEAN dan organisasi-organisasi regional di kawasan Asia Pasifik dapat dirujuk pada diagram berikut:</w:t>
      </w:r>
    </w:p>
    <w:p w:rsidR="00104C0C" w:rsidRDefault="001B02BD" w:rsidP="001F1642">
      <w:pPr>
        <w:spacing w:line="480" w:lineRule="auto"/>
        <w:ind w:left="1134" w:firstLine="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71975" cy="2857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211diagram1.jpg"/>
                    <pic:cNvPicPr/>
                  </pic:nvPicPr>
                  <pic:blipFill>
                    <a:blip r:embed="rId8">
                      <a:extLst>
                        <a:ext uri="{28A0092B-C50C-407E-A947-70E740481C1C}">
                          <a14:useLocalDpi xmlns:a14="http://schemas.microsoft.com/office/drawing/2010/main" val="0"/>
                        </a:ext>
                      </a:extLst>
                    </a:blip>
                    <a:stretch>
                      <a:fillRect/>
                    </a:stretch>
                  </pic:blipFill>
                  <pic:spPr>
                    <a:xfrm>
                      <a:off x="0" y="0"/>
                      <a:ext cx="4372632" cy="2857929"/>
                    </a:xfrm>
                    <a:prstGeom prst="rect">
                      <a:avLst/>
                    </a:prstGeom>
                  </pic:spPr>
                </pic:pic>
              </a:graphicData>
            </a:graphic>
          </wp:inline>
        </w:drawing>
      </w:r>
    </w:p>
    <w:p w:rsidR="00B27F49" w:rsidRDefault="001B02BD" w:rsidP="001F1642">
      <w:pPr>
        <w:spacing w:line="480" w:lineRule="auto"/>
        <w:ind w:left="1134" w:firstLine="284"/>
        <w:jc w:val="center"/>
        <w:rPr>
          <w:rFonts w:ascii="Times New Roman" w:hAnsi="Times New Roman" w:cs="Times New Roman"/>
          <w:b/>
          <w:sz w:val="24"/>
          <w:szCs w:val="24"/>
        </w:rPr>
      </w:pPr>
      <w:r>
        <w:rPr>
          <w:rFonts w:ascii="Times New Roman" w:hAnsi="Times New Roman" w:cs="Times New Roman"/>
          <w:b/>
          <w:sz w:val="24"/>
          <w:szCs w:val="24"/>
        </w:rPr>
        <w:t>Gambar 2.1</w:t>
      </w:r>
    </w:p>
    <w:p w:rsidR="008C5F0E" w:rsidRDefault="00C20CE3" w:rsidP="008C5F0E">
      <w:pPr>
        <w:spacing w:line="480" w:lineRule="auto"/>
        <w:ind w:left="709" w:firstLine="448"/>
        <w:jc w:val="both"/>
        <w:rPr>
          <w:rFonts w:ascii="Times New Roman" w:hAnsi="Times New Roman" w:cs="Times New Roman"/>
          <w:sz w:val="24"/>
          <w:szCs w:val="24"/>
        </w:rPr>
      </w:pPr>
      <w:r>
        <w:rPr>
          <w:rFonts w:ascii="Times New Roman" w:hAnsi="Times New Roman" w:cs="Times New Roman"/>
          <w:sz w:val="24"/>
          <w:szCs w:val="24"/>
        </w:rPr>
        <w:t>Tantangan Konektivitas ASEAN</w:t>
      </w:r>
      <w:r w:rsidR="00465BC6">
        <w:rPr>
          <w:rFonts w:ascii="Times New Roman" w:hAnsi="Times New Roman" w:cs="Times New Roman"/>
          <w:sz w:val="24"/>
          <w:szCs w:val="24"/>
        </w:rPr>
        <w:t>:</w:t>
      </w:r>
    </w:p>
    <w:p w:rsidR="008C5F0E" w:rsidRDefault="00C20CE3" w:rsidP="005D4F18">
      <w:pPr>
        <w:pStyle w:val="ListParagraph"/>
        <w:numPr>
          <w:ilvl w:val="0"/>
          <w:numId w:val="17"/>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Pengembangan dan progres bagi ketiga strategi pilar konektivitas ASEAN memerlukan sumber-sumber daya pembiayaan dan mekanisme kelembagaan yang terintegrasi serta sumber daya manusia yang memadai. Selain itu, rencana aksi MPAC memerlukan sinkronisasi dalam menjalankan rencana-rencana sektoral dalam kawasan dan sub-</w:t>
      </w:r>
      <w:r w:rsidRPr="008C5F0E">
        <w:rPr>
          <w:rFonts w:ascii="Times New Roman" w:hAnsi="Times New Roman" w:cs="Times New Roman"/>
          <w:sz w:val="24"/>
          <w:szCs w:val="24"/>
        </w:rPr>
        <w:lastRenderedPageBreak/>
        <w:t>sub kawasan. Jaringan-jaringan produksi dan distribusi juga memerlukan kedalaman, keluasan, dan kebakaran pada ekonomi Asia Pasifik dan ekonomi global secara keseluruhan.</w:t>
      </w:r>
    </w:p>
    <w:p w:rsidR="00FB2B70" w:rsidRPr="008C5F0E" w:rsidRDefault="00C20CE3" w:rsidP="005D4F18">
      <w:pPr>
        <w:pStyle w:val="ListParagraph"/>
        <w:numPr>
          <w:ilvl w:val="0"/>
          <w:numId w:val="17"/>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Tantangan-tantangan lain dalam mewujudkan Konektivitas ASEAN dalam hal kesenjangan pembangunan di antara negara-negara ASEAN antara lain meliputi pendapatan, infrastruktur, dan modal manusia (</w:t>
      </w:r>
      <w:r w:rsidRPr="008C5F0E">
        <w:rPr>
          <w:rFonts w:ascii="Times New Roman" w:hAnsi="Times New Roman" w:cs="Times New Roman"/>
          <w:i/>
          <w:sz w:val="24"/>
          <w:szCs w:val="24"/>
        </w:rPr>
        <w:t>development gaps</w:t>
      </w:r>
      <w:r w:rsidRPr="008C5F0E">
        <w:rPr>
          <w:rFonts w:ascii="Times New Roman" w:hAnsi="Times New Roman" w:cs="Times New Roman"/>
          <w:sz w:val="24"/>
          <w:szCs w:val="24"/>
        </w:rPr>
        <w:t>); tenaga kerja yang tidak terlatih dan kurang terdidik (</w:t>
      </w:r>
      <w:r w:rsidRPr="008C5F0E">
        <w:rPr>
          <w:rFonts w:ascii="Times New Roman" w:hAnsi="Times New Roman" w:cs="Times New Roman"/>
          <w:i/>
          <w:sz w:val="24"/>
          <w:szCs w:val="24"/>
        </w:rPr>
        <w:t>unskilled labor</w:t>
      </w:r>
      <w:r w:rsidRPr="008C5F0E">
        <w:rPr>
          <w:rFonts w:ascii="Times New Roman" w:hAnsi="Times New Roman" w:cs="Times New Roman"/>
          <w:sz w:val="24"/>
          <w:szCs w:val="24"/>
        </w:rPr>
        <w:t>) sulit masuk untuk berintegrasi dalam pasar tenaga kerja ASEAN yang telah unggul; terjadinya beberapa bencana alam (</w:t>
      </w:r>
      <w:r w:rsidRPr="008C5F0E">
        <w:rPr>
          <w:rFonts w:ascii="Times New Roman" w:hAnsi="Times New Roman" w:cs="Times New Roman"/>
          <w:i/>
          <w:sz w:val="24"/>
          <w:szCs w:val="24"/>
        </w:rPr>
        <w:t>natural disaster</w:t>
      </w:r>
      <w:r w:rsidRPr="008C5F0E">
        <w:rPr>
          <w:rFonts w:ascii="Times New Roman" w:hAnsi="Times New Roman" w:cs="Times New Roman"/>
          <w:sz w:val="24"/>
          <w:szCs w:val="24"/>
        </w:rPr>
        <w:t>) yang tidak diperkirakan mengingat kawasan Asia Tenggara berada di daerah cincin api pasifik; dan pindahnya pekerja terdidik dan terlatih dari negara ASEAN yang agak terbelakang ke negara yang lebih maju (</w:t>
      </w:r>
      <w:r w:rsidRPr="008C5F0E">
        <w:rPr>
          <w:rFonts w:ascii="Times New Roman" w:hAnsi="Times New Roman" w:cs="Times New Roman"/>
          <w:i/>
          <w:sz w:val="24"/>
          <w:szCs w:val="24"/>
        </w:rPr>
        <w:t>resource</w:t>
      </w:r>
      <w:r w:rsidR="00FB2B70" w:rsidRPr="008C5F0E">
        <w:rPr>
          <w:rFonts w:ascii="Times New Roman" w:hAnsi="Times New Roman" w:cs="Times New Roman"/>
          <w:i/>
          <w:sz w:val="24"/>
          <w:szCs w:val="24"/>
        </w:rPr>
        <w:t xml:space="preserve"> drain</w:t>
      </w:r>
      <w:r w:rsidR="00FB2B70" w:rsidRPr="008C5F0E">
        <w:rPr>
          <w:rFonts w:ascii="Times New Roman" w:hAnsi="Times New Roman" w:cs="Times New Roman"/>
          <w:sz w:val="24"/>
          <w:szCs w:val="24"/>
        </w:rPr>
        <w:t>).</w:t>
      </w:r>
      <w:r w:rsidR="00FB2B70">
        <w:rPr>
          <w:rStyle w:val="FootnoteReference"/>
          <w:rFonts w:ascii="Times New Roman" w:hAnsi="Times New Roman" w:cs="Times New Roman"/>
          <w:sz w:val="24"/>
          <w:szCs w:val="24"/>
        </w:rPr>
        <w:footnoteReference w:id="1"/>
      </w:r>
      <w:r w:rsidRPr="008C5F0E">
        <w:rPr>
          <w:rFonts w:ascii="Times New Roman" w:hAnsi="Times New Roman" w:cs="Times New Roman"/>
          <w:sz w:val="24"/>
          <w:szCs w:val="24"/>
        </w:rPr>
        <w:t xml:space="preserve"> </w:t>
      </w:r>
    </w:p>
    <w:p w:rsidR="006840E8" w:rsidRDefault="00FB2B70" w:rsidP="007E4D7C">
      <w:pPr>
        <w:spacing w:before="24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Khusus untuk transportasi laut, negara-negara ASEAN menaruh perhatian </w:t>
      </w:r>
      <w:r w:rsidR="0069439A">
        <w:rPr>
          <w:rFonts w:ascii="Times New Roman" w:hAnsi="Times New Roman" w:cs="Times New Roman"/>
          <w:sz w:val="24"/>
          <w:szCs w:val="24"/>
        </w:rPr>
        <w:t xml:space="preserve">yang cukup besar mengingat sebagian besar transportasi barang untuk ekspor dan impor di ASEAN dilakukan melalui transportasi laut. Sebagai ujung tombak perdagangan internasional dan kemajuan jasa logistik, transportasi laut merupakan moda yang sangat penting. Jalur perdagangan internasional melalui ekspor-impor masih di dominasi oleh trasnportasi laut karena efisiensinya dalam hal menekan biaya. Meskipun transportasi laut sangat strategis, tingkat </w:t>
      </w:r>
      <w:r w:rsidR="0069439A">
        <w:rPr>
          <w:rFonts w:ascii="Times New Roman" w:hAnsi="Times New Roman" w:cs="Times New Roman"/>
          <w:sz w:val="24"/>
          <w:szCs w:val="24"/>
        </w:rPr>
        <w:lastRenderedPageBreak/>
        <w:t>utilitasi transportasi laut intra-A</w:t>
      </w:r>
      <w:r w:rsidR="00465BC6">
        <w:rPr>
          <w:rFonts w:ascii="Times New Roman" w:hAnsi="Times New Roman" w:cs="Times New Roman"/>
          <w:sz w:val="24"/>
          <w:szCs w:val="24"/>
        </w:rPr>
        <w:t xml:space="preserve">SEAN masih cukup rendah. Volume perdagangan internasional di antara negara-negara ASEAN juga bervariasi dengan tingkat kemajuan yang berbeda. Hal ini terlihat dari masih rendahnya peringkat indeks konektivitas jalur laut UNCTAD kecuali untuk Malaysia dan Singapura. Demikian pula, peringkat indeks kinerja logistik masih di dominasi oleh kedua negara tersebut plus Thailand, meskipun beberapa negara lainnya, terutama Vietnam dan Filipina berusaha untuk mengejarnya. Investasi untuk memperluas kapasitas mendesak dilakukan untuk mencapai pertumbuhan perdagangan dan integrasi ekonomi yang lebih dalam. Upaya untuk meningkatkan hal tersebut melalui rencana pembangunan 47 pelabuhan sebagai pelabuhan utama yang menghubungkan jaringan trans-ASEAN. khusus untuk transportasi laut, terdapat beberapa tantangan besar terutama dalam mengintegrasikan dan mengharmoniskan </w:t>
      </w:r>
      <w:r w:rsidR="00B54CDE">
        <w:rPr>
          <w:rFonts w:ascii="Times New Roman" w:hAnsi="Times New Roman" w:cs="Times New Roman"/>
          <w:sz w:val="24"/>
          <w:szCs w:val="24"/>
        </w:rPr>
        <w:t>pelayanan dan kualitas pelabuhan yang berbeda-beda di setiap negara. Sebagai instrumen penting dalam perdagangan internasional, transportasi laut menopang kelangsungan jasa logistik yang dapat diandalkan. Padahal tingkat efisiensi jaringan transportasi laut dan pembangunan infrastrukur sangat bervariasi di setiap negara, seperti</w:t>
      </w:r>
      <w:r w:rsidR="00A47E6F">
        <w:rPr>
          <w:rFonts w:ascii="Times New Roman" w:hAnsi="Times New Roman" w:cs="Times New Roman"/>
          <w:sz w:val="24"/>
          <w:szCs w:val="24"/>
        </w:rPr>
        <w:t xml:space="preserve"> </w:t>
      </w:r>
      <w:r w:rsidR="00B54CDE">
        <w:rPr>
          <w:rFonts w:ascii="Times New Roman" w:hAnsi="Times New Roman" w:cs="Times New Roman"/>
          <w:sz w:val="24"/>
          <w:szCs w:val="24"/>
        </w:rPr>
        <w:t>kapasitas pelabuhan dan penanganan kargo, kapasitas logistik pelabuhan dan darat, kepabeanan dan prosedur administrasinya.</w:t>
      </w:r>
      <w:r w:rsidR="00B54CDE">
        <w:rPr>
          <w:rStyle w:val="FootnoteReference"/>
          <w:rFonts w:ascii="Times New Roman" w:hAnsi="Times New Roman" w:cs="Times New Roman"/>
          <w:sz w:val="24"/>
          <w:szCs w:val="24"/>
        </w:rPr>
        <w:footnoteReference w:id="2"/>
      </w:r>
    </w:p>
    <w:p w:rsidR="00A614CF" w:rsidRDefault="00A614CF" w:rsidP="007E4D7C">
      <w:pPr>
        <w:spacing w:before="240" w:line="480" w:lineRule="auto"/>
        <w:ind w:left="720" w:firstLine="720"/>
        <w:jc w:val="both"/>
        <w:rPr>
          <w:rFonts w:ascii="Times New Roman" w:hAnsi="Times New Roman" w:cs="Times New Roman"/>
          <w:sz w:val="24"/>
          <w:szCs w:val="24"/>
        </w:rPr>
      </w:pPr>
    </w:p>
    <w:p w:rsidR="00191CDA" w:rsidRPr="00A47E6F" w:rsidRDefault="006840E8" w:rsidP="005D4F18">
      <w:pPr>
        <w:pStyle w:val="ListParagraph"/>
        <w:numPr>
          <w:ilvl w:val="0"/>
          <w:numId w:val="24"/>
        </w:numPr>
        <w:spacing w:line="480" w:lineRule="auto"/>
        <w:ind w:left="709"/>
        <w:jc w:val="both"/>
        <w:rPr>
          <w:rFonts w:ascii="Times New Roman" w:hAnsi="Times New Roman" w:cs="Times New Roman"/>
          <w:sz w:val="24"/>
          <w:szCs w:val="24"/>
        </w:rPr>
      </w:pPr>
      <w:r w:rsidRPr="00A47E6F">
        <w:rPr>
          <w:rFonts w:ascii="Times New Roman" w:hAnsi="Times New Roman" w:cs="Times New Roman"/>
          <w:b/>
          <w:sz w:val="24"/>
          <w:szCs w:val="24"/>
        </w:rPr>
        <w:lastRenderedPageBreak/>
        <w:t xml:space="preserve">Pembentukan ASEAN </w:t>
      </w:r>
      <w:r w:rsidRPr="00A47E6F">
        <w:rPr>
          <w:rFonts w:ascii="Times New Roman" w:hAnsi="Times New Roman" w:cs="Times New Roman"/>
          <w:b/>
          <w:i/>
          <w:sz w:val="24"/>
          <w:szCs w:val="24"/>
        </w:rPr>
        <w:t>Single Window</w:t>
      </w:r>
    </w:p>
    <w:p w:rsidR="003F5DCF" w:rsidRPr="007E4D7C" w:rsidRDefault="00BB4127" w:rsidP="005D4F18">
      <w:pPr>
        <w:pStyle w:val="ListParagraph"/>
        <w:numPr>
          <w:ilvl w:val="0"/>
          <w:numId w:val="3"/>
        </w:numPr>
        <w:spacing w:before="240" w:line="480" w:lineRule="auto"/>
        <w:jc w:val="both"/>
        <w:rPr>
          <w:rFonts w:ascii="Times New Roman" w:hAnsi="Times New Roman" w:cs="Times New Roman"/>
          <w:sz w:val="24"/>
          <w:szCs w:val="24"/>
          <w:vertAlign w:val="superscript"/>
        </w:rPr>
      </w:pPr>
      <w:r>
        <w:rPr>
          <w:rFonts w:ascii="Times New Roman" w:hAnsi="Times New Roman" w:cs="Times New Roman"/>
          <w:b/>
          <w:sz w:val="24"/>
          <w:szCs w:val="24"/>
        </w:rPr>
        <w:t xml:space="preserve">Latar Belakang </w:t>
      </w:r>
      <w:r w:rsidR="003F5DCF">
        <w:rPr>
          <w:rFonts w:ascii="Times New Roman" w:hAnsi="Times New Roman" w:cs="Times New Roman"/>
          <w:b/>
          <w:sz w:val="24"/>
          <w:szCs w:val="24"/>
        </w:rPr>
        <w:t xml:space="preserve"> ASEAN </w:t>
      </w:r>
      <w:r w:rsidR="003F5DCF">
        <w:rPr>
          <w:rFonts w:ascii="Times New Roman" w:hAnsi="Times New Roman" w:cs="Times New Roman"/>
          <w:b/>
          <w:i/>
          <w:sz w:val="24"/>
          <w:szCs w:val="24"/>
        </w:rPr>
        <w:t>Single Window</w:t>
      </w:r>
    </w:p>
    <w:p w:rsidR="00926B13" w:rsidRDefault="009939A3" w:rsidP="00926B13">
      <w:pPr>
        <w:pStyle w:val="ListParagraph"/>
        <w:spacing w:before="240" w:line="480" w:lineRule="auto"/>
        <w:ind w:firstLine="720"/>
        <w:jc w:val="both"/>
        <w:rPr>
          <w:rFonts w:ascii="Times New Roman" w:hAnsi="Times New Roman" w:cs="Times New Roman"/>
          <w:sz w:val="24"/>
          <w:szCs w:val="24"/>
        </w:rPr>
      </w:pPr>
      <w:r w:rsidRPr="007E4D7C">
        <w:rPr>
          <w:rFonts w:ascii="Times New Roman" w:hAnsi="Times New Roman" w:cs="Times New Roman"/>
          <w:sz w:val="24"/>
          <w:szCs w:val="24"/>
        </w:rPr>
        <w:t xml:space="preserve">Perubahan lingkungan strategis global menuntut negara-negara di dunia untuk senantiasa meningkatkan daya saingnya. Kemajuan yang pesat di bidang teknologi telah membawa </w:t>
      </w:r>
      <w:r w:rsidR="007E4D7C" w:rsidRPr="007E4D7C">
        <w:rPr>
          <w:rFonts w:ascii="Times New Roman" w:hAnsi="Times New Roman" w:cs="Times New Roman"/>
          <w:sz w:val="24"/>
          <w:szCs w:val="24"/>
        </w:rPr>
        <w:t>perubahan yang sangat cepat dalam proses produksi sehingga kelancaran arus barang di pelabuhan menjadi salah satu kunci keberhasilan dalam menghadapi persaingan global. Sementara itu, pada tataran regional</w:t>
      </w:r>
      <w:r w:rsidR="007E4D7C">
        <w:rPr>
          <w:rFonts w:ascii="Times New Roman" w:hAnsi="Times New Roman" w:cs="Times New Roman"/>
          <w:sz w:val="24"/>
          <w:szCs w:val="24"/>
        </w:rPr>
        <w:t xml:space="preserve">, terdapat gerakan kearah pengintegrasian kekuatan ekonomi. Di ASEAN misalnya, muncul gerakan untuk mempercepat terbentuknya “ASEAN </w:t>
      </w:r>
      <w:r w:rsidR="007E4D7C" w:rsidRPr="007E4D7C">
        <w:rPr>
          <w:rFonts w:ascii="Times New Roman" w:hAnsi="Times New Roman" w:cs="Times New Roman"/>
          <w:i/>
          <w:sz w:val="24"/>
          <w:szCs w:val="24"/>
        </w:rPr>
        <w:t>Economic Community</w:t>
      </w:r>
      <w:r w:rsidR="007E4D7C">
        <w:rPr>
          <w:rFonts w:ascii="Times New Roman" w:hAnsi="Times New Roman" w:cs="Times New Roman"/>
          <w:sz w:val="24"/>
          <w:szCs w:val="24"/>
        </w:rPr>
        <w:t xml:space="preserve">” yang semula ditetapkan pada tahun 2020 kemudian dipercepat menjadi tahun 2015. Dalam kaitan ini, negara-negara ASEAN, melalui </w:t>
      </w:r>
      <w:r w:rsidR="007E4D7C">
        <w:rPr>
          <w:rFonts w:ascii="Times New Roman" w:hAnsi="Times New Roman" w:cs="Times New Roman"/>
          <w:i/>
          <w:sz w:val="24"/>
          <w:szCs w:val="24"/>
        </w:rPr>
        <w:t xml:space="preserve">Agreement to Establish and Implement The ASEAN Single Window </w:t>
      </w:r>
      <w:r w:rsidR="007E4D7C">
        <w:rPr>
          <w:rFonts w:ascii="Times New Roman" w:hAnsi="Times New Roman" w:cs="Times New Roman"/>
          <w:sz w:val="24"/>
          <w:szCs w:val="24"/>
        </w:rPr>
        <w:t xml:space="preserve">(ASW), sepakat untuk membangun sistem ASEAN Single Window (ASW). Dalam era globalisasi ekonomi dan liberalisasi perdagangan seperti sekarang ini, ketergantungan setiap negara terhadap aktifitas perdagangan internasional dan lalulintas barang ekspor-impor akan semakin tinggi, dimana negara-negara maju maupun negara-negara berkembang akan saling membutuhkan satu sama lain, baik sebagai pasar terhadap produk mereka maupun sebagai penghasil bahan baku industri mereka. Hal ini menyebabkan tingkat persaingan </w:t>
      </w:r>
      <w:r w:rsidR="007F3F01">
        <w:rPr>
          <w:rFonts w:ascii="Times New Roman" w:hAnsi="Times New Roman" w:cs="Times New Roman"/>
          <w:sz w:val="24"/>
          <w:szCs w:val="24"/>
        </w:rPr>
        <w:t xml:space="preserve">global semakin ketat, sehingga setiap negara secara sendiri-sendiri maupun bersama-sama dalam satu komunitas regional, perlu segera mengambil langkah-langkah serius untuk menangani masalah kelancaran lalulintas barang ekspor-impor. Dalam kondisi seperti ini, melalui berbagai kebijakan yang telah ditetapkan, </w:t>
      </w:r>
      <w:r w:rsidR="007F3F01">
        <w:rPr>
          <w:rFonts w:ascii="Times New Roman" w:hAnsi="Times New Roman" w:cs="Times New Roman"/>
          <w:sz w:val="24"/>
          <w:szCs w:val="24"/>
        </w:rPr>
        <w:lastRenderedPageBreak/>
        <w:t>pemerintah berupaya sekuat tenaga untuk dapat mendorong kelancaran dan kecepatan arus barang ekspor-impor, sehingga diharapkan akan mampu menggerakkan perekonomian nasional, meingkatkan daya saing nasional dan merangsang masuknya investasi.</w:t>
      </w:r>
      <w:r w:rsidR="00C86D2A">
        <w:rPr>
          <w:rStyle w:val="FootnoteReference"/>
          <w:rFonts w:ascii="Times New Roman" w:hAnsi="Times New Roman" w:cs="Times New Roman"/>
          <w:sz w:val="24"/>
          <w:szCs w:val="24"/>
        </w:rPr>
        <w:footnoteReference w:id="3"/>
      </w:r>
    </w:p>
    <w:p w:rsidR="00191CDA" w:rsidRPr="00926B13" w:rsidRDefault="00191CDA" w:rsidP="00926B13">
      <w:pPr>
        <w:pStyle w:val="ListParagraph"/>
        <w:spacing w:before="240" w:line="480" w:lineRule="auto"/>
        <w:ind w:firstLine="720"/>
        <w:jc w:val="both"/>
        <w:rPr>
          <w:rFonts w:ascii="Times New Roman" w:hAnsi="Times New Roman" w:cs="Times New Roman"/>
          <w:sz w:val="24"/>
          <w:szCs w:val="24"/>
        </w:rPr>
      </w:pPr>
    </w:p>
    <w:p w:rsidR="003F5DCF" w:rsidRPr="003F5DCF" w:rsidRDefault="003F5DCF" w:rsidP="005D4F18">
      <w:pPr>
        <w:pStyle w:val="ListParagraph"/>
        <w:numPr>
          <w:ilvl w:val="0"/>
          <w:numId w:val="3"/>
        </w:numPr>
        <w:spacing w:before="240" w:line="480" w:lineRule="auto"/>
        <w:jc w:val="both"/>
        <w:rPr>
          <w:rFonts w:ascii="Times New Roman" w:hAnsi="Times New Roman" w:cs="Times New Roman"/>
          <w:sz w:val="24"/>
          <w:szCs w:val="24"/>
          <w:vertAlign w:val="superscript"/>
        </w:rPr>
      </w:pPr>
      <w:r>
        <w:rPr>
          <w:rFonts w:ascii="Times New Roman" w:hAnsi="Times New Roman" w:cs="Times New Roman"/>
          <w:b/>
          <w:sz w:val="24"/>
          <w:szCs w:val="24"/>
        </w:rPr>
        <w:t xml:space="preserve">Landasan Hukum ASEAN </w:t>
      </w:r>
      <w:r>
        <w:rPr>
          <w:rFonts w:ascii="Times New Roman" w:hAnsi="Times New Roman" w:cs="Times New Roman"/>
          <w:b/>
          <w:i/>
          <w:sz w:val="24"/>
          <w:szCs w:val="24"/>
        </w:rPr>
        <w:t>Single Window</w:t>
      </w:r>
    </w:p>
    <w:p w:rsidR="003F5DCF" w:rsidRDefault="003F5DCF" w:rsidP="00926B13">
      <w:pPr>
        <w:pStyle w:val="ListParagraph"/>
        <w:spacing w:before="240" w:line="480" w:lineRule="auto"/>
        <w:ind w:firstLine="720"/>
        <w:jc w:val="both"/>
        <w:rPr>
          <w:rFonts w:ascii="Times New Roman" w:hAnsi="Times New Roman" w:cs="Times New Roman"/>
          <w:sz w:val="24"/>
          <w:szCs w:val="24"/>
        </w:rPr>
      </w:pPr>
      <w:r w:rsidRPr="003F5DCF">
        <w:rPr>
          <w:rFonts w:ascii="Times New Roman" w:hAnsi="Times New Roman" w:cs="Times New Roman"/>
          <w:sz w:val="24"/>
          <w:szCs w:val="24"/>
        </w:rPr>
        <w:t>Kesepakatan para pemimpin negara anggota ASEAN yang dikenal dengan</w:t>
      </w:r>
      <w:r>
        <w:rPr>
          <w:rFonts w:ascii="Times New Roman" w:hAnsi="Times New Roman" w:cs="Times New Roman"/>
          <w:sz w:val="24"/>
          <w:szCs w:val="24"/>
        </w:rPr>
        <w:t xml:space="preserve"> </w:t>
      </w:r>
      <w:r>
        <w:rPr>
          <w:rFonts w:ascii="Times New Roman" w:hAnsi="Times New Roman" w:cs="Times New Roman"/>
          <w:i/>
          <w:sz w:val="24"/>
          <w:szCs w:val="24"/>
        </w:rPr>
        <w:t xml:space="preserve">Declaration of </w:t>
      </w:r>
      <w:r>
        <w:rPr>
          <w:rFonts w:ascii="Times New Roman" w:hAnsi="Times New Roman" w:cs="Times New Roman"/>
          <w:sz w:val="24"/>
          <w:szCs w:val="24"/>
        </w:rPr>
        <w:t xml:space="preserve">ASEAN </w:t>
      </w:r>
      <w:r>
        <w:rPr>
          <w:rFonts w:ascii="Times New Roman" w:hAnsi="Times New Roman" w:cs="Times New Roman"/>
          <w:i/>
          <w:sz w:val="24"/>
          <w:szCs w:val="24"/>
        </w:rPr>
        <w:t>Con</w:t>
      </w:r>
      <w:r w:rsidR="00666ED3">
        <w:rPr>
          <w:rFonts w:ascii="Times New Roman" w:hAnsi="Times New Roman" w:cs="Times New Roman"/>
          <w:i/>
          <w:sz w:val="24"/>
          <w:szCs w:val="24"/>
        </w:rPr>
        <w:t xml:space="preserve">cord II </w:t>
      </w:r>
      <w:r w:rsidR="00666ED3">
        <w:rPr>
          <w:rFonts w:ascii="Times New Roman" w:hAnsi="Times New Roman" w:cs="Times New Roman"/>
          <w:sz w:val="24"/>
          <w:szCs w:val="24"/>
        </w:rPr>
        <w:t xml:space="preserve">(Bali Concord II) tahun 2003 yang ditandatangani oleh seluruh pemimpin negara-negara ASEAN mengenai visi integrasi ekonomi untuk membentuk Masyarakat Ekonomi ASEAN (ASEAN </w:t>
      </w:r>
      <w:r w:rsidR="00666ED3">
        <w:rPr>
          <w:rFonts w:ascii="Times New Roman" w:hAnsi="Times New Roman" w:cs="Times New Roman"/>
          <w:i/>
          <w:sz w:val="24"/>
          <w:szCs w:val="24"/>
        </w:rPr>
        <w:t>Economic Community</w:t>
      </w:r>
      <w:r w:rsidR="00666ED3">
        <w:rPr>
          <w:rFonts w:ascii="Times New Roman" w:hAnsi="Times New Roman" w:cs="Times New Roman"/>
          <w:sz w:val="24"/>
          <w:szCs w:val="24"/>
        </w:rPr>
        <w:t xml:space="preserve">) pada tahun 2020 (yang kemudian dipercepat menjadi 2015) merupakan mandat secara politis untuk pembangunan sistem ASEAN </w:t>
      </w:r>
      <w:r w:rsidR="00666ED3">
        <w:rPr>
          <w:rFonts w:ascii="Times New Roman" w:hAnsi="Times New Roman" w:cs="Times New Roman"/>
          <w:i/>
          <w:sz w:val="24"/>
          <w:szCs w:val="24"/>
        </w:rPr>
        <w:t>Single Window</w:t>
      </w:r>
      <w:r w:rsidR="00666ED3">
        <w:rPr>
          <w:rFonts w:ascii="Times New Roman" w:hAnsi="Times New Roman" w:cs="Times New Roman"/>
          <w:sz w:val="24"/>
          <w:szCs w:val="24"/>
        </w:rPr>
        <w:t xml:space="preserve">. Deklarasi tersebut ditindaklanjuti oleh Menteri-menteri Ekonomi negara ASEAN dengan penandatanganan persetujuan untuk membangun dan melaksanakan ASEAN </w:t>
      </w:r>
      <w:r w:rsidR="00666ED3">
        <w:rPr>
          <w:rFonts w:ascii="Times New Roman" w:hAnsi="Times New Roman" w:cs="Times New Roman"/>
          <w:i/>
          <w:sz w:val="24"/>
          <w:szCs w:val="24"/>
        </w:rPr>
        <w:t xml:space="preserve">Single Window </w:t>
      </w:r>
      <w:r w:rsidR="00666ED3">
        <w:rPr>
          <w:rFonts w:ascii="Times New Roman" w:hAnsi="Times New Roman" w:cs="Times New Roman"/>
          <w:sz w:val="24"/>
          <w:szCs w:val="24"/>
        </w:rPr>
        <w:t>(</w:t>
      </w:r>
      <w:r w:rsidR="00666ED3">
        <w:rPr>
          <w:rFonts w:ascii="Times New Roman" w:hAnsi="Times New Roman" w:cs="Times New Roman"/>
          <w:i/>
          <w:sz w:val="24"/>
          <w:szCs w:val="24"/>
        </w:rPr>
        <w:t xml:space="preserve">Agreement to Establish and Implement The </w:t>
      </w:r>
      <w:r w:rsidR="00666ED3">
        <w:rPr>
          <w:rFonts w:ascii="Times New Roman" w:hAnsi="Times New Roman" w:cs="Times New Roman"/>
          <w:sz w:val="24"/>
          <w:szCs w:val="24"/>
        </w:rPr>
        <w:t xml:space="preserve">ASEAN </w:t>
      </w:r>
      <w:r w:rsidR="00666ED3">
        <w:rPr>
          <w:rFonts w:ascii="Times New Roman" w:hAnsi="Times New Roman" w:cs="Times New Roman"/>
          <w:i/>
          <w:sz w:val="24"/>
          <w:szCs w:val="24"/>
        </w:rPr>
        <w:t>Single Window</w:t>
      </w:r>
      <w:r w:rsidR="00666ED3">
        <w:rPr>
          <w:rFonts w:ascii="Times New Roman" w:hAnsi="Times New Roman" w:cs="Times New Roman"/>
          <w:sz w:val="24"/>
          <w:szCs w:val="24"/>
        </w:rPr>
        <w:t xml:space="preserve">), dikenal dengan nama ASW </w:t>
      </w:r>
      <w:r w:rsidR="00666ED3">
        <w:rPr>
          <w:rFonts w:ascii="Times New Roman" w:hAnsi="Times New Roman" w:cs="Times New Roman"/>
          <w:i/>
          <w:sz w:val="24"/>
          <w:szCs w:val="24"/>
        </w:rPr>
        <w:t>Agreement</w:t>
      </w:r>
      <w:r w:rsidR="00666ED3">
        <w:rPr>
          <w:rFonts w:ascii="Times New Roman" w:hAnsi="Times New Roman" w:cs="Times New Roman"/>
          <w:sz w:val="24"/>
          <w:szCs w:val="24"/>
        </w:rPr>
        <w:t xml:space="preserve">, pada tanggal 9 Desember 2005 di Kuala Lumpur, dimana dari Indonesia diwakili oleh Menteri Perdagangan Republik Indonesia. Untuk melaksanakan  ASW </w:t>
      </w:r>
      <w:r w:rsidR="00666ED3">
        <w:rPr>
          <w:rFonts w:ascii="Times New Roman" w:hAnsi="Times New Roman" w:cs="Times New Roman"/>
          <w:i/>
          <w:sz w:val="24"/>
          <w:szCs w:val="24"/>
        </w:rPr>
        <w:t xml:space="preserve">Agreement </w:t>
      </w:r>
      <w:r w:rsidR="00666ED3">
        <w:rPr>
          <w:rFonts w:ascii="Times New Roman" w:hAnsi="Times New Roman" w:cs="Times New Roman"/>
          <w:sz w:val="24"/>
          <w:szCs w:val="24"/>
        </w:rPr>
        <w:t xml:space="preserve">tersebut, penjelasan teknis lebih lanjut dituangkan kedalam protokol untuk membangun dan melaksanakan ASEAN </w:t>
      </w:r>
      <w:r w:rsidR="00666ED3">
        <w:rPr>
          <w:rFonts w:ascii="Times New Roman" w:hAnsi="Times New Roman" w:cs="Times New Roman"/>
          <w:i/>
          <w:sz w:val="24"/>
          <w:szCs w:val="24"/>
        </w:rPr>
        <w:t xml:space="preserve">Single Window </w:t>
      </w:r>
      <w:r w:rsidR="00666ED3">
        <w:rPr>
          <w:rFonts w:ascii="Times New Roman" w:hAnsi="Times New Roman" w:cs="Times New Roman"/>
          <w:sz w:val="24"/>
          <w:szCs w:val="24"/>
        </w:rPr>
        <w:t>(</w:t>
      </w:r>
      <w:r w:rsidR="00666ED3">
        <w:rPr>
          <w:rFonts w:ascii="Times New Roman" w:hAnsi="Times New Roman" w:cs="Times New Roman"/>
          <w:i/>
          <w:sz w:val="24"/>
          <w:szCs w:val="24"/>
        </w:rPr>
        <w:t xml:space="preserve">Protocol </w:t>
      </w:r>
      <w:r w:rsidR="00926B13">
        <w:rPr>
          <w:rFonts w:ascii="Times New Roman" w:hAnsi="Times New Roman" w:cs="Times New Roman"/>
          <w:i/>
          <w:sz w:val="24"/>
          <w:szCs w:val="24"/>
        </w:rPr>
        <w:t xml:space="preserve">to Establish and Implement The ASEAN Single </w:t>
      </w:r>
      <w:r w:rsidR="00926B13">
        <w:rPr>
          <w:rFonts w:ascii="Times New Roman" w:hAnsi="Times New Roman" w:cs="Times New Roman"/>
          <w:i/>
          <w:sz w:val="24"/>
          <w:szCs w:val="24"/>
        </w:rPr>
        <w:lastRenderedPageBreak/>
        <w:t>Window</w:t>
      </w:r>
      <w:r w:rsidR="00926B13">
        <w:rPr>
          <w:rFonts w:ascii="Times New Roman" w:hAnsi="Times New Roman" w:cs="Times New Roman"/>
          <w:sz w:val="24"/>
          <w:szCs w:val="24"/>
        </w:rPr>
        <w:t xml:space="preserve">), dikenal dengan nama ASW </w:t>
      </w:r>
      <w:r w:rsidR="00926B13">
        <w:rPr>
          <w:rFonts w:ascii="Times New Roman" w:hAnsi="Times New Roman" w:cs="Times New Roman"/>
          <w:i/>
          <w:sz w:val="24"/>
          <w:szCs w:val="24"/>
        </w:rPr>
        <w:t>Protocol</w:t>
      </w:r>
      <w:r w:rsidR="00926B13">
        <w:rPr>
          <w:rFonts w:ascii="Times New Roman" w:hAnsi="Times New Roman" w:cs="Times New Roman"/>
          <w:sz w:val="24"/>
          <w:szCs w:val="24"/>
        </w:rPr>
        <w:t xml:space="preserve">, yang ditandatangani secara sirkulasi oleh para Menteri Keuangan pada tanggal 20 Desember 2006. Penandatanganan ASW </w:t>
      </w:r>
      <w:r w:rsidR="00926B13">
        <w:rPr>
          <w:rFonts w:ascii="Times New Roman" w:hAnsi="Times New Roman" w:cs="Times New Roman"/>
          <w:i/>
          <w:sz w:val="24"/>
          <w:szCs w:val="24"/>
        </w:rPr>
        <w:t xml:space="preserve">Agreement and </w:t>
      </w:r>
      <w:r w:rsidR="00926B13">
        <w:rPr>
          <w:rFonts w:ascii="Times New Roman" w:hAnsi="Times New Roman" w:cs="Times New Roman"/>
          <w:sz w:val="24"/>
          <w:szCs w:val="24"/>
        </w:rPr>
        <w:t xml:space="preserve">ASW </w:t>
      </w:r>
      <w:r w:rsidR="00926B13">
        <w:rPr>
          <w:rFonts w:ascii="Times New Roman" w:hAnsi="Times New Roman" w:cs="Times New Roman"/>
          <w:i/>
          <w:sz w:val="24"/>
          <w:szCs w:val="24"/>
        </w:rPr>
        <w:t xml:space="preserve">Protocol </w:t>
      </w:r>
      <w:r w:rsidR="00926B13">
        <w:rPr>
          <w:rFonts w:ascii="Times New Roman" w:hAnsi="Times New Roman" w:cs="Times New Roman"/>
          <w:sz w:val="24"/>
          <w:szCs w:val="24"/>
        </w:rPr>
        <w:t xml:space="preserve">merupakan </w:t>
      </w:r>
      <w:r w:rsidR="00926B13">
        <w:rPr>
          <w:rFonts w:ascii="Times New Roman" w:hAnsi="Times New Roman" w:cs="Times New Roman"/>
          <w:i/>
          <w:sz w:val="24"/>
          <w:szCs w:val="24"/>
        </w:rPr>
        <w:t xml:space="preserve">milestone </w:t>
      </w:r>
      <w:r w:rsidR="00926B13">
        <w:rPr>
          <w:rFonts w:ascii="Times New Roman" w:hAnsi="Times New Roman" w:cs="Times New Roman"/>
          <w:sz w:val="24"/>
          <w:szCs w:val="24"/>
        </w:rPr>
        <w:t xml:space="preserve">dimulainya pembentukan </w:t>
      </w:r>
      <w:r w:rsidR="00926B13">
        <w:rPr>
          <w:rFonts w:ascii="Times New Roman" w:hAnsi="Times New Roman" w:cs="Times New Roman"/>
          <w:i/>
          <w:sz w:val="24"/>
          <w:szCs w:val="24"/>
        </w:rPr>
        <w:t xml:space="preserve">Single Window </w:t>
      </w:r>
      <w:r w:rsidR="00926B13">
        <w:rPr>
          <w:rFonts w:ascii="Times New Roman" w:hAnsi="Times New Roman" w:cs="Times New Roman"/>
          <w:sz w:val="24"/>
          <w:szCs w:val="24"/>
        </w:rPr>
        <w:t>di regional ASEAN.</w:t>
      </w:r>
      <w:r w:rsidR="00B33353">
        <w:rPr>
          <w:rStyle w:val="FootnoteReference"/>
          <w:rFonts w:ascii="Times New Roman" w:hAnsi="Times New Roman" w:cs="Times New Roman"/>
          <w:sz w:val="24"/>
          <w:szCs w:val="24"/>
        </w:rPr>
        <w:footnoteReference w:id="4"/>
      </w:r>
    </w:p>
    <w:p w:rsidR="00191CDA" w:rsidRDefault="00191CDA" w:rsidP="00926B13">
      <w:pPr>
        <w:pStyle w:val="ListParagraph"/>
        <w:spacing w:before="240" w:line="480" w:lineRule="auto"/>
        <w:ind w:firstLine="720"/>
        <w:jc w:val="both"/>
        <w:rPr>
          <w:rFonts w:ascii="Times New Roman" w:hAnsi="Times New Roman" w:cs="Times New Roman"/>
          <w:sz w:val="24"/>
          <w:szCs w:val="24"/>
        </w:rPr>
      </w:pPr>
    </w:p>
    <w:p w:rsidR="00926B13" w:rsidRPr="008878C7" w:rsidRDefault="00BB4127" w:rsidP="005D4F18">
      <w:pPr>
        <w:pStyle w:val="ListParagraph"/>
        <w:numPr>
          <w:ilvl w:val="0"/>
          <w:numId w:val="3"/>
        </w:numPr>
        <w:spacing w:before="240" w:line="480" w:lineRule="auto"/>
        <w:jc w:val="both"/>
        <w:rPr>
          <w:rFonts w:ascii="Times New Roman" w:hAnsi="Times New Roman" w:cs="Times New Roman"/>
          <w:sz w:val="24"/>
          <w:szCs w:val="24"/>
        </w:rPr>
      </w:pPr>
      <w:r>
        <w:rPr>
          <w:rFonts w:ascii="Times New Roman" w:hAnsi="Times New Roman" w:cs="Times New Roman"/>
          <w:b/>
          <w:sz w:val="24"/>
          <w:szCs w:val="24"/>
        </w:rPr>
        <w:t>Gambaran U</w:t>
      </w:r>
      <w:r w:rsidR="008878C7">
        <w:rPr>
          <w:rFonts w:ascii="Times New Roman" w:hAnsi="Times New Roman" w:cs="Times New Roman"/>
          <w:b/>
          <w:sz w:val="24"/>
          <w:szCs w:val="24"/>
        </w:rPr>
        <w:t xml:space="preserve">mum dan Konseptual ASEAN </w:t>
      </w:r>
      <w:r w:rsidR="008878C7">
        <w:rPr>
          <w:rFonts w:ascii="Times New Roman" w:hAnsi="Times New Roman" w:cs="Times New Roman"/>
          <w:b/>
          <w:i/>
          <w:sz w:val="24"/>
          <w:szCs w:val="24"/>
        </w:rPr>
        <w:t>Single Window</w:t>
      </w:r>
    </w:p>
    <w:p w:rsidR="008878C7" w:rsidRDefault="00C06457" w:rsidP="00914C38">
      <w:pPr>
        <w:pStyle w:val="ListParagraph"/>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ASEAN </w:t>
      </w:r>
      <w:r>
        <w:rPr>
          <w:rFonts w:ascii="Times New Roman" w:hAnsi="Times New Roman" w:cs="Times New Roman"/>
          <w:i/>
          <w:sz w:val="24"/>
          <w:szCs w:val="24"/>
        </w:rPr>
        <w:t xml:space="preserve">Single Window </w:t>
      </w:r>
      <w:r w:rsidR="000A7462">
        <w:rPr>
          <w:rFonts w:ascii="Times New Roman" w:hAnsi="Times New Roman" w:cs="Times New Roman"/>
          <w:sz w:val="24"/>
          <w:szCs w:val="24"/>
        </w:rPr>
        <w:t>merupakan</w:t>
      </w:r>
      <w:r>
        <w:rPr>
          <w:rFonts w:ascii="Times New Roman" w:hAnsi="Times New Roman" w:cs="Times New Roman"/>
          <w:sz w:val="24"/>
          <w:szCs w:val="24"/>
        </w:rPr>
        <w:t xml:space="preserve"> suatu lingkungan fasilitasi perdagangan yang beroperasi</w:t>
      </w:r>
      <w:r w:rsidR="00A51D5D">
        <w:rPr>
          <w:rFonts w:ascii="Times New Roman" w:hAnsi="Times New Roman" w:cs="Times New Roman"/>
          <w:sz w:val="24"/>
          <w:szCs w:val="24"/>
        </w:rPr>
        <w:t xml:space="preserve"> berdasarkan pada parameter standar informasi, prosedur, formalitas, praktek-praktek terbaik internasional yang relevan untuk proses pelepasan dan penyelesaian kepabeanan (</w:t>
      </w:r>
      <w:r w:rsidR="00A51D5D">
        <w:rPr>
          <w:rFonts w:ascii="Times New Roman" w:hAnsi="Times New Roman" w:cs="Times New Roman"/>
          <w:i/>
          <w:sz w:val="24"/>
          <w:szCs w:val="24"/>
        </w:rPr>
        <w:t>release and clearence</w:t>
      </w:r>
      <w:r w:rsidR="00A51D5D">
        <w:rPr>
          <w:rFonts w:ascii="Times New Roman" w:hAnsi="Times New Roman" w:cs="Times New Roman"/>
          <w:sz w:val="24"/>
          <w:szCs w:val="24"/>
        </w:rPr>
        <w:t>) kargo di titik masuk ASEAN di bawah sistem kepabeanan tertentu (impor, ekspor, dan sebagainya). Hal tersebut ditujukan untuk mempercepat pelepasan kargo yang diangkut ke dan dari ASEAN dalam rangka untuk mengurangi biaya transaksi dan waktu yg dibutuhkan di wilayah tersebut. ASW juga harus dilihat sebagai bagian dari rantai pasokan global dan industri logistik yang bekerja untuk merealisasikan Masyarakat Ekonomi ASEAN yang efektif.</w:t>
      </w:r>
    </w:p>
    <w:p w:rsidR="002C16DC" w:rsidRDefault="000A7462" w:rsidP="002C16DC">
      <w:pPr>
        <w:pStyle w:val="ListParagraph"/>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ASW adalah lingkungan di mana sepuluh NSW (merepresentasikan jumlah negara anggota ASEAN) beroperasi dan berintegrasi untuk mempercepat pelepasan dan penyelesaian pabean. Cara kerja ASW didasarkan pada hubungan antar aktor ekonomi dalam bentuk Pemerintah-ke-Pemerintah, Pemerintah-ke-Bisnis, Bisnis-ke-Bisnis atau Bisnis-ke-Pemerintah. Sistem ini </w:t>
      </w:r>
      <w:r>
        <w:rPr>
          <w:rFonts w:ascii="Times New Roman" w:hAnsi="Times New Roman" w:cs="Times New Roman"/>
          <w:sz w:val="24"/>
          <w:szCs w:val="24"/>
        </w:rPr>
        <w:lastRenderedPageBreak/>
        <w:t xml:space="preserve">juga bekerja dalam konteks peningkatan penyederhanaan dan harmonisasi prosedur kepabeanan dan formalitas serta standarisasi dari parameter informasi dengan standar internasional. ASW menerapkan pengolahan informasi yang canggih (Teknologi Informasi dan Komunikasi-TIK), dan mengintegrasikan dirinya melalui lingkungan jaringan yg aman. Model </w:t>
      </w:r>
      <w:r w:rsidR="002C16DC">
        <w:rPr>
          <w:rFonts w:ascii="Times New Roman" w:hAnsi="Times New Roman" w:cs="Times New Roman"/>
          <w:sz w:val="24"/>
          <w:szCs w:val="24"/>
        </w:rPr>
        <w:t>konseptual ASW sebagai berikut:</w:t>
      </w:r>
    </w:p>
    <w:p w:rsidR="00720A15" w:rsidRDefault="001F0584" w:rsidP="001F0584">
      <w:pPr>
        <w:pStyle w:val="ListParagraph"/>
        <w:spacing w:before="240" w:line="480" w:lineRule="auto"/>
        <w:ind w:hanging="11"/>
        <w:jc w:val="center"/>
        <w:rPr>
          <w:rFonts w:ascii="Times New Roman" w:hAnsi="Times New Roman" w:cs="Times New Roman"/>
          <w:sz w:val="24"/>
          <w:szCs w:val="24"/>
        </w:rPr>
      </w:pPr>
      <w:r>
        <w:rPr>
          <w:rFonts w:ascii="Times New Roman" w:hAnsi="Times New Roman" w:cs="Times New Roman"/>
          <w:sz w:val="24"/>
          <w:szCs w:val="24"/>
        </w:rPr>
        <w:t xml:space="preserve">Konseptual ASEAN </w:t>
      </w:r>
      <w:r>
        <w:rPr>
          <w:rFonts w:ascii="Times New Roman" w:hAnsi="Times New Roman" w:cs="Times New Roman"/>
          <w:i/>
          <w:sz w:val="24"/>
          <w:szCs w:val="24"/>
        </w:rPr>
        <w:t>Single Window</w:t>
      </w:r>
      <w:r>
        <w:rPr>
          <w:rFonts w:ascii="Times New Roman" w:hAnsi="Times New Roman" w:cs="Times New Roman"/>
          <w:noProof/>
          <w:sz w:val="24"/>
          <w:szCs w:val="24"/>
        </w:rPr>
        <w:drawing>
          <wp:inline distT="0" distB="0" distL="0" distR="0" wp14:anchorId="60FBBDF7">
            <wp:extent cx="4857750" cy="2725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2725420"/>
                    </a:xfrm>
                    <a:prstGeom prst="rect">
                      <a:avLst/>
                    </a:prstGeom>
                    <a:noFill/>
                  </pic:spPr>
                </pic:pic>
              </a:graphicData>
            </a:graphic>
          </wp:inline>
        </w:drawing>
      </w:r>
    </w:p>
    <w:p w:rsidR="001F0584" w:rsidRPr="001F0584" w:rsidRDefault="001F0584" w:rsidP="001F0584">
      <w:pPr>
        <w:pStyle w:val="ListParagraph"/>
        <w:spacing w:before="240" w:line="480" w:lineRule="auto"/>
        <w:ind w:hanging="11"/>
        <w:jc w:val="both"/>
        <w:rPr>
          <w:rFonts w:ascii="Times New Roman" w:hAnsi="Times New Roman" w:cs="Times New Roman"/>
          <w:sz w:val="24"/>
          <w:szCs w:val="24"/>
        </w:rPr>
      </w:pPr>
      <w:r>
        <w:rPr>
          <w:rFonts w:ascii="Times New Roman" w:hAnsi="Times New Roman" w:cs="Times New Roman"/>
          <w:i/>
          <w:sz w:val="24"/>
          <w:szCs w:val="24"/>
        </w:rPr>
        <w:t xml:space="preserve">Sumber: ASW Technical Guide, </w:t>
      </w:r>
      <w:r w:rsidRPr="003A2608">
        <w:rPr>
          <w:rFonts w:ascii="Times New Roman" w:hAnsi="Times New Roman" w:cs="Times New Roman"/>
          <w:i/>
          <w:sz w:val="24"/>
          <w:szCs w:val="24"/>
        </w:rPr>
        <w:t>2006</w:t>
      </w:r>
    </w:p>
    <w:p w:rsidR="003A2608" w:rsidRDefault="001F0584" w:rsidP="003A2608">
      <w:pPr>
        <w:pStyle w:val="ListParagraph"/>
        <w:spacing w:before="240" w:line="480" w:lineRule="auto"/>
        <w:ind w:hanging="11"/>
        <w:jc w:val="center"/>
        <w:rPr>
          <w:rFonts w:ascii="Times New Roman" w:hAnsi="Times New Roman" w:cs="Times New Roman"/>
          <w:b/>
          <w:sz w:val="24"/>
          <w:szCs w:val="24"/>
        </w:rPr>
      </w:pPr>
      <w:r>
        <w:rPr>
          <w:rFonts w:ascii="Times New Roman" w:hAnsi="Times New Roman" w:cs="Times New Roman"/>
          <w:b/>
          <w:sz w:val="24"/>
          <w:szCs w:val="24"/>
        </w:rPr>
        <w:t>Gambar 2.2</w:t>
      </w:r>
    </w:p>
    <w:p w:rsidR="003A2608" w:rsidRDefault="003A2608" w:rsidP="003A2608">
      <w:pPr>
        <w:pStyle w:val="ListParagraph"/>
        <w:spacing w:before="240" w:line="480" w:lineRule="auto"/>
        <w:ind w:firstLine="720"/>
        <w:jc w:val="both"/>
        <w:rPr>
          <w:rFonts w:ascii="Times New Roman" w:hAnsi="Times New Roman" w:cs="Times New Roman"/>
          <w:sz w:val="24"/>
          <w:szCs w:val="24"/>
        </w:rPr>
      </w:pPr>
    </w:p>
    <w:p w:rsidR="003A2608" w:rsidRPr="009D0D09" w:rsidRDefault="001F0584" w:rsidP="009D0D09">
      <w:pPr>
        <w:pStyle w:val="ListParagraph"/>
        <w:spacing w:before="240" w:line="480" w:lineRule="auto"/>
        <w:ind w:firstLine="720"/>
        <w:jc w:val="both"/>
        <w:rPr>
          <w:rFonts w:ascii="Times New Roman" w:hAnsi="Times New Roman" w:cs="Times New Roman"/>
          <w:sz w:val="24"/>
          <w:szCs w:val="24"/>
        </w:rPr>
      </w:pPr>
      <w:r w:rsidRPr="003A2608">
        <w:rPr>
          <w:rFonts w:ascii="Times New Roman" w:hAnsi="Times New Roman" w:cs="Times New Roman"/>
          <w:sz w:val="24"/>
          <w:szCs w:val="24"/>
        </w:rPr>
        <w:t xml:space="preserve">Dalam konsep yang lebih luas, ASW beroperasi di lingkungan yang terdiri dari fitur sinkronisasi progresif dan proses integrasi dan parameter informasi yang terstandarisasi oleh pihak terkait (pemerintah dan bisnis). </w:t>
      </w:r>
      <w:r w:rsidRPr="003A2608">
        <w:rPr>
          <w:rFonts w:ascii="Times New Roman" w:hAnsi="Times New Roman" w:cs="Times New Roman"/>
          <w:sz w:val="24"/>
          <w:szCs w:val="24"/>
        </w:rPr>
        <w:lastRenderedPageBreak/>
        <w:t>Pengolahan hubungan konseptual dan fungsional dalam Model Konseptual ASW adalah sebagai berikut:</w:t>
      </w:r>
    </w:p>
    <w:p w:rsidR="003A2608" w:rsidRPr="003A2608" w:rsidRDefault="003A2608" w:rsidP="003A2608">
      <w:pPr>
        <w:pStyle w:val="ListParagraph"/>
        <w:spacing w:before="240" w:line="480" w:lineRule="auto"/>
        <w:ind w:firstLine="720"/>
        <w:jc w:val="both"/>
        <w:rPr>
          <w:rFonts w:ascii="Times New Roman" w:hAnsi="Times New Roman" w:cs="Times New Roman"/>
          <w:b/>
          <w:i/>
          <w:sz w:val="24"/>
          <w:szCs w:val="24"/>
        </w:rPr>
      </w:pPr>
      <w:r>
        <w:rPr>
          <w:rFonts w:ascii="Times New Roman" w:hAnsi="Times New Roman" w:cs="Times New Roman"/>
          <w:sz w:val="24"/>
          <w:szCs w:val="24"/>
        </w:rPr>
        <w:t xml:space="preserve">Diagram Alur Pengelolaan Informasi ASEAN </w:t>
      </w:r>
      <w:r>
        <w:rPr>
          <w:rFonts w:ascii="Times New Roman" w:hAnsi="Times New Roman" w:cs="Times New Roman"/>
          <w:i/>
          <w:sz w:val="24"/>
          <w:szCs w:val="24"/>
        </w:rPr>
        <w:t>Single Window</w:t>
      </w:r>
    </w:p>
    <w:p w:rsidR="003A2608" w:rsidRPr="009D0D09" w:rsidRDefault="001F0584" w:rsidP="003A2608">
      <w:pPr>
        <w:spacing w:before="115"/>
        <w:ind w:left="709"/>
        <w:jc w:val="both"/>
        <w:rPr>
          <w:rFonts w:ascii="Times New Roman" w:hAnsi="Times New Roman" w:cs="Times New Roman"/>
          <w:i/>
        </w:rPr>
      </w:pPr>
      <w:r w:rsidRPr="009D0D09">
        <w:rPr>
          <w:rFonts w:ascii="Times New Roman" w:hAnsi="Times New Roman" w:cs="Times New Roman"/>
          <w:noProof/>
        </w:rPr>
        <w:drawing>
          <wp:anchor distT="0" distB="0" distL="0" distR="0" simplePos="0" relativeHeight="251659264" behindDoc="0" locked="0" layoutInCell="1" allowOverlap="1" wp14:anchorId="36202BAB" wp14:editId="0B38064E">
            <wp:simplePos x="0" y="0"/>
            <wp:positionH relativeFrom="margin">
              <wp:posOffset>436245</wp:posOffset>
            </wp:positionH>
            <wp:positionV relativeFrom="paragraph">
              <wp:posOffset>0</wp:posOffset>
            </wp:positionV>
            <wp:extent cx="4933950" cy="3162300"/>
            <wp:effectExtent l="0" t="0" r="9525"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4933950" cy="3162300"/>
                    </a:xfrm>
                    <a:prstGeom prst="rect">
                      <a:avLst/>
                    </a:prstGeom>
                  </pic:spPr>
                </pic:pic>
              </a:graphicData>
            </a:graphic>
            <wp14:sizeRelH relativeFrom="margin">
              <wp14:pctWidth>0</wp14:pctWidth>
            </wp14:sizeRelH>
            <wp14:sizeRelV relativeFrom="margin">
              <wp14:pctHeight>0</wp14:pctHeight>
            </wp14:sizeRelV>
          </wp:anchor>
        </w:drawing>
      </w:r>
      <w:r w:rsidR="003A2608" w:rsidRPr="009D0D09">
        <w:rPr>
          <w:rFonts w:ascii="Times New Roman" w:hAnsi="Times New Roman" w:cs="Times New Roman"/>
          <w:i/>
        </w:rPr>
        <w:t>Sumber: ASW Technical Guide, 2006</w:t>
      </w:r>
    </w:p>
    <w:p w:rsidR="001F0584" w:rsidRDefault="003A2608" w:rsidP="003A2608">
      <w:pPr>
        <w:spacing w:before="115"/>
        <w:ind w:left="709"/>
        <w:jc w:val="center"/>
        <w:rPr>
          <w:rFonts w:ascii="Times New Roman" w:hAnsi="Times New Roman" w:cs="Times New Roman"/>
          <w:b/>
          <w:sz w:val="24"/>
          <w:szCs w:val="24"/>
        </w:rPr>
      </w:pPr>
      <w:r>
        <w:rPr>
          <w:rFonts w:ascii="Times New Roman" w:hAnsi="Times New Roman" w:cs="Times New Roman"/>
          <w:b/>
          <w:sz w:val="24"/>
          <w:szCs w:val="24"/>
        </w:rPr>
        <w:t>Gambar 2.3</w:t>
      </w:r>
    </w:p>
    <w:p w:rsidR="00191CDA" w:rsidRPr="003A2608" w:rsidRDefault="00191CDA" w:rsidP="003A2608">
      <w:pPr>
        <w:spacing w:before="115"/>
        <w:ind w:left="709"/>
        <w:jc w:val="center"/>
        <w:rPr>
          <w:i/>
        </w:rPr>
      </w:pPr>
    </w:p>
    <w:p w:rsidR="003A2608" w:rsidRDefault="003A2608" w:rsidP="00191CDA">
      <w:pPr>
        <w:spacing w:before="24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Dari gambar tersebut dapat dijelaskan bahwa pada tingkat nasional, terdapat enam area utama pengolahan informasi dan data yang terkoordinasi untuk proses penyelesaian yang lebih cepat seperti yang diilustrasikan pada Gambar 2.2. Area tersebut memperhatikan transaksi rinci antara pemerintah dan lembaga administrasi, agen ekonomi dan operator (misalnya importir, eksportir, operator transportasi, broker pabean, forwader, entitas perbankan komersial dan lembaga keuangan, asuransi, dan sejenisnya), dan penyelesaian prosedur oleh otoritas manajemen di setiap bagian (manajemen perdagangan, </w:t>
      </w:r>
      <w:r>
        <w:rPr>
          <w:rFonts w:ascii="Times New Roman" w:hAnsi="Times New Roman" w:cs="Times New Roman"/>
          <w:sz w:val="24"/>
          <w:szCs w:val="24"/>
        </w:rPr>
        <w:lastRenderedPageBreak/>
        <w:t>bea dan cukai dan manajemen pajak, dan lain-lain).</w:t>
      </w:r>
      <w:r w:rsidR="00191CDA">
        <w:rPr>
          <w:rFonts w:ascii="Times New Roman" w:hAnsi="Times New Roman" w:cs="Times New Roman"/>
          <w:sz w:val="24"/>
          <w:szCs w:val="24"/>
        </w:rPr>
        <w:t xml:space="preserve"> Area pengolahan informasi di NSW meliputi:</w:t>
      </w:r>
    </w:p>
    <w:p w:rsidR="00191CDA" w:rsidRDefault="00191CDA" w:rsidP="005D4F18">
      <w:pPr>
        <w:pStyle w:val="ListParagraph"/>
        <w:numPr>
          <w:ilvl w:val="0"/>
          <w:numId w:val="4"/>
        </w:numPr>
        <w:spacing w:before="240" w:line="480" w:lineRule="auto"/>
        <w:ind w:left="1134" w:hanging="317"/>
        <w:jc w:val="both"/>
        <w:rPr>
          <w:rFonts w:ascii="Times New Roman" w:hAnsi="Times New Roman" w:cs="Times New Roman"/>
          <w:sz w:val="24"/>
          <w:szCs w:val="24"/>
        </w:rPr>
      </w:pPr>
      <w:r>
        <w:rPr>
          <w:rFonts w:ascii="Times New Roman" w:hAnsi="Times New Roman" w:cs="Times New Roman"/>
          <w:sz w:val="24"/>
          <w:szCs w:val="24"/>
        </w:rPr>
        <w:t>Pabean</w:t>
      </w:r>
    </w:p>
    <w:p w:rsidR="00191CDA" w:rsidRDefault="00191CDA" w:rsidP="005D4F18">
      <w:pPr>
        <w:pStyle w:val="ListParagraph"/>
        <w:numPr>
          <w:ilvl w:val="0"/>
          <w:numId w:val="4"/>
        </w:numPr>
        <w:spacing w:before="240" w:line="480" w:lineRule="auto"/>
        <w:ind w:left="1134"/>
        <w:jc w:val="both"/>
        <w:rPr>
          <w:rFonts w:ascii="Times New Roman" w:hAnsi="Times New Roman" w:cs="Times New Roman"/>
          <w:sz w:val="24"/>
          <w:szCs w:val="24"/>
        </w:rPr>
      </w:pPr>
      <w:r>
        <w:rPr>
          <w:rFonts w:ascii="Times New Roman" w:hAnsi="Times New Roman" w:cs="Times New Roman"/>
          <w:sz w:val="24"/>
          <w:szCs w:val="24"/>
        </w:rPr>
        <w:t>Instansi Pemerintah lainnya</w:t>
      </w:r>
    </w:p>
    <w:p w:rsidR="00191CDA" w:rsidRDefault="00191CDA" w:rsidP="005D4F18">
      <w:pPr>
        <w:pStyle w:val="ListParagraph"/>
        <w:numPr>
          <w:ilvl w:val="0"/>
          <w:numId w:val="4"/>
        </w:numPr>
        <w:spacing w:before="240" w:line="480" w:lineRule="auto"/>
        <w:ind w:left="1134"/>
        <w:jc w:val="both"/>
        <w:rPr>
          <w:rFonts w:ascii="Times New Roman" w:hAnsi="Times New Roman" w:cs="Times New Roman"/>
          <w:sz w:val="24"/>
          <w:szCs w:val="24"/>
        </w:rPr>
      </w:pPr>
      <w:r>
        <w:rPr>
          <w:rFonts w:ascii="Times New Roman" w:hAnsi="Times New Roman" w:cs="Times New Roman"/>
          <w:sz w:val="24"/>
          <w:szCs w:val="24"/>
        </w:rPr>
        <w:t>Industri Perbankan dan Asuransi</w:t>
      </w:r>
    </w:p>
    <w:p w:rsidR="00191CDA" w:rsidRDefault="00191CDA" w:rsidP="005D4F18">
      <w:pPr>
        <w:pStyle w:val="ListParagraph"/>
        <w:numPr>
          <w:ilvl w:val="0"/>
          <w:numId w:val="4"/>
        </w:numPr>
        <w:spacing w:before="240" w:line="480" w:lineRule="auto"/>
        <w:ind w:left="1134"/>
        <w:jc w:val="both"/>
        <w:rPr>
          <w:rFonts w:ascii="Times New Roman" w:hAnsi="Times New Roman" w:cs="Times New Roman"/>
          <w:sz w:val="24"/>
          <w:szCs w:val="24"/>
        </w:rPr>
      </w:pPr>
      <w:r>
        <w:rPr>
          <w:rFonts w:ascii="Times New Roman" w:hAnsi="Times New Roman" w:cs="Times New Roman"/>
          <w:sz w:val="24"/>
          <w:szCs w:val="24"/>
        </w:rPr>
        <w:t>Industri Transportasi</w:t>
      </w:r>
    </w:p>
    <w:p w:rsidR="00191CDA" w:rsidRDefault="00191CDA" w:rsidP="005D4F18">
      <w:pPr>
        <w:pStyle w:val="ListParagraph"/>
        <w:numPr>
          <w:ilvl w:val="0"/>
          <w:numId w:val="4"/>
        </w:numPr>
        <w:spacing w:before="240" w:line="480" w:lineRule="auto"/>
        <w:ind w:left="1134"/>
        <w:jc w:val="both"/>
        <w:rPr>
          <w:rFonts w:ascii="Times New Roman" w:hAnsi="Times New Roman" w:cs="Times New Roman"/>
          <w:sz w:val="24"/>
          <w:szCs w:val="24"/>
        </w:rPr>
      </w:pPr>
      <w:r>
        <w:rPr>
          <w:rFonts w:ascii="Times New Roman" w:hAnsi="Times New Roman" w:cs="Times New Roman"/>
          <w:sz w:val="24"/>
          <w:szCs w:val="24"/>
        </w:rPr>
        <w:t>Dunia Usaha</w:t>
      </w:r>
    </w:p>
    <w:p w:rsidR="00191CDA" w:rsidRDefault="00191CDA" w:rsidP="005D4F18">
      <w:pPr>
        <w:pStyle w:val="ListParagraph"/>
        <w:numPr>
          <w:ilvl w:val="0"/>
          <w:numId w:val="4"/>
        </w:numPr>
        <w:spacing w:before="240" w:line="480" w:lineRule="auto"/>
        <w:ind w:left="1134"/>
        <w:jc w:val="both"/>
        <w:rPr>
          <w:rFonts w:ascii="Times New Roman" w:hAnsi="Times New Roman" w:cs="Times New Roman"/>
          <w:sz w:val="24"/>
          <w:szCs w:val="24"/>
        </w:rPr>
      </w:pPr>
      <w:r>
        <w:rPr>
          <w:rFonts w:ascii="Times New Roman" w:hAnsi="Times New Roman" w:cs="Times New Roman"/>
          <w:sz w:val="24"/>
          <w:szCs w:val="24"/>
        </w:rPr>
        <w:t>Mata Rantai ASEAN/Internasional</w:t>
      </w:r>
    </w:p>
    <w:p w:rsidR="00810550" w:rsidRDefault="00191CDA" w:rsidP="00191CDA">
      <w:pPr>
        <w:spacing w:before="240" w:line="480" w:lineRule="auto"/>
        <w:ind w:left="720" w:firstLine="720"/>
        <w:jc w:val="both"/>
        <w:rPr>
          <w:rFonts w:ascii="Times New Roman" w:hAnsi="Times New Roman" w:cs="Times New Roman"/>
          <w:sz w:val="24"/>
          <w:szCs w:val="24"/>
        </w:rPr>
      </w:pPr>
      <w:r w:rsidRPr="00191CDA">
        <w:rPr>
          <w:rFonts w:ascii="Times New Roman" w:hAnsi="Times New Roman" w:cs="Times New Roman"/>
          <w:sz w:val="24"/>
          <w:szCs w:val="24"/>
        </w:rPr>
        <w:t xml:space="preserve">Struktur tersebut juga menjelaskan bahwa, meskipun Administrasi Pabean merupakan komponen vital dari sebuah </w:t>
      </w:r>
      <w:r w:rsidRPr="00191CDA">
        <w:rPr>
          <w:rFonts w:ascii="Times New Roman" w:hAnsi="Times New Roman" w:cs="Times New Roman"/>
          <w:i/>
          <w:sz w:val="24"/>
          <w:szCs w:val="24"/>
        </w:rPr>
        <w:t>national single window</w:t>
      </w:r>
      <w:r>
        <w:rPr>
          <w:rFonts w:ascii="Times New Roman" w:hAnsi="Times New Roman" w:cs="Times New Roman"/>
          <w:sz w:val="24"/>
          <w:szCs w:val="24"/>
        </w:rPr>
        <w:t xml:space="preserve">, kerjasama dan keterlibatan komponen-komponen lain sangat menentukan apakah sebuah sistem pelayanan kepabeanan memenuhi kriteria sebagai </w:t>
      </w:r>
      <w:r>
        <w:rPr>
          <w:rFonts w:ascii="Times New Roman" w:hAnsi="Times New Roman" w:cs="Times New Roman"/>
          <w:i/>
          <w:sz w:val="24"/>
          <w:szCs w:val="24"/>
        </w:rPr>
        <w:t>single window</w:t>
      </w:r>
      <w:r>
        <w:rPr>
          <w:rFonts w:ascii="Times New Roman" w:hAnsi="Times New Roman" w:cs="Times New Roman"/>
          <w:sz w:val="24"/>
          <w:szCs w:val="24"/>
        </w:rPr>
        <w:t xml:space="preserve">. Bahkan terdapat mata rantai ASEAN/Internasional yang memungkinkan hubungan komunikasi data antar 10 </w:t>
      </w:r>
      <w:r>
        <w:rPr>
          <w:rFonts w:ascii="Times New Roman" w:hAnsi="Times New Roman" w:cs="Times New Roman"/>
          <w:i/>
          <w:sz w:val="24"/>
          <w:szCs w:val="24"/>
        </w:rPr>
        <w:t>national</w:t>
      </w:r>
      <w:r>
        <w:rPr>
          <w:rFonts w:ascii="Times New Roman" w:hAnsi="Times New Roman" w:cs="Times New Roman"/>
          <w:sz w:val="24"/>
          <w:szCs w:val="24"/>
        </w:rPr>
        <w:t xml:space="preserve"> </w:t>
      </w:r>
      <w:r>
        <w:rPr>
          <w:rFonts w:ascii="Times New Roman" w:hAnsi="Times New Roman" w:cs="Times New Roman"/>
          <w:i/>
          <w:sz w:val="24"/>
          <w:szCs w:val="24"/>
        </w:rPr>
        <w:t xml:space="preserve">single window </w:t>
      </w:r>
      <w:r>
        <w:rPr>
          <w:rFonts w:ascii="Times New Roman" w:hAnsi="Times New Roman" w:cs="Times New Roman"/>
          <w:sz w:val="24"/>
          <w:szCs w:val="24"/>
        </w:rPr>
        <w:t>di ASEAN bahkan dimungkinkan dengan entitas non-ASEAN.</w:t>
      </w:r>
      <w:r w:rsidR="00B33353">
        <w:rPr>
          <w:rStyle w:val="FootnoteReference"/>
          <w:rFonts w:ascii="Times New Roman" w:hAnsi="Times New Roman" w:cs="Times New Roman"/>
          <w:sz w:val="24"/>
          <w:szCs w:val="24"/>
        </w:rPr>
        <w:footnoteReference w:id="5"/>
      </w:r>
    </w:p>
    <w:p w:rsidR="00810550" w:rsidRDefault="00810550">
      <w:pPr>
        <w:rPr>
          <w:rFonts w:ascii="Times New Roman" w:hAnsi="Times New Roman" w:cs="Times New Roman"/>
          <w:sz w:val="24"/>
          <w:szCs w:val="24"/>
        </w:rPr>
      </w:pPr>
      <w:r>
        <w:rPr>
          <w:rFonts w:ascii="Times New Roman" w:hAnsi="Times New Roman" w:cs="Times New Roman"/>
          <w:sz w:val="24"/>
          <w:szCs w:val="24"/>
        </w:rPr>
        <w:br w:type="page"/>
      </w:r>
    </w:p>
    <w:p w:rsidR="00191CDA" w:rsidRPr="00810550" w:rsidRDefault="00810550" w:rsidP="005D4F18">
      <w:pPr>
        <w:pStyle w:val="ListParagraph"/>
        <w:numPr>
          <w:ilvl w:val="0"/>
          <w:numId w:val="5"/>
        </w:numPr>
        <w:spacing w:before="240" w:line="480" w:lineRule="auto"/>
        <w:ind w:left="709"/>
        <w:jc w:val="both"/>
        <w:rPr>
          <w:rFonts w:ascii="Times New Roman" w:hAnsi="Times New Roman" w:cs="Times New Roman"/>
          <w:b/>
          <w:sz w:val="24"/>
          <w:szCs w:val="24"/>
        </w:rPr>
      </w:pPr>
      <w:r w:rsidRPr="00810550">
        <w:rPr>
          <w:rFonts w:ascii="Times New Roman" w:hAnsi="Times New Roman" w:cs="Times New Roman"/>
          <w:b/>
          <w:sz w:val="24"/>
          <w:szCs w:val="24"/>
        </w:rPr>
        <w:lastRenderedPageBreak/>
        <w:t xml:space="preserve">Penerapan Indonesia </w:t>
      </w:r>
      <w:r w:rsidRPr="00810550">
        <w:rPr>
          <w:rFonts w:ascii="Times New Roman" w:hAnsi="Times New Roman" w:cs="Times New Roman"/>
          <w:b/>
          <w:i/>
          <w:sz w:val="24"/>
          <w:szCs w:val="24"/>
        </w:rPr>
        <w:t>National Single Window</w:t>
      </w:r>
    </w:p>
    <w:p w:rsidR="00810550" w:rsidRPr="00C11D1B" w:rsidRDefault="00BB4127" w:rsidP="005D4F18">
      <w:pPr>
        <w:pStyle w:val="ListParagraph"/>
        <w:numPr>
          <w:ilvl w:val="0"/>
          <w:numId w:val="6"/>
        </w:numPr>
        <w:spacing w:before="240" w:line="480" w:lineRule="auto"/>
        <w:ind w:left="709"/>
        <w:jc w:val="both"/>
        <w:rPr>
          <w:rFonts w:ascii="Times New Roman" w:hAnsi="Times New Roman" w:cs="Times New Roman"/>
          <w:b/>
          <w:sz w:val="24"/>
          <w:szCs w:val="24"/>
        </w:rPr>
      </w:pPr>
      <w:r>
        <w:rPr>
          <w:rFonts w:ascii="Times New Roman" w:hAnsi="Times New Roman" w:cs="Times New Roman"/>
          <w:b/>
          <w:sz w:val="24"/>
          <w:szCs w:val="24"/>
        </w:rPr>
        <w:t>Latar B</w:t>
      </w:r>
      <w:r w:rsidR="00C11D1B">
        <w:rPr>
          <w:rFonts w:ascii="Times New Roman" w:hAnsi="Times New Roman" w:cs="Times New Roman"/>
          <w:b/>
          <w:sz w:val="24"/>
          <w:szCs w:val="24"/>
        </w:rPr>
        <w:t xml:space="preserve">elakang </w:t>
      </w:r>
      <w:r w:rsidR="00C11D1B">
        <w:rPr>
          <w:rFonts w:ascii="Times New Roman" w:hAnsi="Times New Roman" w:cs="Times New Roman"/>
          <w:b/>
          <w:i/>
          <w:sz w:val="24"/>
          <w:szCs w:val="24"/>
        </w:rPr>
        <w:t>National Single Window</w:t>
      </w:r>
    </w:p>
    <w:p w:rsidR="00C11D1B" w:rsidRDefault="00C770AD" w:rsidP="00C770AD">
      <w:pPr>
        <w:pStyle w:val="ListParagraph"/>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Indonesia </w:t>
      </w:r>
      <w:r>
        <w:rPr>
          <w:rFonts w:ascii="Times New Roman" w:hAnsi="Times New Roman" w:cs="Times New Roman"/>
          <w:i/>
          <w:sz w:val="24"/>
          <w:szCs w:val="24"/>
        </w:rPr>
        <w:t xml:space="preserve">National Single Window </w:t>
      </w:r>
      <w:r>
        <w:rPr>
          <w:rFonts w:ascii="Times New Roman" w:hAnsi="Times New Roman" w:cs="Times New Roman"/>
          <w:sz w:val="24"/>
          <w:szCs w:val="24"/>
        </w:rPr>
        <w:t xml:space="preserve">dibuat dengan latar belakang dibentuknya ASEAN </w:t>
      </w:r>
      <w:r>
        <w:rPr>
          <w:rFonts w:ascii="Times New Roman" w:hAnsi="Times New Roman" w:cs="Times New Roman"/>
          <w:i/>
          <w:sz w:val="24"/>
          <w:szCs w:val="24"/>
        </w:rPr>
        <w:t>Single Window</w:t>
      </w:r>
      <w:r>
        <w:rPr>
          <w:rFonts w:ascii="Times New Roman" w:hAnsi="Times New Roman" w:cs="Times New Roman"/>
          <w:sz w:val="24"/>
          <w:szCs w:val="24"/>
        </w:rPr>
        <w:t xml:space="preserve"> yang mengharuskan setiap negara di ASEAN membuat </w:t>
      </w:r>
      <w:r>
        <w:rPr>
          <w:rFonts w:ascii="Times New Roman" w:hAnsi="Times New Roman" w:cs="Times New Roman"/>
          <w:i/>
          <w:sz w:val="24"/>
          <w:szCs w:val="24"/>
        </w:rPr>
        <w:t xml:space="preserve">National Single </w:t>
      </w:r>
      <w:r>
        <w:rPr>
          <w:rFonts w:ascii="Times New Roman" w:hAnsi="Times New Roman" w:cs="Times New Roman"/>
          <w:sz w:val="24"/>
          <w:szCs w:val="24"/>
        </w:rPr>
        <w:t xml:space="preserve">masing-masing. Namun, di Indonesia </w:t>
      </w:r>
      <w:r>
        <w:rPr>
          <w:rFonts w:ascii="Times New Roman" w:hAnsi="Times New Roman" w:cs="Times New Roman"/>
          <w:i/>
          <w:sz w:val="24"/>
          <w:szCs w:val="24"/>
        </w:rPr>
        <w:t xml:space="preserve">national single window </w:t>
      </w:r>
      <w:r>
        <w:rPr>
          <w:rFonts w:ascii="Times New Roman" w:hAnsi="Times New Roman" w:cs="Times New Roman"/>
          <w:sz w:val="24"/>
          <w:szCs w:val="24"/>
        </w:rPr>
        <w:t>tidak hanya untuk perdagangan saja, tetapi juga untuk penanaman modal.</w:t>
      </w:r>
    </w:p>
    <w:p w:rsidR="00C70E12" w:rsidRPr="00C70E12" w:rsidRDefault="00C770AD" w:rsidP="00C70E12">
      <w:pPr>
        <w:pStyle w:val="ListParagraph"/>
        <w:spacing w:before="24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NSW inisiatif Indonesia, dirancang bukan hanya mendukung kepentingan Bea dan Cukai, tetapi juga untuk memperbaiki layanan seluruh Kementerian/Lembaga dalam mendukung ASW. Terapan NSW Indonesia ini menyediakan titik temu layanan semua pihak yang terlibat dalam INSW yang sering disebut Portal INSW. Pola NSW yang dikembangkan Indonesia, kini mulai diterapkan negara lain. Beberapa inisiatif INSW sebagai terapan </w:t>
      </w:r>
      <w:r>
        <w:rPr>
          <w:rFonts w:ascii="Times New Roman" w:hAnsi="Times New Roman" w:cs="Times New Roman"/>
          <w:i/>
          <w:sz w:val="24"/>
          <w:szCs w:val="24"/>
        </w:rPr>
        <w:t xml:space="preserve">e-Gov </w:t>
      </w:r>
      <w:r>
        <w:rPr>
          <w:rFonts w:ascii="Times New Roman" w:hAnsi="Times New Roman" w:cs="Times New Roman"/>
          <w:sz w:val="24"/>
          <w:szCs w:val="24"/>
        </w:rPr>
        <w:t>yang berbeda ini diakui memiliki beberapa keunggulan. Selain sebagai porta; titik temu layanan, INSW tidak mengambil alih sistem aplikasi dan kewenangan masing-masing Kementerian/Lembaga. INSW melakukan otomasi proses bisnis antar Kementerian</w:t>
      </w:r>
      <w:r w:rsidR="00E05667">
        <w:rPr>
          <w:rFonts w:ascii="Times New Roman" w:hAnsi="Times New Roman" w:cs="Times New Roman"/>
          <w:sz w:val="24"/>
          <w:szCs w:val="24"/>
        </w:rPr>
        <w:t xml:space="preserve">/Lembaga. Juga, otomasi verifikasi data secara elektronik yang sesuai UU ITE. Lebih dari itu jejak transaksi antar Kementerian/Lembaga juga tercatat di portal INSW, sehingga INSW menjadi pusat data transaksi antar Kementerian/Lembaga. Dengan begitu, Kementerian/lembaga dapat berbagi informasi transaksi. Tidak kalah pentingnya, layanan berlangsung tanpa tatap muka sehingga mengurangi gesekan dan bebas lokasi. Sistem INSW saat ini telah mengcover lebih dari 90 </w:t>
      </w:r>
      <w:r w:rsidR="00E05667">
        <w:rPr>
          <w:rFonts w:ascii="Times New Roman" w:hAnsi="Times New Roman" w:cs="Times New Roman"/>
          <w:sz w:val="24"/>
          <w:szCs w:val="24"/>
        </w:rPr>
        <w:lastRenderedPageBreak/>
        <w:t>persen dari total transaksi ekspor dan impor nasional. Pencapaian yang tinggi ini karena INSW telah diterapkan di 21 Pelabuhan/Bandara yang terbuka untuk kegiatan ekspor dan impor. Sistem INSW juga telah mengintegrasikan sistem perijinan ekspor dan impor dari 15 Kementerian/Lembaga atau 18 unit penerbit perijinan.</w:t>
      </w:r>
      <w:r w:rsidR="00E05667">
        <w:rPr>
          <w:rStyle w:val="FootnoteReference"/>
          <w:rFonts w:ascii="Times New Roman" w:hAnsi="Times New Roman" w:cs="Times New Roman"/>
          <w:sz w:val="24"/>
          <w:szCs w:val="24"/>
        </w:rPr>
        <w:footnoteReference w:id="6"/>
      </w:r>
    </w:p>
    <w:p w:rsidR="00C70E12" w:rsidRDefault="00C70E12" w:rsidP="00C70E12">
      <w:pPr>
        <w:pStyle w:val="ListParagraph"/>
        <w:spacing w:before="240" w:line="480" w:lineRule="auto"/>
        <w:ind w:left="709"/>
        <w:jc w:val="center"/>
        <w:rPr>
          <w:rFonts w:ascii="Times New Roman" w:hAnsi="Times New Roman" w:cs="Times New Roman"/>
          <w:i/>
          <w:sz w:val="24"/>
          <w:szCs w:val="24"/>
        </w:rPr>
      </w:pPr>
      <w:r>
        <w:rPr>
          <w:rFonts w:ascii="Times New Roman" w:hAnsi="Times New Roman" w:cs="Times New Roman"/>
          <w:sz w:val="24"/>
          <w:szCs w:val="24"/>
        </w:rPr>
        <w:t xml:space="preserve">Portal </w:t>
      </w:r>
      <w:r>
        <w:rPr>
          <w:rFonts w:ascii="Times New Roman" w:hAnsi="Times New Roman" w:cs="Times New Roman"/>
          <w:i/>
          <w:sz w:val="24"/>
          <w:szCs w:val="24"/>
        </w:rPr>
        <w:t>National Single Window</w:t>
      </w:r>
    </w:p>
    <w:p w:rsidR="00C70E12" w:rsidRPr="00C70E12" w:rsidRDefault="00C70E12" w:rsidP="00C11D1B">
      <w:pPr>
        <w:pStyle w:val="ListParagraph"/>
        <w:spacing w:before="240" w:line="480" w:lineRule="auto"/>
        <w:ind w:left="709"/>
        <w:jc w:val="both"/>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4787265" cy="306237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ervice-insw-versi-3-beta.png"/>
                    <pic:cNvPicPr/>
                  </pic:nvPicPr>
                  <pic:blipFill>
                    <a:blip r:embed="rId11">
                      <a:extLst>
                        <a:ext uri="{28A0092B-C50C-407E-A947-70E740481C1C}">
                          <a14:useLocalDpi xmlns:a14="http://schemas.microsoft.com/office/drawing/2010/main" val="0"/>
                        </a:ext>
                      </a:extLst>
                    </a:blip>
                    <a:stretch>
                      <a:fillRect/>
                    </a:stretch>
                  </pic:blipFill>
                  <pic:spPr>
                    <a:xfrm>
                      <a:off x="0" y="0"/>
                      <a:ext cx="4792334" cy="3065620"/>
                    </a:xfrm>
                    <a:prstGeom prst="rect">
                      <a:avLst/>
                    </a:prstGeom>
                  </pic:spPr>
                </pic:pic>
              </a:graphicData>
            </a:graphic>
          </wp:inline>
        </w:drawing>
      </w:r>
    </w:p>
    <w:p w:rsidR="00C70E12" w:rsidRDefault="00C70E12" w:rsidP="00C70E12">
      <w:pPr>
        <w:pStyle w:val="ListParagraph"/>
        <w:spacing w:before="240" w:line="480" w:lineRule="auto"/>
        <w:ind w:left="709"/>
        <w:jc w:val="center"/>
        <w:rPr>
          <w:rFonts w:ascii="Times New Roman" w:hAnsi="Times New Roman" w:cs="Times New Roman"/>
          <w:b/>
          <w:sz w:val="24"/>
          <w:szCs w:val="24"/>
        </w:rPr>
      </w:pPr>
      <w:r>
        <w:rPr>
          <w:rFonts w:ascii="Times New Roman" w:hAnsi="Times New Roman" w:cs="Times New Roman"/>
          <w:b/>
          <w:sz w:val="24"/>
          <w:szCs w:val="24"/>
        </w:rPr>
        <w:t>Gambar 2.4</w:t>
      </w:r>
    </w:p>
    <w:p w:rsidR="00C70E12" w:rsidRPr="00C70E12" w:rsidRDefault="00C70E12" w:rsidP="00C70E12">
      <w:pPr>
        <w:pStyle w:val="ListParagraph"/>
        <w:spacing w:before="240" w:line="480" w:lineRule="auto"/>
        <w:ind w:left="709"/>
        <w:jc w:val="center"/>
        <w:rPr>
          <w:rFonts w:ascii="Times New Roman" w:hAnsi="Times New Roman" w:cs="Times New Roman"/>
          <w:b/>
          <w:sz w:val="24"/>
          <w:szCs w:val="24"/>
        </w:rPr>
      </w:pPr>
    </w:p>
    <w:p w:rsidR="00C70E12" w:rsidRDefault="00C70E12">
      <w:pPr>
        <w:rPr>
          <w:rFonts w:ascii="Times New Roman" w:hAnsi="Times New Roman" w:cs="Times New Roman"/>
          <w:sz w:val="24"/>
          <w:szCs w:val="24"/>
        </w:rPr>
      </w:pPr>
      <w:r>
        <w:rPr>
          <w:rFonts w:ascii="Times New Roman" w:hAnsi="Times New Roman" w:cs="Times New Roman"/>
          <w:sz w:val="24"/>
          <w:szCs w:val="24"/>
        </w:rPr>
        <w:br w:type="page"/>
      </w:r>
    </w:p>
    <w:p w:rsidR="00E05667" w:rsidRDefault="00E05667" w:rsidP="00C70E12">
      <w:pPr>
        <w:pStyle w:val="ListParagraph"/>
        <w:spacing w:before="24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INSW adalah suatu sistem layanan publik terintegrasi, yang menyediakan fasilitas pengajuan dan pemrosesan informasi standar secara elektronik, guna menyelesaikan semua proses kegiatan dalam penanganan lalu lintas barang ekspor, impor, dan transit, untuk meningkatkan daya saing nasional.</w:t>
      </w:r>
      <w:r w:rsidR="00D51CD9">
        <w:rPr>
          <w:rFonts w:ascii="Times New Roman" w:hAnsi="Times New Roman" w:cs="Times New Roman"/>
          <w:sz w:val="24"/>
          <w:szCs w:val="24"/>
        </w:rPr>
        <w:t xml:space="preserve"> Adapun sasaran, tujuan, dan manfaat penerapan sistem INSW di Indonesia, sebagai berikut:</w:t>
      </w:r>
      <w:r w:rsidR="000D3269">
        <w:rPr>
          <w:rStyle w:val="FootnoteReference"/>
          <w:rFonts w:ascii="Times New Roman" w:hAnsi="Times New Roman" w:cs="Times New Roman"/>
          <w:sz w:val="24"/>
          <w:szCs w:val="24"/>
        </w:rPr>
        <w:footnoteReference w:id="7"/>
      </w:r>
    </w:p>
    <w:p w:rsidR="00D51CD9" w:rsidRDefault="00D51CD9" w:rsidP="005D4F18">
      <w:pPr>
        <w:pStyle w:val="ListParagraph"/>
        <w:numPr>
          <w:ilvl w:val="0"/>
          <w:numId w:val="7"/>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Sasaran penerapan Sistem INSW di Indonesia, secara umum dapat dikelompokkan menjadi 4 besaran:</w:t>
      </w:r>
    </w:p>
    <w:p w:rsidR="00D51CD9" w:rsidRPr="00BB4127" w:rsidRDefault="00D51CD9" w:rsidP="005D4F18">
      <w:pPr>
        <w:pStyle w:val="ListParagraph"/>
        <w:numPr>
          <w:ilvl w:val="0"/>
          <w:numId w:val="8"/>
        </w:numPr>
        <w:spacing w:before="240" w:line="480" w:lineRule="auto"/>
        <w:jc w:val="both"/>
        <w:rPr>
          <w:rFonts w:ascii="Times New Roman" w:hAnsi="Times New Roman" w:cs="Times New Roman"/>
          <w:sz w:val="24"/>
          <w:szCs w:val="24"/>
        </w:rPr>
      </w:pPr>
      <w:r w:rsidRPr="00BB4127">
        <w:rPr>
          <w:rFonts w:ascii="Times New Roman" w:hAnsi="Times New Roman" w:cs="Times New Roman"/>
          <w:sz w:val="24"/>
          <w:szCs w:val="24"/>
        </w:rPr>
        <w:t>Meningkatkan efisiensi pelayanan</w:t>
      </w:r>
    </w:p>
    <w:p w:rsidR="00D51CD9" w:rsidRDefault="00D51CD9" w:rsidP="004C2783">
      <w:pPr>
        <w:pStyle w:val="ListParagraph"/>
        <w:spacing w:before="240"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Meningkatkan kecepatan pelayanan ekspor-impor dan menciptakan suatu kepastian layanan.</w:t>
      </w:r>
    </w:p>
    <w:p w:rsidR="00D51CD9" w:rsidRPr="00BB4127" w:rsidRDefault="00D51CD9" w:rsidP="005D4F18">
      <w:pPr>
        <w:pStyle w:val="ListParagraph"/>
        <w:numPr>
          <w:ilvl w:val="0"/>
          <w:numId w:val="8"/>
        </w:numPr>
        <w:spacing w:before="240" w:line="480" w:lineRule="auto"/>
        <w:jc w:val="both"/>
        <w:rPr>
          <w:rFonts w:ascii="Times New Roman" w:hAnsi="Times New Roman" w:cs="Times New Roman"/>
          <w:sz w:val="24"/>
          <w:szCs w:val="24"/>
        </w:rPr>
      </w:pPr>
      <w:r w:rsidRPr="00BB4127">
        <w:rPr>
          <w:rFonts w:ascii="Times New Roman" w:hAnsi="Times New Roman" w:cs="Times New Roman"/>
          <w:sz w:val="24"/>
          <w:szCs w:val="24"/>
        </w:rPr>
        <w:t>Meningkatkan efektifitas pengawasan</w:t>
      </w:r>
    </w:p>
    <w:p w:rsidR="00D51CD9" w:rsidRPr="00D51CD9" w:rsidRDefault="00D51CD9" w:rsidP="004C2783">
      <w:pPr>
        <w:pStyle w:val="ListParagraph"/>
        <w:spacing w:before="240"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Dengan melakukan integrasi dan rekonsiliasi data antar seluruh instansi yang terkait maka diharapkan pengawasan dan penegakkan hukum akan lebih efektif.</w:t>
      </w:r>
    </w:p>
    <w:p w:rsidR="00D51CD9" w:rsidRPr="004C2783" w:rsidRDefault="00D51CD9" w:rsidP="005D4F18">
      <w:pPr>
        <w:pStyle w:val="ListParagraph"/>
        <w:numPr>
          <w:ilvl w:val="0"/>
          <w:numId w:val="8"/>
        </w:numPr>
        <w:spacing w:before="240" w:line="480" w:lineRule="auto"/>
        <w:jc w:val="both"/>
        <w:rPr>
          <w:rFonts w:ascii="Times New Roman" w:hAnsi="Times New Roman" w:cs="Times New Roman"/>
          <w:sz w:val="24"/>
          <w:szCs w:val="24"/>
        </w:rPr>
      </w:pPr>
      <w:r w:rsidRPr="004C2783">
        <w:rPr>
          <w:rFonts w:ascii="Times New Roman" w:hAnsi="Times New Roman" w:cs="Times New Roman"/>
          <w:sz w:val="24"/>
          <w:szCs w:val="24"/>
        </w:rPr>
        <w:t>Mengoptimalkan penerimaan negara</w:t>
      </w:r>
    </w:p>
    <w:p w:rsidR="00D51CD9" w:rsidRDefault="00D51CD9" w:rsidP="004C2783">
      <w:pPr>
        <w:pStyle w:val="ListParagraph"/>
        <w:spacing w:before="240"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Dengan menerapkan otomasi sistem di semua instansi dan data yang terintegrasi maka dapat meminimalkan potensi pelanggaran dan memperkuat upaya menggali penerimaan negara.</w:t>
      </w:r>
    </w:p>
    <w:p w:rsidR="00D51CD9" w:rsidRPr="004C2783" w:rsidRDefault="00D51CD9" w:rsidP="005D4F18">
      <w:pPr>
        <w:pStyle w:val="ListParagraph"/>
        <w:numPr>
          <w:ilvl w:val="0"/>
          <w:numId w:val="8"/>
        </w:numPr>
        <w:spacing w:before="240" w:line="480" w:lineRule="auto"/>
        <w:jc w:val="both"/>
        <w:rPr>
          <w:rFonts w:ascii="Times New Roman" w:hAnsi="Times New Roman" w:cs="Times New Roman"/>
          <w:sz w:val="24"/>
          <w:szCs w:val="24"/>
        </w:rPr>
      </w:pPr>
      <w:r w:rsidRPr="004C2783">
        <w:rPr>
          <w:rFonts w:ascii="Times New Roman" w:hAnsi="Times New Roman" w:cs="Times New Roman"/>
          <w:sz w:val="24"/>
          <w:szCs w:val="24"/>
        </w:rPr>
        <w:lastRenderedPageBreak/>
        <w:t>Menjamin validitas dan akurasi data</w:t>
      </w:r>
    </w:p>
    <w:p w:rsidR="00D51CD9" w:rsidRDefault="00D51CD9" w:rsidP="004C2783">
      <w:pPr>
        <w:pStyle w:val="ListParagraph"/>
        <w:spacing w:before="240"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Adanya rekonsiliasi data dan “</w:t>
      </w:r>
      <w:r>
        <w:rPr>
          <w:rFonts w:ascii="Times New Roman" w:hAnsi="Times New Roman" w:cs="Times New Roman"/>
          <w:i/>
          <w:sz w:val="24"/>
          <w:szCs w:val="24"/>
        </w:rPr>
        <w:t>check and balance</w:t>
      </w:r>
      <w:r>
        <w:rPr>
          <w:rFonts w:ascii="Times New Roman" w:hAnsi="Times New Roman" w:cs="Times New Roman"/>
          <w:sz w:val="24"/>
          <w:szCs w:val="24"/>
        </w:rPr>
        <w:t>” antar semua instansi pemerintah maka akan dapat menjamin validitas dan akurasi semua data yang terkait dengan kegiatan ekspor-impor, yang akan menjadi referensi untuk pengambilan kebijakan nasional.</w:t>
      </w:r>
    </w:p>
    <w:p w:rsidR="00057910" w:rsidRDefault="00057910" w:rsidP="005D4F18">
      <w:pPr>
        <w:pStyle w:val="ListParagraph"/>
        <w:numPr>
          <w:ilvl w:val="0"/>
          <w:numId w:val="7"/>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Tujuan utama dari penerapan Sistem NSW pada dasarnya mencakup 4 hal, yaitu:</w:t>
      </w:r>
    </w:p>
    <w:p w:rsidR="00057910" w:rsidRDefault="00057910" w:rsidP="005D4F18">
      <w:pPr>
        <w:pStyle w:val="ListParagraph"/>
        <w:numPr>
          <w:ilvl w:val="0"/>
          <w:numId w:val="9"/>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Mempercepat penyelesaian proses ekspor-impor melalui peningkatan efektifitas dan kinerja lalu lintas barang ekspor-impor</w:t>
      </w:r>
    </w:p>
    <w:p w:rsidR="00057910" w:rsidRDefault="00057910" w:rsidP="005D4F18">
      <w:pPr>
        <w:pStyle w:val="ListParagraph"/>
        <w:numPr>
          <w:ilvl w:val="0"/>
          <w:numId w:val="9"/>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Meminimalisasi waktu dan biaya yang diperlukan dalam penanganan lalulintas barang ekspor-impor , terutama terkait dengan proses </w:t>
      </w:r>
      <w:r w:rsidRPr="00DA509C">
        <w:rPr>
          <w:rFonts w:ascii="Times New Roman" w:hAnsi="Times New Roman" w:cs="Times New Roman"/>
          <w:i/>
          <w:sz w:val="24"/>
          <w:szCs w:val="24"/>
        </w:rPr>
        <w:t>customs release and clearance of cargoes.</w:t>
      </w:r>
    </w:p>
    <w:p w:rsidR="00057910" w:rsidRDefault="00057910" w:rsidP="005D4F18">
      <w:pPr>
        <w:pStyle w:val="ListParagraph"/>
        <w:numPr>
          <w:ilvl w:val="0"/>
          <w:numId w:val="9"/>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Meningkatkan validitas dan akurasi data yang terkait dengan kegiatan ekspor-impor.</w:t>
      </w:r>
    </w:p>
    <w:p w:rsidR="00057910" w:rsidRDefault="00057910" w:rsidP="005D4F18">
      <w:pPr>
        <w:pStyle w:val="ListParagraph"/>
        <w:numPr>
          <w:ilvl w:val="0"/>
          <w:numId w:val="9"/>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Meningkatkan daya saing nasional dan mendorong masuknya investasi.</w:t>
      </w:r>
    </w:p>
    <w:p w:rsidR="00BD7D47" w:rsidRDefault="00BD7D47" w:rsidP="00BD7D47">
      <w:pPr>
        <w:spacing w:before="24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Selain itu, ada beberapa manfaat dengan diberlakukannya </w:t>
      </w:r>
      <w:r>
        <w:rPr>
          <w:rFonts w:ascii="Times New Roman" w:hAnsi="Times New Roman" w:cs="Times New Roman"/>
          <w:i/>
          <w:sz w:val="24"/>
          <w:szCs w:val="24"/>
        </w:rPr>
        <w:t xml:space="preserve">National Single Window </w:t>
      </w:r>
      <w:r>
        <w:rPr>
          <w:rFonts w:ascii="Times New Roman" w:hAnsi="Times New Roman" w:cs="Times New Roman"/>
          <w:sz w:val="24"/>
          <w:szCs w:val="24"/>
        </w:rPr>
        <w:t>bagi Pemerintah dan Dunia usaha, yaitu:</w:t>
      </w:r>
    </w:p>
    <w:p w:rsidR="001A3351" w:rsidRDefault="001A3351" w:rsidP="00BD7D47">
      <w:pPr>
        <w:spacing w:before="240" w:line="480" w:lineRule="auto"/>
        <w:ind w:left="720" w:firstLine="720"/>
        <w:jc w:val="both"/>
        <w:rPr>
          <w:rFonts w:ascii="Times New Roman" w:hAnsi="Times New Roman" w:cs="Times New Roman"/>
          <w:sz w:val="24"/>
          <w:szCs w:val="24"/>
        </w:rPr>
      </w:pPr>
    </w:p>
    <w:p w:rsidR="001A3351" w:rsidRDefault="001A3351" w:rsidP="00BD7D47">
      <w:pPr>
        <w:spacing w:before="240" w:line="480" w:lineRule="auto"/>
        <w:ind w:left="720" w:firstLine="720"/>
        <w:jc w:val="both"/>
        <w:rPr>
          <w:rFonts w:ascii="Times New Roman" w:hAnsi="Times New Roman" w:cs="Times New Roman"/>
          <w:sz w:val="24"/>
          <w:szCs w:val="24"/>
        </w:rPr>
      </w:pPr>
    </w:p>
    <w:p w:rsidR="001A3351" w:rsidRDefault="001A3351" w:rsidP="00BD7D47">
      <w:pPr>
        <w:spacing w:before="240" w:line="480" w:lineRule="auto"/>
        <w:ind w:left="720" w:firstLine="720"/>
        <w:jc w:val="both"/>
        <w:rPr>
          <w:rFonts w:ascii="Times New Roman" w:hAnsi="Times New Roman" w:cs="Times New Roman"/>
          <w:sz w:val="24"/>
          <w:szCs w:val="24"/>
        </w:rPr>
      </w:pPr>
    </w:p>
    <w:p w:rsidR="00BD7D47" w:rsidRPr="001A3351" w:rsidRDefault="00134343" w:rsidP="001A3351">
      <w:pPr>
        <w:spacing w:before="240" w:line="480" w:lineRule="auto"/>
        <w:ind w:left="720" w:firstLine="720"/>
        <w:jc w:val="center"/>
        <w:rPr>
          <w:rFonts w:ascii="Times New Roman" w:hAnsi="Times New Roman" w:cs="Times New Roman"/>
          <w:b/>
          <w:i/>
          <w:sz w:val="24"/>
          <w:szCs w:val="24"/>
        </w:rPr>
      </w:pPr>
      <w:r>
        <w:rPr>
          <w:rFonts w:ascii="Times New Roman" w:hAnsi="Times New Roman" w:cs="Times New Roman"/>
          <w:b/>
          <w:sz w:val="24"/>
          <w:szCs w:val="24"/>
        </w:rPr>
        <w:t>Tabel Manfaat P</w:t>
      </w:r>
      <w:bookmarkStart w:id="5" w:name="_GoBack"/>
      <w:bookmarkEnd w:id="5"/>
      <w:r w:rsidR="001A3351" w:rsidRPr="001A3351">
        <w:rPr>
          <w:rFonts w:ascii="Times New Roman" w:hAnsi="Times New Roman" w:cs="Times New Roman"/>
          <w:b/>
          <w:sz w:val="24"/>
          <w:szCs w:val="24"/>
        </w:rPr>
        <w:t xml:space="preserve">enerapan </w:t>
      </w:r>
      <w:r w:rsidR="001A3351" w:rsidRPr="001A3351">
        <w:rPr>
          <w:rFonts w:ascii="Times New Roman" w:hAnsi="Times New Roman" w:cs="Times New Roman"/>
          <w:b/>
          <w:i/>
          <w:sz w:val="24"/>
          <w:szCs w:val="24"/>
        </w:rPr>
        <w:t>National Single Window</w:t>
      </w:r>
    </w:p>
    <w:tbl>
      <w:tblPr>
        <w:tblStyle w:val="TableGrid"/>
        <w:tblW w:w="0" w:type="auto"/>
        <w:tblInd w:w="846" w:type="dxa"/>
        <w:tblBorders>
          <w:insideH w:val="none" w:sz="0" w:space="0" w:color="auto"/>
        </w:tblBorders>
        <w:tblLook w:val="04A0" w:firstRow="1" w:lastRow="0" w:firstColumn="1" w:lastColumn="0" w:noHBand="0" w:noVBand="1"/>
      </w:tblPr>
      <w:tblGrid>
        <w:gridCol w:w="3685"/>
        <w:gridCol w:w="3730"/>
      </w:tblGrid>
      <w:tr w:rsidR="00BD7D47" w:rsidTr="001555BA">
        <w:trPr>
          <w:trHeight w:val="841"/>
        </w:trPr>
        <w:tc>
          <w:tcPr>
            <w:tcW w:w="3685" w:type="dxa"/>
          </w:tcPr>
          <w:p w:rsidR="00BD7D47" w:rsidRPr="00B92EAD" w:rsidRDefault="00BD7D47" w:rsidP="00B92EAD">
            <w:pPr>
              <w:spacing w:before="240" w:line="480" w:lineRule="auto"/>
              <w:jc w:val="center"/>
              <w:rPr>
                <w:rFonts w:ascii="Times New Roman" w:hAnsi="Times New Roman" w:cs="Times New Roman"/>
                <w:b/>
                <w:sz w:val="24"/>
                <w:szCs w:val="24"/>
              </w:rPr>
            </w:pPr>
            <w:r w:rsidRPr="00B92EAD">
              <w:rPr>
                <w:rFonts w:ascii="Times New Roman" w:hAnsi="Times New Roman" w:cs="Times New Roman"/>
                <w:b/>
                <w:sz w:val="24"/>
                <w:szCs w:val="24"/>
              </w:rPr>
              <w:t>Manfaat untuk Pemerintah</w:t>
            </w:r>
          </w:p>
        </w:tc>
        <w:tc>
          <w:tcPr>
            <w:tcW w:w="3730" w:type="dxa"/>
          </w:tcPr>
          <w:p w:rsidR="00BD7D47" w:rsidRPr="00B92EAD" w:rsidRDefault="00BD7D47" w:rsidP="00B92EAD">
            <w:pPr>
              <w:spacing w:before="240" w:line="480" w:lineRule="auto"/>
              <w:jc w:val="center"/>
              <w:rPr>
                <w:rFonts w:ascii="Times New Roman" w:hAnsi="Times New Roman" w:cs="Times New Roman"/>
                <w:b/>
                <w:sz w:val="24"/>
                <w:szCs w:val="24"/>
              </w:rPr>
            </w:pPr>
            <w:r w:rsidRPr="00B92EAD">
              <w:rPr>
                <w:rFonts w:ascii="Times New Roman" w:hAnsi="Times New Roman" w:cs="Times New Roman"/>
                <w:b/>
                <w:sz w:val="24"/>
                <w:szCs w:val="24"/>
              </w:rPr>
              <w:t>Manfaat untuk Dunia Usaha</w:t>
            </w:r>
          </w:p>
        </w:tc>
      </w:tr>
      <w:tr w:rsidR="00BD7D47" w:rsidTr="001555BA">
        <w:tc>
          <w:tcPr>
            <w:tcW w:w="3685" w:type="dxa"/>
          </w:tcPr>
          <w:p w:rsidR="00BD7D47" w:rsidRPr="009C2E64" w:rsidRDefault="00B92EAD" w:rsidP="009C2E64">
            <w:pPr>
              <w:spacing w:before="240" w:line="360" w:lineRule="auto"/>
              <w:ind w:left="323" w:hanging="323"/>
              <w:jc w:val="both"/>
              <w:rPr>
                <w:rFonts w:ascii="Times New Roman" w:hAnsi="Times New Roman" w:cs="Times New Roman"/>
                <w:sz w:val="24"/>
                <w:szCs w:val="24"/>
              </w:rPr>
            </w:pPr>
            <w:r>
              <w:rPr>
                <w:rFonts w:ascii="Times New Roman" w:hAnsi="Times New Roman" w:cs="Times New Roman"/>
                <w:sz w:val="24"/>
                <w:szCs w:val="24"/>
              </w:rPr>
              <w:t xml:space="preserve">1. </w:t>
            </w:r>
            <w:r w:rsidR="00BD7D47" w:rsidRPr="009C2E64">
              <w:rPr>
                <w:rFonts w:ascii="Times New Roman" w:hAnsi="Times New Roman" w:cs="Times New Roman"/>
                <w:sz w:val="24"/>
                <w:szCs w:val="24"/>
              </w:rPr>
              <w:t>Memfasilitasi peningkatan kecepatan dalam proses customs release and clearance of cargoes.</w:t>
            </w:r>
          </w:p>
        </w:tc>
        <w:tc>
          <w:tcPr>
            <w:tcW w:w="3730" w:type="dxa"/>
          </w:tcPr>
          <w:p w:rsidR="00BD7D47" w:rsidRPr="009C2E64" w:rsidRDefault="00B92EAD" w:rsidP="00B92EAD">
            <w:pPr>
              <w:spacing w:before="240" w:line="360" w:lineRule="auto"/>
              <w:ind w:left="466" w:hanging="466"/>
              <w:jc w:val="both"/>
              <w:rPr>
                <w:rFonts w:ascii="Times New Roman" w:hAnsi="Times New Roman" w:cs="Times New Roman"/>
                <w:sz w:val="24"/>
                <w:szCs w:val="24"/>
              </w:rPr>
            </w:pPr>
            <w:r>
              <w:rPr>
                <w:rFonts w:ascii="Times New Roman" w:hAnsi="Times New Roman" w:cs="Times New Roman"/>
                <w:sz w:val="24"/>
                <w:szCs w:val="24"/>
              </w:rPr>
              <w:t xml:space="preserve">1. </w:t>
            </w:r>
            <w:r w:rsidR="009C2E64" w:rsidRPr="009C2E64">
              <w:rPr>
                <w:rFonts w:ascii="Times New Roman" w:hAnsi="Times New Roman" w:cs="Times New Roman"/>
                <w:sz w:val="24"/>
                <w:szCs w:val="24"/>
              </w:rPr>
              <w:t>Memberikan kepastian terhadap biaya dan waktu yang diperlukan dalam pelayanan yang terkait dengan ekspor-impor.</w:t>
            </w:r>
          </w:p>
        </w:tc>
      </w:tr>
      <w:tr w:rsidR="00BD7D47" w:rsidTr="001555BA">
        <w:tc>
          <w:tcPr>
            <w:tcW w:w="3685" w:type="dxa"/>
          </w:tcPr>
          <w:p w:rsidR="00BD7D47" w:rsidRPr="009C2E64" w:rsidRDefault="009C2E64" w:rsidP="009C2E64">
            <w:pPr>
              <w:spacing w:before="240" w:line="360" w:lineRule="auto"/>
              <w:ind w:left="323" w:hanging="284"/>
              <w:jc w:val="both"/>
              <w:rPr>
                <w:rFonts w:ascii="Times New Roman" w:hAnsi="Times New Roman" w:cs="Times New Roman"/>
                <w:sz w:val="24"/>
                <w:szCs w:val="24"/>
              </w:rPr>
            </w:pPr>
            <w:r>
              <w:rPr>
                <w:rFonts w:ascii="Times New Roman" w:hAnsi="Times New Roman" w:cs="Times New Roman"/>
                <w:sz w:val="24"/>
                <w:szCs w:val="24"/>
              </w:rPr>
              <w:t xml:space="preserve">2. </w:t>
            </w:r>
            <w:r w:rsidR="00BD7D47" w:rsidRPr="009C2E64">
              <w:rPr>
                <w:rFonts w:ascii="Times New Roman" w:hAnsi="Times New Roman" w:cs="Times New Roman"/>
                <w:sz w:val="24"/>
                <w:szCs w:val="24"/>
              </w:rPr>
              <w:t>Menyediakan sistem pelayanan yang mudah, murah, nyaman, aman, dan memberikan kepastian usaha.</w:t>
            </w:r>
          </w:p>
        </w:tc>
        <w:tc>
          <w:tcPr>
            <w:tcW w:w="3730" w:type="dxa"/>
          </w:tcPr>
          <w:p w:rsidR="009C2E64" w:rsidRPr="00B92EAD" w:rsidRDefault="00B92EAD" w:rsidP="00B92EAD">
            <w:pPr>
              <w:spacing w:before="240" w:line="360" w:lineRule="auto"/>
              <w:ind w:left="313" w:hanging="313"/>
              <w:jc w:val="both"/>
              <w:rPr>
                <w:rFonts w:ascii="Times New Roman" w:hAnsi="Times New Roman" w:cs="Times New Roman"/>
                <w:sz w:val="24"/>
                <w:szCs w:val="24"/>
              </w:rPr>
            </w:pPr>
            <w:r>
              <w:rPr>
                <w:rFonts w:ascii="Times New Roman" w:hAnsi="Times New Roman" w:cs="Times New Roman"/>
                <w:sz w:val="24"/>
                <w:szCs w:val="24"/>
              </w:rPr>
              <w:t>2. meningkatkan daya saing produk dalam negeri.</w:t>
            </w:r>
          </w:p>
        </w:tc>
      </w:tr>
      <w:tr w:rsidR="00BD7D47" w:rsidTr="001555BA">
        <w:tc>
          <w:tcPr>
            <w:tcW w:w="3685" w:type="dxa"/>
          </w:tcPr>
          <w:p w:rsidR="00BD7D47" w:rsidRPr="009C2E64" w:rsidRDefault="009C2E64" w:rsidP="009C2E64">
            <w:pPr>
              <w:spacing w:before="240" w:line="360" w:lineRule="auto"/>
              <w:ind w:left="323" w:hanging="323"/>
              <w:jc w:val="both"/>
              <w:rPr>
                <w:rFonts w:ascii="Times New Roman" w:hAnsi="Times New Roman" w:cs="Times New Roman"/>
                <w:sz w:val="24"/>
                <w:szCs w:val="24"/>
              </w:rPr>
            </w:pPr>
            <w:r>
              <w:rPr>
                <w:rFonts w:ascii="Times New Roman" w:hAnsi="Times New Roman" w:cs="Times New Roman"/>
                <w:sz w:val="24"/>
                <w:szCs w:val="24"/>
              </w:rPr>
              <w:t xml:space="preserve">3. </w:t>
            </w:r>
            <w:r w:rsidR="00BD7D47" w:rsidRPr="009C2E64">
              <w:rPr>
                <w:rFonts w:ascii="Times New Roman" w:hAnsi="Times New Roman" w:cs="Times New Roman"/>
                <w:sz w:val="24"/>
                <w:szCs w:val="24"/>
              </w:rPr>
              <w:t>Menciptakan manajemen risiko yang lebih baik.</w:t>
            </w:r>
          </w:p>
        </w:tc>
        <w:tc>
          <w:tcPr>
            <w:tcW w:w="3730" w:type="dxa"/>
          </w:tcPr>
          <w:p w:rsidR="00BD7D47" w:rsidRDefault="00B92EAD" w:rsidP="00B92EAD">
            <w:pPr>
              <w:spacing w:before="240" w:line="360" w:lineRule="auto"/>
              <w:ind w:left="313" w:hanging="313"/>
              <w:jc w:val="both"/>
              <w:rPr>
                <w:rFonts w:ascii="Times New Roman" w:hAnsi="Times New Roman" w:cs="Times New Roman"/>
                <w:sz w:val="24"/>
                <w:szCs w:val="24"/>
              </w:rPr>
            </w:pPr>
            <w:r>
              <w:rPr>
                <w:rFonts w:ascii="Times New Roman" w:hAnsi="Times New Roman" w:cs="Times New Roman"/>
                <w:sz w:val="24"/>
                <w:szCs w:val="24"/>
              </w:rPr>
              <w:t>3. memperluas akses pasar dan sumber-sumber faktor produksi.</w:t>
            </w:r>
          </w:p>
        </w:tc>
      </w:tr>
      <w:tr w:rsidR="00BD7D47" w:rsidTr="001555BA">
        <w:tc>
          <w:tcPr>
            <w:tcW w:w="3685" w:type="dxa"/>
          </w:tcPr>
          <w:p w:rsidR="00BD7D47" w:rsidRPr="00B92EAD" w:rsidRDefault="00B92EAD" w:rsidP="00B92EAD">
            <w:pPr>
              <w:spacing w:before="240" w:line="360" w:lineRule="auto"/>
              <w:ind w:left="323" w:hanging="323"/>
              <w:jc w:val="both"/>
              <w:rPr>
                <w:rFonts w:ascii="Times New Roman" w:hAnsi="Times New Roman" w:cs="Times New Roman"/>
                <w:sz w:val="24"/>
                <w:szCs w:val="24"/>
              </w:rPr>
            </w:pPr>
            <w:r>
              <w:rPr>
                <w:rFonts w:ascii="Times New Roman" w:hAnsi="Times New Roman" w:cs="Times New Roman"/>
                <w:sz w:val="24"/>
                <w:szCs w:val="24"/>
              </w:rPr>
              <w:t xml:space="preserve">4. </w:t>
            </w:r>
            <w:r w:rsidR="00BD7D47" w:rsidRPr="00B92EAD">
              <w:rPr>
                <w:rFonts w:ascii="Times New Roman" w:hAnsi="Times New Roman" w:cs="Times New Roman"/>
                <w:sz w:val="24"/>
                <w:szCs w:val="24"/>
              </w:rPr>
              <w:t>Meningkatkan validitas dan akurasi data &amp; menghilangkan redundansi dan duplikasi data.</w:t>
            </w:r>
          </w:p>
        </w:tc>
        <w:tc>
          <w:tcPr>
            <w:tcW w:w="3730" w:type="dxa"/>
          </w:tcPr>
          <w:p w:rsidR="00BD7D47" w:rsidRDefault="00B92EAD" w:rsidP="00B92EAD">
            <w:pPr>
              <w:spacing w:before="240" w:line="360" w:lineRule="auto"/>
              <w:ind w:left="313" w:hanging="313"/>
              <w:jc w:val="both"/>
              <w:rPr>
                <w:rFonts w:ascii="Times New Roman" w:hAnsi="Times New Roman" w:cs="Times New Roman"/>
                <w:sz w:val="24"/>
                <w:szCs w:val="24"/>
              </w:rPr>
            </w:pPr>
            <w:r>
              <w:rPr>
                <w:rFonts w:ascii="Times New Roman" w:hAnsi="Times New Roman" w:cs="Times New Roman"/>
                <w:sz w:val="24"/>
                <w:szCs w:val="24"/>
              </w:rPr>
              <w:t>4. mendorong tumbuh dan berkembangnya kewirausahaan.</w:t>
            </w:r>
          </w:p>
        </w:tc>
      </w:tr>
      <w:tr w:rsidR="00BD7D47" w:rsidTr="001555BA">
        <w:tc>
          <w:tcPr>
            <w:tcW w:w="3685" w:type="dxa"/>
          </w:tcPr>
          <w:p w:rsidR="00BD7D47" w:rsidRPr="00B92EAD" w:rsidRDefault="00753BE4" w:rsidP="00753BE4">
            <w:pPr>
              <w:spacing w:before="240" w:line="360" w:lineRule="auto"/>
              <w:ind w:left="316" w:hanging="323"/>
              <w:jc w:val="both"/>
              <w:rPr>
                <w:rFonts w:ascii="Times New Roman" w:hAnsi="Times New Roman" w:cs="Times New Roman"/>
                <w:sz w:val="24"/>
                <w:szCs w:val="24"/>
              </w:rPr>
            </w:pPr>
            <w:r>
              <w:rPr>
                <w:rFonts w:ascii="Times New Roman" w:hAnsi="Times New Roman" w:cs="Times New Roman"/>
                <w:sz w:val="24"/>
                <w:szCs w:val="24"/>
              </w:rPr>
              <w:t xml:space="preserve">5. </w:t>
            </w:r>
            <w:r w:rsidR="00BD7D47" w:rsidRPr="00B92EAD">
              <w:rPr>
                <w:rFonts w:ascii="Times New Roman" w:hAnsi="Times New Roman" w:cs="Times New Roman"/>
                <w:sz w:val="24"/>
                <w:szCs w:val="24"/>
              </w:rPr>
              <w:t>Memudahkan pelaksanaan penegakkan hukum dalam kaitan dengan kegiatan ekspor-impor.</w:t>
            </w:r>
          </w:p>
        </w:tc>
        <w:tc>
          <w:tcPr>
            <w:tcW w:w="3730" w:type="dxa"/>
          </w:tcPr>
          <w:p w:rsidR="00BD7D47" w:rsidRPr="00B92EAD" w:rsidRDefault="00B92EAD" w:rsidP="001A3351">
            <w:pPr>
              <w:spacing w:before="240" w:line="360" w:lineRule="auto"/>
              <w:ind w:left="313" w:hanging="313"/>
              <w:jc w:val="both"/>
              <w:rPr>
                <w:rFonts w:ascii="Times New Roman" w:hAnsi="Times New Roman" w:cs="Times New Roman"/>
                <w:sz w:val="24"/>
                <w:szCs w:val="24"/>
              </w:rPr>
            </w:pPr>
            <w:r>
              <w:rPr>
                <w:rFonts w:ascii="Times New Roman" w:hAnsi="Times New Roman" w:cs="Times New Roman"/>
                <w:sz w:val="24"/>
                <w:szCs w:val="24"/>
              </w:rPr>
              <w:t xml:space="preserve">5. mendukung penerapan </w:t>
            </w:r>
            <w:r>
              <w:rPr>
                <w:rFonts w:ascii="Times New Roman" w:hAnsi="Times New Roman" w:cs="Times New Roman"/>
                <w:i/>
                <w:sz w:val="24"/>
                <w:szCs w:val="24"/>
              </w:rPr>
              <w:t xml:space="preserve">Good Corporate Governance </w:t>
            </w:r>
            <w:r>
              <w:rPr>
                <w:rFonts w:ascii="Times New Roman" w:hAnsi="Times New Roman" w:cs="Times New Roman"/>
                <w:sz w:val="24"/>
                <w:szCs w:val="24"/>
              </w:rPr>
              <w:t>dalam penyelesaian ekspor-impor.</w:t>
            </w:r>
          </w:p>
        </w:tc>
      </w:tr>
      <w:tr w:rsidR="001555BA" w:rsidTr="001555BA">
        <w:tc>
          <w:tcPr>
            <w:tcW w:w="3685" w:type="dxa"/>
          </w:tcPr>
          <w:p w:rsidR="001555BA" w:rsidRPr="00B92EAD" w:rsidRDefault="001555BA" w:rsidP="00B92EAD">
            <w:pPr>
              <w:spacing w:before="240" w:line="360" w:lineRule="auto"/>
              <w:ind w:left="323" w:hanging="323"/>
              <w:jc w:val="both"/>
              <w:rPr>
                <w:rFonts w:ascii="Times New Roman" w:hAnsi="Times New Roman" w:cs="Times New Roman"/>
                <w:sz w:val="24"/>
                <w:szCs w:val="24"/>
              </w:rPr>
            </w:pPr>
            <w:r>
              <w:rPr>
                <w:rFonts w:ascii="Times New Roman" w:hAnsi="Times New Roman" w:cs="Times New Roman"/>
                <w:sz w:val="24"/>
                <w:szCs w:val="24"/>
              </w:rPr>
              <w:lastRenderedPageBreak/>
              <w:t xml:space="preserve">6.  </w:t>
            </w:r>
            <w:r w:rsidRPr="00B92EAD">
              <w:rPr>
                <w:rFonts w:ascii="Times New Roman" w:hAnsi="Times New Roman" w:cs="Times New Roman"/>
                <w:sz w:val="24"/>
                <w:szCs w:val="24"/>
              </w:rPr>
              <w:t>Meningkatkan perlindungan atas kepentingan nasional karena lalulintas barang ekspor-impor.</w:t>
            </w:r>
          </w:p>
        </w:tc>
        <w:tc>
          <w:tcPr>
            <w:tcW w:w="3730" w:type="dxa"/>
            <w:vMerge w:val="restart"/>
          </w:tcPr>
          <w:p w:rsidR="001555BA" w:rsidRDefault="001555BA" w:rsidP="009C2E64">
            <w:pPr>
              <w:spacing w:before="240" w:line="360" w:lineRule="auto"/>
              <w:jc w:val="both"/>
              <w:rPr>
                <w:rFonts w:ascii="Times New Roman" w:hAnsi="Times New Roman" w:cs="Times New Roman"/>
                <w:sz w:val="24"/>
                <w:szCs w:val="24"/>
              </w:rPr>
            </w:pPr>
          </w:p>
        </w:tc>
      </w:tr>
      <w:tr w:rsidR="001555BA" w:rsidTr="001555BA">
        <w:tc>
          <w:tcPr>
            <w:tcW w:w="3685" w:type="dxa"/>
          </w:tcPr>
          <w:p w:rsidR="001555BA" w:rsidRPr="00B92EAD" w:rsidRDefault="001555BA" w:rsidP="00B92EAD">
            <w:pPr>
              <w:spacing w:before="240" w:line="360" w:lineRule="auto"/>
              <w:ind w:left="323" w:hanging="323"/>
              <w:jc w:val="both"/>
              <w:rPr>
                <w:rFonts w:ascii="Times New Roman" w:hAnsi="Times New Roman" w:cs="Times New Roman"/>
                <w:sz w:val="24"/>
                <w:szCs w:val="24"/>
              </w:rPr>
            </w:pPr>
            <w:r>
              <w:rPr>
                <w:rFonts w:ascii="Times New Roman" w:hAnsi="Times New Roman" w:cs="Times New Roman"/>
                <w:sz w:val="24"/>
                <w:szCs w:val="24"/>
              </w:rPr>
              <w:t xml:space="preserve">7. </w:t>
            </w:r>
            <w:r w:rsidRPr="00B92EAD">
              <w:rPr>
                <w:rFonts w:ascii="Times New Roman" w:hAnsi="Times New Roman" w:cs="Times New Roman"/>
                <w:sz w:val="24"/>
                <w:szCs w:val="24"/>
              </w:rPr>
              <w:t>Mengoptimalkan penerimaan negara.</w:t>
            </w:r>
          </w:p>
        </w:tc>
        <w:tc>
          <w:tcPr>
            <w:tcW w:w="3730" w:type="dxa"/>
            <w:vMerge/>
          </w:tcPr>
          <w:p w:rsidR="001555BA" w:rsidRDefault="001555BA" w:rsidP="009C2E64">
            <w:pPr>
              <w:spacing w:before="240" w:line="360" w:lineRule="auto"/>
              <w:jc w:val="both"/>
              <w:rPr>
                <w:rFonts w:ascii="Times New Roman" w:hAnsi="Times New Roman" w:cs="Times New Roman"/>
                <w:sz w:val="24"/>
                <w:szCs w:val="24"/>
              </w:rPr>
            </w:pPr>
          </w:p>
        </w:tc>
      </w:tr>
      <w:tr w:rsidR="001555BA" w:rsidTr="001555BA">
        <w:trPr>
          <w:trHeight w:val="1554"/>
        </w:trPr>
        <w:tc>
          <w:tcPr>
            <w:tcW w:w="3685" w:type="dxa"/>
          </w:tcPr>
          <w:p w:rsidR="001555BA" w:rsidRPr="00B92EAD" w:rsidRDefault="001555BA" w:rsidP="00B92EAD">
            <w:pPr>
              <w:spacing w:before="240" w:line="360" w:lineRule="auto"/>
              <w:ind w:left="323" w:hanging="323"/>
              <w:jc w:val="both"/>
              <w:rPr>
                <w:rFonts w:ascii="Times New Roman" w:hAnsi="Times New Roman" w:cs="Times New Roman"/>
                <w:sz w:val="24"/>
                <w:szCs w:val="24"/>
              </w:rPr>
            </w:pPr>
            <w:r>
              <w:rPr>
                <w:rFonts w:ascii="Times New Roman" w:hAnsi="Times New Roman" w:cs="Times New Roman"/>
                <w:sz w:val="24"/>
                <w:szCs w:val="24"/>
              </w:rPr>
              <w:t xml:space="preserve">8. </w:t>
            </w:r>
            <w:r w:rsidRPr="00B92EAD">
              <w:rPr>
                <w:rFonts w:ascii="Times New Roman" w:hAnsi="Times New Roman" w:cs="Times New Roman"/>
                <w:sz w:val="24"/>
                <w:szCs w:val="24"/>
              </w:rPr>
              <w:t xml:space="preserve">Mendukung penerapan prinsip-prinsip </w:t>
            </w:r>
            <w:r w:rsidRPr="00B92EAD">
              <w:rPr>
                <w:rFonts w:ascii="Times New Roman" w:hAnsi="Times New Roman" w:cs="Times New Roman"/>
                <w:i/>
                <w:sz w:val="24"/>
                <w:szCs w:val="24"/>
              </w:rPr>
              <w:t xml:space="preserve">Good Public Governance </w:t>
            </w:r>
            <w:r w:rsidRPr="00B92EAD">
              <w:rPr>
                <w:rFonts w:ascii="Times New Roman" w:hAnsi="Times New Roman" w:cs="Times New Roman"/>
                <w:sz w:val="24"/>
                <w:szCs w:val="24"/>
              </w:rPr>
              <w:t>dalam pelayanan ekspor-impor,</w:t>
            </w:r>
          </w:p>
        </w:tc>
        <w:tc>
          <w:tcPr>
            <w:tcW w:w="3730" w:type="dxa"/>
            <w:vMerge/>
          </w:tcPr>
          <w:p w:rsidR="001555BA" w:rsidRDefault="001555BA" w:rsidP="009C2E64">
            <w:pPr>
              <w:spacing w:before="240" w:line="360" w:lineRule="auto"/>
              <w:jc w:val="both"/>
              <w:rPr>
                <w:rFonts w:ascii="Times New Roman" w:hAnsi="Times New Roman" w:cs="Times New Roman"/>
                <w:sz w:val="24"/>
                <w:szCs w:val="24"/>
              </w:rPr>
            </w:pPr>
          </w:p>
        </w:tc>
      </w:tr>
    </w:tbl>
    <w:p w:rsidR="00C91E64" w:rsidRPr="00C91E64" w:rsidRDefault="00C91E64" w:rsidP="00C91E64">
      <w:pPr>
        <w:spacing w:before="240" w:line="240" w:lineRule="auto"/>
        <w:ind w:left="1440"/>
        <w:jc w:val="both"/>
        <w:rPr>
          <w:rFonts w:ascii="Times New Roman" w:hAnsi="Times New Roman" w:cs="Times New Roman"/>
          <w:sz w:val="24"/>
          <w:szCs w:val="24"/>
        </w:rPr>
      </w:pPr>
      <w:r>
        <w:rPr>
          <w:rFonts w:ascii="Times New Roman" w:hAnsi="Times New Roman" w:cs="Times New Roman"/>
          <w:sz w:val="24"/>
          <w:szCs w:val="24"/>
        </w:rPr>
        <w:t>Sumber: http://www.insw.go.id</w:t>
      </w:r>
    </w:p>
    <w:p w:rsidR="001A3351" w:rsidRDefault="001A3351" w:rsidP="00C91E64">
      <w:pPr>
        <w:spacing w:before="240" w:line="240" w:lineRule="auto"/>
        <w:ind w:left="1440"/>
        <w:jc w:val="center"/>
        <w:rPr>
          <w:rFonts w:ascii="Times New Roman" w:hAnsi="Times New Roman" w:cs="Times New Roman"/>
          <w:b/>
          <w:sz w:val="24"/>
          <w:szCs w:val="24"/>
        </w:rPr>
      </w:pPr>
      <w:r>
        <w:rPr>
          <w:rFonts w:ascii="Times New Roman" w:hAnsi="Times New Roman" w:cs="Times New Roman"/>
          <w:b/>
          <w:sz w:val="24"/>
          <w:szCs w:val="24"/>
        </w:rPr>
        <w:t>Tabel 2.1</w:t>
      </w:r>
    </w:p>
    <w:p w:rsidR="00C91E64" w:rsidRDefault="00C91E64" w:rsidP="00C91E64">
      <w:pPr>
        <w:spacing w:before="240" w:line="240" w:lineRule="auto"/>
        <w:ind w:left="1440"/>
        <w:jc w:val="center"/>
        <w:rPr>
          <w:rFonts w:ascii="Times New Roman" w:hAnsi="Times New Roman" w:cs="Times New Roman"/>
          <w:b/>
          <w:sz w:val="24"/>
          <w:szCs w:val="24"/>
        </w:rPr>
      </w:pPr>
    </w:p>
    <w:p w:rsidR="00C91E64" w:rsidRPr="007B59CD" w:rsidRDefault="00C91E64" w:rsidP="005D4F18">
      <w:pPr>
        <w:pStyle w:val="ListParagraph"/>
        <w:numPr>
          <w:ilvl w:val="0"/>
          <w:numId w:val="6"/>
        </w:numPr>
        <w:spacing w:before="240" w:line="480" w:lineRule="auto"/>
        <w:ind w:left="709"/>
        <w:jc w:val="both"/>
        <w:rPr>
          <w:rFonts w:ascii="Times New Roman" w:hAnsi="Times New Roman" w:cs="Times New Roman"/>
          <w:b/>
          <w:sz w:val="24"/>
          <w:szCs w:val="24"/>
        </w:rPr>
      </w:pPr>
      <w:r>
        <w:rPr>
          <w:rFonts w:ascii="Times New Roman" w:hAnsi="Times New Roman" w:cs="Times New Roman"/>
          <w:b/>
          <w:sz w:val="24"/>
          <w:szCs w:val="24"/>
        </w:rPr>
        <w:t xml:space="preserve">Dasar Hukum Penerapan Indonesia </w:t>
      </w:r>
      <w:r>
        <w:rPr>
          <w:rFonts w:ascii="Times New Roman" w:hAnsi="Times New Roman" w:cs="Times New Roman"/>
          <w:b/>
          <w:i/>
          <w:sz w:val="24"/>
          <w:szCs w:val="24"/>
        </w:rPr>
        <w:t>National Single Window</w:t>
      </w:r>
    </w:p>
    <w:p w:rsidR="008C5F0E" w:rsidRDefault="007B59CD" w:rsidP="008C5F0E">
      <w:pPr>
        <w:pStyle w:val="ListParagraph"/>
        <w:spacing w:before="240" w:line="48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Bahwa untuk merealisasikan INSW, berdasarkan Keputusan Menteri Koordinator Perekonomian Nomor KEP-19/M.EKON/04/2008 Tentang Tim Persiapan </w:t>
      </w:r>
      <w:r w:rsidR="00FA06A4">
        <w:rPr>
          <w:rFonts w:ascii="Times New Roman" w:hAnsi="Times New Roman" w:cs="Times New Roman"/>
          <w:i/>
          <w:sz w:val="24"/>
          <w:szCs w:val="24"/>
        </w:rPr>
        <w:t>National Single Window</w:t>
      </w:r>
      <w:r w:rsidR="009B5A73">
        <w:rPr>
          <w:rFonts w:ascii="Times New Roman" w:hAnsi="Times New Roman" w:cs="Times New Roman"/>
          <w:sz w:val="24"/>
          <w:szCs w:val="24"/>
        </w:rPr>
        <w:t xml:space="preserve"> telah dibentuk Tim Persiapan NSW yang melakukan pengawasan dan pengendalian pelaksanaan kebijakan, pelaksanaan pembangunan, pengembangan, dan penerapan sistem NSW. Point kedua keputusan Menteri Koordinator Perekonomian tersebut menyebutkan tugas dari Tim Persiapan NSW adalah:</w:t>
      </w:r>
    </w:p>
    <w:p w:rsidR="008C5F0E" w:rsidRDefault="000D18A0" w:rsidP="005D4F18">
      <w:pPr>
        <w:pStyle w:val="ListParagraph"/>
        <w:numPr>
          <w:ilvl w:val="0"/>
          <w:numId w:val="18"/>
        </w:numPr>
        <w:spacing w:before="240" w:line="480" w:lineRule="auto"/>
        <w:jc w:val="both"/>
        <w:rPr>
          <w:rFonts w:ascii="Times New Roman" w:hAnsi="Times New Roman" w:cs="Times New Roman"/>
          <w:sz w:val="24"/>
          <w:szCs w:val="24"/>
        </w:rPr>
      </w:pPr>
      <w:r w:rsidRPr="008C5F0E">
        <w:rPr>
          <w:rFonts w:ascii="Times New Roman" w:hAnsi="Times New Roman" w:cs="Times New Roman"/>
          <w:sz w:val="24"/>
          <w:szCs w:val="24"/>
        </w:rPr>
        <w:t xml:space="preserve">Menetapkan kebijakan dan memberikan arahan yang diperlukan untuk kelancaran pelaksanaan pembangunan, pengembangan dan penerapan sistem </w:t>
      </w:r>
      <w:r w:rsidRPr="008C5F0E">
        <w:rPr>
          <w:rFonts w:ascii="Times New Roman" w:hAnsi="Times New Roman" w:cs="Times New Roman"/>
          <w:i/>
          <w:sz w:val="24"/>
          <w:szCs w:val="24"/>
        </w:rPr>
        <w:t xml:space="preserve">National Single Window </w:t>
      </w:r>
      <w:r w:rsidRPr="008C5F0E">
        <w:rPr>
          <w:rFonts w:ascii="Times New Roman" w:hAnsi="Times New Roman" w:cs="Times New Roman"/>
          <w:sz w:val="24"/>
          <w:szCs w:val="24"/>
        </w:rPr>
        <w:t xml:space="preserve">(NSW) dan integrasi ke dalam sistem ASEAN </w:t>
      </w:r>
      <w:r w:rsidRPr="008C5F0E">
        <w:rPr>
          <w:rFonts w:ascii="Times New Roman" w:hAnsi="Times New Roman" w:cs="Times New Roman"/>
          <w:i/>
          <w:sz w:val="24"/>
          <w:szCs w:val="24"/>
        </w:rPr>
        <w:t xml:space="preserve">Single Window </w:t>
      </w:r>
      <w:r w:rsidRPr="008C5F0E">
        <w:rPr>
          <w:rFonts w:ascii="Times New Roman" w:hAnsi="Times New Roman" w:cs="Times New Roman"/>
          <w:sz w:val="24"/>
          <w:szCs w:val="24"/>
        </w:rPr>
        <w:t>(ASW);</w:t>
      </w:r>
    </w:p>
    <w:p w:rsidR="008C5F0E" w:rsidRDefault="000D18A0" w:rsidP="005D4F18">
      <w:pPr>
        <w:pStyle w:val="ListParagraph"/>
        <w:numPr>
          <w:ilvl w:val="0"/>
          <w:numId w:val="18"/>
        </w:numPr>
        <w:spacing w:before="240" w:line="480" w:lineRule="auto"/>
        <w:jc w:val="both"/>
        <w:rPr>
          <w:rFonts w:ascii="Times New Roman" w:hAnsi="Times New Roman" w:cs="Times New Roman"/>
          <w:sz w:val="24"/>
          <w:szCs w:val="24"/>
        </w:rPr>
      </w:pPr>
      <w:r w:rsidRPr="008C5F0E">
        <w:rPr>
          <w:rFonts w:ascii="Times New Roman" w:hAnsi="Times New Roman" w:cs="Times New Roman"/>
          <w:sz w:val="24"/>
          <w:szCs w:val="24"/>
        </w:rPr>
        <w:lastRenderedPageBreak/>
        <w:t>Memantau, mengevaluasi dan mengendalikan perkembangan pelaksanaan pembangunan, pengembangan dan penerapan sistem NSW dan integrasi ke dalam ASW;</w:t>
      </w:r>
    </w:p>
    <w:p w:rsidR="008C5F0E" w:rsidRDefault="000D18A0" w:rsidP="005D4F18">
      <w:pPr>
        <w:pStyle w:val="ListParagraph"/>
        <w:numPr>
          <w:ilvl w:val="0"/>
          <w:numId w:val="18"/>
        </w:numPr>
        <w:spacing w:before="240" w:line="480" w:lineRule="auto"/>
        <w:jc w:val="both"/>
        <w:rPr>
          <w:rFonts w:ascii="Times New Roman" w:hAnsi="Times New Roman" w:cs="Times New Roman"/>
          <w:sz w:val="24"/>
          <w:szCs w:val="24"/>
        </w:rPr>
      </w:pPr>
      <w:r w:rsidRPr="008C5F0E">
        <w:rPr>
          <w:rFonts w:ascii="Times New Roman" w:hAnsi="Times New Roman" w:cs="Times New Roman"/>
          <w:sz w:val="24"/>
          <w:szCs w:val="24"/>
        </w:rPr>
        <w:t>Melaporkan pelaksanaan tugas dalam rangka pembangunan, pengembangan dan penerapan sistem NSW dan integrasi ke dalam sistem ASW, kepada Menteri Koordinator Bidang Perekonomian selaku Pengarah Tim Persiapan NSW;</w:t>
      </w:r>
    </w:p>
    <w:p w:rsidR="000D18A0" w:rsidRPr="008C5F0E" w:rsidRDefault="000D18A0" w:rsidP="005D4F18">
      <w:pPr>
        <w:pStyle w:val="ListParagraph"/>
        <w:numPr>
          <w:ilvl w:val="0"/>
          <w:numId w:val="18"/>
        </w:numPr>
        <w:spacing w:before="240" w:line="480" w:lineRule="auto"/>
        <w:jc w:val="both"/>
        <w:rPr>
          <w:rFonts w:ascii="Times New Roman" w:hAnsi="Times New Roman" w:cs="Times New Roman"/>
          <w:sz w:val="24"/>
          <w:szCs w:val="24"/>
        </w:rPr>
      </w:pPr>
      <w:r w:rsidRPr="008C5F0E">
        <w:rPr>
          <w:rFonts w:ascii="Times New Roman" w:hAnsi="Times New Roman" w:cs="Times New Roman"/>
          <w:sz w:val="24"/>
          <w:szCs w:val="24"/>
        </w:rPr>
        <w:t>Melaksanakan kegiatan lain yang diperlukan dalam rangka pembangunan, pengembangan dan penerapan sistem NSW dan integrasi ke dalam sistem ASW.</w:t>
      </w:r>
    </w:p>
    <w:p w:rsidR="008C5F0E" w:rsidRDefault="000D18A0" w:rsidP="008C5F0E">
      <w:pPr>
        <w:spacing w:before="24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Adapun kewenangan kepada Tim Persiapan NSW untuk mengeluarkan pengaturan </w:t>
      </w:r>
      <w:r w:rsidR="00981A41">
        <w:rPr>
          <w:rFonts w:ascii="Times New Roman" w:hAnsi="Times New Roman" w:cs="Times New Roman"/>
          <w:sz w:val="24"/>
          <w:szCs w:val="24"/>
        </w:rPr>
        <w:t>terhadap pelaksanaan INSW sebagai berikut:</w:t>
      </w:r>
    </w:p>
    <w:p w:rsidR="008C5F0E" w:rsidRDefault="008935F2" w:rsidP="005D4F18">
      <w:pPr>
        <w:pStyle w:val="ListParagraph"/>
        <w:numPr>
          <w:ilvl w:val="0"/>
          <w:numId w:val="19"/>
        </w:numPr>
        <w:spacing w:before="240" w:line="480" w:lineRule="auto"/>
        <w:jc w:val="both"/>
        <w:rPr>
          <w:rFonts w:ascii="Times New Roman" w:hAnsi="Times New Roman" w:cs="Times New Roman"/>
          <w:sz w:val="24"/>
          <w:szCs w:val="24"/>
        </w:rPr>
      </w:pPr>
      <w:r w:rsidRPr="008C5F0E">
        <w:rPr>
          <w:rFonts w:ascii="Times New Roman" w:hAnsi="Times New Roman" w:cs="Times New Roman"/>
          <w:sz w:val="24"/>
          <w:szCs w:val="24"/>
        </w:rPr>
        <w:t>Undang-undang Nomor 11 Tahun 2008 tentang Informasi dan Transaksi Elektronik (ITE)</w:t>
      </w:r>
      <w:r w:rsidR="00B07F70" w:rsidRPr="008C5F0E">
        <w:rPr>
          <w:rFonts w:ascii="Times New Roman" w:hAnsi="Times New Roman" w:cs="Times New Roman"/>
          <w:sz w:val="24"/>
          <w:szCs w:val="24"/>
        </w:rPr>
        <w:t>;</w:t>
      </w:r>
    </w:p>
    <w:p w:rsidR="008935F2" w:rsidRPr="008C5F0E" w:rsidRDefault="008935F2" w:rsidP="005D4F18">
      <w:pPr>
        <w:pStyle w:val="ListParagraph"/>
        <w:numPr>
          <w:ilvl w:val="0"/>
          <w:numId w:val="19"/>
        </w:numPr>
        <w:spacing w:before="240" w:line="480" w:lineRule="auto"/>
        <w:jc w:val="both"/>
        <w:rPr>
          <w:rFonts w:ascii="Times New Roman" w:hAnsi="Times New Roman" w:cs="Times New Roman"/>
          <w:sz w:val="24"/>
          <w:szCs w:val="24"/>
        </w:rPr>
      </w:pPr>
      <w:r w:rsidRPr="008C5F0E">
        <w:rPr>
          <w:rFonts w:ascii="Times New Roman" w:hAnsi="Times New Roman" w:cs="Times New Roman"/>
          <w:sz w:val="24"/>
          <w:szCs w:val="24"/>
        </w:rPr>
        <w:t xml:space="preserve">Peraturan Presiden Nomor 10 Tahun 2008 tentang penggunaan sistem elektronik dalam kerangka Indonesia </w:t>
      </w:r>
      <w:r w:rsidRPr="008C5F0E">
        <w:rPr>
          <w:rFonts w:ascii="Times New Roman" w:hAnsi="Times New Roman" w:cs="Times New Roman"/>
          <w:i/>
          <w:sz w:val="24"/>
          <w:szCs w:val="24"/>
        </w:rPr>
        <w:t xml:space="preserve">National Single Window </w:t>
      </w:r>
      <w:r w:rsidRPr="008C5F0E">
        <w:rPr>
          <w:rFonts w:ascii="Times New Roman" w:hAnsi="Times New Roman" w:cs="Times New Roman"/>
          <w:sz w:val="24"/>
          <w:szCs w:val="24"/>
        </w:rPr>
        <w:t>yang telah diubah dengan Perpres nomor 35 tahun 2012, Portal INSW menjadi acuan tunggal (</w:t>
      </w:r>
      <w:r w:rsidRPr="008C5F0E">
        <w:rPr>
          <w:rFonts w:ascii="Times New Roman" w:hAnsi="Times New Roman" w:cs="Times New Roman"/>
          <w:i/>
          <w:sz w:val="24"/>
          <w:szCs w:val="24"/>
        </w:rPr>
        <w:t>single reference</w:t>
      </w:r>
      <w:r w:rsidRPr="008C5F0E">
        <w:rPr>
          <w:rFonts w:ascii="Times New Roman" w:hAnsi="Times New Roman" w:cs="Times New Roman"/>
          <w:sz w:val="24"/>
          <w:szCs w:val="24"/>
        </w:rPr>
        <w:t>) peraturan dan ketentuan di bidang ekspor-impor.</w:t>
      </w:r>
      <w:r w:rsidR="007B59CD">
        <w:rPr>
          <w:rStyle w:val="FootnoteReference"/>
          <w:rFonts w:ascii="Times New Roman" w:hAnsi="Times New Roman" w:cs="Times New Roman"/>
          <w:sz w:val="24"/>
          <w:szCs w:val="24"/>
        </w:rPr>
        <w:footnoteReference w:id="8"/>
      </w:r>
    </w:p>
    <w:p w:rsidR="008C5F0E" w:rsidRDefault="007F1DE8" w:rsidP="008C5F0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Pelaksanaan INSW bagi DJBC diatur dalam UU Kepabeanan (UU No. 0/1995) dan Amandemennya (UU No. 17/2006). Seperti yang telah disebutkan sebelumnya, terdapat hal-hal baru yang terdapat di UU No. 17/2006, dimana hal-hal yang baru tersebut menjadi suatu perlindungan hukum terhadap para pelaku perdagangan ekspor-impor, sedangkan terhadap pihak kepabeanan</w:t>
      </w:r>
      <w:r w:rsidR="005111FE">
        <w:rPr>
          <w:rFonts w:ascii="Times New Roman" w:hAnsi="Times New Roman" w:cs="Times New Roman"/>
          <w:sz w:val="24"/>
          <w:szCs w:val="24"/>
        </w:rPr>
        <w:t xml:space="preserve"> ini menjadi suatu kemajuan dari segi sistem kerja Bea dan Cukai yang lebih baik. Beberapa hal-hal baru yang terdapat di UU No. 17/2006 yaitu:</w:t>
      </w:r>
      <w:r w:rsidR="005111FE">
        <w:rPr>
          <w:rStyle w:val="FootnoteReference"/>
          <w:rFonts w:ascii="Times New Roman" w:hAnsi="Times New Roman" w:cs="Times New Roman"/>
          <w:sz w:val="24"/>
          <w:szCs w:val="24"/>
        </w:rPr>
        <w:footnoteReference w:id="9"/>
      </w:r>
    </w:p>
    <w:p w:rsidR="008C5F0E" w:rsidRDefault="005111FE" w:rsidP="005D4F18">
      <w:pPr>
        <w:pStyle w:val="ListParagraph"/>
        <w:numPr>
          <w:ilvl w:val="0"/>
          <w:numId w:val="20"/>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Pengawasan bea keluar atas ekspor barang dengan kriteria tertentu;</w:t>
      </w:r>
    </w:p>
    <w:p w:rsidR="008C5F0E" w:rsidRDefault="005111FE" w:rsidP="005D4F18">
      <w:pPr>
        <w:pStyle w:val="ListParagraph"/>
        <w:numPr>
          <w:ilvl w:val="0"/>
          <w:numId w:val="20"/>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Pengawasan pengangkutan barang tertentu yang diangkut melalui laut di dalam daerah pabean;</w:t>
      </w:r>
    </w:p>
    <w:p w:rsidR="008C5F0E" w:rsidRDefault="005111FE" w:rsidP="005D4F18">
      <w:pPr>
        <w:pStyle w:val="ListParagraph"/>
        <w:numPr>
          <w:ilvl w:val="0"/>
          <w:numId w:val="20"/>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Registrasi kepabeanan;</w:t>
      </w:r>
    </w:p>
    <w:p w:rsidR="008C5F0E" w:rsidRDefault="005111FE" w:rsidP="005D4F18">
      <w:pPr>
        <w:pStyle w:val="ListParagraph"/>
        <w:numPr>
          <w:ilvl w:val="0"/>
          <w:numId w:val="20"/>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Perubahan data dalam pemberitahuan pabean akibat kekhilafan yang nyata;</w:t>
      </w:r>
    </w:p>
    <w:p w:rsidR="008C5F0E" w:rsidRDefault="005111FE" w:rsidP="005D4F18">
      <w:pPr>
        <w:pStyle w:val="ListParagraph"/>
        <w:numPr>
          <w:ilvl w:val="0"/>
          <w:numId w:val="20"/>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Pengaturan mengenai data elektronik sebagai alat bukti yang sah;</w:t>
      </w:r>
    </w:p>
    <w:p w:rsidR="008C5F0E" w:rsidRDefault="005111FE" w:rsidP="005D4F18">
      <w:pPr>
        <w:pStyle w:val="ListParagraph"/>
        <w:numPr>
          <w:ilvl w:val="0"/>
          <w:numId w:val="20"/>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Jangka waktu impor sementara;</w:t>
      </w:r>
    </w:p>
    <w:p w:rsidR="008C5F0E" w:rsidRDefault="005111FE" w:rsidP="005D4F18">
      <w:pPr>
        <w:pStyle w:val="ListParagraph"/>
        <w:numPr>
          <w:ilvl w:val="0"/>
          <w:numId w:val="20"/>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Bea masuk tindak pengamanan (</w:t>
      </w:r>
      <w:r w:rsidRPr="008C5F0E">
        <w:rPr>
          <w:rFonts w:ascii="Times New Roman" w:hAnsi="Times New Roman" w:cs="Times New Roman"/>
          <w:i/>
          <w:sz w:val="24"/>
          <w:szCs w:val="24"/>
        </w:rPr>
        <w:t>safeguard tariff</w:t>
      </w:r>
      <w:r w:rsidRPr="008C5F0E">
        <w:rPr>
          <w:rFonts w:ascii="Times New Roman" w:hAnsi="Times New Roman" w:cs="Times New Roman"/>
          <w:sz w:val="24"/>
          <w:szCs w:val="24"/>
        </w:rPr>
        <w:t>);</w:t>
      </w:r>
    </w:p>
    <w:p w:rsidR="008C5F0E" w:rsidRDefault="005111FE" w:rsidP="005D4F18">
      <w:pPr>
        <w:pStyle w:val="ListParagraph"/>
        <w:numPr>
          <w:ilvl w:val="0"/>
          <w:numId w:val="20"/>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Penindakan oleh pejabat Bea dan Cukai atas barang yang diduga terkait dengan tindakan terorisme dan/atau kejahatan lintas negara;</w:t>
      </w:r>
    </w:p>
    <w:p w:rsidR="008C5F0E" w:rsidRDefault="005111FE" w:rsidP="005D4F18">
      <w:pPr>
        <w:pStyle w:val="ListParagraph"/>
        <w:numPr>
          <w:ilvl w:val="0"/>
          <w:numId w:val="20"/>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lastRenderedPageBreak/>
        <w:t>Pemeriksaan jabatan;</w:t>
      </w:r>
    </w:p>
    <w:p w:rsidR="008C5F0E" w:rsidRDefault="001E6692" w:rsidP="005D4F18">
      <w:pPr>
        <w:pStyle w:val="ListParagraph"/>
        <w:numPr>
          <w:ilvl w:val="0"/>
          <w:numId w:val="20"/>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Pembetulan atau penghapusan sanksi administrasi oleh Direktur Jenderal;</w:t>
      </w:r>
    </w:p>
    <w:p w:rsidR="008C5F0E" w:rsidRDefault="001E6692" w:rsidP="005D4F18">
      <w:pPr>
        <w:pStyle w:val="ListParagraph"/>
        <w:numPr>
          <w:ilvl w:val="0"/>
          <w:numId w:val="20"/>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 xml:space="preserve">Keberatan </w:t>
      </w:r>
      <w:r w:rsidR="008C5F0E">
        <w:rPr>
          <w:rFonts w:ascii="Times New Roman" w:hAnsi="Times New Roman" w:cs="Times New Roman"/>
          <w:sz w:val="24"/>
          <w:szCs w:val="24"/>
        </w:rPr>
        <w:t>selain tarif dan nilai pabean;</w:t>
      </w:r>
    </w:p>
    <w:p w:rsidR="008C5F0E" w:rsidRDefault="001E6692" w:rsidP="005D4F18">
      <w:pPr>
        <w:pStyle w:val="ListParagraph"/>
        <w:numPr>
          <w:ilvl w:val="0"/>
          <w:numId w:val="20"/>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Kode etik;</w:t>
      </w:r>
    </w:p>
    <w:p w:rsidR="008C5F0E" w:rsidRDefault="001E6692" w:rsidP="005D4F18">
      <w:pPr>
        <w:pStyle w:val="ListParagraph"/>
        <w:numPr>
          <w:ilvl w:val="0"/>
          <w:numId w:val="20"/>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Sanksi kepada pejabat Bea dan Cukai apabila pejabat salah menghitung atau menetapkan bea masuk atau bea keluar sesuai dengan UU ini sehingga mengakibatkan belum terpenuhinya pungutan negara;</w:t>
      </w:r>
    </w:p>
    <w:p w:rsidR="001E6692" w:rsidRPr="008C5F0E" w:rsidRDefault="001E6692" w:rsidP="005D4F18">
      <w:pPr>
        <w:pStyle w:val="ListParagraph"/>
        <w:numPr>
          <w:ilvl w:val="0"/>
          <w:numId w:val="20"/>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 xml:space="preserve">Kewenangan Dirjen Bea dan Cukai untuk mengawasi barang dalam </w:t>
      </w:r>
      <w:r w:rsidRPr="008C5F0E">
        <w:rPr>
          <w:rFonts w:ascii="Times New Roman" w:hAnsi="Times New Roman" w:cs="Times New Roman"/>
          <w:i/>
          <w:sz w:val="24"/>
          <w:szCs w:val="24"/>
        </w:rPr>
        <w:t>free trade zone</w:t>
      </w:r>
      <w:r w:rsidRPr="008C5F0E">
        <w:rPr>
          <w:rFonts w:ascii="Times New Roman" w:hAnsi="Times New Roman" w:cs="Times New Roman"/>
          <w:sz w:val="24"/>
          <w:szCs w:val="24"/>
        </w:rPr>
        <w:t>.</w:t>
      </w:r>
    </w:p>
    <w:p w:rsidR="008C5F0E" w:rsidRDefault="001E6692" w:rsidP="008C5F0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Selain itu, terdapat kewenangan Dirjen Bea dan Cukai yang ditambahkan, yaitu:</w:t>
      </w:r>
      <w:r>
        <w:rPr>
          <w:rStyle w:val="FootnoteReference"/>
          <w:rFonts w:ascii="Times New Roman" w:hAnsi="Times New Roman" w:cs="Times New Roman"/>
          <w:sz w:val="24"/>
          <w:szCs w:val="24"/>
        </w:rPr>
        <w:footnoteReference w:id="10"/>
      </w:r>
    </w:p>
    <w:p w:rsidR="008C5F0E" w:rsidRDefault="001E6692" w:rsidP="005D4F18">
      <w:pPr>
        <w:pStyle w:val="ListParagraph"/>
        <w:numPr>
          <w:ilvl w:val="0"/>
          <w:numId w:val="21"/>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Kewenangan untuk melakukan pemeriksaan terhadap pengangkutan barang tertentu di dalam pabean;</w:t>
      </w:r>
    </w:p>
    <w:p w:rsidR="008C5F0E" w:rsidRDefault="001E6692" w:rsidP="005D4F18">
      <w:pPr>
        <w:pStyle w:val="ListParagraph"/>
        <w:numPr>
          <w:ilvl w:val="0"/>
          <w:numId w:val="21"/>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Kewenangan Direktur Jenderal untuk membuat keputusan keberatan selain tarif dan/atau nilai pabean;</w:t>
      </w:r>
    </w:p>
    <w:p w:rsidR="008C5F0E" w:rsidRDefault="001E6692" w:rsidP="005D4F18">
      <w:pPr>
        <w:pStyle w:val="ListParagraph"/>
        <w:numPr>
          <w:ilvl w:val="0"/>
          <w:numId w:val="21"/>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Kewenangan pejabat bea dan cukai untuk mencegah barang yang diduga terkait dengan terorisme dan kejahatan lintas negara;</w:t>
      </w:r>
    </w:p>
    <w:p w:rsidR="008C5F0E" w:rsidRDefault="001E6692" w:rsidP="005D4F18">
      <w:pPr>
        <w:pStyle w:val="ListParagraph"/>
        <w:numPr>
          <w:ilvl w:val="0"/>
          <w:numId w:val="21"/>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lastRenderedPageBreak/>
        <w:t>Kewenangan khusus Direktur Jenderal untuk melakukan pembetulan, pengurangan atau penghapusan denda administrasi dan surat tagihan bea masuk;</w:t>
      </w:r>
    </w:p>
    <w:p w:rsidR="008C5F0E" w:rsidRDefault="001E6692" w:rsidP="005D4F18">
      <w:pPr>
        <w:pStyle w:val="ListParagraph"/>
        <w:numPr>
          <w:ilvl w:val="0"/>
          <w:numId w:val="21"/>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Kewenangan untuk melakukan penyegelan oleh pejabat dalam rangka audit di bidang kepabeanan;</w:t>
      </w:r>
    </w:p>
    <w:p w:rsidR="001E6692" w:rsidRPr="008C5F0E" w:rsidRDefault="001E6692" w:rsidP="005D4F18">
      <w:pPr>
        <w:pStyle w:val="ListParagraph"/>
        <w:numPr>
          <w:ilvl w:val="0"/>
          <w:numId w:val="21"/>
        </w:numPr>
        <w:spacing w:line="480" w:lineRule="auto"/>
        <w:jc w:val="both"/>
        <w:rPr>
          <w:rFonts w:ascii="Times New Roman" w:hAnsi="Times New Roman" w:cs="Times New Roman"/>
          <w:sz w:val="24"/>
          <w:szCs w:val="24"/>
        </w:rPr>
      </w:pPr>
      <w:r w:rsidRPr="008C5F0E">
        <w:rPr>
          <w:rFonts w:ascii="Times New Roman" w:hAnsi="Times New Roman" w:cs="Times New Roman"/>
          <w:sz w:val="24"/>
          <w:szCs w:val="24"/>
        </w:rPr>
        <w:t>Pemeriksaan jabatan (</w:t>
      </w:r>
      <w:r w:rsidRPr="008C5F0E">
        <w:rPr>
          <w:rFonts w:ascii="Times New Roman" w:hAnsi="Times New Roman" w:cs="Times New Roman"/>
          <w:i/>
          <w:sz w:val="24"/>
          <w:szCs w:val="24"/>
        </w:rPr>
        <w:t>ex officio</w:t>
      </w:r>
      <w:r w:rsidRPr="008C5F0E">
        <w:rPr>
          <w:rFonts w:ascii="Times New Roman" w:hAnsi="Times New Roman" w:cs="Times New Roman"/>
          <w:sz w:val="24"/>
          <w:szCs w:val="24"/>
        </w:rPr>
        <w:t>) berdasarkan dugaan bahwa telah atau akan terjadi suatu pelanggaran kepabeanan.</w:t>
      </w:r>
    </w:p>
    <w:p w:rsidR="00C57B46" w:rsidRDefault="00C57B46" w:rsidP="00C57B46">
      <w:pPr>
        <w:spacing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Pelaksanaan transaksi elektronik bagi pada pihak dalam pelaksanaan INSW dapat dilihat pada Rancangan UU ITE Bab V (Pasal 17-Pasal 22). Pasal 17 ayat (3) menyebutkan:</w:t>
      </w:r>
    </w:p>
    <w:p w:rsidR="00C57B46" w:rsidRDefault="00C57B46" w:rsidP="00C57B46">
      <w:pPr>
        <w:spacing w:line="240" w:lineRule="auto"/>
        <w:ind w:left="1276" w:right="474" w:firstLine="11"/>
        <w:jc w:val="both"/>
        <w:rPr>
          <w:rFonts w:ascii="Times New Roman" w:hAnsi="Times New Roman" w:cs="Times New Roman"/>
          <w:b/>
          <w:sz w:val="20"/>
          <w:szCs w:val="20"/>
        </w:rPr>
      </w:pPr>
      <w:r w:rsidRPr="00C57B46">
        <w:rPr>
          <w:rFonts w:ascii="Times New Roman" w:hAnsi="Times New Roman" w:cs="Times New Roman"/>
          <w:b/>
          <w:sz w:val="20"/>
          <w:szCs w:val="20"/>
        </w:rPr>
        <w:t>“ketentuan lebih lanjut mengenai penyelenggaraan Transaksi Elektronik sebagaimana dimaksud pada ayat (1) diatur dengan Peraturan Pemerintah.”</w:t>
      </w:r>
    </w:p>
    <w:p w:rsidR="00C57B46" w:rsidRDefault="00C57B46" w:rsidP="00C57B46">
      <w:pPr>
        <w:spacing w:line="240" w:lineRule="auto"/>
        <w:ind w:left="1276" w:right="474" w:firstLine="11"/>
        <w:jc w:val="both"/>
        <w:rPr>
          <w:rFonts w:ascii="Times New Roman" w:hAnsi="Times New Roman" w:cs="Times New Roman"/>
          <w:b/>
          <w:sz w:val="20"/>
          <w:szCs w:val="20"/>
        </w:rPr>
      </w:pPr>
    </w:p>
    <w:p w:rsidR="006E4B27" w:rsidRPr="00C57B46" w:rsidRDefault="00C57B46" w:rsidP="00C57B46">
      <w:pPr>
        <w:spacing w:line="480" w:lineRule="auto"/>
        <w:ind w:left="567" w:right="-93" w:firstLine="862"/>
        <w:jc w:val="both"/>
        <w:rPr>
          <w:rFonts w:ascii="Times New Roman" w:hAnsi="Times New Roman" w:cs="Times New Roman"/>
          <w:b/>
          <w:sz w:val="20"/>
          <w:szCs w:val="20"/>
        </w:rPr>
      </w:pPr>
      <w:r>
        <w:rPr>
          <w:rFonts w:ascii="Times New Roman" w:hAnsi="Times New Roman" w:cs="Times New Roman"/>
          <w:sz w:val="24"/>
          <w:szCs w:val="24"/>
        </w:rPr>
        <w:t>Dengan demikian, diperlukan Peraturan Pemerintah untuk mengatur mengenai INSW (saat ini yang berlaku untuk mendukung UU ITE dalam pelaksanaan INSW adalah Perpres No. 10/2008).</w:t>
      </w:r>
    </w:p>
    <w:p w:rsidR="00C57B46" w:rsidRPr="00C57B46" w:rsidRDefault="00C57B46" w:rsidP="00C57B46">
      <w:pPr>
        <w:spacing w:line="480" w:lineRule="auto"/>
        <w:ind w:right="474"/>
        <w:jc w:val="both"/>
        <w:rPr>
          <w:rFonts w:ascii="Times New Roman" w:hAnsi="Times New Roman" w:cs="Times New Roman"/>
          <w:sz w:val="24"/>
          <w:szCs w:val="24"/>
        </w:rPr>
      </w:pPr>
    </w:p>
    <w:p w:rsidR="006E4B27" w:rsidRPr="006E4B27" w:rsidRDefault="006E4B27" w:rsidP="005D4F18">
      <w:pPr>
        <w:pStyle w:val="ListParagraph"/>
        <w:numPr>
          <w:ilvl w:val="0"/>
          <w:numId w:val="6"/>
        </w:numPr>
        <w:spacing w:line="480" w:lineRule="auto"/>
        <w:ind w:left="709"/>
        <w:jc w:val="both"/>
        <w:rPr>
          <w:rFonts w:ascii="Times New Roman" w:hAnsi="Times New Roman" w:cs="Times New Roman"/>
          <w:sz w:val="24"/>
          <w:szCs w:val="24"/>
        </w:rPr>
      </w:pPr>
      <w:r>
        <w:rPr>
          <w:rFonts w:ascii="Times New Roman" w:hAnsi="Times New Roman" w:cs="Times New Roman"/>
          <w:b/>
          <w:sz w:val="24"/>
          <w:szCs w:val="24"/>
        </w:rPr>
        <w:t xml:space="preserve">Visi dan Misi Penerapan Indonesia </w:t>
      </w:r>
      <w:r>
        <w:rPr>
          <w:rFonts w:ascii="Times New Roman" w:hAnsi="Times New Roman" w:cs="Times New Roman"/>
          <w:b/>
          <w:i/>
          <w:sz w:val="24"/>
          <w:szCs w:val="24"/>
        </w:rPr>
        <w:t>National Single Window</w:t>
      </w:r>
    </w:p>
    <w:p w:rsidR="006E4B27" w:rsidRDefault="006E4B27" w:rsidP="006E4B27">
      <w:pPr>
        <w:pStyle w:val="ListParagraph"/>
        <w:spacing w:line="480" w:lineRule="auto"/>
        <w:ind w:firstLine="720"/>
        <w:jc w:val="both"/>
        <w:rPr>
          <w:rFonts w:ascii="Times New Roman" w:hAnsi="Times New Roman" w:cs="Times New Roman"/>
          <w:sz w:val="24"/>
          <w:szCs w:val="24"/>
        </w:rPr>
      </w:pPr>
      <w:r w:rsidRPr="006E4B27">
        <w:rPr>
          <w:rFonts w:ascii="Times New Roman" w:hAnsi="Times New Roman" w:cs="Times New Roman"/>
          <w:sz w:val="24"/>
          <w:szCs w:val="24"/>
        </w:rPr>
        <w:t>Visi penerapan sistem NSW adalah terwujudnya lingkungan “</w:t>
      </w:r>
      <w:r w:rsidRPr="006E4B27">
        <w:rPr>
          <w:rFonts w:ascii="Times New Roman" w:hAnsi="Times New Roman" w:cs="Times New Roman"/>
          <w:i/>
          <w:sz w:val="24"/>
          <w:szCs w:val="24"/>
        </w:rPr>
        <w:t>National Single Window</w:t>
      </w:r>
      <w:r w:rsidRPr="006E4B27">
        <w:rPr>
          <w:rFonts w:ascii="Times New Roman" w:hAnsi="Times New Roman" w:cs="Times New Roman"/>
          <w:sz w:val="24"/>
          <w:szCs w:val="24"/>
        </w:rPr>
        <w:t xml:space="preserve">” di Indonesia, yaitu layanan tunggal elektronik untuk memfasilitasi pengajuan informasi standar guna menyelesaikan semua pemenuhan persyaratan dan ketentuan, serta semua kegiatan yang terkait </w:t>
      </w:r>
      <w:r w:rsidRPr="006E4B27">
        <w:rPr>
          <w:rFonts w:ascii="Times New Roman" w:hAnsi="Times New Roman" w:cs="Times New Roman"/>
          <w:sz w:val="24"/>
          <w:szCs w:val="24"/>
        </w:rPr>
        <w:lastRenderedPageBreak/>
        <w:t>dengan kelancaran arus barang ekspor, impr dan transit, dalam rangka meningkatkan daya saing nasional.</w:t>
      </w:r>
      <w:r>
        <w:rPr>
          <w:rStyle w:val="FootnoteReference"/>
          <w:rFonts w:ascii="Times New Roman" w:hAnsi="Times New Roman" w:cs="Times New Roman"/>
          <w:sz w:val="24"/>
          <w:szCs w:val="24"/>
        </w:rPr>
        <w:footnoteReference w:id="11"/>
      </w:r>
    </w:p>
    <w:p w:rsidR="006E4B27" w:rsidRDefault="006E4B27" w:rsidP="006E4B27">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Misi penerapan sistem NSW adalah mewujudkan suatu sistem layanan publik yang terintegrasi dalam pelayanan, pengawasan dan penanganan atas lalulintas barang ekspor dan impor.</w:t>
      </w:r>
      <w:r>
        <w:rPr>
          <w:rStyle w:val="FootnoteReference"/>
          <w:rFonts w:ascii="Times New Roman" w:hAnsi="Times New Roman" w:cs="Times New Roman"/>
          <w:sz w:val="24"/>
          <w:szCs w:val="24"/>
        </w:rPr>
        <w:footnoteReference w:id="12"/>
      </w:r>
    </w:p>
    <w:p w:rsidR="009736F5" w:rsidRDefault="00C0246A" w:rsidP="006E4B27">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Strategi penerapan NSW adalah:</w:t>
      </w:r>
    </w:p>
    <w:p w:rsidR="00C0246A" w:rsidRDefault="00C0246A" w:rsidP="005D4F18">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Melakukan kolaborasi sistem dari seluruh entitas (instansi pemerintah, institusi lainnya dan swasta) sebagai upaya percepatan penyelesaian proses ekspor-impor;</w:t>
      </w:r>
    </w:p>
    <w:p w:rsidR="00C0246A" w:rsidRDefault="00C0246A" w:rsidP="005D4F18">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Komitmen bersama untuk koordinasi dalam penyelarasan proses bisnis antarentitas (GA), guna meningkatkan kinerja dan efektifitas layanan yang terkait dengan ekspor-impor;</w:t>
      </w:r>
    </w:p>
    <w:p w:rsidR="00C0246A" w:rsidRDefault="00C0246A" w:rsidP="005D4F18">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Menyempurnakan dan melengkapi perangkat hukum dan kelengkapan persyaratan legal lainnya, guna mendukung terwujudnya visi INSW;</w:t>
      </w:r>
    </w:p>
    <w:p w:rsidR="00B07F70" w:rsidRDefault="00C0246A" w:rsidP="005D4F18">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Meningkatkan kapasitas dan integritas sumber daya manusia (SDM) untuk mendukung penerapan prinsip-prinsip tata kelola (</w:t>
      </w:r>
      <w:r>
        <w:rPr>
          <w:rFonts w:ascii="Times New Roman" w:hAnsi="Times New Roman" w:cs="Times New Roman"/>
          <w:i/>
          <w:sz w:val="24"/>
          <w:szCs w:val="24"/>
        </w:rPr>
        <w:t>good-governance</w:t>
      </w:r>
      <w:r>
        <w:rPr>
          <w:rFonts w:ascii="Times New Roman" w:hAnsi="Times New Roman" w:cs="Times New Roman"/>
          <w:sz w:val="24"/>
          <w:szCs w:val="24"/>
        </w:rPr>
        <w:t>) dalam pelayanan ekspor-impor.</w:t>
      </w:r>
      <w:r>
        <w:rPr>
          <w:rStyle w:val="FootnoteReference"/>
          <w:rFonts w:ascii="Times New Roman" w:hAnsi="Times New Roman" w:cs="Times New Roman"/>
          <w:sz w:val="24"/>
          <w:szCs w:val="24"/>
        </w:rPr>
        <w:footnoteReference w:id="13"/>
      </w:r>
    </w:p>
    <w:p w:rsidR="00B07F70" w:rsidRPr="008C5F0E" w:rsidRDefault="008C5F0E" w:rsidP="008C5F0E">
      <w:pPr>
        <w:rPr>
          <w:rFonts w:ascii="Times New Roman" w:hAnsi="Times New Roman" w:cs="Times New Roman"/>
          <w:sz w:val="24"/>
          <w:szCs w:val="24"/>
        </w:rPr>
      </w:pPr>
      <w:r>
        <w:rPr>
          <w:rFonts w:ascii="Times New Roman" w:hAnsi="Times New Roman" w:cs="Times New Roman"/>
          <w:sz w:val="24"/>
          <w:szCs w:val="24"/>
        </w:rPr>
        <w:br w:type="page"/>
      </w:r>
    </w:p>
    <w:p w:rsidR="00B07F70" w:rsidRPr="00B07F70" w:rsidRDefault="00B07F70" w:rsidP="005D4F18">
      <w:pPr>
        <w:pStyle w:val="ListParagraph"/>
        <w:numPr>
          <w:ilvl w:val="0"/>
          <w:numId w:val="6"/>
        </w:numPr>
        <w:spacing w:line="480" w:lineRule="auto"/>
        <w:ind w:left="709"/>
        <w:jc w:val="both"/>
        <w:rPr>
          <w:rFonts w:ascii="Times New Roman" w:hAnsi="Times New Roman" w:cs="Times New Roman"/>
          <w:sz w:val="24"/>
          <w:szCs w:val="24"/>
        </w:rPr>
      </w:pPr>
      <w:r>
        <w:rPr>
          <w:rFonts w:ascii="Times New Roman" w:hAnsi="Times New Roman" w:cs="Times New Roman"/>
          <w:b/>
          <w:sz w:val="24"/>
          <w:szCs w:val="24"/>
        </w:rPr>
        <w:lastRenderedPageBreak/>
        <w:t xml:space="preserve">Komponen dan Model Konseptual Indonesia </w:t>
      </w:r>
      <w:r>
        <w:rPr>
          <w:rFonts w:ascii="Times New Roman" w:hAnsi="Times New Roman" w:cs="Times New Roman"/>
          <w:b/>
          <w:i/>
          <w:sz w:val="24"/>
          <w:szCs w:val="24"/>
        </w:rPr>
        <w:t>National Single Window</w:t>
      </w:r>
    </w:p>
    <w:p w:rsidR="00B07F70" w:rsidRDefault="00B07F70" w:rsidP="00D037D2">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rangka pelaksanaan NSW, terdapat komponen utama dan konsep dasar sistem NSW, yaitu:</w:t>
      </w:r>
    </w:p>
    <w:p w:rsidR="00D037D2" w:rsidRDefault="00D037D2" w:rsidP="005D4F18">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Seluruh instansi pemerintah (GA) dan institusi pendukung lainnya</w:t>
      </w:r>
    </w:p>
    <w:p w:rsidR="00D037D2" w:rsidRDefault="00D037D2" w:rsidP="00D037D2">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Bertanggung jawab untuk memasok layanan ke sistem NSW sesuai dengan </w:t>
      </w:r>
      <w:r>
        <w:rPr>
          <w:rFonts w:ascii="Times New Roman" w:hAnsi="Times New Roman" w:cs="Times New Roman"/>
          <w:i/>
          <w:sz w:val="24"/>
          <w:szCs w:val="24"/>
        </w:rPr>
        <w:t xml:space="preserve">Service Level Arrangement </w:t>
      </w:r>
      <w:r>
        <w:rPr>
          <w:rFonts w:ascii="Times New Roman" w:hAnsi="Times New Roman" w:cs="Times New Roman"/>
          <w:sz w:val="24"/>
          <w:szCs w:val="24"/>
        </w:rPr>
        <w:t xml:space="preserve">(SLA) dan </w:t>
      </w:r>
      <w:r>
        <w:rPr>
          <w:rFonts w:ascii="Times New Roman" w:hAnsi="Times New Roman" w:cs="Times New Roman"/>
          <w:i/>
          <w:sz w:val="24"/>
          <w:szCs w:val="24"/>
        </w:rPr>
        <w:t xml:space="preserve">Standard Operation Procedure </w:t>
      </w:r>
      <w:r>
        <w:rPr>
          <w:rFonts w:ascii="Times New Roman" w:hAnsi="Times New Roman" w:cs="Times New Roman"/>
          <w:sz w:val="24"/>
          <w:szCs w:val="24"/>
        </w:rPr>
        <w:t>(SOP) yang telah ditetapkan. Kepabeanan (</w:t>
      </w:r>
      <w:r>
        <w:rPr>
          <w:rFonts w:ascii="Times New Roman" w:hAnsi="Times New Roman" w:cs="Times New Roman"/>
          <w:i/>
          <w:sz w:val="24"/>
          <w:szCs w:val="24"/>
        </w:rPr>
        <w:t>customs</w:t>
      </w:r>
      <w:r>
        <w:rPr>
          <w:rFonts w:ascii="Times New Roman" w:hAnsi="Times New Roman" w:cs="Times New Roman"/>
          <w:sz w:val="24"/>
          <w:szCs w:val="24"/>
        </w:rPr>
        <w:t xml:space="preserve">), instansi perizinan (GA) ekspor-impor, </w:t>
      </w:r>
      <w:r>
        <w:rPr>
          <w:rFonts w:ascii="Times New Roman" w:hAnsi="Times New Roman" w:cs="Times New Roman"/>
          <w:i/>
          <w:sz w:val="24"/>
          <w:szCs w:val="24"/>
        </w:rPr>
        <w:t>port operator</w:t>
      </w:r>
      <w:r>
        <w:rPr>
          <w:rFonts w:ascii="Times New Roman" w:hAnsi="Times New Roman" w:cs="Times New Roman"/>
          <w:sz w:val="24"/>
          <w:szCs w:val="24"/>
        </w:rPr>
        <w:t>, bank, dll.</w:t>
      </w:r>
    </w:p>
    <w:p w:rsidR="00D037D2" w:rsidRDefault="00D037D2" w:rsidP="005D4F18">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Pengguna jasa (pelaku usaha dan masyarakat)</w:t>
      </w:r>
    </w:p>
    <w:p w:rsidR="00D037D2" w:rsidRDefault="00D037D2" w:rsidP="00D037D2">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Melakukan akses langsung melalui layanan portal INSW, untuk mendapatkan semua layanan dari seluruh instansi pemerintah (GA) dan institusi pendukung lainnya. Importir, eksportir, PPJK, </w:t>
      </w:r>
      <w:r>
        <w:rPr>
          <w:rFonts w:ascii="Times New Roman" w:hAnsi="Times New Roman" w:cs="Times New Roman"/>
          <w:i/>
          <w:sz w:val="24"/>
          <w:szCs w:val="24"/>
        </w:rPr>
        <w:t>forwarder</w:t>
      </w:r>
      <w:r>
        <w:rPr>
          <w:rFonts w:ascii="Times New Roman" w:hAnsi="Times New Roman" w:cs="Times New Roman"/>
          <w:sz w:val="24"/>
          <w:szCs w:val="24"/>
        </w:rPr>
        <w:t xml:space="preserve">, </w:t>
      </w:r>
      <w:r>
        <w:rPr>
          <w:rFonts w:ascii="Times New Roman" w:hAnsi="Times New Roman" w:cs="Times New Roman"/>
          <w:i/>
          <w:sz w:val="24"/>
          <w:szCs w:val="24"/>
        </w:rPr>
        <w:t>shipping/airline</w:t>
      </w:r>
      <w:r>
        <w:rPr>
          <w:rFonts w:ascii="Times New Roman" w:hAnsi="Times New Roman" w:cs="Times New Roman"/>
          <w:sz w:val="24"/>
          <w:szCs w:val="24"/>
        </w:rPr>
        <w:t xml:space="preserve">, perusahaan transportasi, </w:t>
      </w:r>
      <w:r>
        <w:rPr>
          <w:rFonts w:ascii="Times New Roman" w:hAnsi="Times New Roman" w:cs="Times New Roman"/>
          <w:i/>
          <w:sz w:val="24"/>
          <w:szCs w:val="24"/>
        </w:rPr>
        <w:t>warehousing</w:t>
      </w:r>
      <w:r>
        <w:rPr>
          <w:rFonts w:ascii="Times New Roman" w:hAnsi="Times New Roman" w:cs="Times New Roman"/>
          <w:sz w:val="24"/>
          <w:szCs w:val="24"/>
        </w:rPr>
        <w:t>.</w:t>
      </w:r>
    </w:p>
    <w:p w:rsidR="00D037D2" w:rsidRDefault="00D037D2" w:rsidP="005D4F18">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Sistem NSW Negara lain (ASEAN)</w:t>
      </w:r>
    </w:p>
    <w:p w:rsidR="00D037D2" w:rsidRDefault="00D037D2" w:rsidP="00D037D2">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Melakukan pertukaran data elektronik dan akses data bersama, melalui kendali dan tatanan sistem ASW. Sistem NSW di 10 (sepuluh) Negara anggota ASEAN.</w:t>
      </w:r>
    </w:p>
    <w:p w:rsidR="00D037D2" w:rsidRDefault="00D037D2" w:rsidP="005D4F18">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Pengelola portal INSW</w:t>
      </w:r>
    </w:p>
    <w:p w:rsidR="00D037D2" w:rsidRDefault="00D037D2" w:rsidP="00D037D2">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Mengelola keseluruhan sistem (</w:t>
      </w:r>
      <w:r>
        <w:rPr>
          <w:rFonts w:ascii="Times New Roman" w:hAnsi="Times New Roman" w:cs="Times New Roman"/>
          <w:i/>
          <w:sz w:val="24"/>
          <w:szCs w:val="24"/>
        </w:rPr>
        <w:t>feature, facility and function</w:t>
      </w:r>
      <w:r>
        <w:rPr>
          <w:rFonts w:ascii="Times New Roman" w:hAnsi="Times New Roman" w:cs="Times New Roman"/>
          <w:sz w:val="24"/>
          <w:szCs w:val="24"/>
        </w:rPr>
        <w:t xml:space="preserve">) portal INSW, serta menjadi pengendali hubungan antramuka </w:t>
      </w:r>
      <w:r>
        <w:rPr>
          <w:rFonts w:ascii="Times New Roman" w:hAnsi="Times New Roman" w:cs="Times New Roman"/>
          <w:sz w:val="24"/>
          <w:szCs w:val="24"/>
        </w:rPr>
        <w:lastRenderedPageBreak/>
        <w:t>(</w:t>
      </w:r>
      <w:r>
        <w:rPr>
          <w:rFonts w:ascii="Times New Roman" w:hAnsi="Times New Roman" w:cs="Times New Roman"/>
          <w:i/>
          <w:sz w:val="24"/>
          <w:szCs w:val="24"/>
        </w:rPr>
        <w:t>interface</w:t>
      </w:r>
      <w:r>
        <w:rPr>
          <w:rFonts w:ascii="Times New Roman" w:hAnsi="Times New Roman" w:cs="Times New Roman"/>
          <w:sz w:val="24"/>
          <w:szCs w:val="24"/>
        </w:rPr>
        <w:t>) antar seluruh komponen yang terkait, dibawah kendali tim nasional atau badan yang ditetapkan pemerintah.</w:t>
      </w:r>
      <w:r w:rsidR="007F1BA2">
        <w:rPr>
          <w:rStyle w:val="FootnoteReference"/>
          <w:rFonts w:ascii="Times New Roman" w:hAnsi="Times New Roman" w:cs="Times New Roman"/>
          <w:sz w:val="24"/>
          <w:szCs w:val="24"/>
        </w:rPr>
        <w:footnoteReference w:id="14"/>
      </w:r>
    </w:p>
    <w:p w:rsidR="00DA2066" w:rsidRDefault="00DA2066" w:rsidP="00DA2066">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Perlu diingat bahwa NSW diupayakan untuk menjadi poros (</w:t>
      </w:r>
      <w:r>
        <w:rPr>
          <w:rFonts w:ascii="Times New Roman" w:hAnsi="Times New Roman" w:cs="Times New Roman"/>
          <w:i/>
          <w:sz w:val="24"/>
          <w:szCs w:val="24"/>
        </w:rPr>
        <w:t>hub</w:t>
      </w:r>
      <w:r>
        <w:rPr>
          <w:rFonts w:ascii="Times New Roman" w:hAnsi="Times New Roman" w:cs="Times New Roman"/>
          <w:sz w:val="24"/>
          <w:szCs w:val="24"/>
        </w:rPr>
        <w:t>) yang netral, aman dan handal untuk bisnis, industri dan pemerintah untuk berkomunikasi, bertukar dan mengolah informasi perdagangan dan logistik dalam kerangka mewujudkan proses penyelesaian perizinan barang dan komoditas yang efisien. Model konseptual NSW adalah sebagai berikut:</w:t>
      </w:r>
      <w:r w:rsidR="009D0D09">
        <w:rPr>
          <w:rStyle w:val="FootnoteReference"/>
          <w:rFonts w:ascii="Times New Roman" w:hAnsi="Times New Roman" w:cs="Times New Roman"/>
          <w:sz w:val="24"/>
          <w:szCs w:val="24"/>
        </w:rPr>
        <w:footnoteReference w:id="15"/>
      </w:r>
    </w:p>
    <w:p w:rsidR="00DA2066" w:rsidRDefault="00DA2066" w:rsidP="00DA2066">
      <w:pPr>
        <w:spacing w:line="480" w:lineRule="auto"/>
        <w:jc w:val="center"/>
        <w:rPr>
          <w:rFonts w:ascii="Times New Roman" w:hAnsi="Times New Roman" w:cs="Times New Roman"/>
          <w:b/>
          <w:i/>
          <w:sz w:val="24"/>
          <w:szCs w:val="24"/>
        </w:rPr>
      </w:pPr>
      <w:r>
        <w:rPr>
          <w:noProof/>
        </w:rPr>
        <w:drawing>
          <wp:anchor distT="0" distB="0" distL="0" distR="0" simplePos="0" relativeHeight="251661312" behindDoc="0" locked="0" layoutInCell="1" allowOverlap="1" wp14:anchorId="77495F00" wp14:editId="54CE7B55">
            <wp:simplePos x="0" y="0"/>
            <wp:positionH relativeFrom="margin">
              <wp:align>right</wp:align>
            </wp:positionH>
            <wp:positionV relativeFrom="paragraph">
              <wp:posOffset>443865</wp:posOffset>
            </wp:positionV>
            <wp:extent cx="4829175" cy="3112770"/>
            <wp:effectExtent l="0" t="0" r="9525" b="0"/>
            <wp:wrapTopAndBottom/>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4829175" cy="3112770"/>
                    </a:xfrm>
                    <a:prstGeom prst="rect">
                      <a:avLst/>
                    </a:prstGeom>
                  </pic:spPr>
                </pic:pic>
              </a:graphicData>
            </a:graphic>
            <wp14:sizeRelH relativeFrom="margin">
              <wp14:pctWidth>0</wp14:pctWidth>
            </wp14:sizeRelH>
          </wp:anchor>
        </w:drawing>
      </w:r>
      <w:r>
        <w:rPr>
          <w:rFonts w:ascii="Times New Roman" w:hAnsi="Times New Roman" w:cs="Times New Roman"/>
          <w:b/>
          <w:sz w:val="24"/>
          <w:szCs w:val="24"/>
        </w:rPr>
        <w:t xml:space="preserve">Model Konseptual </w:t>
      </w:r>
      <w:r>
        <w:rPr>
          <w:rFonts w:ascii="Times New Roman" w:hAnsi="Times New Roman" w:cs="Times New Roman"/>
          <w:b/>
          <w:i/>
          <w:sz w:val="24"/>
          <w:szCs w:val="24"/>
        </w:rPr>
        <w:t>National Single Window</w:t>
      </w:r>
    </w:p>
    <w:p w:rsidR="00DA2066" w:rsidRPr="009D0D09" w:rsidRDefault="00DA2066" w:rsidP="00DA2066">
      <w:pPr>
        <w:jc w:val="both"/>
        <w:rPr>
          <w:rFonts w:ascii="Times New Roman" w:hAnsi="Times New Roman" w:cs="Times New Roman"/>
          <w:i/>
          <w:sz w:val="24"/>
          <w:szCs w:val="24"/>
        </w:rPr>
      </w:pPr>
      <w:r>
        <w:rPr>
          <w:rFonts w:ascii="Times New Roman" w:hAnsi="Times New Roman" w:cs="Times New Roman"/>
          <w:b/>
          <w:sz w:val="24"/>
          <w:szCs w:val="24"/>
        </w:rPr>
        <w:tab/>
      </w:r>
      <w:r w:rsidRPr="009D0D09">
        <w:rPr>
          <w:rFonts w:ascii="Times New Roman" w:hAnsi="Times New Roman" w:cs="Times New Roman"/>
          <w:i/>
          <w:sz w:val="24"/>
          <w:szCs w:val="24"/>
        </w:rPr>
        <w:t>Sumber: ASW Technical</w:t>
      </w:r>
      <w:r w:rsidR="009D0D09" w:rsidRPr="009D0D09">
        <w:rPr>
          <w:rFonts w:ascii="Times New Roman" w:hAnsi="Times New Roman" w:cs="Times New Roman"/>
          <w:i/>
          <w:sz w:val="24"/>
          <w:szCs w:val="24"/>
        </w:rPr>
        <w:t xml:space="preserve"> Guide</w:t>
      </w:r>
      <w:r w:rsidRPr="009D0D09">
        <w:rPr>
          <w:rFonts w:ascii="Times New Roman" w:hAnsi="Times New Roman" w:cs="Times New Roman"/>
          <w:i/>
          <w:sz w:val="24"/>
          <w:szCs w:val="24"/>
        </w:rPr>
        <w:t xml:space="preserve"> 2006</w:t>
      </w:r>
    </w:p>
    <w:p w:rsidR="00DA2066" w:rsidRDefault="00DA2066" w:rsidP="00DA2066">
      <w:pPr>
        <w:jc w:val="center"/>
        <w:rPr>
          <w:rFonts w:ascii="Times New Roman" w:hAnsi="Times New Roman" w:cs="Times New Roman"/>
          <w:b/>
          <w:sz w:val="24"/>
          <w:szCs w:val="24"/>
        </w:rPr>
      </w:pPr>
      <w:r>
        <w:rPr>
          <w:rFonts w:ascii="Times New Roman" w:hAnsi="Times New Roman" w:cs="Times New Roman"/>
          <w:b/>
          <w:sz w:val="24"/>
          <w:szCs w:val="24"/>
        </w:rPr>
        <w:t>Gambar 2.5</w:t>
      </w:r>
    </w:p>
    <w:p w:rsidR="00A835AC" w:rsidRPr="00BB570F" w:rsidRDefault="00A835AC" w:rsidP="00BB570F">
      <w:pPr>
        <w:spacing w:line="480" w:lineRule="auto"/>
        <w:jc w:val="both"/>
        <w:rPr>
          <w:rFonts w:ascii="Times New Roman" w:hAnsi="Times New Roman" w:cs="Times New Roman"/>
          <w:sz w:val="24"/>
          <w:szCs w:val="24"/>
        </w:rPr>
      </w:pPr>
    </w:p>
    <w:p w:rsidR="003A3770" w:rsidRPr="00624A5A" w:rsidRDefault="00A835AC" w:rsidP="00624A5A">
      <w:pPr>
        <w:pStyle w:val="ListParagraph"/>
        <w:numPr>
          <w:ilvl w:val="0"/>
          <w:numId w:val="13"/>
        </w:numPr>
        <w:spacing w:line="480" w:lineRule="auto"/>
        <w:ind w:left="709"/>
        <w:jc w:val="both"/>
        <w:rPr>
          <w:rFonts w:ascii="Times New Roman" w:hAnsi="Times New Roman" w:cs="Times New Roman"/>
          <w:sz w:val="24"/>
          <w:szCs w:val="24"/>
        </w:rPr>
      </w:pPr>
      <w:r>
        <w:rPr>
          <w:rFonts w:ascii="Times New Roman" w:hAnsi="Times New Roman" w:cs="Times New Roman"/>
          <w:b/>
          <w:sz w:val="24"/>
          <w:szCs w:val="24"/>
        </w:rPr>
        <w:lastRenderedPageBreak/>
        <w:t xml:space="preserve">Tahapan Pengembangan Indonesia </w:t>
      </w:r>
      <w:r>
        <w:rPr>
          <w:rFonts w:ascii="Times New Roman" w:hAnsi="Times New Roman" w:cs="Times New Roman"/>
          <w:b/>
          <w:i/>
          <w:sz w:val="24"/>
          <w:szCs w:val="24"/>
        </w:rPr>
        <w:t>National Single Window</w:t>
      </w:r>
    </w:p>
    <w:p w:rsidR="003A3770" w:rsidRDefault="003A3770" w:rsidP="003A377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Pembangunan sistem NSW merupakan suatu proses dengan skala besar dan kompleksitas yang sangat tinggi, sehingga memerlukan upaya besar untuk melakukan serangkaian kegiatan secara paralel dalam waktu yang sangat terbatas. Namun demikian, dalam pelaksanaannya tetap harus mengikuti standar dalam proses pembangunan sistem (</w:t>
      </w:r>
      <w:r>
        <w:rPr>
          <w:rFonts w:ascii="Times New Roman" w:hAnsi="Times New Roman" w:cs="Times New Roman"/>
          <w:i/>
          <w:sz w:val="24"/>
          <w:szCs w:val="24"/>
        </w:rPr>
        <w:t>system-development</w:t>
      </w:r>
      <w:r>
        <w:rPr>
          <w:rFonts w:ascii="Times New Roman" w:hAnsi="Times New Roman" w:cs="Times New Roman"/>
          <w:sz w:val="24"/>
          <w:szCs w:val="24"/>
        </w:rPr>
        <w:t>), sehingga memudahkan kontrol dan penilaian atas capaian kegiatan dalam pembangunan sistem NSW.</w:t>
      </w:r>
    </w:p>
    <w:p w:rsidR="003A3770" w:rsidRDefault="003A3770" w:rsidP="003A377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Secara umum kegiatan pembangunan ini dapat dikelompokkan kedalam dua kelompok, yaitu: (a) kegiatan teknis (terkait dengan pekerjaan teknis kesisteman dan IT-</w:t>
      </w:r>
      <w:r>
        <w:rPr>
          <w:rFonts w:ascii="Times New Roman" w:hAnsi="Times New Roman" w:cs="Times New Roman"/>
          <w:i/>
          <w:sz w:val="24"/>
          <w:szCs w:val="24"/>
        </w:rPr>
        <w:t>System</w:t>
      </w:r>
      <w:r>
        <w:rPr>
          <w:rFonts w:ascii="Times New Roman" w:hAnsi="Times New Roman" w:cs="Times New Roman"/>
          <w:sz w:val="24"/>
          <w:szCs w:val="24"/>
        </w:rPr>
        <w:t>) dan (b) kegiatan nonteknis (terkait dengan proses bisnis, aspek legal, dll).</w:t>
      </w:r>
      <w:r w:rsidR="00CD64AD">
        <w:rPr>
          <w:rStyle w:val="FootnoteReference"/>
          <w:rFonts w:ascii="Times New Roman" w:hAnsi="Times New Roman" w:cs="Times New Roman"/>
          <w:sz w:val="24"/>
          <w:szCs w:val="24"/>
        </w:rPr>
        <w:footnoteReference w:id="16"/>
      </w:r>
    </w:p>
    <w:p w:rsidR="00612D45" w:rsidRDefault="00CD64AD" w:rsidP="0026315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tahun 2005-2006 saat awal perumusan konsep pengembangan sistem NSW di Indonesia, pada saat itu telah ditetapkan bahwa berdasarkan pada kondisi khusus dan karakteristik pelayanan ekspor-impor di Indonesia, maka sistem NSW di Indonesia akan dikembangkan lebih luas daripada yang dijelaskan pada ASW </w:t>
      </w:r>
      <w:r>
        <w:rPr>
          <w:rFonts w:ascii="Times New Roman" w:hAnsi="Times New Roman" w:cs="Times New Roman"/>
          <w:i/>
          <w:sz w:val="24"/>
          <w:szCs w:val="24"/>
        </w:rPr>
        <w:t xml:space="preserve">Protocol </w:t>
      </w:r>
      <w:r>
        <w:rPr>
          <w:rFonts w:ascii="Times New Roman" w:hAnsi="Times New Roman" w:cs="Times New Roman"/>
          <w:sz w:val="24"/>
          <w:szCs w:val="24"/>
        </w:rPr>
        <w:t xml:space="preserve">dan ASW </w:t>
      </w:r>
      <w:r>
        <w:rPr>
          <w:rFonts w:ascii="Times New Roman" w:hAnsi="Times New Roman" w:cs="Times New Roman"/>
          <w:i/>
          <w:sz w:val="24"/>
          <w:szCs w:val="24"/>
        </w:rPr>
        <w:t>Technical Guidance</w:t>
      </w:r>
      <w:r>
        <w:rPr>
          <w:rFonts w:ascii="Times New Roman" w:hAnsi="Times New Roman" w:cs="Times New Roman"/>
          <w:sz w:val="24"/>
          <w:szCs w:val="24"/>
        </w:rPr>
        <w:t xml:space="preserve">, yaitu mencakup dua komunitas besar sistem layanan utama, atay dapat dikatakan sistem NSW di Indonesia memiliki “dua pilar sistem”, yaitu </w:t>
      </w:r>
      <w:r>
        <w:rPr>
          <w:rFonts w:ascii="Times New Roman" w:hAnsi="Times New Roman" w:cs="Times New Roman"/>
          <w:i/>
          <w:sz w:val="24"/>
          <w:szCs w:val="24"/>
        </w:rPr>
        <w:t xml:space="preserve">Trade System </w:t>
      </w:r>
      <w:r>
        <w:rPr>
          <w:rFonts w:ascii="Times New Roman" w:hAnsi="Times New Roman" w:cs="Times New Roman"/>
          <w:sz w:val="24"/>
          <w:szCs w:val="24"/>
        </w:rPr>
        <w:t>(yang disebut dengan “</w:t>
      </w:r>
      <w:r>
        <w:rPr>
          <w:rFonts w:ascii="Times New Roman" w:hAnsi="Times New Roman" w:cs="Times New Roman"/>
          <w:i/>
          <w:sz w:val="24"/>
          <w:szCs w:val="24"/>
        </w:rPr>
        <w:t>TradeNet</w:t>
      </w:r>
      <w:r>
        <w:rPr>
          <w:rFonts w:ascii="Times New Roman" w:hAnsi="Times New Roman" w:cs="Times New Roman"/>
          <w:sz w:val="24"/>
          <w:szCs w:val="24"/>
        </w:rPr>
        <w:t xml:space="preserve">”) dan </w:t>
      </w:r>
      <w:r>
        <w:rPr>
          <w:rFonts w:ascii="Times New Roman" w:hAnsi="Times New Roman" w:cs="Times New Roman"/>
          <w:i/>
          <w:sz w:val="24"/>
          <w:szCs w:val="24"/>
        </w:rPr>
        <w:t xml:space="preserve">Port System </w:t>
      </w:r>
      <w:r>
        <w:rPr>
          <w:rFonts w:ascii="Times New Roman" w:hAnsi="Times New Roman" w:cs="Times New Roman"/>
          <w:sz w:val="24"/>
          <w:szCs w:val="24"/>
        </w:rPr>
        <w:t>(yang disebut dengan “</w:t>
      </w:r>
      <w:r>
        <w:rPr>
          <w:rFonts w:ascii="Times New Roman" w:hAnsi="Times New Roman" w:cs="Times New Roman"/>
          <w:i/>
          <w:sz w:val="24"/>
          <w:szCs w:val="24"/>
        </w:rPr>
        <w:t>PorNet</w:t>
      </w:r>
      <w:r>
        <w:rPr>
          <w:rFonts w:ascii="Times New Roman" w:hAnsi="Times New Roman" w:cs="Times New Roman"/>
          <w:sz w:val="24"/>
          <w:szCs w:val="24"/>
        </w:rPr>
        <w:t xml:space="preserve">”). </w:t>
      </w:r>
      <w:r>
        <w:rPr>
          <w:rFonts w:ascii="Times New Roman" w:hAnsi="Times New Roman" w:cs="Times New Roman"/>
          <w:i/>
          <w:sz w:val="24"/>
          <w:szCs w:val="24"/>
        </w:rPr>
        <w:t xml:space="preserve">Trade System </w:t>
      </w:r>
      <w:r>
        <w:rPr>
          <w:rFonts w:ascii="Times New Roman" w:hAnsi="Times New Roman" w:cs="Times New Roman"/>
          <w:sz w:val="24"/>
          <w:szCs w:val="24"/>
        </w:rPr>
        <w:t xml:space="preserve">merupakan sistem yang menintegrasikan antara sistem Kepabeanan </w:t>
      </w:r>
      <w:r>
        <w:rPr>
          <w:rFonts w:ascii="Times New Roman" w:hAnsi="Times New Roman" w:cs="Times New Roman"/>
          <w:sz w:val="24"/>
          <w:szCs w:val="24"/>
        </w:rPr>
        <w:lastRenderedPageBreak/>
        <w:t xml:space="preserve">(DJBC) dengan sistem Perijinan (seluruh instansi pemerintah penerbit perijinan dan rekomendasi ekspor-impor), dalam rangka mendorong percepatan </w:t>
      </w:r>
      <w:r>
        <w:rPr>
          <w:rFonts w:ascii="Times New Roman" w:hAnsi="Times New Roman" w:cs="Times New Roman"/>
          <w:i/>
          <w:sz w:val="24"/>
          <w:szCs w:val="24"/>
        </w:rPr>
        <w:t xml:space="preserve">customs </w:t>
      </w:r>
      <w:r w:rsidR="00F91E72">
        <w:rPr>
          <w:rFonts w:ascii="Times New Roman" w:hAnsi="Times New Roman" w:cs="Times New Roman"/>
          <w:i/>
          <w:sz w:val="24"/>
          <w:szCs w:val="24"/>
        </w:rPr>
        <w:t>clearance and cargo release</w:t>
      </w:r>
      <w:r w:rsidR="00F91E72">
        <w:rPr>
          <w:rFonts w:ascii="Times New Roman" w:hAnsi="Times New Roman" w:cs="Times New Roman"/>
          <w:sz w:val="24"/>
          <w:szCs w:val="24"/>
        </w:rPr>
        <w:t xml:space="preserve">. </w:t>
      </w:r>
      <w:r w:rsidR="00F91E72">
        <w:rPr>
          <w:rFonts w:ascii="Times New Roman" w:hAnsi="Times New Roman" w:cs="Times New Roman"/>
          <w:i/>
          <w:sz w:val="24"/>
          <w:szCs w:val="24"/>
        </w:rPr>
        <w:t xml:space="preserve">Trade System </w:t>
      </w:r>
      <w:r w:rsidR="00F91E72">
        <w:rPr>
          <w:rFonts w:ascii="Times New Roman" w:hAnsi="Times New Roman" w:cs="Times New Roman"/>
          <w:sz w:val="24"/>
          <w:szCs w:val="24"/>
        </w:rPr>
        <w:t>ini ditujukan untuk mendorong percepatan dalam penyelesaian dokumen pelayanan ekspor dan impor (</w:t>
      </w:r>
      <w:r w:rsidR="00F91E72">
        <w:rPr>
          <w:rFonts w:ascii="Times New Roman" w:hAnsi="Times New Roman" w:cs="Times New Roman"/>
          <w:i/>
          <w:sz w:val="24"/>
          <w:szCs w:val="24"/>
        </w:rPr>
        <w:t>Flow of Document</w:t>
      </w:r>
      <w:r w:rsidR="00F91E72">
        <w:rPr>
          <w:rFonts w:ascii="Times New Roman" w:hAnsi="Times New Roman" w:cs="Times New Roman"/>
          <w:sz w:val="24"/>
          <w:szCs w:val="24"/>
        </w:rPr>
        <w:t xml:space="preserve">). </w:t>
      </w:r>
      <w:r w:rsidR="00F91E72">
        <w:rPr>
          <w:rFonts w:ascii="Times New Roman" w:hAnsi="Times New Roman" w:cs="Times New Roman"/>
          <w:i/>
          <w:sz w:val="24"/>
          <w:szCs w:val="24"/>
        </w:rPr>
        <w:t xml:space="preserve">Port System </w:t>
      </w:r>
      <w:r w:rsidR="00F91E72">
        <w:rPr>
          <w:rFonts w:ascii="Times New Roman" w:hAnsi="Times New Roman" w:cs="Times New Roman"/>
          <w:sz w:val="24"/>
          <w:szCs w:val="24"/>
        </w:rPr>
        <w:t xml:space="preserve">merupakan sistem yang mengintegrasikan antara sistem kepabeanan (DJBC) dengan sistem kepelabuhan/kebandarudaraan, dalam rangka mendorong percepatan </w:t>
      </w:r>
      <w:r w:rsidR="00F91E72">
        <w:rPr>
          <w:rFonts w:ascii="Times New Roman" w:hAnsi="Times New Roman" w:cs="Times New Roman"/>
          <w:i/>
          <w:sz w:val="24"/>
          <w:szCs w:val="24"/>
        </w:rPr>
        <w:t>customs clearance and cargo release</w:t>
      </w:r>
      <w:r w:rsidR="00F91E72">
        <w:rPr>
          <w:rFonts w:ascii="Times New Roman" w:hAnsi="Times New Roman" w:cs="Times New Roman"/>
          <w:sz w:val="24"/>
          <w:szCs w:val="24"/>
        </w:rPr>
        <w:t xml:space="preserve">. </w:t>
      </w:r>
      <w:r w:rsidR="00F91E72">
        <w:rPr>
          <w:rFonts w:ascii="Times New Roman" w:hAnsi="Times New Roman" w:cs="Times New Roman"/>
          <w:i/>
          <w:sz w:val="24"/>
          <w:szCs w:val="24"/>
        </w:rPr>
        <w:t xml:space="preserve">Port System </w:t>
      </w:r>
      <w:r w:rsidR="00F91E72">
        <w:rPr>
          <w:rFonts w:ascii="Times New Roman" w:hAnsi="Times New Roman" w:cs="Times New Roman"/>
          <w:sz w:val="24"/>
          <w:szCs w:val="24"/>
        </w:rPr>
        <w:t>ditujukan untuk mendorong percepatan dalam penanganan lalulintas fisik barang ekspor dan impor (</w:t>
      </w:r>
      <w:r w:rsidR="00F91E72">
        <w:rPr>
          <w:rFonts w:ascii="Times New Roman" w:hAnsi="Times New Roman" w:cs="Times New Roman"/>
          <w:i/>
          <w:sz w:val="24"/>
          <w:szCs w:val="24"/>
        </w:rPr>
        <w:t>Flow of Goods</w:t>
      </w:r>
      <w:r w:rsidR="00F91E72">
        <w:rPr>
          <w:rFonts w:ascii="Times New Roman" w:hAnsi="Times New Roman" w:cs="Times New Roman"/>
          <w:sz w:val="24"/>
          <w:szCs w:val="24"/>
        </w:rPr>
        <w:t>).</w:t>
      </w:r>
      <w:r w:rsidR="00F91E72">
        <w:rPr>
          <w:rStyle w:val="FootnoteReference"/>
          <w:rFonts w:ascii="Times New Roman" w:hAnsi="Times New Roman" w:cs="Times New Roman"/>
          <w:sz w:val="24"/>
          <w:szCs w:val="24"/>
        </w:rPr>
        <w:footnoteReference w:id="17"/>
      </w:r>
    </w:p>
    <w:p w:rsidR="00F91E72" w:rsidRDefault="00F91E72" w:rsidP="003A3770">
      <w:pPr>
        <w:pStyle w:val="ListParagraph"/>
        <w:spacing w:line="480" w:lineRule="auto"/>
        <w:ind w:firstLine="720"/>
        <w:jc w:val="both"/>
        <w:rPr>
          <w:rFonts w:ascii="Times New Roman" w:hAnsi="Times New Roman" w:cs="Times New Roman"/>
          <w:sz w:val="24"/>
          <w:szCs w:val="24"/>
        </w:rPr>
      </w:pPr>
    </w:p>
    <w:p w:rsidR="00F91E72" w:rsidRPr="00F91E72" w:rsidRDefault="00F91E72" w:rsidP="00F91E72">
      <w:pPr>
        <w:pStyle w:val="ListParagraph"/>
        <w:spacing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Komunitas Besar Layanan Utama</w:t>
      </w:r>
    </w:p>
    <w:p w:rsidR="00F91E72" w:rsidRDefault="00F91E72" w:rsidP="003A377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57040" cy="2466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uaPilar.png"/>
                    <pic:cNvPicPr/>
                  </pic:nvPicPr>
                  <pic:blipFill>
                    <a:blip r:embed="rId13">
                      <a:extLst>
                        <a:ext uri="{28A0092B-C50C-407E-A947-70E740481C1C}">
                          <a14:useLocalDpi xmlns:a14="http://schemas.microsoft.com/office/drawing/2010/main" val="0"/>
                        </a:ext>
                      </a:extLst>
                    </a:blip>
                    <a:stretch>
                      <a:fillRect/>
                    </a:stretch>
                  </pic:blipFill>
                  <pic:spPr>
                    <a:xfrm>
                      <a:off x="0" y="0"/>
                      <a:ext cx="4273372" cy="2476439"/>
                    </a:xfrm>
                    <a:prstGeom prst="rect">
                      <a:avLst/>
                    </a:prstGeom>
                  </pic:spPr>
                </pic:pic>
              </a:graphicData>
            </a:graphic>
          </wp:inline>
        </w:drawing>
      </w:r>
    </w:p>
    <w:p w:rsidR="00F91E72" w:rsidRDefault="00F91E72" w:rsidP="00F91E72">
      <w:pPr>
        <w:pStyle w:val="ListParagraph"/>
        <w:spacing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Gambar 2.6</w:t>
      </w:r>
    </w:p>
    <w:p w:rsidR="00F91E72" w:rsidRDefault="00F91E72" w:rsidP="00F91E72">
      <w:pPr>
        <w:pStyle w:val="ListParagraph"/>
        <w:spacing w:line="480" w:lineRule="auto"/>
        <w:ind w:firstLine="720"/>
        <w:jc w:val="center"/>
        <w:rPr>
          <w:rFonts w:ascii="Times New Roman" w:hAnsi="Times New Roman" w:cs="Times New Roman"/>
          <w:b/>
          <w:sz w:val="24"/>
          <w:szCs w:val="24"/>
        </w:rPr>
      </w:pPr>
    </w:p>
    <w:p w:rsidR="00F91E72" w:rsidRDefault="003C7571" w:rsidP="00F91E72">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Penerapan sistem NSW di Indonesia dilakukan secara bertahap, selain harus mempertimbangkan kondisi riil yang dihadapi di lapangan dan beberapa keterbatasan yang ada, juga harus senantiasa memperhatikan dan mendasarkan pada jadwal dan kesepakatan dalam penerapan sistem ASW di tingkat regional ASEAN, sehingga penetapan jadwal, roadmap maupun rincian tahapan yang telah ditetapkan, seringkali harus diubah dan disesuaikan.</w:t>
      </w:r>
    </w:p>
    <w:p w:rsidR="003C7571" w:rsidRDefault="003C7571" w:rsidP="00F91E72">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Perubahan dan penyesuaian yang telah beberapa kali dilakukan, tidak selalu dilakukan dengan memundurkan jadwal penerapan. Ada beberapa kondisi yang menuntut adanya beberapa percepatan dalam pelaksanaan </w:t>
      </w:r>
      <w:r>
        <w:rPr>
          <w:rFonts w:ascii="Times New Roman" w:hAnsi="Times New Roman" w:cs="Times New Roman"/>
          <w:i/>
          <w:sz w:val="24"/>
          <w:szCs w:val="24"/>
        </w:rPr>
        <w:t>techinal development</w:t>
      </w:r>
      <w:r>
        <w:rPr>
          <w:rFonts w:ascii="Times New Roman" w:hAnsi="Times New Roman" w:cs="Times New Roman"/>
          <w:sz w:val="24"/>
          <w:szCs w:val="24"/>
        </w:rPr>
        <w:t xml:space="preserve">, seperti pembangunan </w:t>
      </w:r>
      <w:r>
        <w:rPr>
          <w:rFonts w:ascii="Times New Roman" w:hAnsi="Times New Roman" w:cs="Times New Roman"/>
          <w:i/>
          <w:sz w:val="24"/>
          <w:szCs w:val="24"/>
        </w:rPr>
        <w:t xml:space="preserve">prototype </w:t>
      </w:r>
      <w:r>
        <w:rPr>
          <w:rFonts w:ascii="Times New Roman" w:hAnsi="Times New Roman" w:cs="Times New Roman"/>
          <w:sz w:val="24"/>
          <w:szCs w:val="24"/>
        </w:rPr>
        <w:t>awal portal ASW. Namun demikian, yang paling penting bahwa setiap perubahan tersebut akan selalu diputuskan bersama oleh seluruh entitas, baik di tingkat nasional (bersama seluruh GA), maupun di tingkat regional (bersama tim NSW negara anggota ASEAN lainnya).</w:t>
      </w:r>
    </w:p>
    <w:p w:rsidR="003C7571" w:rsidRDefault="0005689A" w:rsidP="00F91E72">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Secara umum, gambaran awal dari setiap tahapan dalam rangka penerapan sistem NSW di Indonesia dapat diilustrasikan sebagai berikut:</w:t>
      </w:r>
    </w:p>
    <w:p w:rsidR="0005689A" w:rsidRDefault="0005689A" w:rsidP="005D4F18">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Tahapan Ujicoba Awal Sistem NSW;</w:t>
      </w:r>
    </w:p>
    <w:p w:rsidR="0005689A" w:rsidRDefault="0005689A" w:rsidP="005D4F18">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Implementasi Tahap Kesatu;</w:t>
      </w:r>
    </w:p>
    <w:p w:rsidR="0005689A" w:rsidRDefault="0005689A" w:rsidP="005D4F18">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Impelementasi Tahap Kedua;</w:t>
      </w:r>
    </w:p>
    <w:p w:rsidR="0005689A" w:rsidRDefault="0005689A" w:rsidP="005D4F18">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Implementasi Tahap Ketiga;</w:t>
      </w:r>
    </w:p>
    <w:p w:rsidR="005E3292" w:rsidRDefault="0005689A" w:rsidP="005E3292">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Implementasi Tahap Nasional;</w:t>
      </w:r>
    </w:p>
    <w:p w:rsidR="0005689A" w:rsidRPr="005E3292" w:rsidRDefault="0005689A" w:rsidP="005E3292">
      <w:pPr>
        <w:pStyle w:val="ListParagraph"/>
        <w:numPr>
          <w:ilvl w:val="0"/>
          <w:numId w:val="25"/>
        </w:numPr>
        <w:spacing w:line="480" w:lineRule="auto"/>
        <w:jc w:val="both"/>
        <w:rPr>
          <w:rFonts w:ascii="Times New Roman" w:hAnsi="Times New Roman" w:cs="Times New Roman"/>
          <w:sz w:val="24"/>
          <w:szCs w:val="24"/>
        </w:rPr>
      </w:pPr>
      <w:r w:rsidRPr="005E3292">
        <w:rPr>
          <w:rFonts w:ascii="Times New Roman" w:hAnsi="Times New Roman" w:cs="Times New Roman"/>
          <w:sz w:val="24"/>
          <w:szCs w:val="24"/>
        </w:rPr>
        <w:lastRenderedPageBreak/>
        <w:t xml:space="preserve">Penggabungan ke Sistem ASW (ASEAN </w:t>
      </w:r>
      <w:r w:rsidRPr="005E3292">
        <w:rPr>
          <w:rFonts w:ascii="Times New Roman" w:hAnsi="Times New Roman" w:cs="Times New Roman"/>
          <w:i/>
          <w:sz w:val="24"/>
          <w:szCs w:val="24"/>
        </w:rPr>
        <w:t>Single Window</w:t>
      </w:r>
      <w:r w:rsidRPr="005E3292">
        <w:rPr>
          <w:rFonts w:ascii="Times New Roman" w:hAnsi="Times New Roman" w:cs="Times New Roman"/>
          <w:sz w:val="24"/>
          <w:szCs w:val="24"/>
        </w:rPr>
        <w:t>).</w:t>
      </w:r>
      <w:r>
        <w:rPr>
          <w:rStyle w:val="FootnoteReference"/>
          <w:rFonts w:ascii="Times New Roman" w:hAnsi="Times New Roman" w:cs="Times New Roman"/>
          <w:sz w:val="24"/>
          <w:szCs w:val="24"/>
        </w:rPr>
        <w:footnoteReference w:id="18"/>
      </w:r>
    </w:p>
    <w:p w:rsidR="004971FC" w:rsidRDefault="004971FC" w:rsidP="004971FC">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margin">
              <wp:align>right</wp:align>
            </wp:positionH>
            <wp:positionV relativeFrom="paragraph">
              <wp:posOffset>334645</wp:posOffset>
            </wp:positionV>
            <wp:extent cx="4933950" cy="21577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3950" cy="2157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63360" behindDoc="1" locked="0" layoutInCell="1" allowOverlap="1">
                <wp:simplePos x="0" y="0"/>
                <wp:positionH relativeFrom="column">
                  <wp:posOffset>1440180</wp:posOffset>
                </wp:positionH>
                <wp:positionV relativeFrom="paragraph">
                  <wp:posOffset>9398000</wp:posOffset>
                </wp:positionV>
                <wp:extent cx="1828800" cy="0"/>
                <wp:effectExtent l="11430" t="6350" r="7620" b="127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0C9C4" id="Straight Connector 1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740pt" to="257.4pt,7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" strokeweight=".72pt"/>
            </w:pict>
          </mc:Fallback>
        </mc:AlternateContent>
      </w:r>
      <w:r>
        <w:rPr>
          <w:rFonts w:ascii="Times New Roman" w:hAnsi="Times New Roman" w:cs="Times New Roman"/>
          <w:b/>
          <w:sz w:val="24"/>
          <w:szCs w:val="24"/>
        </w:rPr>
        <w:t>Tahapan Uji</w:t>
      </w:r>
      <w:r w:rsidR="009C6509">
        <w:rPr>
          <w:rFonts w:ascii="Times New Roman" w:hAnsi="Times New Roman" w:cs="Times New Roman"/>
          <w:b/>
          <w:sz w:val="24"/>
          <w:szCs w:val="24"/>
        </w:rPr>
        <w:t xml:space="preserve"> C</w:t>
      </w:r>
      <w:r>
        <w:rPr>
          <w:rFonts w:ascii="Times New Roman" w:hAnsi="Times New Roman" w:cs="Times New Roman"/>
          <w:b/>
          <w:sz w:val="24"/>
          <w:szCs w:val="24"/>
        </w:rPr>
        <w:t>oba NSW di Indonesia</w:t>
      </w:r>
    </w:p>
    <w:p w:rsidR="004971FC" w:rsidRPr="004971FC" w:rsidRDefault="004971FC" w:rsidP="004971FC">
      <w:pPr>
        <w:rPr>
          <w:rFonts w:ascii="Times New Roman" w:hAnsi="Times New Roman" w:cs="Times New Roman"/>
          <w:sz w:val="24"/>
          <w:szCs w:val="24"/>
        </w:rPr>
      </w:pPr>
    </w:p>
    <w:p w:rsidR="004971FC" w:rsidRPr="004971FC" w:rsidRDefault="004971FC" w:rsidP="004971FC">
      <w:pPr>
        <w:rPr>
          <w:rFonts w:ascii="Times New Roman" w:hAnsi="Times New Roman" w:cs="Times New Roman"/>
          <w:sz w:val="24"/>
          <w:szCs w:val="24"/>
        </w:rPr>
      </w:pPr>
    </w:p>
    <w:p w:rsidR="004971FC" w:rsidRPr="004971FC" w:rsidRDefault="004971FC" w:rsidP="004971FC">
      <w:pPr>
        <w:rPr>
          <w:rFonts w:ascii="Times New Roman" w:hAnsi="Times New Roman" w:cs="Times New Roman"/>
          <w:sz w:val="24"/>
          <w:szCs w:val="24"/>
        </w:rPr>
      </w:pPr>
    </w:p>
    <w:p w:rsidR="004971FC" w:rsidRPr="004971FC" w:rsidRDefault="004971FC" w:rsidP="004971FC">
      <w:pPr>
        <w:rPr>
          <w:rFonts w:ascii="Times New Roman" w:hAnsi="Times New Roman" w:cs="Times New Roman"/>
          <w:sz w:val="24"/>
          <w:szCs w:val="24"/>
        </w:rPr>
      </w:pPr>
    </w:p>
    <w:p w:rsidR="004971FC" w:rsidRPr="004971FC" w:rsidRDefault="004971FC" w:rsidP="004971FC">
      <w:pPr>
        <w:rPr>
          <w:rFonts w:ascii="Times New Roman" w:hAnsi="Times New Roman" w:cs="Times New Roman"/>
          <w:sz w:val="24"/>
          <w:szCs w:val="24"/>
        </w:rPr>
      </w:pPr>
    </w:p>
    <w:p w:rsidR="004971FC" w:rsidRPr="004971FC" w:rsidRDefault="004971FC" w:rsidP="004971FC">
      <w:pPr>
        <w:rPr>
          <w:rFonts w:ascii="Times New Roman" w:hAnsi="Times New Roman" w:cs="Times New Roman"/>
          <w:sz w:val="24"/>
          <w:szCs w:val="24"/>
        </w:rPr>
      </w:pPr>
    </w:p>
    <w:p w:rsidR="004971FC" w:rsidRDefault="004971FC" w:rsidP="004971FC">
      <w:pPr>
        <w:tabs>
          <w:tab w:val="left" w:pos="6690"/>
        </w:tabs>
        <w:rPr>
          <w:rFonts w:ascii="Times New Roman" w:hAnsi="Times New Roman" w:cs="Times New Roman"/>
          <w:sz w:val="24"/>
          <w:szCs w:val="24"/>
        </w:rPr>
      </w:pPr>
    </w:p>
    <w:p w:rsidR="004971FC" w:rsidRDefault="004971FC" w:rsidP="004971FC">
      <w:pPr>
        <w:tabs>
          <w:tab w:val="left" w:pos="6690"/>
        </w:tabs>
        <w:spacing w:line="240" w:lineRule="auto"/>
        <w:jc w:val="center"/>
        <w:rPr>
          <w:rFonts w:ascii="Times New Roman" w:hAnsi="Times New Roman" w:cs="Times New Roman"/>
          <w:b/>
          <w:sz w:val="24"/>
          <w:szCs w:val="24"/>
        </w:rPr>
      </w:pPr>
    </w:p>
    <w:p w:rsidR="004971FC" w:rsidRDefault="004971FC" w:rsidP="004971FC">
      <w:pPr>
        <w:tabs>
          <w:tab w:val="left" w:pos="669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Gambar 2.7</w:t>
      </w:r>
    </w:p>
    <w:p w:rsidR="005B1418" w:rsidRDefault="005B15DE" w:rsidP="00004AFC">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Tim persiapan NSW telah berhasil melakukan ujicoba sistem, dengan melakukan tahapan “Ujicoba Awal Sistem NSW di Tanjung Priok” pada tanggal 19 November 2007, sebagai langkah awal untuk mulai menerapkan sistem NSW secara bertahap di seluruh Indonesia. Lebih lanjut, pada tanggal 17 Desember 2007, Menteri Keuangan, Menteri Perdagangan dan Menteri Perhubungan dan Tim Persiapan NSW Indonesia secara resmi melakukan peresmian “Implementasi Tahap Kesatu Sistem NSW di Indonesia” dan sekaligus melakukan peluncuran “</w:t>
      </w:r>
      <w:r>
        <w:rPr>
          <w:rFonts w:ascii="Times New Roman" w:hAnsi="Times New Roman" w:cs="Times New Roman"/>
          <w:i/>
          <w:sz w:val="24"/>
          <w:szCs w:val="24"/>
        </w:rPr>
        <w:t xml:space="preserve">Official Website </w:t>
      </w:r>
      <w:r>
        <w:rPr>
          <w:rFonts w:ascii="Times New Roman" w:hAnsi="Times New Roman" w:cs="Times New Roman"/>
          <w:sz w:val="24"/>
          <w:szCs w:val="24"/>
        </w:rPr>
        <w:t xml:space="preserve">dan Portal Indonesia NSW” sebagai gerbang utama sistem layanan publik yang terintegrasi secara </w:t>
      </w:r>
      <w:r>
        <w:rPr>
          <w:rFonts w:ascii="Times New Roman" w:hAnsi="Times New Roman" w:cs="Times New Roman"/>
          <w:sz w:val="24"/>
          <w:szCs w:val="24"/>
        </w:rPr>
        <w:lastRenderedPageBreak/>
        <w:t>elektronik, yang menyediakan fasilitas untuk pelayanan seluruh kegiatan yang terkait dengan ekspor dan impor.</w:t>
      </w:r>
      <w:r>
        <w:rPr>
          <w:rStyle w:val="FootnoteReference"/>
          <w:rFonts w:ascii="Times New Roman" w:hAnsi="Times New Roman" w:cs="Times New Roman"/>
          <w:sz w:val="24"/>
          <w:szCs w:val="24"/>
        </w:rPr>
        <w:footnoteReference w:id="19"/>
      </w:r>
    </w:p>
    <w:p w:rsidR="00004AFC" w:rsidRDefault="00004AFC" w:rsidP="00004AFC">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Meskipun pada implementasi tahap kedua ini pelayanan sistem NSW masih terbatas untuk melayani importir, namun jumlah perusahaan yang dilayanin secara bertahap terus ditingkatkan. Jika pada implementasi tahap kesatu sistem NSW hanya melayani </w:t>
      </w:r>
      <w:r w:rsidR="00727DA3">
        <w:rPr>
          <w:rFonts w:ascii="Times New Roman" w:hAnsi="Times New Roman" w:cs="Times New Roman"/>
          <w:sz w:val="24"/>
          <w:szCs w:val="24"/>
        </w:rPr>
        <w:t>Importir Jalur Prioritas (IJP) sebanyak 88 perusahaan, maka pada tahapan yang kedua importir dilayani oleh sistem NSW telah diperluas, sehingga menjangkau importir Mitra Utama (MITA) Prioritas sebanyak 97 perusahaan (dari 102 MITA Prioritas) dan MITA Non-Prioritas sebanyak 46 perusahaan. Dengan demikian semua dokumen PIB (Pemberitahuan Impor Barang) yang dikirimkan oleh MITA Prioritas dan MITA Non-Prioritas telah menggunakan fasilitas di portal INSW.</w:t>
      </w:r>
      <w:r w:rsidR="00EE4ED8">
        <w:rPr>
          <w:rStyle w:val="FootnoteReference"/>
          <w:rFonts w:ascii="Times New Roman" w:hAnsi="Times New Roman" w:cs="Times New Roman"/>
          <w:sz w:val="24"/>
          <w:szCs w:val="24"/>
        </w:rPr>
        <w:footnoteReference w:id="20"/>
      </w:r>
    </w:p>
    <w:p w:rsidR="00727DA3" w:rsidRDefault="00727DA3" w:rsidP="00004AFC">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Peluncuran implementasi tahap III sistem NSW dilakukan oleh Menteri Keuangan di Gedung Departemen </w:t>
      </w:r>
      <w:r w:rsidR="00EE4ED8">
        <w:rPr>
          <w:rFonts w:ascii="Times New Roman" w:hAnsi="Times New Roman" w:cs="Times New Roman"/>
          <w:sz w:val="24"/>
          <w:szCs w:val="24"/>
        </w:rPr>
        <w:t>Keuangan Jakarta. Penyelenggaraan peluncuran implementasi tahap ketiga ini dilakukan setelah Tim Persiapan NSW melakukan evaluasi terhadap pelaksanaan implementasi tahap pertama dan kedua hasilnya menyimpulkan bahwa secara teknis penerapan sistem NSW pada tahap pertama dan kedua sudah berjalan sesuai target yang direncanakan.</w:t>
      </w:r>
    </w:p>
    <w:p w:rsidR="00EE4ED8" w:rsidRDefault="00EE4ED8" w:rsidP="00004AFC">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Dengan telah dilakukannya peluncuran implementasi tahap ketiga sistem NSW di Indonesia, maka penerapan sistem NSW telah memasuki </w:t>
      </w:r>
      <w:r>
        <w:rPr>
          <w:rFonts w:ascii="Times New Roman" w:hAnsi="Times New Roman" w:cs="Times New Roman"/>
          <w:sz w:val="24"/>
          <w:szCs w:val="24"/>
        </w:rPr>
        <w:lastRenderedPageBreak/>
        <w:t xml:space="preserve">tahapan yang paling penting, yaitu memberlakukan sistem ini secara </w:t>
      </w:r>
      <w:r>
        <w:rPr>
          <w:rFonts w:ascii="Times New Roman" w:hAnsi="Times New Roman" w:cs="Times New Roman"/>
          <w:i/>
          <w:sz w:val="24"/>
          <w:szCs w:val="24"/>
        </w:rPr>
        <w:t xml:space="preserve">mandatory </w:t>
      </w:r>
      <w:r>
        <w:rPr>
          <w:rFonts w:ascii="Times New Roman" w:hAnsi="Times New Roman" w:cs="Times New Roman"/>
          <w:sz w:val="24"/>
          <w:szCs w:val="24"/>
        </w:rPr>
        <w:t xml:space="preserve">terhadap seluruh importir dan PPJK yang melakukan kegiatan importasi barang di Pelabuhan Tanjung Priok. Mengingat bahwa kegiatan impor melalui Pelabuhan Tanjung Priok mencakup sekitar 70% (tujuh puluh persen) dari total kegiatan impor nasional, maka pemberlakuan secara </w:t>
      </w:r>
      <w:r>
        <w:rPr>
          <w:rFonts w:ascii="Times New Roman" w:hAnsi="Times New Roman" w:cs="Times New Roman"/>
          <w:i/>
          <w:sz w:val="24"/>
          <w:szCs w:val="24"/>
        </w:rPr>
        <w:t xml:space="preserve">mandatory </w:t>
      </w:r>
      <w:r>
        <w:rPr>
          <w:rFonts w:ascii="Times New Roman" w:hAnsi="Times New Roman" w:cs="Times New Roman"/>
          <w:sz w:val="24"/>
          <w:szCs w:val="24"/>
        </w:rPr>
        <w:t>sistem NSW impor di Tanjung Priok dapat mewakili hampir semua kondisi dan variasi permasalahan dan hambatan dalam pengoperasian suatu sistem baru. Dengan demikian, maka apabila sistem NSW tel</w:t>
      </w:r>
      <w:r w:rsidR="000D2316">
        <w:rPr>
          <w:rFonts w:ascii="Times New Roman" w:hAnsi="Times New Roman" w:cs="Times New Roman"/>
          <w:sz w:val="24"/>
          <w:szCs w:val="24"/>
        </w:rPr>
        <w:t xml:space="preserve">ah berhasil diterapkan secara </w:t>
      </w:r>
      <w:r w:rsidR="000D2316">
        <w:rPr>
          <w:rFonts w:ascii="Times New Roman" w:hAnsi="Times New Roman" w:cs="Times New Roman"/>
          <w:i/>
          <w:sz w:val="24"/>
          <w:szCs w:val="24"/>
        </w:rPr>
        <w:t xml:space="preserve">mandatory </w:t>
      </w:r>
      <w:r w:rsidR="000D2316">
        <w:rPr>
          <w:rFonts w:ascii="Times New Roman" w:hAnsi="Times New Roman" w:cs="Times New Roman"/>
          <w:sz w:val="24"/>
          <w:szCs w:val="24"/>
        </w:rPr>
        <w:t>di Tanjung Priok, maka secara matematis penerapan di pelabuhan lain akan lebih lancar karena masalah yang dihadapi tidak sebesar dan sekompleks permasalahan di Tanjung Priok.</w:t>
      </w:r>
      <w:r w:rsidR="000D2316">
        <w:rPr>
          <w:rStyle w:val="FootnoteReference"/>
          <w:rFonts w:ascii="Times New Roman" w:hAnsi="Times New Roman" w:cs="Times New Roman"/>
          <w:sz w:val="24"/>
          <w:szCs w:val="24"/>
        </w:rPr>
        <w:footnoteReference w:id="21"/>
      </w:r>
    </w:p>
    <w:p w:rsidR="000D2316" w:rsidRDefault="000D2316" w:rsidP="00004AFC">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Tahapan terakhir yang akan dicapai oleh INSW adalah tahap penggabungan ke sistem ASW. Target waktu untuk melakukan penggabungan ke dalam portal ASW (</w:t>
      </w:r>
      <w:r>
        <w:rPr>
          <w:rFonts w:ascii="Times New Roman" w:hAnsi="Times New Roman" w:cs="Times New Roman"/>
          <w:i/>
          <w:sz w:val="24"/>
          <w:szCs w:val="24"/>
        </w:rPr>
        <w:t xml:space="preserve">joint to </w:t>
      </w:r>
      <w:r>
        <w:rPr>
          <w:rFonts w:ascii="Times New Roman" w:hAnsi="Times New Roman" w:cs="Times New Roman"/>
          <w:sz w:val="24"/>
          <w:szCs w:val="24"/>
        </w:rPr>
        <w:t>ASW) dilakukan setelah selesainya tahapan implementasi tahap nasional.</w:t>
      </w:r>
    </w:p>
    <w:p w:rsidR="000D2316" w:rsidRPr="000D2316" w:rsidRDefault="000D2316" w:rsidP="00004AFC">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Pada tahap awal penggabungan ke sistem ASW tersebut, akan dilakukan pertukaran data </w:t>
      </w:r>
      <w:r>
        <w:rPr>
          <w:rFonts w:ascii="Times New Roman" w:hAnsi="Times New Roman" w:cs="Times New Roman"/>
          <w:i/>
          <w:sz w:val="24"/>
          <w:szCs w:val="24"/>
        </w:rPr>
        <w:t xml:space="preserve">Certificate of Origin </w:t>
      </w:r>
      <w:r>
        <w:rPr>
          <w:rFonts w:ascii="Times New Roman" w:hAnsi="Times New Roman" w:cs="Times New Roman"/>
          <w:sz w:val="24"/>
          <w:szCs w:val="24"/>
        </w:rPr>
        <w:t xml:space="preserve">(CoO) atau Surat Keterangan Asal (SKA) antara Indonesia dengan Malaysia, dan selanjutnya akan segera diikuti dengan penggabungan empat negara ASEAN lainnya. Setelah itu, akan dilakukan pertukaran data </w:t>
      </w:r>
      <w:r>
        <w:rPr>
          <w:rFonts w:ascii="Times New Roman" w:hAnsi="Times New Roman" w:cs="Times New Roman"/>
          <w:i/>
          <w:sz w:val="24"/>
          <w:szCs w:val="24"/>
        </w:rPr>
        <w:t xml:space="preserve">Customs Declaration </w:t>
      </w:r>
      <w:r>
        <w:rPr>
          <w:rFonts w:ascii="Times New Roman" w:hAnsi="Times New Roman" w:cs="Times New Roman"/>
          <w:sz w:val="24"/>
          <w:szCs w:val="24"/>
        </w:rPr>
        <w:t>(ACDD)</w:t>
      </w:r>
      <w:r w:rsidR="007B0E58">
        <w:rPr>
          <w:rFonts w:ascii="Times New Roman" w:hAnsi="Times New Roman" w:cs="Times New Roman"/>
          <w:sz w:val="24"/>
          <w:szCs w:val="24"/>
        </w:rPr>
        <w:t xml:space="preserve"> antara enam negara </w:t>
      </w:r>
      <w:r w:rsidR="007B0E58">
        <w:rPr>
          <w:rFonts w:ascii="Times New Roman" w:hAnsi="Times New Roman" w:cs="Times New Roman"/>
          <w:sz w:val="24"/>
          <w:szCs w:val="24"/>
        </w:rPr>
        <w:lastRenderedPageBreak/>
        <w:t>ASEAN, setelah selesainya dilakukan evaluasi atas penerapan tahap awal pertukaran data CoO antara negara-negara ASEAN-6. Akan diikuti pula dengan penyempurnaan dan pengembangan pertukaran data dan informasi lainnya yang terkait dengan impor-ekspor, sesuai dengan kesepakatan antara keenam negara ASEAN. kemudian pada tahapan ini juga akan dilakukan pengembangan untuk melakukan pertukaran data dan informasi dengan empat negara ASEAN lain yang belum bergabung (Kamboja, Laos. Myanmar, Vietnam).</w:t>
      </w:r>
      <w:r w:rsidR="007B0E58">
        <w:rPr>
          <w:rStyle w:val="FootnoteReference"/>
          <w:rFonts w:ascii="Times New Roman" w:hAnsi="Times New Roman" w:cs="Times New Roman"/>
          <w:sz w:val="24"/>
          <w:szCs w:val="24"/>
        </w:rPr>
        <w:footnoteReference w:id="22"/>
      </w:r>
    </w:p>
    <w:sectPr w:rsidR="000D2316" w:rsidRPr="000D2316" w:rsidSect="00BA1318">
      <w:headerReference w:type="default" r:id="rId15"/>
      <w:footerReference w:type="default" r:id="rId16"/>
      <w:footerReference w:type="first" r:id="rId17"/>
      <w:footnotePr>
        <w:numStart w:val="21"/>
      </w:footnotePr>
      <w:pgSz w:w="12240" w:h="15840"/>
      <w:pgMar w:top="1701" w:right="1701" w:bottom="1701" w:left="2268" w:header="720" w:footer="720" w:gutter="0"/>
      <w:pgNumType w:start="2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4C02" w:rsidRDefault="00BA4C02" w:rsidP="001303BE">
      <w:pPr>
        <w:spacing w:after="0" w:line="240" w:lineRule="auto"/>
      </w:pPr>
      <w:r>
        <w:separator/>
      </w:r>
    </w:p>
  </w:endnote>
  <w:endnote w:type="continuationSeparator" w:id="0">
    <w:p w:rsidR="00BA4C02" w:rsidRDefault="00BA4C02" w:rsidP="00130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318" w:rsidRDefault="00BA1318">
    <w:pPr>
      <w:pStyle w:val="Footer"/>
      <w:tabs>
        <w:tab w:val="clear" w:pos="4680"/>
        <w:tab w:val="clear" w:pos="9360"/>
      </w:tabs>
      <w:jc w:val="center"/>
      <w:rPr>
        <w:caps/>
        <w:noProof/>
        <w:color w:val="4472C4" w:themeColor="accent1"/>
      </w:rPr>
    </w:pPr>
  </w:p>
  <w:p w:rsidR="00BA1318" w:rsidRDefault="00BA13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3847202"/>
      <w:docPartObj>
        <w:docPartGallery w:val="Page Numbers (Bottom of Page)"/>
        <w:docPartUnique/>
      </w:docPartObj>
    </w:sdtPr>
    <w:sdtEndPr>
      <w:rPr>
        <w:noProof/>
      </w:rPr>
    </w:sdtEndPr>
    <w:sdtContent>
      <w:p w:rsidR="00526C42" w:rsidRDefault="00526C42">
        <w:pPr>
          <w:pStyle w:val="Footer"/>
          <w:jc w:val="center"/>
        </w:pPr>
        <w:r>
          <w:fldChar w:fldCharType="begin"/>
        </w:r>
        <w:r>
          <w:instrText xml:space="preserve"> PAGE   \* MERGEFORMAT </w:instrText>
        </w:r>
        <w:r>
          <w:fldChar w:fldCharType="separate"/>
        </w:r>
        <w:r w:rsidR="00134343">
          <w:rPr>
            <w:noProof/>
          </w:rPr>
          <w:t>29</w:t>
        </w:r>
        <w:r>
          <w:rPr>
            <w:noProof/>
          </w:rPr>
          <w:fldChar w:fldCharType="end"/>
        </w:r>
      </w:p>
    </w:sdtContent>
  </w:sdt>
  <w:p w:rsidR="00BA1318" w:rsidRDefault="00BA1318" w:rsidP="00BA131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4C02" w:rsidRDefault="00BA4C02" w:rsidP="001303BE">
      <w:pPr>
        <w:spacing w:after="0" w:line="240" w:lineRule="auto"/>
      </w:pPr>
      <w:r>
        <w:separator/>
      </w:r>
    </w:p>
  </w:footnote>
  <w:footnote w:type="continuationSeparator" w:id="0">
    <w:p w:rsidR="00BA4C02" w:rsidRDefault="00BA4C02" w:rsidP="001303BE">
      <w:pPr>
        <w:spacing w:after="0" w:line="240" w:lineRule="auto"/>
      </w:pPr>
      <w:r>
        <w:continuationSeparator/>
      </w:r>
    </w:p>
  </w:footnote>
  <w:footnote w:id="1">
    <w:p w:rsidR="00BB570F" w:rsidRPr="00FB2B70" w:rsidRDefault="00BB570F" w:rsidP="008878C7">
      <w:pPr>
        <w:pStyle w:val="FootnoteText"/>
        <w:jc w:val="both"/>
        <w:rPr>
          <w:rFonts w:ascii="Times New Roman" w:hAnsi="Times New Roman" w:cs="Times New Roman"/>
        </w:rPr>
      </w:pPr>
      <w:r w:rsidRPr="00FB2B70">
        <w:rPr>
          <w:rStyle w:val="FootnoteReference"/>
          <w:rFonts w:ascii="Times New Roman" w:hAnsi="Times New Roman" w:cs="Times New Roman"/>
        </w:rPr>
        <w:footnoteRef/>
      </w:r>
      <w:r w:rsidRPr="00FB2B70">
        <w:rPr>
          <w:rFonts w:ascii="Times New Roman" w:hAnsi="Times New Roman" w:cs="Times New Roman"/>
        </w:rPr>
        <w:t xml:space="preserve"> </w:t>
      </w:r>
      <w:bookmarkStart w:id="0" w:name="_Hlk481705019"/>
      <w:r>
        <w:rPr>
          <w:rFonts w:ascii="Times New Roman" w:hAnsi="Times New Roman" w:cs="Times New Roman"/>
        </w:rPr>
        <w:t xml:space="preserve">“Konektivitas ASEAN: Peluang dan Tantangan”, dalam </w:t>
      </w:r>
      <w:hyperlink r:id="rId1" w:history="1">
        <w:r w:rsidRPr="00FB2B70">
          <w:rPr>
            <w:rStyle w:val="Hyperlink"/>
            <w:rFonts w:ascii="Times New Roman" w:hAnsi="Times New Roman" w:cs="Times New Roman"/>
            <w:color w:val="000000" w:themeColor="text1"/>
            <w:u w:val="none"/>
          </w:rPr>
          <w:t>http://www.setneg.go.id/index.php?option=com_content&amp;task=view&amp;id=6033&amp;Itemid=29</w:t>
        </w:r>
      </w:hyperlink>
      <w:r>
        <w:rPr>
          <w:rFonts w:ascii="Times New Roman" w:hAnsi="Times New Roman" w:cs="Times New Roman"/>
        </w:rPr>
        <w:t>, diakses 29 Maret 2017.</w:t>
      </w:r>
      <w:bookmarkEnd w:id="0"/>
    </w:p>
  </w:footnote>
  <w:footnote w:id="2">
    <w:p w:rsidR="00BB570F" w:rsidRPr="00B54CDE" w:rsidRDefault="00BB570F" w:rsidP="008878C7">
      <w:pPr>
        <w:pStyle w:val="FootnoteText"/>
        <w:jc w:val="both"/>
        <w:rPr>
          <w:rFonts w:ascii="Times New Roman" w:hAnsi="Times New Roman" w:cs="Times New Roman"/>
        </w:rPr>
      </w:pPr>
      <w:r w:rsidRPr="00B54CDE">
        <w:rPr>
          <w:rStyle w:val="FootnoteReference"/>
          <w:rFonts w:ascii="Times New Roman" w:hAnsi="Times New Roman" w:cs="Times New Roman"/>
        </w:rPr>
        <w:footnoteRef/>
      </w:r>
      <w:r w:rsidRPr="00B54CDE">
        <w:rPr>
          <w:rFonts w:ascii="Times New Roman" w:hAnsi="Times New Roman" w:cs="Times New Roman"/>
        </w:rPr>
        <w:t xml:space="preserve"> </w:t>
      </w:r>
      <w:bookmarkStart w:id="1" w:name="_Hlk481705039"/>
      <w:r w:rsidRPr="00D0575F">
        <w:rPr>
          <w:rFonts w:ascii="Times New Roman" w:hAnsi="Times New Roman" w:cs="Times New Roman"/>
        </w:rPr>
        <w:t xml:space="preserve">Zamroni Salim (Ed.), </w:t>
      </w:r>
      <w:r w:rsidR="005E3292">
        <w:rPr>
          <w:rFonts w:ascii="Times New Roman" w:hAnsi="Times New Roman" w:cs="Times New Roman"/>
        </w:rPr>
        <w:t xml:space="preserve">Op.Cit., </w:t>
      </w:r>
      <w:r w:rsidRPr="00D0575F">
        <w:rPr>
          <w:rFonts w:ascii="Times New Roman" w:hAnsi="Times New Roman" w:cs="Times New Roman"/>
        </w:rPr>
        <w:t>hlm.</w:t>
      </w:r>
      <w:r>
        <w:rPr>
          <w:rFonts w:ascii="Times New Roman" w:hAnsi="Times New Roman" w:cs="Times New Roman"/>
        </w:rPr>
        <w:t xml:space="preserve"> 116-117.</w:t>
      </w:r>
      <w:bookmarkEnd w:id="1"/>
    </w:p>
  </w:footnote>
  <w:footnote w:id="3">
    <w:p w:rsidR="00BB570F" w:rsidRPr="00B33353" w:rsidRDefault="00BB570F" w:rsidP="00B33353">
      <w:pPr>
        <w:pStyle w:val="FootnoteText"/>
        <w:jc w:val="both"/>
        <w:rPr>
          <w:rFonts w:ascii="Times New Roman" w:hAnsi="Times New Roman" w:cs="Times New Roman"/>
        </w:rPr>
      </w:pPr>
      <w:r w:rsidRPr="00B33353">
        <w:rPr>
          <w:rStyle w:val="FootnoteReference"/>
          <w:rFonts w:ascii="Times New Roman" w:hAnsi="Times New Roman" w:cs="Times New Roman"/>
        </w:rPr>
        <w:footnoteRef/>
      </w:r>
      <w:r w:rsidRPr="00B33353">
        <w:rPr>
          <w:rFonts w:ascii="Times New Roman" w:hAnsi="Times New Roman" w:cs="Times New Roman"/>
        </w:rPr>
        <w:t xml:space="preserve"> </w:t>
      </w:r>
      <w:bookmarkStart w:id="2" w:name="_Hlk481705074"/>
      <w:r>
        <w:rPr>
          <w:rFonts w:ascii="Times New Roman" w:hAnsi="Times New Roman" w:cs="Times New Roman"/>
        </w:rPr>
        <w:t xml:space="preserve">“Evaluasi Implementasi Sistem INATRADE”, dalam </w:t>
      </w:r>
      <w:hyperlink r:id="rId2" w:history="1">
        <w:r w:rsidRPr="00B33353">
          <w:rPr>
            <w:rStyle w:val="Hyperlink"/>
            <w:rFonts w:ascii="Times New Roman" w:hAnsi="Times New Roman" w:cs="Times New Roman"/>
            <w:color w:val="000000" w:themeColor="text1"/>
            <w:u w:val="none"/>
          </w:rPr>
          <w:t>www.kemendag.go.id/files/pdf/2014/01/06/Full-Report-Kajian-Inatrade.pdf</w:t>
        </w:r>
      </w:hyperlink>
      <w:r w:rsidRPr="00B33353">
        <w:rPr>
          <w:rFonts w:ascii="Times New Roman" w:hAnsi="Times New Roman" w:cs="Times New Roman"/>
          <w:color w:val="000000" w:themeColor="text1"/>
        </w:rPr>
        <w:t>,</w:t>
      </w:r>
      <w:r>
        <w:rPr>
          <w:rFonts w:ascii="Times New Roman" w:hAnsi="Times New Roman" w:cs="Times New Roman"/>
        </w:rPr>
        <w:t xml:space="preserve"> diakses 31 Maret 2017.</w:t>
      </w:r>
      <w:bookmarkEnd w:id="2"/>
    </w:p>
  </w:footnote>
  <w:footnote w:id="4">
    <w:p w:rsidR="00BB570F" w:rsidRPr="00B33353" w:rsidRDefault="00BB570F">
      <w:pPr>
        <w:pStyle w:val="FootnoteText"/>
        <w:rPr>
          <w:rFonts w:ascii="Times New Roman" w:hAnsi="Times New Roman" w:cs="Times New Roman"/>
        </w:rPr>
      </w:pPr>
      <w:r w:rsidRPr="00B33353">
        <w:rPr>
          <w:rStyle w:val="FootnoteReference"/>
          <w:rFonts w:ascii="Times New Roman" w:hAnsi="Times New Roman" w:cs="Times New Roman"/>
        </w:rPr>
        <w:footnoteRef/>
      </w:r>
      <w:r w:rsidRPr="00B33353">
        <w:rPr>
          <w:rFonts w:ascii="Times New Roman" w:hAnsi="Times New Roman" w:cs="Times New Roman"/>
        </w:rPr>
        <w:t xml:space="preserve"> Ibid.</w:t>
      </w:r>
    </w:p>
  </w:footnote>
  <w:footnote w:id="5">
    <w:p w:rsidR="00BB570F" w:rsidRPr="00B33353" w:rsidRDefault="00BB570F">
      <w:pPr>
        <w:pStyle w:val="FootnoteText"/>
        <w:rPr>
          <w:rFonts w:ascii="Times New Roman" w:hAnsi="Times New Roman" w:cs="Times New Roman"/>
        </w:rPr>
      </w:pPr>
      <w:r w:rsidRPr="00B33353">
        <w:rPr>
          <w:rStyle w:val="FootnoteReference"/>
          <w:rFonts w:ascii="Times New Roman" w:hAnsi="Times New Roman" w:cs="Times New Roman"/>
        </w:rPr>
        <w:footnoteRef/>
      </w:r>
      <w:r w:rsidRPr="00B33353">
        <w:rPr>
          <w:rFonts w:ascii="Times New Roman" w:hAnsi="Times New Roman" w:cs="Times New Roman"/>
        </w:rPr>
        <w:t xml:space="preserve"> </w:t>
      </w:r>
      <w:r>
        <w:rPr>
          <w:rFonts w:ascii="Times New Roman" w:hAnsi="Times New Roman" w:cs="Times New Roman"/>
        </w:rPr>
        <w:t>Ibid.</w:t>
      </w:r>
    </w:p>
  </w:footnote>
  <w:footnote w:id="6">
    <w:p w:rsidR="00BB570F" w:rsidRPr="00E05667" w:rsidRDefault="00BB570F" w:rsidP="00E05667">
      <w:pPr>
        <w:pStyle w:val="FootnoteText"/>
        <w:jc w:val="both"/>
        <w:rPr>
          <w:rFonts w:ascii="Times New Roman" w:hAnsi="Times New Roman" w:cs="Times New Roman"/>
        </w:rPr>
      </w:pPr>
      <w:r w:rsidRPr="00E05667">
        <w:rPr>
          <w:rStyle w:val="FootnoteReference"/>
          <w:rFonts w:ascii="Times New Roman" w:hAnsi="Times New Roman" w:cs="Times New Roman"/>
        </w:rPr>
        <w:footnoteRef/>
      </w:r>
      <w:r w:rsidRPr="00E05667">
        <w:rPr>
          <w:rFonts w:ascii="Times New Roman" w:hAnsi="Times New Roman" w:cs="Times New Roman"/>
        </w:rPr>
        <w:t xml:space="preserve"> </w:t>
      </w:r>
      <w:bookmarkStart w:id="3" w:name="_Hlk481705112"/>
      <w:r w:rsidRPr="00E05667">
        <w:rPr>
          <w:rFonts w:ascii="Times New Roman" w:hAnsi="Times New Roman" w:cs="Times New Roman"/>
        </w:rPr>
        <w:t xml:space="preserve">“INSWmagz: Membuka sumbat Dwelling Time”, </w:t>
      </w:r>
      <w:bookmarkEnd w:id="3"/>
      <w:r w:rsidR="005E3292">
        <w:rPr>
          <w:rFonts w:ascii="Times New Roman" w:hAnsi="Times New Roman" w:cs="Times New Roman"/>
        </w:rPr>
        <w:t>Op.Cit.</w:t>
      </w:r>
    </w:p>
  </w:footnote>
  <w:footnote w:id="7">
    <w:p w:rsidR="00BB570F" w:rsidRDefault="00BB570F" w:rsidP="000D3269">
      <w:pPr>
        <w:pStyle w:val="FootnoteText"/>
        <w:jc w:val="both"/>
      </w:pPr>
      <w:r>
        <w:rPr>
          <w:rStyle w:val="FootnoteReference"/>
        </w:rPr>
        <w:footnoteRef/>
      </w:r>
      <w:r>
        <w:t xml:space="preserve"> </w:t>
      </w:r>
      <w:bookmarkStart w:id="4" w:name="_Hlk481705139"/>
      <w:r w:rsidRPr="000D3269">
        <w:rPr>
          <w:rFonts w:ascii="Times New Roman" w:hAnsi="Times New Roman" w:cs="Times New Roman"/>
          <w:color w:val="000000" w:themeColor="text1"/>
        </w:rPr>
        <w:t>“Indonesia</w:t>
      </w:r>
      <w:r w:rsidR="00A614CF">
        <w:rPr>
          <w:rFonts w:ascii="Times New Roman" w:hAnsi="Times New Roman" w:cs="Times New Roman"/>
          <w:color w:val="000000" w:themeColor="text1"/>
        </w:rPr>
        <w:t xml:space="preserve"> </w:t>
      </w:r>
      <w:r w:rsidR="00A614CF" w:rsidRPr="005E3292">
        <w:rPr>
          <w:rFonts w:ascii="Times New Roman" w:hAnsi="Times New Roman" w:cs="Times New Roman"/>
          <w:i/>
          <w:color w:val="000000" w:themeColor="text1"/>
        </w:rPr>
        <w:t>National Single Window</w:t>
      </w:r>
      <w:r w:rsidR="00A614CF">
        <w:rPr>
          <w:rFonts w:ascii="Times New Roman" w:hAnsi="Times New Roman" w:cs="Times New Roman"/>
          <w:color w:val="000000" w:themeColor="text1"/>
        </w:rPr>
        <w:t>: Sinergi Antar Unit Kementerian dan Lembaga, Otoritas Pelabuhan, Operator Terminal, dan Pengguna Jasa Dalam Rangka Meningkatkan Efisiensi Logistik Impor</w:t>
      </w:r>
      <w:r w:rsidRPr="000D3269">
        <w:rPr>
          <w:rFonts w:ascii="Times New Roman" w:hAnsi="Times New Roman" w:cs="Times New Roman"/>
          <w:color w:val="000000" w:themeColor="text1"/>
        </w:rPr>
        <w:t xml:space="preserve">”, dalam </w:t>
      </w:r>
      <w:hyperlink r:id="rId3" w:history="1">
        <w:r w:rsidRPr="000D3269">
          <w:rPr>
            <w:rStyle w:val="Hyperlink"/>
            <w:rFonts w:ascii="Times New Roman" w:hAnsi="Times New Roman" w:cs="Times New Roman"/>
            <w:color w:val="000000" w:themeColor="text1"/>
            <w:u w:val="none"/>
          </w:rPr>
          <w:t>http://www.insw.go.id/index.php/home/menu/sw</w:t>
        </w:r>
      </w:hyperlink>
      <w:r w:rsidRPr="000D3269">
        <w:rPr>
          <w:rFonts w:ascii="Times New Roman" w:hAnsi="Times New Roman" w:cs="Times New Roman"/>
          <w:color w:val="000000" w:themeColor="text1"/>
        </w:rPr>
        <w:t>, diakses 14 April 2017.</w:t>
      </w:r>
      <w:bookmarkEnd w:id="4"/>
    </w:p>
  </w:footnote>
  <w:footnote w:id="8">
    <w:p w:rsidR="00BB570F" w:rsidRPr="007B59CD" w:rsidRDefault="00BB570F" w:rsidP="007B59CD">
      <w:pPr>
        <w:pStyle w:val="FootnoteText"/>
        <w:jc w:val="both"/>
        <w:rPr>
          <w:rFonts w:ascii="Times New Roman" w:hAnsi="Times New Roman" w:cs="Times New Roman"/>
        </w:rPr>
      </w:pPr>
      <w:r w:rsidRPr="007B59CD">
        <w:rPr>
          <w:rStyle w:val="FootnoteReference"/>
          <w:rFonts w:ascii="Times New Roman" w:hAnsi="Times New Roman" w:cs="Times New Roman"/>
        </w:rPr>
        <w:footnoteRef/>
      </w:r>
      <w:r w:rsidRPr="007B59CD">
        <w:rPr>
          <w:rFonts w:ascii="Times New Roman" w:hAnsi="Times New Roman" w:cs="Times New Roman"/>
        </w:rPr>
        <w:t xml:space="preserve"> </w:t>
      </w:r>
      <w:bookmarkStart w:id="6" w:name="_Hlk481705283"/>
      <w:r>
        <w:rPr>
          <w:rFonts w:ascii="Times New Roman" w:hAnsi="Times New Roman" w:cs="Times New Roman"/>
        </w:rPr>
        <w:t xml:space="preserve">“Konsepsi Sistem Pelayanan Bagi Masyarakat Usaha”, dalam </w:t>
      </w:r>
      <w:r w:rsidRPr="007B59CD">
        <w:rPr>
          <w:rFonts w:ascii="Times New Roman" w:hAnsi="Times New Roman" w:cs="Times New Roman"/>
        </w:rPr>
        <w:t>supplychainindonesia.com/new/download/480/</w:t>
      </w:r>
      <w:r>
        <w:rPr>
          <w:rFonts w:ascii="Times New Roman" w:hAnsi="Times New Roman" w:cs="Times New Roman"/>
        </w:rPr>
        <w:t>, diakses 01 April 2017.</w:t>
      </w:r>
      <w:bookmarkEnd w:id="6"/>
    </w:p>
  </w:footnote>
  <w:footnote w:id="9">
    <w:p w:rsidR="00BB570F" w:rsidRPr="005111FE" w:rsidRDefault="00BB570F" w:rsidP="005111FE">
      <w:pPr>
        <w:pStyle w:val="FootnoteText"/>
        <w:jc w:val="both"/>
        <w:rPr>
          <w:rFonts w:ascii="Times New Roman" w:hAnsi="Times New Roman" w:cs="Times New Roman"/>
        </w:rPr>
      </w:pPr>
      <w:r w:rsidRPr="005111FE">
        <w:rPr>
          <w:rStyle w:val="FootnoteReference"/>
          <w:rFonts w:ascii="Times New Roman" w:hAnsi="Times New Roman" w:cs="Times New Roman"/>
        </w:rPr>
        <w:footnoteRef/>
      </w:r>
      <w:r w:rsidRPr="005111FE">
        <w:rPr>
          <w:rFonts w:ascii="Times New Roman" w:hAnsi="Times New Roman" w:cs="Times New Roman"/>
        </w:rPr>
        <w:t xml:space="preserve"> </w:t>
      </w:r>
      <w:bookmarkStart w:id="7" w:name="_Hlk481705298"/>
      <w:r w:rsidRPr="005111FE">
        <w:rPr>
          <w:rFonts w:ascii="Times New Roman" w:hAnsi="Times New Roman" w:cs="Times New Roman"/>
        </w:rPr>
        <w:t>Keputusan Menteri Koordinator Perekonomian Nomor KEP-19/M.EKON/04/2008</w:t>
      </w:r>
      <w:bookmarkEnd w:id="7"/>
    </w:p>
  </w:footnote>
  <w:footnote w:id="10">
    <w:p w:rsidR="00BB570F" w:rsidRDefault="00BB570F">
      <w:pPr>
        <w:pStyle w:val="FootnoteText"/>
      </w:pPr>
      <w:r>
        <w:rPr>
          <w:rStyle w:val="FootnoteReference"/>
        </w:rPr>
        <w:footnoteRef/>
      </w:r>
      <w:r>
        <w:t xml:space="preserve"> Ibid.</w:t>
      </w:r>
    </w:p>
  </w:footnote>
  <w:footnote w:id="11">
    <w:p w:rsidR="00BB570F" w:rsidRPr="006E4B27" w:rsidRDefault="00BB570F" w:rsidP="006E4B27">
      <w:pPr>
        <w:pStyle w:val="FootnoteText"/>
        <w:jc w:val="both"/>
        <w:rPr>
          <w:rFonts w:ascii="Times New Roman" w:hAnsi="Times New Roman" w:cs="Times New Roman"/>
        </w:rPr>
      </w:pPr>
      <w:r w:rsidRPr="006E4B27">
        <w:rPr>
          <w:rStyle w:val="FootnoteReference"/>
          <w:rFonts w:ascii="Times New Roman" w:hAnsi="Times New Roman" w:cs="Times New Roman"/>
        </w:rPr>
        <w:footnoteRef/>
      </w:r>
      <w:r w:rsidRPr="006E4B27">
        <w:rPr>
          <w:rFonts w:ascii="Times New Roman" w:hAnsi="Times New Roman" w:cs="Times New Roman"/>
        </w:rPr>
        <w:t xml:space="preserve"> </w:t>
      </w:r>
      <w:bookmarkStart w:id="8" w:name="_Hlk481705345"/>
      <w:r>
        <w:rPr>
          <w:rFonts w:ascii="Times New Roman" w:hAnsi="Times New Roman" w:cs="Times New Roman"/>
        </w:rPr>
        <w:t xml:space="preserve">Tim Persiapan </w:t>
      </w:r>
      <w:r>
        <w:rPr>
          <w:rFonts w:ascii="Times New Roman" w:hAnsi="Times New Roman" w:cs="Times New Roman"/>
          <w:i/>
        </w:rPr>
        <w:t xml:space="preserve">National Single Window </w:t>
      </w:r>
      <w:r>
        <w:rPr>
          <w:rFonts w:ascii="Times New Roman" w:hAnsi="Times New Roman" w:cs="Times New Roman"/>
        </w:rPr>
        <w:t xml:space="preserve">(NSW) Republik Indonesia, </w:t>
      </w:r>
      <w:bookmarkEnd w:id="8"/>
      <w:r w:rsidR="005E3292">
        <w:rPr>
          <w:rFonts w:ascii="Times New Roman" w:hAnsi="Times New Roman" w:cs="Times New Roman"/>
        </w:rPr>
        <w:t>Op.Cit</w:t>
      </w:r>
    </w:p>
  </w:footnote>
  <w:footnote w:id="12">
    <w:p w:rsidR="00BB570F" w:rsidRPr="006E4B27" w:rsidRDefault="00BB570F">
      <w:pPr>
        <w:pStyle w:val="FootnoteText"/>
        <w:rPr>
          <w:rFonts w:ascii="Times New Roman" w:hAnsi="Times New Roman" w:cs="Times New Roman"/>
        </w:rPr>
      </w:pPr>
      <w:r w:rsidRPr="006E4B27">
        <w:rPr>
          <w:rStyle w:val="FootnoteReference"/>
          <w:rFonts w:ascii="Times New Roman" w:hAnsi="Times New Roman" w:cs="Times New Roman"/>
        </w:rPr>
        <w:footnoteRef/>
      </w:r>
      <w:r w:rsidRPr="006E4B27">
        <w:rPr>
          <w:rFonts w:ascii="Times New Roman" w:hAnsi="Times New Roman" w:cs="Times New Roman"/>
        </w:rPr>
        <w:t xml:space="preserve"> </w:t>
      </w:r>
      <w:r>
        <w:rPr>
          <w:rFonts w:ascii="Times New Roman" w:hAnsi="Times New Roman" w:cs="Times New Roman"/>
        </w:rPr>
        <w:t>Ibid.</w:t>
      </w:r>
    </w:p>
  </w:footnote>
  <w:footnote w:id="13">
    <w:p w:rsidR="00BB570F" w:rsidRPr="00C0246A" w:rsidRDefault="00BB570F">
      <w:pPr>
        <w:pStyle w:val="FootnoteText"/>
        <w:rPr>
          <w:rFonts w:ascii="Times New Roman" w:hAnsi="Times New Roman" w:cs="Times New Roman"/>
        </w:rPr>
      </w:pPr>
      <w:r w:rsidRPr="00C0246A">
        <w:rPr>
          <w:rStyle w:val="FootnoteReference"/>
          <w:rFonts w:ascii="Times New Roman" w:hAnsi="Times New Roman" w:cs="Times New Roman"/>
        </w:rPr>
        <w:footnoteRef/>
      </w:r>
      <w:r w:rsidRPr="00C0246A">
        <w:rPr>
          <w:rFonts w:ascii="Times New Roman" w:hAnsi="Times New Roman" w:cs="Times New Roman"/>
        </w:rPr>
        <w:t xml:space="preserve"> </w:t>
      </w:r>
      <w:r>
        <w:rPr>
          <w:rFonts w:ascii="Times New Roman" w:hAnsi="Times New Roman" w:cs="Times New Roman"/>
        </w:rPr>
        <w:tab/>
      </w:r>
      <w:bookmarkStart w:id="9" w:name="_Hlk481705358"/>
      <w:r>
        <w:rPr>
          <w:rFonts w:ascii="Times New Roman" w:hAnsi="Times New Roman" w:cs="Times New Roman"/>
        </w:rPr>
        <w:t xml:space="preserve">Ary Fitria Nandini, “Pengaturan dan Pelaksanaan National Single Window di Indonesia”, dalam </w:t>
      </w:r>
      <w:r w:rsidRPr="00B07F70">
        <w:rPr>
          <w:rFonts w:ascii="Times New Roman" w:hAnsi="Times New Roman" w:cs="Times New Roman"/>
        </w:rPr>
        <w:t>lib.ui.ac.id/file?file=digital/128820-T%2026690-Pengaturan%20dan%20pelaksanaan...</w:t>
      </w:r>
      <w:r>
        <w:rPr>
          <w:rFonts w:ascii="Times New Roman" w:hAnsi="Times New Roman" w:cs="Times New Roman"/>
        </w:rPr>
        <w:t>, diakses 04 April 2017.</w:t>
      </w:r>
      <w:bookmarkEnd w:id="9"/>
    </w:p>
  </w:footnote>
  <w:footnote w:id="14">
    <w:p w:rsidR="00BB570F" w:rsidRPr="007F1BA2" w:rsidRDefault="00BB570F" w:rsidP="00DA2066">
      <w:pPr>
        <w:pStyle w:val="FootnoteText"/>
        <w:jc w:val="both"/>
        <w:rPr>
          <w:rFonts w:ascii="Times New Roman" w:hAnsi="Times New Roman" w:cs="Times New Roman"/>
        </w:rPr>
      </w:pPr>
      <w:r w:rsidRPr="007F1BA2">
        <w:rPr>
          <w:rStyle w:val="FootnoteReference"/>
          <w:rFonts w:ascii="Times New Roman" w:hAnsi="Times New Roman" w:cs="Times New Roman"/>
        </w:rPr>
        <w:footnoteRef/>
      </w:r>
      <w:r w:rsidRPr="007F1BA2">
        <w:rPr>
          <w:rFonts w:ascii="Times New Roman" w:hAnsi="Times New Roman" w:cs="Times New Roman"/>
        </w:rPr>
        <w:t xml:space="preserve"> </w:t>
      </w:r>
      <w:bookmarkStart w:id="10" w:name="_Hlk481705377"/>
      <w:r w:rsidRPr="00DA2066">
        <w:rPr>
          <w:rFonts w:ascii="Times New Roman" w:hAnsi="Times New Roman" w:cs="Times New Roman"/>
        </w:rPr>
        <w:t xml:space="preserve">Tim Persiapan National Single Window (NSW) Republik Indonesia, </w:t>
      </w:r>
      <w:r>
        <w:rPr>
          <w:rFonts w:ascii="Times New Roman" w:hAnsi="Times New Roman" w:cs="Times New Roman"/>
        </w:rPr>
        <w:t>Op.Cit.</w:t>
      </w:r>
      <w:bookmarkEnd w:id="10"/>
    </w:p>
  </w:footnote>
  <w:footnote w:id="15">
    <w:p w:rsidR="00BB570F" w:rsidRPr="009D0D09" w:rsidRDefault="00BB570F" w:rsidP="009D0D09">
      <w:pPr>
        <w:pStyle w:val="FootnoteText"/>
        <w:jc w:val="both"/>
        <w:rPr>
          <w:rFonts w:ascii="Times New Roman" w:hAnsi="Times New Roman" w:cs="Times New Roman"/>
        </w:rPr>
      </w:pPr>
      <w:r w:rsidRPr="009D0D09">
        <w:rPr>
          <w:rStyle w:val="FootnoteReference"/>
          <w:rFonts w:ascii="Times New Roman" w:hAnsi="Times New Roman" w:cs="Times New Roman"/>
        </w:rPr>
        <w:footnoteRef/>
      </w:r>
      <w:r w:rsidRPr="009D0D09">
        <w:rPr>
          <w:rFonts w:ascii="Times New Roman" w:hAnsi="Times New Roman" w:cs="Times New Roman"/>
        </w:rPr>
        <w:t xml:space="preserve"> </w:t>
      </w:r>
      <w:bookmarkStart w:id="11" w:name="_Hlk481705392"/>
      <w:r w:rsidRPr="009D0D09">
        <w:rPr>
          <w:rFonts w:ascii="Times New Roman" w:hAnsi="Times New Roman" w:cs="Times New Roman"/>
        </w:rPr>
        <w:t xml:space="preserve">“Evaluasi Implementasi Sistem INATRADE”, </w:t>
      </w:r>
      <w:bookmarkEnd w:id="11"/>
      <w:r w:rsidR="005E3292">
        <w:rPr>
          <w:rFonts w:ascii="Times New Roman" w:hAnsi="Times New Roman" w:cs="Times New Roman"/>
        </w:rPr>
        <w:t>Op.Cit</w:t>
      </w:r>
    </w:p>
  </w:footnote>
  <w:footnote w:id="16">
    <w:p w:rsidR="00BB570F" w:rsidRPr="00F91E72" w:rsidRDefault="00BB570F" w:rsidP="00F91E72">
      <w:pPr>
        <w:pStyle w:val="FootnoteText"/>
        <w:jc w:val="both"/>
        <w:rPr>
          <w:rFonts w:ascii="Times New Roman" w:hAnsi="Times New Roman" w:cs="Times New Roman"/>
        </w:rPr>
      </w:pPr>
      <w:r w:rsidRPr="00F91E72">
        <w:rPr>
          <w:rStyle w:val="FootnoteReference"/>
          <w:rFonts w:ascii="Times New Roman" w:hAnsi="Times New Roman" w:cs="Times New Roman"/>
        </w:rPr>
        <w:footnoteRef/>
      </w:r>
      <w:r w:rsidRPr="00F91E72">
        <w:rPr>
          <w:rFonts w:ascii="Times New Roman" w:hAnsi="Times New Roman" w:cs="Times New Roman"/>
        </w:rPr>
        <w:t xml:space="preserve"> </w:t>
      </w:r>
      <w:bookmarkStart w:id="12" w:name="_Hlk481705405"/>
      <w:r w:rsidR="005E3292">
        <w:rPr>
          <w:rFonts w:ascii="Times New Roman" w:hAnsi="Times New Roman" w:cs="Times New Roman"/>
        </w:rPr>
        <w:t xml:space="preserve">Ary Fitria Nandini, </w:t>
      </w:r>
      <w:r w:rsidRPr="00F91E72">
        <w:rPr>
          <w:rFonts w:ascii="Times New Roman" w:hAnsi="Times New Roman" w:cs="Times New Roman"/>
        </w:rPr>
        <w:t>Op.Cit.</w:t>
      </w:r>
      <w:bookmarkEnd w:id="12"/>
    </w:p>
  </w:footnote>
  <w:footnote w:id="17">
    <w:p w:rsidR="00BB570F" w:rsidRDefault="00BB570F">
      <w:pPr>
        <w:pStyle w:val="FootnoteText"/>
      </w:pPr>
      <w:r>
        <w:rPr>
          <w:rStyle w:val="FootnoteReference"/>
        </w:rPr>
        <w:footnoteRef/>
      </w:r>
      <w:r>
        <w:t xml:space="preserve"> </w:t>
      </w:r>
      <w:r w:rsidRPr="000D3269">
        <w:t>“In</w:t>
      </w:r>
      <w:r w:rsidR="005E3292">
        <w:t xml:space="preserve">donesia National Single Window, </w:t>
      </w:r>
      <w:r>
        <w:t>Op.Cit.</w:t>
      </w:r>
    </w:p>
  </w:footnote>
  <w:footnote w:id="18">
    <w:p w:rsidR="00BB570F" w:rsidRPr="0005689A" w:rsidRDefault="00BB570F">
      <w:pPr>
        <w:pStyle w:val="FootnoteText"/>
        <w:rPr>
          <w:rFonts w:ascii="Times New Roman" w:hAnsi="Times New Roman" w:cs="Times New Roman"/>
        </w:rPr>
      </w:pPr>
      <w:r w:rsidRPr="0005689A">
        <w:rPr>
          <w:rStyle w:val="FootnoteReference"/>
          <w:rFonts w:ascii="Times New Roman" w:hAnsi="Times New Roman" w:cs="Times New Roman"/>
        </w:rPr>
        <w:footnoteRef/>
      </w:r>
      <w:r w:rsidRPr="0005689A">
        <w:rPr>
          <w:rFonts w:ascii="Times New Roman" w:hAnsi="Times New Roman" w:cs="Times New Roman"/>
        </w:rPr>
        <w:t xml:space="preserve"> </w:t>
      </w:r>
      <w:bookmarkStart w:id="13" w:name="_Hlk481705518"/>
      <w:r w:rsidRPr="0005689A">
        <w:rPr>
          <w:rFonts w:ascii="Times New Roman" w:hAnsi="Times New Roman" w:cs="Times New Roman"/>
        </w:rPr>
        <w:t>Tim Persiapan National Single Window (NSW) Republik Indonesia, Op.Cit.</w:t>
      </w:r>
      <w:bookmarkEnd w:id="13"/>
    </w:p>
  </w:footnote>
  <w:footnote w:id="19">
    <w:p w:rsidR="00BB570F" w:rsidRPr="005B1418" w:rsidRDefault="00BB570F">
      <w:pPr>
        <w:pStyle w:val="FootnoteText"/>
        <w:rPr>
          <w:rFonts w:ascii="Times New Roman" w:hAnsi="Times New Roman" w:cs="Times New Roman"/>
        </w:rPr>
      </w:pPr>
      <w:r w:rsidRPr="005B1418">
        <w:rPr>
          <w:rStyle w:val="FootnoteReference"/>
          <w:rFonts w:ascii="Times New Roman" w:hAnsi="Times New Roman" w:cs="Times New Roman"/>
        </w:rPr>
        <w:footnoteRef/>
      </w:r>
      <w:r w:rsidRPr="005B1418">
        <w:rPr>
          <w:rFonts w:ascii="Times New Roman" w:hAnsi="Times New Roman" w:cs="Times New Roman"/>
        </w:rPr>
        <w:t xml:space="preserve"> Ibid.</w:t>
      </w:r>
    </w:p>
  </w:footnote>
  <w:footnote w:id="20">
    <w:p w:rsidR="00BB570F" w:rsidRPr="00EE4ED8" w:rsidRDefault="00BB570F" w:rsidP="00EE4ED8">
      <w:pPr>
        <w:pStyle w:val="FootnoteText"/>
        <w:jc w:val="both"/>
        <w:rPr>
          <w:rFonts w:ascii="Times New Roman" w:hAnsi="Times New Roman" w:cs="Times New Roman"/>
        </w:rPr>
      </w:pPr>
      <w:r w:rsidRPr="00EE4ED8">
        <w:rPr>
          <w:rStyle w:val="FootnoteReference"/>
          <w:rFonts w:ascii="Times New Roman" w:hAnsi="Times New Roman" w:cs="Times New Roman"/>
          <w:color w:val="000000" w:themeColor="text1"/>
        </w:rPr>
        <w:footnoteRef/>
      </w:r>
      <w:r w:rsidRPr="00EE4ED8">
        <w:rPr>
          <w:rFonts w:ascii="Times New Roman" w:hAnsi="Times New Roman" w:cs="Times New Roman"/>
          <w:color w:val="000000" w:themeColor="text1"/>
        </w:rPr>
        <w:t xml:space="preserve"> </w:t>
      </w:r>
      <w:bookmarkStart w:id="14" w:name="_Hlk481705535"/>
      <w:r w:rsidRPr="00EE4ED8">
        <w:rPr>
          <w:rFonts w:ascii="Times New Roman" w:hAnsi="Times New Roman" w:cs="Times New Roman"/>
          <w:color w:val="000000" w:themeColor="text1"/>
        </w:rPr>
        <w:t xml:space="preserve">“Implementasi Tahap II NSW”, dalam </w:t>
      </w:r>
      <w:hyperlink r:id="rId4" w:history="1">
        <w:r w:rsidRPr="00EE4ED8">
          <w:rPr>
            <w:rStyle w:val="Hyperlink"/>
            <w:rFonts w:ascii="Times New Roman" w:hAnsi="Times New Roman" w:cs="Times New Roman"/>
            <w:color w:val="000000" w:themeColor="text1"/>
            <w:u w:val="none"/>
          </w:rPr>
          <w:t>http://www.beacukai.go.id</w:t>
        </w:r>
      </w:hyperlink>
      <w:r w:rsidRPr="00EE4ED8">
        <w:rPr>
          <w:rFonts w:ascii="Times New Roman" w:hAnsi="Times New Roman" w:cs="Times New Roman"/>
          <w:color w:val="000000" w:themeColor="text1"/>
        </w:rPr>
        <w:t>, diakses pada 14 April 2017</w:t>
      </w:r>
      <w:bookmarkEnd w:id="14"/>
      <w:r w:rsidR="005E3292">
        <w:rPr>
          <w:rFonts w:ascii="Times New Roman" w:hAnsi="Times New Roman" w:cs="Times New Roman"/>
          <w:color w:val="000000" w:themeColor="text1"/>
        </w:rPr>
        <w:t>.</w:t>
      </w:r>
    </w:p>
  </w:footnote>
  <w:footnote w:id="21">
    <w:p w:rsidR="00BB570F" w:rsidRPr="000D2316" w:rsidRDefault="00BB570F">
      <w:pPr>
        <w:pStyle w:val="FootnoteText"/>
      </w:pPr>
      <w:r>
        <w:rPr>
          <w:rStyle w:val="FootnoteReference"/>
        </w:rPr>
        <w:footnoteRef/>
      </w:r>
      <w:r>
        <w:t xml:space="preserve"> </w:t>
      </w:r>
      <w:bookmarkStart w:id="15" w:name="_Hlk481705550"/>
      <w:r w:rsidRPr="000D2316">
        <w:rPr>
          <w:rFonts w:ascii="Times New Roman" w:hAnsi="Times New Roman" w:cs="Times New Roman"/>
          <w:color w:val="000000" w:themeColor="text1"/>
        </w:rPr>
        <w:t xml:space="preserve">“Peluncuran Implementasi Tahap Ketiga Sistem </w:t>
      </w:r>
      <w:r w:rsidRPr="000D2316">
        <w:rPr>
          <w:rFonts w:ascii="Times New Roman" w:hAnsi="Times New Roman" w:cs="Times New Roman"/>
          <w:i/>
          <w:color w:val="000000" w:themeColor="text1"/>
        </w:rPr>
        <w:t>National Single Window</w:t>
      </w:r>
      <w:r w:rsidRPr="000D2316">
        <w:rPr>
          <w:rFonts w:ascii="Times New Roman" w:hAnsi="Times New Roman" w:cs="Times New Roman"/>
          <w:color w:val="000000" w:themeColor="text1"/>
        </w:rPr>
        <w:t xml:space="preserve">”,dalam </w:t>
      </w:r>
      <w:hyperlink r:id="rId5" w:history="1">
        <w:r w:rsidRPr="000D2316">
          <w:rPr>
            <w:rStyle w:val="Hyperlink"/>
            <w:rFonts w:ascii="Times New Roman" w:hAnsi="Times New Roman" w:cs="Times New Roman"/>
            <w:color w:val="000000" w:themeColor="text1"/>
            <w:u w:val="none"/>
          </w:rPr>
          <w:t>http://www.ekon.go.id</w:t>
        </w:r>
      </w:hyperlink>
      <w:r w:rsidRPr="000D2316">
        <w:rPr>
          <w:rFonts w:ascii="Times New Roman" w:hAnsi="Times New Roman" w:cs="Times New Roman"/>
          <w:color w:val="000000" w:themeColor="text1"/>
        </w:rPr>
        <w:t>., diakses 14 April 2017</w:t>
      </w:r>
      <w:bookmarkEnd w:id="15"/>
    </w:p>
  </w:footnote>
  <w:footnote w:id="22">
    <w:p w:rsidR="00BB570F" w:rsidRPr="007B0E58" w:rsidRDefault="00BB570F" w:rsidP="007B0E58">
      <w:pPr>
        <w:pStyle w:val="FootnoteText"/>
        <w:jc w:val="both"/>
        <w:rPr>
          <w:rFonts w:ascii="Times New Roman" w:hAnsi="Times New Roman" w:cs="Times New Roman"/>
        </w:rPr>
      </w:pPr>
      <w:r w:rsidRPr="007B0E58">
        <w:rPr>
          <w:rStyle w:val="FootnoteReference"/>
          <w:rFonts w:ascii="Times New Roman" w:hAnsi="Times New Roman" w:cs="Times New Roman"/>
        </w:rPr>
        <w:footnoteRef/>
      </w:r>
      <w:r w:rsidRPr="007B0E58">
        <w:rPr>
          <w:rFonts w:ascii="Times New Roman" w:hAnsi="Times New Roman" w:cs="Times New Roman"/>
        </w:rPr>
        <w:t xml:space="preserve"> </w:t>
      </w:r>
      <w:bookmarkStart w:id="16" w:name="_Hlk481705564"/>
      <w:r w:rsidRPr="007B0E58">
        <w:rPr>
          <w:rFonts w:ascii="Times New Roman" w:hAnsi="Times New Roman" w:cs="Times New Roman"/>
        </w:rPr>
        <w:t>Tim Persiapan National Single Window (NSW) Republik Indonesia, Op.Cit.</w:t>
      </w:r>
      <w:bookmarkEnd w:id="1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4183233"/>
      <w:docPartObj>
        <w:docPartGallery w:val="Page Numbers (Top of Page)"/>
        <w:docPartUnique/>
      </w:docPartObj>
    </w:sdtPr>
    <w:sdtEndPr>
      <w:rPr>
        <w:noProof/>
      </w:rPr>
    </w:sdtEndPr>
    <w:sdtContent>
      <w:p w:rsidR="00A16035" w:rsidRDefault="00A16035">
        <w:pPr>
          <w:pStyle w:val="Header"/>
          <w:jc w:val="right"/>
        </w:pPr>
        <w:r>
          <w:fldChar w:fldCharType="begin"/>
        </w:r>
        <w:r>
          <w:instrText xml:space="preserve"> PAGE   \* MERGEFORMAT </w:instrText>
        </w:r>
        <w:r>
          <w:fldChar w:fldCharType="separate"/>
        </w:r>
        <w:r w:rsidR="00134343">
          <w:rPr>
            <w:noProof/>
          </w:rPr>
          <w:t>54</w:t>
        </w:r>
        <w:r>
          <w:rPr>
            <w:noProof/>
          </w:rPr>
          <w:fldChar w:fldCharType="end"/>
        </w:r>
      </w:p>
    </w:sdtContent>
  </w:sdt>
  <w:p w:rsidR="00A16035" w:rsidRDefault="00A160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47402"/>
    <w:multiLevelType w:val="hybridMultilevel"/>
    <w:tmpl w:val="CA06D944"/>
    <w:lvl w:ilvl="0" w:tplc="A2A0726E">
      <w:start w:val="4"/>
      <w:numFmt w:val="upperLetter"/>
      <w:lvlText w:val="%1."/>
      <w:lvlJc w:val="left"/>
      <w:pPr>
        <w:ind w:left="21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A867BB"/>
    <w:multiLevelType w:val="hybridMultilevel"/>
    <w:tmpl w:val="D876D284"/>
    <w:lvl w:ilvl="0" w:tplc="8BB4193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6271299"/>
    <w:multiLevelType w:val="hybridMultilevel"/>
    <w:tmpl w:val="79F2BE1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A863838"/>
    <w:multiLevelType w:val="hybridMultilevel"/>
    <w:tmpl w:val="F2F2CF6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D0B5AB4"/>
    <w:multiLevelType w:val="hybridMultilevel"/>
    <w:tmpl w:val="557A84FC"/>
    <w:lvl w:ilvl="0" w:tplc="26145A46">
      <w:start w:val="1"/>
      <w:numFmt w:val="decimal"/>
      <w:lvlText w:val="%1)"/>
      <w:lvlJc w:val="left"/>
      <w:pPr>
        <w:ind w:left="2149" w:hanging="360"/>
      </w:pPr>
      <w:rPr>
        <w:b w:val="0"/>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5" w15:restartNumberingAfterBreak="0">
    <w:nsid w:val="244F3615"/>
    <w:multiLevelType w:val="hybridMultilevel"/>
    <w:tmpl w:val="79F2BE1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29165A39"/>
    <w:multiLevelType w:val="hybridMultilevel"/>
    <w:tmpl w:val="FDE83132"/>
    <w:lvl w:ilvl="0" w:tplc="3ECEC31A">
      <w:start w:val="1"/>
      <w:numFmt w:val="decimal"/>
      <w:lvlText w:val="%1."/>
      <w:lvlJc w:val="left"/>
      <w:pPr>
        <w:ind w:left="720" w:hanging="360"/>
      </w:pPr>
      <w:rPr>
        <w:rFonts w:hint="default"/>
        <w:b/>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270495"/>
    <w:multiLevelType w:val="hybridMultilevel"/>
    <w:tmpl w:val="0664701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30183588"/>
    <w:multiLevelType w:val="hybridMultilevel"/>
    <w:tmpl w:val="BEF8C4A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358C6B69"/>
    <w:multiLevelType w:val="hybridMultilevel"/>
    <w:tmpl w:val="B11AB89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377E16B2"/>
    <w:multiLevelType w:val="hybridMultilevel"/>
    <w:tmpl w:val="00785264"/>
    <w:lvl w:ilvl="0" w:tplc="22E294D4">
      <w:start w:val="1"/>
      <w:numFmt w:val="upperLetter"/>
      <w:lvlText w:val="%1."/>
      <w:lvlJc w:val="left"/>
      <w:pPr>
        <w:ind w:left="720" w:hanging="360"/>
      </w:pPr>
      <w:rPr>
        <w:b/>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981F6F"/>
    <w:multiLevelType w:val="hybridMultilevel"/>
    <w:tmpl w:val="4148D9B2"/>
    <w:lvl w:ilvl="0" w:tplc="992A6D46">
      <w:start w:val="3"/>
      <w:numFmt w:val="upp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E51D2B"/>
    <w:multiLevelType w:val="hybridMultilevel"/>
    <w:tmpl w:val="152ECE78"/>
    <w:lvl w:ilvl="0" w:tplc="0409000F">
      <w:start w:val="1"/>
      <w:numFmt w:val="decimal"/>
      <w:lvlText w:val="%1."/>
      <w:lvlJc w:val="left"/>
      <w:pPr>
        <w:ind w:left="1429" w:hanging="360"/>
      </w:pPr>
      <w:rPr>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449673C9"/>
    <w:multiLevelType w:val="hybridMultilevel"/>
    <w:tmpl w:val="D500FBE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15:restartNumberingAfterBreak="0">
    <w:nsid w:val="455210E4"/>
    <w:multiLevelType w:val="hybridMultilevel"/>
    <w:tmpl w:val="1676147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458D0356"/>
    <w:multiLevelType w:val="hybridMultilevel"/>
    <w:tmpl w:val="4D9CCD20"/>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4B401882"/>
    <w:multiLevelType w:val="hybridMultilevel"/>
    <w:tmpl w:val="E9EEF36E"/>
    <w:lvl w:ilvl="0" w:tplc="A7D40BBC">
      <w:start w:val="2"/>
      <w:numFmt w:val="decimal"/>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491C6B"/>
    <w:multiLevelType w:val="hybridMultilevel"/>
    <w:tmpl w:val="10D065A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57EE0049"/>
    <w:multiLevelType w:val="hybridMultilevel"/>
    <w:tmpl w:val="63CAB1F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59D15F41"/>
    <w:multiLevelType w:val="hybridMultilevel"/>
    <w:tmpl w:val="27961556"/>
    <w:lvl w:ilvl="0" w:tplc="3E4AEDCE">
      <w:start w:val="2"/>
      <w:numFmt w:val="upperLetter"/>
      <w:lvlText w:val="%1."/>
      <w:lvlJc w:val="left"/>
      <w:pPr>
        <w:ind w:left="142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311B3A"/>
    <w:multiLevelType w:val="hybridMultilevel"/>
    <w:tmpl w:val="74CC5518"/>
    <w:lvl w:ilvl="0" w:tplc="04090011">
      <w:start w:val="1"/>
      <w:numFmt w:val="decimal"/>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21" w15:restartNumberingAfterBreak="0">
    <w:nsid w:val="6D657B54"/>
    <w:multiLevelType w:val="hybridMultilevel"/>
    <w:tmpl w:val="D500FBE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 w15:restartNumberingAfterBreak="0">
    <w:nsid w:val="6F513582"/>
    <w:multiLevelType w:val="hybridMultilevel"/>
    <w:tmpl w:val="152ECE78"/>
    <w:lvl w:ilvl="0" w:tplc="0409000F">
      <w:start w:val="1"/>
      <w:numFmt w:val="decimal"/>
      <w:lvlText w:val="%1."/>
      <w:lvlJc w:val="left"/>
      <w:pPr>
        <w:ind w:left="1429" w:hanging="360"/>
      </w:pPr>
      <w:rPr>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70C336F1"/>
    <w:multiLevelType w:val="hybridMultilevel"/>
    <w:tmpl w:val="E89C349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74DB4D85"/>
    <w:multiLevelType w:val="hybridMultilevel"/>
    <w:tmpl w:val="41C2FC3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1"/>
  </w:num>
  <w:num w:numId="3">
    <w:abstractNumId w:val="6"/>
  </w:num>
  <w:num w:numId="4">
    <w:abstractNumId w:val="7"/>
  </w:num>
  <w:num w:numId="5">
    <w:abstractNumId w:val="11"/>
  </w:num>
  <w:num w:numId="6">
    <w:abstractNumId w:val="22"/>
  </w:num>
  <w:num w:numId="7">
    <w:abstractNumId w:val="21"/>
  </w:num>
  <w:num w:numId="8">
    <w:abstractNumId w:val="4"/>
  </w:num>
  <w:num w:numId="9">
    <w:abstractNumId w:val="20"/>
  </w:num>
  <w:num w:numId="10">
    <w:abstractNumId w:val="23"/>
  </w:num>
  <w:num w:numId="11">
    <w:abstractNumId w:val="5"/>
  </w:num>
  <w:num w:numId="12">
    <w:abstractNumId w:val="17"/>
  </w:num>
  <w:num w:numId="13">
    <w:abstractNumId w:val="0"/>
  </w:num>
  <w:num w:numId="14">
    <w:abstractNumId w:val="12"/>
  </w:num>
  <w:num w:numId="15">
    <w:abstractNumId w:val="3"/>
  </w:num>
  <w:num w:numId="16">
    <w:abstractNumId w:val="15"/>
  </w:num>
  <w:num w:numId="17">
    <w:abstractNumId w:val="9"/>
  </w:num>
  <w:num w:numId="18">
    <w:abstractNumId w:val="13"/>
  </w:num>
  <w:num w:numId="19">
    <w:abstractNumId w:val="24"/>
  </w:num>
  <w:num w:numId="20">
    <w:abstractNumId w:val="18"/>
  </w:num>
  <w:num w:numId="21">
    <w:abstractNumId w:val="8"/>
  </w:num>
  <w:num w:numId="22">
    <w:abstractNumId w:val="14"/>
  </w:num>
  <w:num w:numId="23">
    <w:abstractNumId w:val="16"/>
  </w:num>
  <w:num w:numId="24">
    <w:abstractNumId w:val="19"/>
  </w:num>
  <w:num w:numId="25">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numStart w:val="21"/>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99C"/>
    <w:rsid w:val="00004AFC"/>
    <w:rsid w:val="00011737"/>
    <w:rsid w:val="0005689A"/>
    <w:rsid w:val="00057910"/>
    <w:rsid w:val="00082EC5"/>
    <w:rsid w:val="000A7462"/>
    <w:rsid w:val="000B62A0"/>
    <w:rsid w:val="000D18A0"/>
    <w:rsid w:val="000D2316"/>
    <w:rsid w:val="000D3269"/>
    <w:rsid w:val="000E3DAE"/>
    <w:rsid w:val="000E679B"/>
    <w:rsid w:val="00104C0C"/>
    <w:rsid w:val="00111098"/>
    <w:rsid w:val="00116E85"/>
    <w:rsid w:val="001215E9"/>
    <w:rsid w:val="001303BE"/>
    <w:rsid w:val="00134343"/>
    <w:rsid w:val="001555BA"/>
    <w:rsid w:val="00191CDA"/>
    <w:rsid w:val="001A3351"/>
    <w:rsid w:val="001B02BD"/>
    <w:rsid w:val="001E3DD8"/>
    <w:rsid w:val="001E6692"/>
    <w:rsid w:val="001F0584"/>
    <w:rsid w:val="001F1642"/>
    <w:rsid w:val="00263150"/>
    <w:rsid w:val="00275C92"/>
    <w:rsid w:val="002C16DC"/>
    <w:rsid w:val="00315DFE"/>
    <w:rsid w:val="003A2608"/>
    <w:rsid w:val="003A3770"/>
    <w:rsid w:val="003C7571"/>
    <w:rsid w:val="003F5DCF"/>
    <w:rsid w:val="003F6463"/>
    <w:rsid w:val="0042162E"/>
    <w:rsid w:val="00465BC6"/>
    <w:rsid w:val="00471D93"/>
    <w:rsid w:val="004971FC"/>
    <w:rsid w:val="004C2783"/>
    <w:rsid w:val="00503958"/>
    <w:rsid w:val="005111FE"/>
    <w:rsid w:val="00512634"/>
    <w:rsid w:val="00526C42"/>
    <w:rsid w:val="005524F9"/>
    <w:rsid w:val="00595C65"/>
    <w:rsid w:val="005B1418"/>
    <w:rsid w:val="005B15DE"/>
    <w:rsid w:val="005B3F71"/>
    <w:rsid w:val="005D4F18"/>
    <w:rsid w:val="005E3292"/>
    <w:rsid w:val="005E799C"/>
    <w:rsid w:val="00612D45"/>
    <w:rsid w:val="00624A5A"/>
    <w:rsid w:val="00662C57"/>
    <w:rsid w:val="00666ED3"/>
    <w:rsid w:val="006840E8"/>
    <w:rsid w:val="0069439A"/>
    <w:rsid w:val="006A2D70"/>
    <w:rsid w:val="006E4B27"/>
    <w:rsid w:val="00720A15"/>
    <w:rsid w:val="00727DA3"/>
    <w:rsid w:val="00753BE4"/>
    <w:rsid w:val="007A4EF6"/>
    <w:rsid w:val="007B0E58"/>
    <w:rsid w:val="007B59CD"/>
    <w:rsid w:val="007E4D7C"/>
    <w:rsid w:val="007F0E3F"/>
    <w:rsid w:val="007F1BA2"/>
    <w:rsid w:val="007F1DE8"/>
    <w:rsid w:val="007F3F01"/>
    <w:rsid w:val="00810550"/>
    <w:rsid w:val="0088263E"/>
    <w:rsid w:val="008878C7"/>
    <w:rsid w:val="008935F2"/>
    <w:rsid w:val="008A4C9A"/>
    <w:rsid w:val="008A6008"/>
    <w:rsid w:val="008B0650"/>
    <w:rsid w:val="008C5F0E"/>
    <w:rsid w:val="00914C38"/>
    <w:rsid w:val="00926B13"/>
    <w:rsid w:val="0096536C"/>
    <w:rsid w:val="009736F5"/>
    <w:rsid w:val="00981A41"/>
    <w:rsid w:val="009939A3"/>
    <w:rsid w:val="00995EB4"/>
    <w:rsid w:val="009B5A73"/>
    <w:rsid w:val="009C2E64"/>
    <w:rsid w:val="009C6509"/>
    <w:rsid w:val="009D0D09"/>
    <w:rsid w:val="00A16035"/>
    <w:rsid w:val="00A407D0"/>
    <w:rsid w:val="00A47E6F"/>
    <w:rsid w:val="00A51D5D"/>
    <w:rsid w:val="00A614CF"/>
    <w:rsid w:val="00A835AC"/>
    <w:rsid w:val="00AA66BB"/>
    <w:rsid w:val="00B010D1"/>
    <w:rsid w:val="00B07F70"/>
    <w:rsid w:val="00B27F49"/>
    <w:rsid w:val="00B33018"/>
    <w:rsid w:val="00B33353"/>
    <w:rsid w:val="00B54CDE"/>
    <w:rsid w:val="00B92EAD"/>
    <w:rsid w:val="00BA1318"/>
    <w:rsid w:val="00BA4C02"/>
    <w:rsid w:val="00BB4127"/>
    <w:rsid w:val="00BB570F"/>
    <w:rsid w:val="00BD7D47"/>
    <w:rsid w:val="00C0246A"/>
    <w:rsid w:val="00C06457"/>
    <w:rsid w:val="00C11D1B"/>
    <w:rsid w:val="00C20CE3"/>
    <w:rsid w:val="00C24972"/>
    <w:rsid w:val="00C340E0"/>
    <w:rsid w:val="00C57B46"/>
    <w:rsid w:val="00C65E14"/>
    <w:rsid w:val="00C70E12"/>
    <w:rsid w:val="00C770AD"/>
    <w:rsid w:val="00C86D2A"/>
    <w:rsid w:val="00C91E64"/>
    <w:rsid w:val="00CD64AD"/>
    <w:rsid w:val="00D037D2"/>
    <w:rsid w:val="00D15D24"/>
    <w:rsid w:val="00D232C3"/>
    <w:rsid w:val="00D2562B"/>
    <w:rsid w:val="00D51CD9"/>
    <w:rsid w:val="00D84E84"/>
    <w:rsid w:val="00DA2066"/>
    <w:rsid w:val="00DA509C"/>
    <w:rsid w:val="00DF619A"/>
    <w:rsid w:val="00E00A4B"/>
    <w:rsid w:val="00E05667"/>
    <w:rsid w:val="00E32ACC"/>
    <w:rsid w:val="00ED3E08"/>
    <w:rsid w:val="00EE1BD2"/>
    <w:rsid w:val="00EE4ED8"/>
    <w:rsid w:val="00F40785"/>
    <w:rsid w:val="00F91E72"/>
    <w:rsid w:val="00FA06A4"/>
    <w:rsid w:val="00FB2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9B7BC"/>
  <w15:chartTrackingRefBased/>
  <w15:docId w15:val="{44690FD9-116E-4380-BEB8-8369419DD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799C"/>
    <w:pPr>
      <w:ind w:left="720"/>
      <w:contextualSpacing/>
    </w:pPr>
  </w:style>
  <w:style w:type="paragraph" w:styleId="FootnoteText">
    <w:name w:val="footnote text"/>
    <w:basedOn w:val="Normal"/>
    <w:link w:val="FootnoteTextChar"/>
    <w:uiPriority w:val="99"/>
    <w:semiHidden/>
    <w:unhideWhenUsed/>
    <w:rsid w:val="001303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03BE"/>
    <w:rPr>
      <w:sz w:val="20"/>
      <w:szCs w:val="20"/>
    </w:rPr>
  </w:style>
  <w:style w:type="character" w:styleId="FootnoteReference">
    <w:name w:val="footnote reference"/>
    <w:basedOn w:val="DefaultParagraphFont"/>
    <w:uiPriority w:val="99"/>
    <w:semiHidden/>
    <w:unhideWhenUsed/>
    <w:rsid w:val="001303BE"/>
    <w:rPr>
      <w:vertAlign w:val="superscript"/>
    </w:rPr>
  </w:style>
  <w:style w:type="character" w:styleId="Hyperlink">
    <w:name w:val="Hyperlink"/>
    <w:basedOn w:val="DefaultParagraphFont"/>
    <w:uiPriority w:val="99"/>
    <w:unhideWhenUsed/>
    <w:rsid w:val="00FB2B70"/>
    <w:rPr>
      <w:color w:val="0563C1" w:themeColor="hyperlink"/>
      <w:u w:val="single"/>
    </w:rPr>
  </w:style>
  <w:style w:type="character" w:styleId="Mention">
    <w:name w:val="Mention"/>
    <w:basedOn w:val="DefaultParagraphFont"/>
    <w:uiPriority w:val="99"/>
    <w:semiHidden/>
    <w:unhideWhenUsed/>
    <w:rsid w:val="00FB2B70"/>
    <w:rPr>
      <w:color w:val="2B579A"/>
      <w:shd w:val="clear" w:color="auto" w:fill="E6E6E6"/>
    </w:rPr>
  </w:style>
  <w:style w:type="paragraph" w:styleId="Header">
    <w:name w:val="header"/>
    <w:basedOn w:val="Normal"/>
    <w:link w:val="HeaderChar"/>
    <w:uiPriority w:val="99"/>
    <w:unhideWhenUsed/>
    <w:rsid w:val="003A26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2608"/>
  </w:style>
  <w:style w:type="paragraph" w:styleId="Footer">
    <w:name w:val="footer"/>
    <w:basedOn w:val="Normal"/>
    <w:link w:val="FooterChar"/>
    <w:uiPriority w:val="99"/>
    <w:unhideWhenUsed/>
    <w:rsid w:val="003A26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608"/>
  </w:style>
  <w:style w:type="table" w:styleId="TableGrid">
    <w:name w:val="Table Grid"/>
    <w:basedOn w:val="TableNormal"/>
    <w:uiPriority w:val="39"/>
    <w:rsid w:val="00BD7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A600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A600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26C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C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2300857">
      <w:bodyDiv w:val="1"/>
      <w:marLeft w:val="0"/>
      <w:marRight w:val="0"/>
      <w:marTop w:val="0"/>
      <w:marBottom w:val="0"/>
      <w:divBdr>
        <w:top w:val="none" w:sz="0" w:space="0" w:color="auto"/>
        <w:left w:val="none" w:sz="0" w:space="0" w:color="auto"/>
        <w:bottom w:val="none" w:sz="0" w:space="0" w:color="auto"/>
        <w:right w:val="none" w:sz="0" w:space="0" w:color="auto"/>
      </w:divBdr>
      <w:divsChild>
        <w:div w:id="660700710">
          <w:marLeft w:val="45"/>
          <w:marRight w:val="45"/>
          <w:marTop w:val="15"/>
          <w:marBottom w:val="0"/>
          <w:divBdr>
            <w:top w:val="none" w:sz="0" w:space="0" w:color="auto"/>
            <w:left w:val="none" w:sz="0" w:space="0" w:color="auto"/>
            <w:bottom w:val="none" w:sz="0" w:space="0" w:color="auto"/>
            <w:right w:val="none" w:sz="0" w:space="0" w:color="auto"/>
          </w:divBdr>
          <w:divsChild>
            <w:div w:id="32860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www.insw.go.id/index.php/home/menu/sw" TargetMode="External"/><Relationship Id="rId2" Type="http://schemas.openxmlformats.org/officeDocument/2006/relationships/hyperlink" Target="http://www.kemendag.go.id/files/pdf/2014/01/06/Full-Report-Kajian-Inatrade.pdf" TargetMode="External"/><Relationship Id="rId1" Type="http://schemas.openxmlformats.org/officeDocument/2006/relationships/hyperlink" Target="http://www.setneg.go.id/index.php?option=com_content&amp;task=view&amp;id=6033&amp;Itemid=29" TargetMode="External"/><Relationship Id="rId5" Type="http://schemas.openxmlformats.org/officeDocument/2006/relationships/hyperlink" Target="http://www.ekon.go.id" TargetMode="External"/><Relationship Id="rId4" Type="http://schemas.openxmlformats.org/officeDocument/2006/relationships/hyperlink" Target="http://www.beacukai.g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E968C-532B-4BCB-A3AB-FAE218DD5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2528</TotalTime>
  <Pages>32</Pages>
  <Words>4922</Words>
  <Characters>28060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Faisal's</dc:creator>
  <cp:keywords/>
  <dc:description/>
  <cp:lastModifiedBy>Faisal's</cp:lastModifiedBy>
  <cp:revision>48</cp:revision>
  <cp:lastPrinted>2017-05-08T14:10:00Z</cp:lastPrinted>
  <dcterms:created xsi:type="dcterms:W3CDTF">2017-03-28T19:02:00Z</dcterms:created>
  <dcterms:modified xsi:type="dcterms:W3CDTF">2017-05-16T14:49:00Z</dcterms:modified>
</cp:coreProperties>
</file>