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09" w:rsidRPr="0060703D" w:rsidRDefault="00DB1A09" w:rsidP="00C01450">
      <w:pPr>
        <w:shd w:val="clear" w:color="auto" w:fill="FFFFFF" w:themeFill="background1"/>
        <w:spacing w:line="276" w:lineRule="auto"/>
        <w:jc w:val="center"/>
        <w:rPr>
          <w:rFonts w:ascii="Times New Roman" w:hAnsi="Times New Roman" w:cs="Times New Roman"/>
          <w:b/>
          <w:i/>
          <w:color w:val="000000" w:themeColor="text1"/>
          <w:sz w:val="24"/>
          <w:szCs w:val="24"/>
        </w:rPr>
      </w:pPr>
      <w:r w:rsidRPr="0060703D">
        <w:rPr>
          <w:rFonts w:ascii="Times New Roman" w:hAnsi="Times New Roman" w:cs="Times New Roman"/>
          <w:b/>
          <w:i/>
          <w:color w:val="000000" w:themeColor="text1"/>
          <w:sz w:val="24"/>
          <w:szCs w:val="24"/>
        </w:rPr>
        <w:t>ABSTRACT</w:t>
      </w:r>
    </w:p>
    <w:p w:rsidR="00DB1A09" w:rsidRPr="0060703D" w:rsidRDefault="00DB1A09" w:rsidP="00C01450">
      <w:pPr>
        <w:shd w:val="clear" w:color="auto" w:fill="FFFFFF" w:themeFill="background1"/>
        <w:spacing w:line="276" w:lineRule="auto"/>
        <w:jc w:val="center"/>
        <w:rPr>
          <w:rFonts w:ascii="Times New Roman" w:hAnsi="Times New Roman" w:cs="Times New Roman"/>
          <w:b/>
          <w:i/>
          <w:color w:val="000000" w:themeColor="text1"/>
          <w:sz w:val="24"/>
          <w:szCs w:val="24"/>
        </w:rPr>
      </w:pPr>
    </w:p>
    <w:p w:rsidR="00DB1A09" w:rsidRPr="0060703D" w:rsidRDefault="00DB1A09" w:rsidP="00C01450">
      <w:pPr>
        <w:shd w:val="clear" w:color="auto" w:fill="FFFFFF" w:themeFill="background1"/>
        <w:spacing w:line="276" w:lineRule="auto"/>
        <w:ind w:firstLine="720"/>
        <w:jc w:val="both"/>
        <w:rPr>
          <w:rFonts w:ascii="Times New Roman" w:hAnsi="Times New Roman" w:cs="Times New Roman"/>
          <w:i/>
          <w:color w:val="000000" w:themeColor="text1"/>
          <w:sz w:val="24"/>
          <w:szCs w:val="24"/>
        </w:rPr>
      </w:pPr>
      <w:r w:rsidRPr="0060703D">
        <w:rPr>
          <w:rFonts w:ascii="Times New Roman" w:hAnsi="Times New Roman" w:cs="Times New Roman"/>
          <w:i/>
          <w:color w:val="000000" w:themeColor="text1"/>
          <w:sz w:val="24"/>
          <w:szCs w:val="24"/>
        </w:rPr>
        <w:t>After the signing of the agreement of ASEAN members in the ASEAN Concord II (Bali Concord II) Declaration in 2003, the declaration was followed up by the Minister of Economy of ASEAN countries with the signing of the agreement to establish and implement the ASEAN Single Window (Approval to Establish and Implement ASEAN Single Window) Known as ASW Agreement, on December 9, 2005. What attracts the author's attention to the environment is: What is the ASEAN Single Window policy on Customs and Excise in the process of importing goods to Indonesia?</w:t>
      </w:r>
    </w:p>
    <w:p w:rsidR="00DB1A09" w:rsidRPr="0060703D" w:rsidRDefault="00DB1A09" w:rsidP="00C01450">
      <w:pPr>
        <w:shd w:val="clear" w:color="auto" w:fill="FFFFFF" w:themeFill="background1"/>
        <w:spacing w:line="276" w:lineRule="auto"/>
        <w:ind w:firstLine="720"/>
        <w:jc w:val="both"/>
        <w:rPr>
          <w:rFonts w:ascii="Times New Roman" w:hAnsi="Times New Roman" w:cs="Times New Roman"/>
          <w:i/>
          <w:color w:val="000000" w:themeColor="text1"/>
          <w:sz w:val="24"/>
          <w:szCs w:val="24"/>
        </w:rPr>
      </w:pPr>
      <w:r w:rsidRPr="0060703D">
        <w:rPr>
          <w:rFonts w:ascii="Times New Roman" w:hAnsi="Times New Roman" w:cs="Times New Roman"/>
          <w:i/>
          <w:color w:val="000000" w:themeColor="text1"/>
          <w:sz w:val="24"/>
          <w:szCs w:val="24"/>
        </w:rPr>
        <w:t>As the purpose of this study is to know, express and describe the extent to which ASEAN Single Window (ASW) is applied to Customs and Excise. Furthermore, also wanted to know, understand, and describe the extent to which ASEAN Single Window in supporting the process of imported goods to Indonesia. While the usefulness or usefulness of this research is theoretical, this research is expected to be useful to increase the repertoire of the development of International Relations, especially concerning International Political Economy. Furthermore, manually, this study is expected to be useful and useful in determining a single window national policy.</w:t>
      </w:r>
    </w:p>
    <w:p w:rsidR="00DB1A09" w:rsidRPr="0060703D" w:rsidRDefault="00DB1A09" w:rsidP="00C01450">
      <w:pPr>
        <w:shd w:val="clear" w:color="auto" w:fill="FFFFFF" w:themeFill="background1"/>
        <w:spacing w:line="276" w:lineRule="auto"/>
        <w:ind w:firstLine="720"/>
        <w:jc w:val="both"/>
        <w:rPr>
          <w:rFonts w:ascii="Times New Roman" w:hAnsi="Times New Roman" w:cs="Times New Roman"/>
          <w:i/>
          <w:color w:val="000000" w:themeColor="text1"/>
          <w:sz w:val="24"/>
          <w:szCs w:val="24"/>
        </w:rPr>
      </w:pPr>
      <w:r w:rsidRPr="0060703D">
        <w:rPr>
          <w:rFonts w:ascii="Times New Roman" w:hAnsi="Times New Roman" w:cs="Times New Roman"/>
          <w:i/>
          <w:color w:val="000000" w:themeColor="text1"/>
          <w:sz w:val="24"/>
          <w:szCs w:val="24"/>
        </w:rPr>
        <w:t>The method used in conducting this research is a description capable for an ASEAN Single Window situation through Indonesia National Single Window applied by Customs and Excise related to the smooth flow of imported goods to Indonesia. Description is an attempt to answer the question who, what, where, when, or how.</w:t>
      </w:r>
    </w:p>
    <w:p w:rsidR="0088263E" w:rsidRPr="0060703D" w:rsidRDefault="00DB1A09" w:rsidP="00C01450">
      <w:pPr>
        <w:shd w:val="clear" w:color="auto" w:fill="FFFFFF" w:themeFill="background1"/>
        <w:spacing w:line="276" w:lineRule="auto"/>
        <w:ind w:firstLine="720"/>
        <w:jc w:val="both"/>
        <w:rPr>
          <w:rFonts w:ascii="Times New Roman" w:hAnsi="Times New Roman" w:cs="Times New Roman"/>
          <w:i/>
          <w:color w:val="000000" w:themeColor="text1"/>
          <w:sz w:val="24"/>
          <w:szCs w:val="24"/>
        </w:rPr>
      </w:pPr>
      <w:r w:rsidRPr="0060703D">
        <w:rPr>
          <w:rFonts w:ascii="Times New Roman" w:hAnsi="Times New Roman" w:cs="Times New Roman"/>
          <w:i/>
          <w:color w:val="000000" w:themeColor="text1"/>
          <w:sz w:val="24"/>
          <w:szCs w:val="24"/>
        </w:rPr>
        <w:t>The results of this study are: To know the national single window policy in Indonesia, the government of Indonesia cooperates with the countries in ASEAN, with the signing of the declaration of ASEAN countries on December 9, 2005. In the declaration of the process ASW is preceded by the locus for each Member ASEAN to form a national single window (NSW). NSW prevent Indonesia, not for the interest of Customs and Excise, but also to improve services at the Ministry / Institution in support of ASW. The INSW system has also been built. 15 Ministries / Institutions or 18 units of licensing issuers.</w:t>
      </w:r>
    </w:p>
    <w:p w:rsidR="00861608" w:rsidRPr="0060703D" w:rsidRDefault="00861608" w:rsidP="00C01450">
      <w:pPr>
        <w:shd w:val="clear" w:color="auto" w:fill="FFFFFF" w:themeFill="background1"/>
        <w:spacing w:line="276" w:lineRule="auto"/>
        <w:jc w:val="both"/>
        <w:rPr>
          <w:rFonts w:ascii="Times New Roman" w:hAnsi="Times New Roman" w:cs="Times New Roman"/>
          <w:i/>
          <w:color w:val="000000" w:themeColor="text1"/>
          <w:sz w:val="24"/>
          <w:szCs w:val="24"/>
        </w:rPr>
      </w:pPr>
    </w:p>
    <w:p w:rsidR="00861608" w:rsidRPr="0060703D" w:rsidRDefault="00861608" w:rsidP="00C01450">
      <w:pPr>
        <w:shd w:val="clear" w:color="auto" w:fill="FFFFFF" w:themeFill="background1"/>
        <w:spacing w:line="276" w:lineRule="auto"/>
        <w:jc w:val="both"/>
        <w:rPr>
          <w:rFonts w:ascii="Times New Roman" w:hAnsi="Times New Roman" w:cs="Times New Roman"/>
          <w:i/>
          <w:color w:val="000000" w:themeColor="text1"/>
          <w:sz w:val="24"/>
          <w:szCs w:val="24"/>
        </w:rPr>
      </w:pPr>
    </w:p>
    <w:p w:rsidR="00861608" w:rsidRPr="0060703D" w:rsidRDefault="00861608" w:rsidP="00C01450">
      <w:pPr>
        <w:shd w:val="clear" w:color="auto" w:fill="FFFFFF" w:themeFill="background1"/>
        <w:spacing w:line="276" w:lineRule="auto"/>
        <w:jc w:val="both"/>
        <w:rPr>
          <w:rFonts w:ascii="Times New Roman" w:hAnsi="Times New Roman" w:cs="Times New Roman"/>
          <w:i/>
          <w:color w:val="000000" w:themeColor="text1"/>
          <w:sz w:val="24"/>
          <w:szCs w:val="24"/>
        </w:rPr>
      </w:pPr>
    </w:p>
    <w:p w:rsidR="00861608" w:rsidRPr="0060703D" w:rsidRDefault="00861608" w:rsidP="00C01450">
      <w:pPr>
        <w:shd w:val="clear" w:color="auto" w:fill="FFFFFF" w:themeFill="background1"/>
        <w:spacing w:line="276" w:lineRule="auto"/>
        <w:ind w:left="1134" w:hanging="1134"/>
        <w:jc w:val="both"/>
        <w:rPr>
          <w:rFonts w:ascii="Times New Roman" w:hAnsi="Times New Roman" w:cs="Times New Roman"/>
          <w:i/>
          <w:color w:val="000000" w:themeColor="text1"/>
          <w:sz w:val="24"/>
          <w:szCs w:val="24"/>
        </w:rPr>
      </w:pPr>
      <w:r w:rsidRPr="0060703D">
        <w:rPr>
          <w:rFonts w:ascii="Times New Roman" w:hAnsi="Times New Roman" w:cs="Times New Roman"/>
          <w:i/>
          <w:color w:val="000000" w:themeColor="text1"/>
          <w:sz w:val="24"/>
          <w:szCs w:val="24"/>
        </w:rPr>
        <w:t>Keywords: ASEAN Single Window, Indonesian National Single Window, Customs and Excise, Import to Indonesia</w:t>
      </w:r>
      <w:bookmarkStart w:id="0" w:name="_GoBack"/>
      <w:bookmarkEnd w:id="0"/>
    </w:p>
    <w:sectPr w:rsidR="00861608" w:rsidRPr="0060703D" w:rsidSect="0060703D">
      <w:footerReference w:type="default" r:id="rId6"/>
      <w:pgSz w:w="11906" w:h="16838"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18" w:rsidRDefault="00D44318" w:rsidP="00C01450">
      <w:pPr>
        <w:spacing w:after="0" w:line="240" w:lineRule="auto"/>
      </w:pPr>
      <w:r>
        <w:separator/>
      </w:r>
    </w:p>
  </w:endnote>
  <w:endnote w:type="continuationSeparator" w:id="0">
    <w:p w:rsidR="00D44318" w:rsidRDefault="00D44318" w:rsidP="00C0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794243"/>
      <w:docPartObj>
        <w:docPartGallery w:val="Page Numbers (Bottom of Page)"/>
        <w:docPartUnique/>
      </w:docPartObj>
    </w:sdtPr>
    <w:sdtEndPr>
      <w:rPr>
        <w:noProof/>
      </w:rPr>
    </w:sdtEndPr>
    <w:sdtContent>
      <w:p w:rsidR="0060703D" w:rsidRDefault="0060703D">
        <w:pPr>
          <w:pStyle w:val="Footer"/>
          <w:jc w:val="right"/>
        </w:pPr>
        <w:r>
          <w:fldChar w:fldCharType="begin"/>
        </w:r>
        <w:r>
          <w:instrText xml:space="preserve"> PAGE   \* MERGEFORMAT </w:instrText>
        </w:r>
        <w:r>
          <w:fldChar w:fldCharType="separate"/>
        </w:r>
        <w:r>
          <w:rPr>
            <w:noProof/>
          </w:rPr>
          <w:t>v</w:t>
        </w:r>
        <w:r>
          <w:rPr>
            <w:noProof/>
          </w:rPr>
          <w:fldChar w:fldCharType="end"/>
        </w:r>
      </w:p>
    </w:sdtContent>
  </w:sdt>
  <w:p w:rsidR="00C01450" w:rsidRDefault="00C01450" w:rsidP="0060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18" w:rsidRDefault="00D44318" w:rsidP="00C01450">
      <w:pPr>
        <w:spacing w:after="0" w:line="240" w:lineRule="auto"/>
      </w:pPr>
      <w:r>
        <w:separator/>
      </w:r>
    </w:p>
  </w:footnote>
  <w:footnote w:type="continuationSeparator" w:id="0">
    <w:p w:rsidR="00D44318" w:rsidRDefault="00D44318" w:rsidP="00C01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09"/>
    <w:rsid w:val="0060703D"/>
    <w:rsid w:val="007A7AB4"/>
    <w:rsid w:val="00861608"/>
    <w:rsid w:val="0088263E"/>
    <w:rsid w:val="00C01450"/>
    <w:rsid w:val="00C340E0"/>
    <w:rsid w:val="00D44318"/>
    <w:rsid w:val="00D731BB"/>
    <w:rsid w:val="00DB1A09"/>
    <w:rsid w:val="00F1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EFA2"/>
  <w15:chartTrackingRefBased/>
  <w15:docId w15:val="{C44124D5-F380-46BF-ACFD-178E5948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450"/>
  </w:style>
  <w:style w:type="paragraph" w:styleId="Footer">
    <w:name w:val="footer"/>
    <w:basedOn w:val="Normal"/>
    <w:link w:val="FooterChar"/>
    <w:uiPriority w:val="99"/>
    <w:unhideWhenUsed/>
    <w:rsid w:val="00C0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Faisal's</dc:creator>
  <cp:keywords/>
  <dc:description/>
  <cp:lastModifiedBy>Faisal's</cp:lastModifiedBy>
  <cp:revision>6</cp:revision>
  <dcterms:created xsi:type="dcterms:W3CDTF">2017-05-16T09:38:00Z</dcterms:created>
  <dcterms:modified xsi:type="dcterms:W3CDTF">2017-05-17T13:10:00Z</dcterms:modified>
</cp:coreProperties>
</file>