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98" w:rsidRPr="00616498" w:rsidRDefault="00616498" w:rsidP="006164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Peranan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Kepemimpinan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Dalam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Meningkatkan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Daya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Saing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Tinggi</w:t>
      </w:r>
      <w:proofErr w:type="spellEnd"/>
    </w:p>
    <w:p w:rsidR="00616498" w:rsidRPr="00616498" w:rsidRDefault="00616498" w:rsidP="00616498">
      <w:pPr>
        <w:spacing w:after="150" w:line="2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616498" w:rsidRPr="00616498" w:rsidRDefault="00616498" w:rsidP="00616498">
      <w:pPr>
        <w:spacing w:after="150" w:line="2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64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HILMAN FIRMANSYAH</w:t>
      </w:r>
    </w:p>
    <w:p w:rsidR="00616498" w:rsidRPr="00616498" w:rsidRDefault="00616498" w:rsidP="00616498">
      <w:pPr>
        <w:spacing w:after="150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64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UPT PERPUSTAKAAN UNIVERSITAS PASUNDAN</w:t>
      </w:r>
    </w:p>
    <w:p w:rsidR="00616498" w:rsidRPr="00616498" w:rsidRDefault="00616498" w:rsidP="00616498">
      <w:pPr>
        <w:spacing w:after="150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" w:history="1">
        <w:r w:rsidRPr="00616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hilman@unpas.ac.id</w:t>
        </w:r>
      </w:hyperlink>
      <w:r w:rsidRPr="006164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Pr="00616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hilmanmap@gmail.com</w:t>
        </w:r>
      </w:hyperlink>
      <w:r w:rsidRPr="006164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16498" w:rsidRPr="00616498" w:rsidRDefault="00616498" w:rsidP="00616498">
      <w:pPr>
        <w:spacing w:after="150" w:line="215" w:lineRule="atLeast"/>
        <w:jc w:val="center"/>
        <w:rPr>
          <w:rFonts w:ascii="Tahoma" w:eastAsia="Times New Roman" w:hAnsi="Tahoma" w:cs="Tahoma"/>
          <w:color w:val="777777"/>
          <w:sz w:val="18"/>
          <w:szCs w:val="18"/>
          <w:lang w:val="en-US"/>
        </w:rPr>
      </w:pPr>
      <w:r w:rsidRPr="00616498">
        <w:rPr>
          <w:rFonts w:ascii="Tahoma" w:eastAsia="Times New Roman" w:hAnsi="Tahoma" w:cs="Tahoma"/>
          <w:color w:val="777777"/>
          <w:sz w:val="18"/>
          <w:szCs w:val="18"/>
          <w:lang w:val="en-US"/>
        </w:rPr>
        <w:t> </w:t>
      </w: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6498">
        <w:rPr>
          <w:rFonts w:ascii="Tahoma" w:eastAsia="Times New Roman" w:hAnsi="Tahoma" w:cs="Tahoma"/>
          <w:color w:val="777777"/>
          <w:sz w:val="18"/>
          <w:szCs w:val="18"/>
          <w:lang w:val="en-US"/>
        </w:rPr>
        <w:br/>
      </w:r>
      <w:r w:rsidRPr="00616498">
        <w:rPr>
          <w:rFonts w:ascii="Times New Roman" w:eastAsia="Times New Roman" w:hAnsi="Times New Roman" w:cs="Times New Roman"/>
          <w:sz w:val="28"/>
          <w:szCs w:val="28"/>
          <w:lang w:val="en-US"/>
        </w:rPr>
        <w:t>ABSTRAK</w:t>
      </w: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Penutupan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berita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kelam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Indonesia.</w:t>
      </w:r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Akibat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kesulitan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mencari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kalah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saing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mengakibatkan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akhirnya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permintaan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yayasannya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setelah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pembinaan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Direktorat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mengajukan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ditutup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Peristiwa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menunjukkan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peta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persaingan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semakin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ketat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Disamping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sejumlah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persyaratan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mudah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dipersyaratkan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Direktorat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perutuan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swasta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terasakan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mudah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mencari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mempertahankan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lama pun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perlu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perjuangan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keras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tataran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memegang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mempertahankan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betah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sampai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berhasil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kuliah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optimal.</w:t>
      </w: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Kepemimpinan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kreativ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inovatif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dampak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positif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dikelola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menggandeng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teknologi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komunikasi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begitu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pesat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saat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kepemimpinan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meyakinkan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stakeholder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saing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perlu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terus-menerus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dnan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massif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mengajak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kerjasama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unit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webometrik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repository.</w:t>
      </w:r>
      <w:proofErr w:type="gramEnd"/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Perkembangan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teknologi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komunikasi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pesat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dampak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signifikan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termasuk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perkembangan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dampak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positif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signifikan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perkembangan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layanan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dikelola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bijak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namun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sebaliknya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dampak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negatif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dikelola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bijak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terwujud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pustakawan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didukung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stakeholder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bijak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menangkap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memanfaatkan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teknologi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komunikasi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pengelolaan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sebuah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inovasi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Inovasi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hanya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sebuah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solusi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kejenuhan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bekerja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juga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mengangkat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naik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peringkat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webometriknya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616498" w:rsidRPr="00616498" w:rsidRDefault="00616498" w:rsidP="006164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deskrptif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menggambarkan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sebenarnya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obyek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616498" w:rsidRPr="00616498" w:rsidRDefault="00616498" w:rsidP="006164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kunci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kompetensi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pustakawan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Peranan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Kepemimpinan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Pustakawan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Dalam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Meningkatkan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Daya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Saing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Tinggi</w:t>
      </w:r>
      <w:proofErr w:type="spellEnd"/>
    </w:p>
    <w:p w:rsidR="00616498" w:rsidRPr="00616498" w:rsidRDefault="00616498" w:rsidP="00616498">
      <w:pPr>
        <w:spacing w:after="150" w:line="21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616498" w:rsidRPr="00616498" w:rsidRDefault="00616498" w:rsidP="00616498">
      <w:pPr>
        <w:spacing w:after="150" w:line="2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64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HILMAN FIRMANSYAH</w:t>
      </w:r>
    </w:p>
    <w:p w:rsidR="00616498" w:rsidRPr="00616498" w:rsidRDefault="00616498" w:rsidP="00616498">
      <w:pPr>
        <w:spacing w:after="150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64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UPT PERPUSTAKAAN UNIVERSITAS PASUNDAN</w:t>
      </w:r>
    </w:p>
    <w:p w:rsidR="00616498" w:rsidRPr="00616498" w:rsidRDefault="00616498" w:rsidP="00616498">
      <w:pPr>
        <w:spacing w:after="150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7" w:history="1">
        <w:r w:rsidRPr="00616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hilman@unpas.ac.id</w:t>
        </w:r>
      </w:hyperlink>
      <w:r w:rsidRPr="006164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Pr="00616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hilmanmap@gmail.com</w:t>
        </w:r>
      </w:hyperlink>
      <w:r w:rsidRPr="006164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16498" w:rsidRPr="00616498" w:rsidRDefault="00616498" w:rsidP="00616498">
      <w:pPr>
        <w:spacing w:after="150" w:line="215" w:lineRule="atLeast"/>
        <w:jc w:val="center"/>
        <w:rPr>
          <w:rFonts w:ascii="Tahoma" w:eastAsia="Times New Roman" w:hAnsi="Tahoma" w:cs="Tahoma"/>
          <w:color w:val="777777"/>
          <w:sz w:val="18"/>
          <w:szCs w:val="18"/>
          <w:lang w:val="en-US"/>
        </w:rPr>
      </w:pPr>
      <w:r w:rsidRPr="00616498">
        <w:rPr>
          <w:rFonts w:ascii="Tahoma" w:eastAsia="Times New Roman" w:hAnsi="Tahoma" w:cs="Tahoma"/>
          <w:color w:val="777777"/>
          <w:sz w:val="18"/>
          <w:szCs w:val="18"/>
          <w:lang w:val="en-US"/>
        </w:rPr>
        <w:t> </w:t>
      </w: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6498">
        <w:rPr>
          <w:rFonts w:ascii="Tahoma" w:eastAsia="Times New Roman" w:hAnsi="Tahoma" w:cs="Tahoma"/>
          <w:color w:val="777777"/>
          <w:sz w:val="18"/>
          <w:szCs w:val="18"/>
          <w:lang w:val="en-US"/>
        </w:rPr>
        <w:br/>
      </w:r>
      <w:r w:rsidRPr="00616498">
        <w:rPr>
          <w:rFonts w:ascii="Times New Roman" w:eastAsia="Times New Roman" w:hAnsi="Times New Roman" w:cs="Times New Roman"/>
          <w:sz w:val="28"/>
          <w:szCs w:val="28"/>
          <w:lang w:val="en-US"/>
        </w:rPr>
        <w:t>ABSTRAK</w:t>
      </w: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Perkembangan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teknologi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komunikasi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pesat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dampak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signifikan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termasuk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perkembangan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dampak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positif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signifikan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perkembangan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layanan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dikelola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bijak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namun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sebaliknya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dampak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negatif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dikelola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bijak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terwujud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pustakawan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didukung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stakeholder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bijak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menangkap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memanfaatkan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teknologi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komunikasi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pengelolaan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sebuah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inovasi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Perpustakaan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16498" w:rsidRPr="00616498" w:rsidRDefault="00616498" w:rsidP="00616498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Inovasi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hanya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sebuah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solusi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kejenuhan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bekerja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juga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mengangkat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naik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peringkat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webometriknya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616498" w:rsidRPr="00616498" w:rsidRDefault="00616498" w:rsidP="006164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deskrptif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menggambarkan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sebenarnya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obyek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616498" w:rsidRPr="00616498" w:rsidRDefault="00616498" w:rsidP="006164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kunci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kompetensi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>pustakawan</w:t>
      </w:r>
      <w:proofErr w:type="spellEnd"/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6498" w:rsidRPr="00616498" w:rsidRDefault="00616498" w:rsidP="006164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7F7F7F"/>
          <w:sz w:val="21"/>
          <w:szCs w:val="21"/>
          <w:lang w:val="en-US"/>
        </w:rPr>
      </w:pPr>
      <w:proofErr w:type="spellStart"/>
      <w:r w:rsidRPr="00616498">
        <w:rPr>
          <w:rFonts w:ascii="Helvetica" w:eastAsia="Times New Roman" w:hAnsi="Helvetica" w:cs="Helvetica"/>
          <w:color w:val="7F7F7F"/>
          <w:sz w:val="21"/>
          <w:szCs w:val="21"/>
          <w:lang w:val="en-US"/>
        </w:rPr>
        <w:lastRenderedPageBreak/>
        <w:t>Edisi</w:t>
      </w:r>
      <w:proofErr w:type="spellEnd"/>
      <w:r w:rsidRPr="00616498">
        <w:rPr>
          <w:rFonts w:ascii="Helvetica" w:eastAsia="Times New Roman" w:hAnsi="Helvetica" w:cs="Helvetica"/>
          <w:color w:val="7F7F7F"/>
          <w:sz w:val="21"/>
          <w:szCs w:val="21"/>
          <w:lang w:val="en-US"/>
        </w:rPr>
        <w:t xml:space="preserve"> 23-02-2016</w:t>
      </w:r>
    </w:p>
    <w:p w:rsidR="00616498" w:rsidRPr="00616498" w:rsidRDefault="00616498" w:rsidP="00616498">
      <w:pPr>
        <w:shd w:val="clear" w:color="auto" w:fill="FFFFFF"/>
        <w:spacing w:after="0" w:line="540" w:lineRule="atLeast"/>
        <w:rPr>
          <w:rFonts w:ascii="frutigel" w:eastAsia="Times New Roman" w:hAnsi="frutigel" w:cs="Times New Roman"/>
          <w:b/>
          <w:bCs/>
          <w:color w:val="243D82"/>
          <w:sz w:val="48"/>
          <w:szCs w:val="48"/>
          <w:lang w:val="en-US"/>
        </w:rPr>
      </w:pPr>
      <w:r w:rsidRPr="00616498">
        <w:rPr>
          <w:rFonts w:ascii="frutigel" w:eastAsia="Times New Roman" w:hAnsi="frutigel" w:cs="Times New Roman"/>
          <w:b/>
          <w:bCs/>
          <w:color w:val="243D82"/>
          <w:sz w:val="48"/>
          <w:szCs w:val="48"/>
          <w:lang w:val="en-US"/>
        </w:rPr>
        <w:t xml:space="preserve">103 </w:t>
      </w:r>
      <w:proofErr w:type="spellStart"/>
      <w:r w:rsidRPr="00616498">
        <w:rPr>
          <w:rFonts w:ascii="frutigel" w:eastAsia="Times New Roman" w:hAnsi="frutigel" w:cs="Times New Roman"/>
          <w:b/>
          <w:bCs/>
          <w:color w:val="243D82"/>
          <w:sz w:val="48"/>
          <w:szCs w:val="48"/>
          <w:lang w:val="en-US"/>
        </w:rPr>
        <w:t>Perguruan</w:t>
      </w:r>
      <w:proofErr w:type="spellEnd"/>
      <w:r w:rsidRPr="00616498">
        <w:rPr>
          <w:rFonts w:ascii="frutigel" w:eastAsia="Times New Roman" w:hAnsi="frutigel" w:cs="Times New Roman"/>
          <w:b/>
          <w:bCs/>
          <w:color w:val="243D82"/>
          <w:sz w:val="48"/>
          <w:szCs w:val="48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b/>
          <w:bCs/>
          <w:color w:val="243D82"/>
          <w:sz w:val="48"/>
          <w:szCs w:val="48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b/>
          <w:bCs/>
          <w:color w:val="243D82"/>
          <w:sz w:val="48"/>
          <w:szCs w:val="48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b/>
          <w:bCs/>
          <w:color w:val="243D82"/>
          <w:sz w:val="48"/>
          <w:szCs w:val="48"/>
          <w:lang w:val="en-US"/>
        </w:rPr>
        <w:t>Swasta</w:t>
      </w:r>
      <w:proofErr w:type="spellEnd"/>
      <w:r w:rsidRPr="00616498">
        <w:rPr>
          <w:rFonts w:ascii="frutigel" w:eastAsia="Times New Roman" w:hAnsi="frutigel" w:cs="Times New Roman"/>
          <w:b/>
          <w:bCs/>
          <w:color w:val="243D82"/>
          <w:sz w:val="48"/>
          <w:szCs w:val="48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b/>
          <w:bCs/>
          <w:color w:val="243D82"/>
          <w:sz w:val="48"/>
          <w:szCs w:val="48"/>
          <w:lang w:val="en-US"/>
        </w:rPr>
        <w:t>Ditutup</w:t>
      </w:r>
      <w:proofErr w:type="spellEnd"/>
    </w:p>
    <w:p w:rsidR="00616498" w:rsidRPr="00616498" w:rsidRDefault="00616498" w:rsidP="0061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6498">
        <w:rPr>
          <w:rFonts w:ascii="Helvetica" w:eastAsia="Times New Roman" w:hAnsi="Helvetica" w:cs="Helvetica"/>
          <w:color w:val="333333"/>
          <w:sz w:val="21"/>
          <w:lang w:val="en-US"/>
        </w:rPr>
        <w:t> </w:t>
      </w:r>
    </w:p>
    <w:p w:rsidR="00616498" w:rsidRPr="00616498" w:rsidRDefault="00616498" w:rsidP="00616498">
      <w:pPr>
        <w:shd w:val="clear" w:color="auto" w:fill="FFFFFF"/>
        <w:spacing w:after="150" w:line="330" w:lineRule="atLeast"/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</w:pP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JAKARTA -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Kementerian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Riset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Teknologi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Pendidikan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Kemenristek-Dikti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akhirnya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103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perguruan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swasta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masuk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pembinaan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Mayoritas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ditutup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kemauan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pemiliknya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sendiri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Menristek-Dikti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M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Nasir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mengatakan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243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swasta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tahun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lalu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masuk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pembinaan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Kemenristek-Dikti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akhirnya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103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menjelaskan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mayoritas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ditutup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itu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kemauan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sendiri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pemiliknya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langsung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Sedangkan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sisanya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ditutup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rekomendasi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Koordinator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Perguruan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Swasta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Kopertis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) di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wilayahnya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masing-masing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”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Pemiliknya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sendiri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meminta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izin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pendirian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PTS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itu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dicabut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saja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karena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sudah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tidak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ada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pengelolanya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,”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katanya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pada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rapat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koordinasi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penyelesaian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permasalahan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PTS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berstatus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pembinaan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di Jakarta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kemarin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menjelaskan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Kemenristek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Diktitidakbisamenolakjika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pemilik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ingin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Namun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selain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ditutup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kemauan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sendiri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hasil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visitasi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menunjukkan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perguruan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tersebut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tidak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memenuhi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syarat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minimal.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Disebutkan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sejumlah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alasan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penutupan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antara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lain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ketiadaan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mahasiswa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konflik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pengurus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yayasan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dengan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pengelola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perguruan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atau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konflik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internal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yayasan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saja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”Kami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juga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mewajibkan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PTS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sedang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dibina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untuk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membuat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Pakta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Integritas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Berisi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pernyataan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kesanggupan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untuk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memenuhi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persyaratan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serta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sanksi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bila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tidak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memenuhinya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,”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tuturnya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Pakta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Integritas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itu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lanjut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Nasir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nantinya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akan</w:t>
      </w:r>
      <w:proofErr w:type="spellEnd"/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menjadi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dasar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bagi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Kopertis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untuk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mengajukan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rekomendasi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pengaktifan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PTS.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Menristek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Dikti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menjelaskan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243 PT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berstatus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pembinaan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pada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2015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lalu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saat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ini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tercatat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sudah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ada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104 PTS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kembali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diaktifkan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Sebanyak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103 PTS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ditutup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tinggal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21 PTS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dalam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status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pembinaan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hadapan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perwakilan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PTS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hadir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dalam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rakor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Menristek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menegaskan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akan</w:t>
      </w:r>
      <w:proofErr w:type="spellEnd"/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membuka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kelas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menjelaskan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kelas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sebelumnya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dibuka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PTN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bekerja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sama</w:t>
      </w:r>
      <w:proofErr w:type="spellEnd"/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dengan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pemerintah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daerah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untuk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pengembangan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sumber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manusia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Belakangan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ketika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kerja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sama</w:t>
      </w:r>
      <w:proofErr w:type="spellEnd"/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berakhir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kelas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tanpa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izin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itu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tetap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dipertahankan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”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Kelas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tanpa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izin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semacam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itu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kami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minta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untuk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,”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terangnya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Ketua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Yayasan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Sekolah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Ilmu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Ekonomi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(STIE)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Swadaya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Subaebasmi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mengatakan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meski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bukan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termasuk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dinonaktifkan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mereka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berbenah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manajemen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semakin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performa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mengatakan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salah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satu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perbaikan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lastRenderedPageBreak/>
        <w:t>disempurnakan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adalah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seluruh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karyawan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harus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melek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teknologi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menjelaskan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karyawannya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harus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bisa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mengirimkan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terbaru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Kemenristek-Dikti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”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Untuk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rasio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dosen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sudah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lengkap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Namun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datanya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itu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harus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di-</w:t>
      </w:r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update 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Pemutakhiran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IT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ini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diperlukan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agar data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kami di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kementerian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aktif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,”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katanya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seusai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seminar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Manajemen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Pemasaran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kemarin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Ketua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STIE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Swadaya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Hasanuddin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mengatakan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selalu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komunikasi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rutin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dengan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kementerian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untuk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menanyakan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kebijakan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terbaru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adalah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wajib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untuk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terhindari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status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nonaktif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Menurutnya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jika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tidak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mampu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menyediakan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dosen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tetap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bisa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mencari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para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pakar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sebagai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dosen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memiliki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Nomor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Induk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Dosen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Khusus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(NIDK).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Pihaknya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sendiri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sudah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mencari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dosen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pakar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untuk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bidang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manajemen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akuntansi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karena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pengalaman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mereka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bisa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menjadi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ilmu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segar</w:t>
      </w:r>
      <w:proofErr w:type="spellEnd"/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bagi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mahasiswa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Hasanuddin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menambahkan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mengenai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kelas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pihaknya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sudah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kelas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sebelumnya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dibuka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Namun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sayangnya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banyak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mencatut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nama</w:t>
      </w:r>
      <w:proofErr w:type="spellEnd"/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sebagai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penyedia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kelas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melalui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iklan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berbagai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media.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Hasanuddin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berharap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jika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ada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masyarakat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ditawari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kelas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diharapkan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menghubungi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tidak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tertipu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oleh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oknum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tidak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bertanggung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jawab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  <w:t>”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Meski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kami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sudah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kelas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jauh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namun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banyak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mencatut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nama</w:t>
      </w:r>
      <w:proofErr w:type="spellEnd"/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kami. </w:t>
      </w:r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Kami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harap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pemerintah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segera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menertibkan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iklan-iklan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tidak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benar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itu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,”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terangnya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Berdasarkan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data di forlap.dikti.go.id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tercatat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ada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193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perguruan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ditutup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Kemenristek-Dikti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belum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bisa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memberikan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resmi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103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kampus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ditutup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karena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surat</w:t>
      </w:r>
      <w:proofErr w:type="spellEnd"/>
      <w:proofErr w:type="gram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keputusan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(SK)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penutupannya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banyak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belum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jadi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 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Berikut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ini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antaranya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yang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bisa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dilihat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forlap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dikti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Sekolah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Seni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Indonesia Padang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Panjang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Tri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Karya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Preston Indonesia,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dan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Sekolah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Tinggi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(ST)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Teknik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Pelita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Bangsa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.</w:t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br/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Neneng</w:t>
      </w:r>
      <w:proofErr w:type="spellEnd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6498">
        <w:rPr>
          <w:rFonts w:ascii="frutigel" w:eastAsia="Times New Roman" w:hAnsi="frutigel" w:cs="Times New Roman"/>
          <w:color w:val="000000"/>
          <w:sz w:val="24"/>
          <w:szCs w:val="24"/>
          <w:lang w:val="en-US"/>
        </w:rPr>
        <w:t>zubaidah</w:t>
      </w:r>
      <w:proofErr w:type="spellEnd"/>
    </w:p>
    <w:p w:rsidR="00616498" w:rsidRPr="00616498" w:rsidRDefault="00616498" w:rsidP="00616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9" w:history="1">
        <w:r w:rsidRPr="006164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http://www.koran-sindo.com/news.php?r=0&amp;n=5&amp;date=2016-02-23</w:t>
        </w:r>
      </w:hyperlink>
      <w:r w:rsidRPr="006164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943F5" w:rsidRDefault="007943F5">
      <w:bookmarkStart w:id="0" w:name="_GoBack"/>
      <w:bookmarkEnd w:id="0"/>
    </w:p>
    <w:sectPr w:rsidR="0079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98"/>
    <w:rsid w:val="00616498"/>
    <w:rsid w:val="007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manma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man@unpas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lmanmap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ilman@unpas.ac.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an-sindo.com/news.php?r=0&amp;n=5&amp;date=2016-0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6</dc:creator>
  <cp:lastModifiedBy>PERPUS 6</cp:lastModifiedBy>
  <cp:revision>1</cp:revision>
  <dcterms:created xsi:type="dcterms:W3CDTF">2017-03-24T04:37:00Z</dcterms:created>
  <dcterms:modified xsi:type="dcterms:W3CDTF">2017-03-24T04:37:00Z</dcterms:modified>
</cp:coreProperties>
</file>