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7E7" w:rsidRPr="007A77E7" w:rsidRDefault="007A77E7" w:rsidP="007A77E7">
      <w:pPr>
        <w:spacing w:after="0" w:line="240" w:lineRule="auto"/>
        <w:jc w:val="center"/>
        <w:rPr>
          <w:rFonts w:ascii="Times New Roman" w:hAnsi="Times New Roman" w:cs="Times New Roman"/>
          <w:b/>
          <w:sz w:val="24"/>
          <w:szCs w:val="24"/>
        </w:rPr>
      </w:pPr>
      <w:r w:rsidRPr="007A77E7">
        <w:rPr>
          <w:rFonts w:ascii="Times New Roman" w:hAnsi="Times New Roman" w:cs="Times New Roman"/>
          <w:b/>
          <w:sz w:val="24"/>
          <w:szCs w:val="24"/>
        </w:rPr>
        <w:t>KEWENANGAN PEMBERIAN PERSETUJUAN TINDAKAN MEDIS (</w:t>
      </w:r>
      <w:r w:rsidRPr="007A77E7">
        <w:rPr>
          <w:rFonts w:ascii="Times New Roman" w:hAnsi="Times New Roman" w:cs="Times New Roman"/>
          <w:b/>
          <w:i/>
          <w:sz w:val="24"/>
          <w:szCs w:val="24"/>
        </w:rPr>
        <w:t>INFORMED CONSENT</w:t>
      </w:r>
      <w:r w:rsidRPr="007A77E7">
        <w:rPr>
          <w:rFonts w:ascii="Times New Roman" w:hAnsi="Times New Roman" w:cs="Times New Roman"/>
          <w:b/>
          <w:sz w:val="24"/>
          <w:szCs w:val="24"/>
        </w:rPr>
        <w:t xml:space="preserve">) TERHADAP PASIEN YANG TIDAK CAKAP SECARA HUKUM (SUATU PERBANDINGAN </w:t>
      </w:r>
      <w:r w:rsidRPr="007A77E7">
        <w:rPr>
          <w:rFonts w:ascii="Times New Roman" w:hAnsi="Times New Roman" w:cs="Times New Roman"/>
          <w:b/>
          <w:i/>
          <w:sz w:val="24"/>
          <w:szCs w:val="24"/>
        </w:rPr>
        <w:t>COMMON LAW SYSTEM</w:t>
      </w:r>
      <w:r w:rsidRPr="007A77E7">
        <w:rPr>
          <w:rFonts w:ascii="Times New Roman" w:hAnsi="Times New Roman" w:cs="Times New Roman"/>
          <w:b/>
          <w:sz w:val="24"/>
          <w:szCs w:val="24"/>
        </w:rPr>
        <w:t xml:space="preserve"> DAN </w:t>
      </w:r>
      <w:r w:rsidRPr="007A77E7">
        <w:rPr>
          <w:rFonts w:ascii="Times New Roman" w:hAnsi="Times New Roman" w:cs="Times New Roman"/>
          <w:b/>
          <w:i/>
          <w:sz w:val="24"/>
          <w:szCs w:val="24"/>
        </w:rPr>
        <w:t>CIVIL LAW SYSTEM</w:t>
      </w:r>
      <w:r w:rsidRPr="007A77E7">
        <w:rPr>
          <w:rFonts w:ascii="Times New Roman" w:hAnsi="Times New Roman" w:cs="Times New Roman"/>
          <w:b/>
          <w:sz w:val="24"/>
          <w:szCs w:val="24"/>
        </w:rPr>
        <w:t>)</w:t>
      </w:r>
    </w:p>
    <w:p w:rsidR="007B4ADF" w:rsidRDefault="007B4ADF" w:rsidP="007B4ADF">
      <w:pPr>
        <w:spacing w:after="0" w:line="240" w:lineRule="auto"/>
        <w:jc w:val="center"/>
        <w:rPr>
          <w:rFonts w:ascii="Times New Roman" w:hAnsi="Times New Roman" w:cs="Times New Roman"/>
          <w:sz w:val="24"/>
          <w:szCs w:val="24"/>
        </w:rPr>
      </w:pPr>
    </w:p>
    <w:p w:rsidR="00DF3828" w:rsidRPr="007B4ADF" w:rsidRDefault="00DF3828" w:rsidP="007B4ADF">
      <w:pPr>
        <w:spacing w:after="0" w:line="240" w:lineRule="auto"/>
        <w:jc w:val="center"/>
        <w:rPr>
          <w:rFonts w:ascii="Times New Roman" w:hAnsi="Times New Roman" w:cs="Times New Roman"/>
          <w:sz w:val="24"/>
          <w:szCs w:val="24"/>
        </w:rPr>
      </w:pPr>
      <w:r w:rsidRPr="007B4ADF">
        <w:rPr>
          <w:rFonts w:ascii="Times New Roman" w:hAnsi="Times New Roman" w:cs="Times New Roman"/>
          <w:sz w:val="24"/>
          <w:szCs w:val="24"/>
        </w:rPr>
        <w:t xml:space="preserve">Christian </w:t>
      </w:r>
    </w:p>
    <w:p w:rsidR="00DF3828" w:rsidRPr="007B4ADF" w:rsidRDefault="00DF3828" w:rsidP="007B4ADF">
      <w:pPr>
        <w:spacing w:after="0" w:line="240" w:lineRule="auto"/>
        <w:jc w:val="center"/>
        <w:rPr>
          <w:rFonts w:ascii="Times New Roman" w:hAnsi="Times New Roman" w:cs="Times New Roman"/>
          <w:sz w:val="24"/>
          <w:szCs w:val="24"/>
        </w:rPr>
      </w:pPr>
      <w:r w:rsidRPr="007B4ADF">
        <w:rPr>
          <w:rFonts w:ascii="Times New Roman" w:hAnsi="Times New Roman" w:cs="Times New Roman"/>
          <w:sz w:val="24"/>
          <w:szCs w:val="24"/>
        </w:rPr>
        <w:t xml:space="preserve">Program Magister </w:t>
      </w:r>
      <w:r w:rsidR="007A77E7">
        <w:rPr>
          <w:rFonts w:ascii="Times New Roman" w:hAnsi="Times New Roman" w:cs="Times New Roman"/>
          <w:sz w:val="24"/>
          <w:szCs w:val="24"/>
        </w:rPr>
        <w:t xml:space="preserve">Hukum </w:t>
      </w:r>
      <w:r w:rsidRPr="007B4ADF">
        <w:rPr>
          <w:rFonts w:ascii="Times New Roman" w:hAnsi="Times New Roman" w:cs="Times New Roman"/>
          <w:sz w:val="24"/>
          <w:szCs w:val="24"/>
        </w:rPr>
        <w:t xml:space="preserve">Fakultas Pascasarjana Universitas Pasundan </w:t>
      </w:r>
    </w:p>
    <w:p w:rsidR="00DF3828" w:rsidRDefault="00DF3828" w:rsidP="00DF3828">
      <w:pPr>
        <w:rPr>
          <w:rFonts w:ascii="Times New Roman" w:hAnsi="Times New Roman" w:cs="Times New Roman"/>
          <w:b/>
          <w:sz w:val="28"/>
          <w:szCs w:val="28"/>
        </w:rPr>
      </w:pPr>
    </w:p>
    <w:p w:rsidR="007A77E7" w:rsidRPr="00F8273B" w:rsidRDefault="007A77E7" w:rsidP="007A77E7">
      <w:pPr>
        <w:spacing w:after="0" w:line="240" w:lineRule="auto"/>
        <w:ind w:firstLine="720"/>
        <w:jc w:val="both"/>
        <w:rPr>
          <w:rFonts w:ascii="Times New Roman" w:hAnsi="Times New Roman" w:cs="Times New Roman"/>
          <w:sz w:val="24"/>
          <w:szCs w:val="24"/>
        </w:rPr>
      </w:pPr>
      <w:r w:rsidRPr="00F8273B">
        <w:rPr>
          <w:rFonts w:ascii="Times New Roman" w:hAnsi="Times New Roman" w:cs="Times New Roman"/>
          <w:sz w:val="24"/>
          <w:szCs w:val="24"/>
        </w:rPr>
        <w:t xml:space="preserve">Dengan banyaknya tindakan medis yang dilakukan oleh pasien dan meningkatnya gugatan malpraktik terhadap tenaga kesehatan membuat Dewan Perwakilan Rakyat bersama Pemerintah membuat banyak regulasi untuk melindungi pihak dokter dan institusi kesehatan dan juga pihak pasien yang salah satunya adalah UU No. 29 Tahun 2004 Tentang Praktik Kedokteran. Pada pasal 45 UUPK telah diatur mengenai persetujuan tindakan medik yang diturunkan dalam Peraturan Mentri Kesehatan No. 290 Tahun 2008 Tentang Persetujuan Tindakan Medik. Namun dalam pelaksanaannya terdapat masih terdapat masalah </w:t>
      </w:r>
      <w:r w:rsidRPr="00354694">
        <w:rPr>
          <w:rFonts w:ascii="Times New Roman" w:hAnsi="Times New Roman" w:cs="Times New Roman"/>
          <w:i/>
          <w:sz w:val="24"/>
          <w:szCs w:val="24"/>
        </w:rPr>
        <w:t>informed consent</w:t>
      </w:r>
      <w:r w:rsidRPr="00F8273B">
        <w:rPr>
          <w:rFonts w:ascii="Times New Roman" w:hAnsi="Times New Roman" w:cs="Times New Roman"/>
          <w:sz w:val="24"/>
          <w:szCs w:val="24"/>
        </w:rPr>
        <w:t xml:space="preserve"> di lapangan yang belum terakomodir yaitu mengenai kebingungan tenaga kesehatan dalam menghadapi pasien yang tidak cakap secara hukum dan tidak ada yang mau memberikan persetujuan dalam </w:t>
      </w:r>
      <w:r w:rsidRPr="00354694">
        <w:rPr>
          <w:rFonts w:ascii="Times New Roman" w:hAnsi="Times New Roman" w:cs="Times New Roman"/>
          <w:i/>
          <w:sz w:val="24"/>
          <w:szCs w:val="24"/>
        </w:rPr>
        <w:t>informed consent</w:t>
      </w:r>
      <w:r w:rsidRPr="00F8273B">
        <w:rPr>
          <w:rFonts w:ascii="Times New Roman" w:hAnsi="Times New Roman" w:cs="Times New Roman"/>
          <w:sz w:val="24"/>
          <w:szCs w:val="24"/>
        </w:rPr>
        <w:t xml:space="preserve">. Berdasarkan latar belakang tersebut, maka permasalahan yang dikaji dalam penelitian ini adalah : 1. bagaimana perbedaan pemberian infomed consent dalam </w:t>
      </w:r>
      <w:r w:rsidRPr="00354694">
        <w:rPr>
          <w:rFonts w:ascii="Times New Roman" w:hAnsi="Times New Roman" w:cs="Times New Roman"/>
          <w:i/>
          <w:sz w:val="24"/>
          <w:szCs w:val="24"/>
        </w:rPr>
        <w:t>common law</w:t>
      </w:r>
      <w:r w:rsidRPr="00F8273B">
        <w:rPr>
          <w:rFonts w:ascii="Times New Roman" w:hAnsi="Times New Roman" w:cs="Times New Roman"/>
          <w:sz w:val="24"/>
          <w:szCs w:val="24"/>
        </w:rPr>
        <w:t xml:space="preserve"> dan </w:t>
      </w:r>
      <w:r w:rsidRPr="00354694">
        <w:rPr>
          <w:rFonts w:ascii="Times New Roman" w:hAnsi="Times New Roman" w:cs="Times New Roman"/>
          <w:i/>
          <w:sz w:val="24"/>
          <w:szCs w:val="24"/>
        </w:rPr>
        <w:t>civil law</w:t>
      </w:r>
      <w:r w:rsidRPr="00F8273B">
        <w:rPr>
          <w:rFonts w:ascii="Times New Roman" w:hAnsi="Times New Roman" w:cs="Times New Roman"/>
          <w:sz w:val="24"/>
          <w:szCs w:val="24"/>
        </w:rPr>
        <w:t xml:space="preserve">? 2. Bagaimana pemberian </w:t>
      </w:r>
      <w:r w:rsidRPr="00354694">
        <w:rPr>
          <w:rFonts w:ascii="Times New Roman" w:hAnsi="Times New Roman" w:cs="Times New Roman"/>
          <w:i/>
          <w:sz w:val="24"/>
          <w:szCs w:val="24"/>
        </w:rPr>
        <w:t>informed consent</w:t>
      </w:r>
      <w:r w:rsidRPr="00F8273B">
        <w:rPr>
          <w:rFonts w:ascii="Times New Roman" w:hAnsi="Times New Roman" w:cs="Times New Roman"/>
          <w:sz w:val="24"/>
          <w:szCs w:val="24"/>
        </w:rPr>
        <w:t xml:space="preserve"> pada pasien yang tidak cakap secara hukum dalam </w:t>
      </w:r>
      <w:r w:rsidRPr="00354694">
        <w:rPr>
          <w:rFonts w:ascii="Times New Roman" w:hAnsi="Times New Roman" w:cs="Times New Roman"/>
          <w:i/>
          <w:sz w:val="24"/>
          <w:szCs w:val="24"/>
        </w:rPr>
        <w:t>common law</w:t>
      </w:r>
      <w:r w:rsidRPr="00F8273B">
        <w:rPr>
          <w:rFonts w:ascii="Times New Roman" w:hAnsi="Times New Roman" w:cs="Times New Roman"/>
          <w:sz w:val="24"/>
          <w:szCs w:val="24"/>
        </w:rPr>
        <w:t xml:space="preserve"> dan </w:t>
      </w:r>
      <w:r w:rsidRPr="00354694">
        <w:rPr>
          <w:rFonts w:ascii="Times New Roman" w:hAnsi="Times New Roman" w:cs="Times New Roman"/>
          <w:i/>
          <w:sz w:val="24"/>
          <w:szCs w:val="24"/>
        </w:rPr>
        <w:t>civil law</w:t>
      </w:r>
      <w:r w:rsidRPr="00F8273B">
        <w:rPr>
          <w:rFonts w:ascii="Times New Roman" w:hAnsi="Times New Roman" w:cs="Times New Roman"/>
          <w:sz w:val="24"/>
          <w:szCs w:val="24"/>
        </w:rPr>
        <w:t xml:space="preserve">? 3. Bagaimana kelebihan </w:t>
      </w:r>
      <w:r w:rsidRPr="00354694">
        <w:rPr>
          <w:rFonts w:ascii="Times New Roman" w:hAnsi="Times New Roman" w:cs="Times New Roman"/>
          <w:sz w:val="24"/>
          <w:szCs w:val="24"/>
        </w:rPr>
        <w:t>informed consent</w:t>
      </w:r>
      <w:r w:rsidRPr="00F8273B">
        <w:rPr>
          <w:rFonts w:ascii="Times New Roman" w:hAnsi="Times New Roman" w:cs="Times New Roman"/>
          <w:sz w:val="24"/>
          <w:szCs w:val="24"/>
        </w:rPr>
        <w:t xml:space="preserve"> pada </w:t>
      </w:r>
      <w:r w:rsidRPr="00354694">
        <w:rPr>
          <w:rFonts w:ascii="Times New Roman" w:hAnsi="Times New Roman" w:cs="Times New Roman"/>
          <w:i/>
          <w:sz w:val="24"/>
          <w:szCs w:val="24"/>
        </w:rPr>
        <w:t>common law</w:t>
      </w:r>
      <w:r w:rsidRPr="00F8273B">
        <w:rPr>
          <w:rFonts w:ascii="Times New Roman" w:hAnsi="Times New Roman" w:cs="Times New Roman"/>
          <w:sz w:val="24"/>
          <w:szCs w:val="24"/>
        </w:rPr>
        <w:t xml:space="preserve"> yang dapat diadopsi di </w:t>
      </w:r>
      <w:r w:rsidRPr="00354694">
        <w:rPr>
          <w:rFonts w:ascii="Times New Roman" w:hAnsi="Times New Roman" w:cs="Times New Roman"/>
          <w:i/>
          <w:sz w:val="24"/>
          <w:szCs w:val="24"/>
        </w:rPr>
        <w:t>civil law</w:t>
      </w:r>
      <w:r w:rsidRPr="00F8273B">
        <w:rPr>
          <w:rFonts w:ascii="Times New Roman" w:hAnsi="Times New Roman" w:cs="Times New Roman"/>
          <w:sz w:val="24"/>
          <w:szCs w:val="24"/>
        </w:rPr>
        <w:t>?Spesifikasi penelitian yang digunakan adalah deskriptif analitis, dengan met</w:t>
      </w:r>
      <w:r>
        <w:rPr>
          <w:rFonts w:ascii="Times New Roman" w:hAnsi="Times New Roman" w:cs="Times New Roman"/>
          <w:sz w:val="24"/>
          <w:szCs w:val="24"/>
        </w:rPr>
        <w:t>ode pendekatan yuridis normatif</w:t>
      </w:r>
      <w:r w:rsidRPr="00F8273B">
        <w:rPr>
          <w:rFonts w:ascii="Times New Roman" w:hAnsi="Times New Roman" w:cs="Times New Roman"/>
          <w:sz w:val="24"/>
          <w:szCs w:val="24"/>
        </w:rPr>
        <w:t xml:space="preserve"> dengan pendekatan lain dengan metode perbandingan dengan menggunakan sumber utama data sekunder atau bahan pustaka. Tahap penelitian ini dilakukan melalui penelitian kepustakaan, dengan tujuan untuk memperoleh data sekunder melalui studi dokumen, yang didukung dengan melakukan wawancara. Sebagai cara untuk menarik kesimpulan dari hasil penelitian yang dilakukan digunakan analisis yuridis kualitatif yang didukung dengan data yang diperoleh melalui hasil perbandingan hukum. Hasil yang diperoleh penulis dari penelitian ini adalah terdapat sedikit perbedaan terutama mengenai informasi yang disampaikan dalam </w:t>
      </w:r>
      <w:r w:rsidRPr="00354694">
        <w:rPr>
          <w:rFonts w:ascii="Times New Roman" w:hAnsi="Times New Roman" w:cs="Times New Roman"/>
          <w:i/>
          <w:sz w:val="24"/>
          <w:szCs w:val="24"/>
        </w:rPr>
        <w:t>informed consent</w:t>
      </w:r>
      <w:r w:rsidRPr="00F8273B">
        <w:rPr>
          <w:rFonts w:ascii="Times New Roman" w:hAnsi="Times New Roman" w:cs="Times New Roman"/>
          <w:sz w:val="24"/>
          <w:szCs w:val="24"/>
        </w:rPr>
        <w:t xml:space="preserve"> namun pada prinsipnya hampir sama antara </w:t>
      </w:r>
      <w:r w:rsidRPr="00354694">
        <w:rPr>
          <w:rFonts w:ascii="Times New Roman" w:hAnsi="Times New Roman" w:cs="Times New Roman"/>
          <w:i/>
          <w:sz w:val="24"/>
          <w:szCs w:val="24"/>
        </w:rPr>
        <w:t>common law</w:t>
      </w:r>
      <w:r w:rsidRPr="00F8273B">
        <w:rPr>
          <w:rFonts w:ascii="Times New Roman" w:hAnsi="Times New Roman" w:cs="Times New Roman"/>
          <w:sz w:val="24"/>
          <w:szCs w:val="24"/>
        </w:rPr>
        <w:t xml:space="preserve"> dan </w:t>
      </w:r>
      <w:r w:rsidRPr="00354694">
        <w:rPr>
          <w:rFonts w:ascii="Times New Roman" w:hAnsi="Times New Roman" w:cs="Times New Roman"/>
          <w:i/>
          <w:sz w:val="24"/>
          <w:szCs w:val="24"/>
        </w:rPr>
        <w:t>civil law</w:t>
      </w:r>
      <w:r w:rsidRPr="00F8273B">
        <w:rPr>
          <w:rFonts w:ascii="Times New Roman" w:hAnsi="Times New Roman" w:cs="Times New Roman"/>
          <w:sz w:val="24"/>
          <w:szCs w:val="24"/>
        </w:rPr>
        <w:t xml:space="preserve"> yaitu mengenai diagnosis dan prosedur tindakan, tujuan tindakan, alternative dan risikonya, risiko dan komplikasi tindakan, prognosis, serta perkiraan pembiayaan. Dalam kecakapan hukum, </w:t>
      </w:r>
      <w:r w:rsidRPr="00354694">
        <w:rPr>
          <w:rFonts w:ascii="Times New Roman" w:hAnsi="Times New Roman" w:cs="Times New Roman"/>
          <w:i/>
          <w:sz w:val="24"/>
          <w:szCs w:val="24"/>
        </w:rPr>
        <w:t>informed consent</w:t>
      </w:r>
      <w:r w:rsidRPr="00F8273B">
        <w:rPr>
          <w:rFonts w:ascii="Times New Roman" w:hAnsi="Times New Roman" w:cs="Times New Roman"/>
          <w:sz w:val="24"/>
          <w:szCs w:val="24"/>
        </w:rPr>
        <w:t xml:space="preserve"> pada </w:t>
      </w:r>
      <w:r w:rsidRPr="00354694">
        <w:rPr>
          <w:rFonts w:ascii="Times New Roman" w:hAnsi="Times New Roman" w:cs="Times New Roman"/>
          <w:i/>
          <w:sz w:val="24"/>
          <w:szCs w:val="24"/>
        </w:rPr>
        <w:t>common law</w:t>
      </w:r>
      <w:r w:rsidRPr="00F8273B">
        <w:rPr>
          <w:rFonts w:ascii="Times New Roman" w:hAnsi="Times New Roman" w:cs="Times New Roman"/>
          <w:sz w:val="24"/>
          <w:szCs w:val="24"/>
        </w:rPr>
        <w:t xml:space="preserve"> mengakomodir persetujuan tindakan medik pada anak berusia 16-18 tahun dengan menguji kompetensi Gillick, pada pasien dengan gangguan jiwa menguji kapasitas mental, dan pada pasien </w:t>
      </w:r>
      <w:r w:rsidRPr="007A77E7">
        <w:rPr>
          <w:rFonts w:ascii="Times New Roman" w:hAnsi="Times New Roman" w:cs="Times New Roman"/>
          <w:i/>
          <w:sz w:val="24"/>
          <w:szCs w:val="24"/>
        </w:rPr>
        <w:t>unbefriended</w:t>
      </w:r>
      <w:r w:rsidRPr="00F8273B">
        <w:rPr>
          <w:rFonts w:ascii="Times New Roman" w:hAnsi="Times New Roman" w:cs="Times New Roman"/>
          <w:sz w:val="24"/>
          <w:szCs w:val="24"/>
        </w:rPr>
        <w:t xml:space="preserve">  mempunyai alternatif dengan </w:t>
      </w:r>
      <w:r w:rsidRPr="007A77E7">
        <w:rPr>
          <w:rFonts w:ascii="Times New Roman" w:hAnsi="Times New Roman" w:cs="Times New Roman"/>
          <w:i/>
          <w:sz w:val="24"/>
          <w:szCs w:val="24"/>
        </w:rPr>
        <w:t>advance decision</w:t>
      </w:r>
      <w:r w:rsidRPr="00F8273B">
        <w:rPr>
          <w:rFonts w:ascii="Times New Roman" w:hAnsi="Times New Roman" w:cs="Times New Roman"/>
          <w:sz w:val="24"/>
          <w:szCs w:val="24"/>
        </w:rPr>
        <w:t xml:space="preserve">, LPA, deputi, keputusan pengadilan, dan IMCA. Hal yang dapat diadopsi adalah uji kompetensi Gillick, uji kapasitas mental, serta IMCA. </w:t>
      </w:r>
    </w:p>
    <w:p w:rsidR="00DF3828" w:rsidRDefault="00DF3828" w:rsidP="00E74162">
      <w:pPr>
        <w:spacing w:after="0" w:line="240" w:lineRule="auto"/>
        <w:jc w:val="both"/>
        <w:rPr>
          <w:rFonts w:ascii="Times New Roman" w:hAnsi="Times New Roman" w:cs="Times New Roman"/>
          <w:sz w:val="24"/>
          <w:szCs w:val="24"/>
        </w:rPr>
      </w:pPr>
    </w:p>
    <w:p w:rsidR="00E74162" w:rsidRPr="00E74162" w:rsidRDefault="00E74162" w:rsidP="00E74162">
      <w:pPr>
        <w:spacing w:after="0" w:line="240" w:lineRule="auto"/>
        <w:jc w:val="both"/>
        <w:rPr>
          <w:rFonts w:ascii="Times New Roman" w:hAnsi="Times New Roman" w:cs="Times New Roman"/>
          <w:sz w:val="24"/>
          <w:szCs w:val="24"/>
        </w:rPr>
      </w:pPr>
    </w:p>
    <w:p w:rsidR="00DF3828" w:rsidRPr="00E74162" w:rsidRDefault="00DF3828" w:rsidP="00DF3828">
      <w:pPr>
        <w:tabs>
          <w:tab w:val="left" w:pos="4860"/>
        </w:tabs>
        <w:spacing w:after="0" w:line="480" w:lineRule="auto"/>
        <w:jc w:val="both"/>
        <w:rPr>
          <w:rFonts w:ascii="Times New Roman" w:hAnsi="Times New Roman" w:cs="Times New Roman"/>
          <w:sz w:val="24"/>
          <w:szCs w:val="24"/>
        </w:rPr>
      </w:pPr>
      <w:r w:rsidRPr="00E74162">
        <w:rPr>
          <w:rFonts w:ascii="Times New Roman" w:hAnsi="Times New Roman" w:cs="Times New Roman"/>
          <w:sz w:val="24"/>
          <w:szCs w:val="24"/>
        </w:rPr>
        <w:t xml:space="preserve">Kata Kunci :  </w:t>
      </w:r>
      <w:r w:rsidR="007A77E7" w:rsidRPr="00354694">
        <w:rPr>
          <w:rFonts w:ascii="Times New Roman" w:hAnsi="Times New Roman" w:cs="Times New Roman"/>
          <w:i/>
          <w:sz w:val="24"/>
          <w:szCs w:val="24"/>
        </w:rPr>
        <w:t>informed consent</w:t>
      </w:r>
      <w:r w:rsidR="007A77E7" w:rsidRPr="00F8273B">
        <w:rPr>
          <w:rFonts w:ascii="Times New Roman" w:hAnsi="Times New Roman" w:cs="Times New Roman"/>
          <w:sz w:val="24"/>
          <w:szCs w:val="24"/>
        </w:rPr>
        <w:t xml:space="preserve">, </w:t>
      </w:r>
      <w:r w:rsidR="007A77E7" w:rsidRPr="007A77E7">
        <w:rPr>
          <w:rFonts w:ascii="Times New Roman" w:hAnsi="Times New Roman" w:cs="Times New Roman"/>
          <w:i/>
          <w:sz w:val="24"/>
          <w:szCs w:val="24"/>
        </w:rPr>
        <w:t>tidak cakap hukum</w:t>
      </w:r>
      <w:r w:rsidR="007A77E7" w:rsidRPr="00F8273B">
        <w:rPr>
          <w:rFonts w:ascii="Times New Roman" w:hAnsi="Times New Roman" w:cs="Times New Roman"/>
          <w:sz w:val="24"/>
          <w:szCs w:val="24"/>
        </w:rPr>
        <w:t xml:space="preserve">, </w:t>
      </w:r>
      <w:r w:rsidR="007A77E7" w:rsidRPr="00354694">
        <w:rPr>
          <w:rFonts w:ascii="Times New Roman" w:hAnsi="Times New Roman" w:cs="Times New Roman"/>
          <w:i/>
          <w:sz w:val="24"/>
          <w:szCs w:val="24"/>
        </w:rPr>
        <w:t>common law</w:t>
      </w:r>
      <w:r w:rsidR="007A77E7" w:rsidRPr="00F8273B">
        <w:rPr>
          <w:rFonts w:ascii="Times New Roman" w:hAnsi="Times New Roman" w:cs="Times New Roman"/>
          <w:sz w:val="24"/>
          <w:szCs w:val="24"/>
        </w:rPr>
        <w:t xml:space="preserve"> </w:t>
      </w:r>
      <w:r w:rsidR="007A77E7" w:rsidRPr="00354694">
        <w:rPr>
          <w:rFonts w:ascii="Times New Roman" w:hAnsi="Times New Roman" w:cs="Times New Roman"/>
          <w:i/>
          <w:sz w:val="24"/>
          <w:szCs w:val="24"/>
        </w:rPr>
        <w:t>system</w:t>
      </w:r>
      <w:r w:rsidR="007A77E7" w:rsidRPr="00F8273B">
        <w:rPr>
          <w:rFonts w:ascii="Times New Roman" w:hAnsi="Times New Roman" w:cs="Times New Roman"/>
          <w:sz w:val="24"/>
          <w:szCs w:val="24"/>
        </w:rPr>
        <w:t xml:space="preserve">, </w:t>
      </w:r>
      <w:r w:rsidR="007A77E7" w:rsidRPr="00354694">
        <w:rPr>
          <w:rFonts w:ascii="Times New Roman" w:hAnsi="Times New Roman" w:cs="Times New Roman"/>
          <w:i/>
          <w:sz w:val="24"/>
          <w:szCs w:val="24"/>
        </w:rPr>
        <w:t>civil law</w:t>
      </w:r>
      <w:r w:rsidR="007A77E7" w:rsidRPr="00F8273B">
        <w:rPr>
          <w:rFonts w:ascii="Times New Roman" w:hAnsi="Times New Roman" w:cs="Times New Roman"/>
          <w:sz w:val="24"/>
          <w:szCs w:val="24"/>
        </w:rPr>
        <w:t xml:space="preserve"> </w:t>
      </w:r>
      <w:r w:rsidR="007A77E7" w:rsidRPr="002C3D53">
        <w:rPr>
          <w:rFonts w:ascii="Times New Roman" w:hAnsi="Times New Roman" w:cs="Times New Roman"/>
          <w:i/>
          <w:sz w:val="24"/>
          <w:szCs w:val="24"/>
        </w:rPr>
        <w:t>system</w:t>
      </w:r>
    </w:p>
    <w:p w:rsidR="00470D59" w:rsidRDefault="00470D59" w:rsidP="00DF3828">
      <w:pPr>
        <w:tabs>
          <w:tab w:val="left" w:pos="4860"/>
        </w:tabs>
        <w:spacing w:after="0" w:line="480" w:lineRule="auto"/>
        <w:jc w:val="both"/>
        <w:rPr>
          <w:rFonts w:ascii="Times New Roman" w:hAnsi="Times New Roman" w:cs="Times New Roman"/>
          <w:b/>
          <w:sz w:val="24"/>
          <w:szCs w:val="24"/>
        </w:rPr>
        <w:sectPr w:rsidR="00470D59">
          <w:pgSz w:w="12240" w:h="15840"/>
          <w:pgMar w:top="1440" w:right="1440" w:bottom="1440" w:left="1440" w:header="720" w:footer="720" w:gutter="0"/>
          <w:cols w:space="720"/>
          <w:docGrid w:linePitch="360"/>
        </w:sectPr>
      </w:pPr>
    </w:p>
    <w:p w:rsidR="00DF3828" w:rsidRDefault="00DF3828" w:rsidP="00DF3828">
      <w:pPr>
        <w:tabs>
          <w:tab w:val="left" w:pos="4860"/>
        </w:tabs>
        <w:spacing w:after="0" w:line="480" w:lineRule="auto"/>
        <w:jc w:val="both"/>
        <w:rPr>
          <w:rFonts w:ascii="Times New Roman" w:hAnsi="Times New Roman" w:cs="Times New Roman"/>
          <w:b/>
          <w:sz w:val="24"/>
          <w:szCs w:val="24"/>
        </w:rPr>
      </w:pPr>
      <w:r w:rsidRPr="00E74162">
        <w:rPr>
          <w:rFonts w:ascii="Times New Roman" w:hAnsi="Times New Roman" w:cs="Times New Roman"/>
          <w:b/>
          <w:sz w:val="24"/>
          <w:szCs w:val="24"/>
        </w:rPr>
        <w:t>Latar Belakang Penelitian</w:t>
      </w:r>
    </w:p>
    <w:p w:rsidR="007A77E7" w:rsidRPr="00835344" w:rsidRDefault="007A77E7" w:rsidP="007A77E7">
      <w:pPr>
        <w:pStyle w:val="ListParagraph"/>
        <w:spacing w:after="0" w:line="240" w:lineRule="auto"/>
        <w:ind w:left="0" w:firstLine="720"/>
        <w:jc w:val="both"/>
        <w:rPr>
          <w:rFonts w:ascii="Times New Roman" w:hAnsi="Times New Roman" w:cs="Times New Roman"/>
          <w:sz w:val="24"/>
          <w:szCs w:val="24"/>
        </w:rPr>
      </w:pPr>
      <w:r w:rsidRPr="00835344">
        <w:rPr>
          <w:rFonts w:ascii="Times New Roman" w:hAnsi="Times New Roman" w:cs="Times New Roman"/>
          <w:sz w:val="24"/>
          <w:szCs w:val="24"/>
        </w:rPr>
        <w:t xml:space="preserve">Banyak tindakan-tindakan penting yang ada dalam dunia kedokteran. Dan akhir-akhir ini banyak kasus yang ada di masyarakat mengenai malpraktik terhadap </w:t>
      </w:r>
      <w:r w:rsidRPr="00835344">
        <w:rPr>
          <w:rFonts w:ascii="Times New Roman" w:hAnsi="Times New Roman" w:cs="Times New Roman"/>
          <w:sz w:val="24"/>
          <w:szCs w:val="24"/>
        </w:rPr>
        <w:t>tindakan kedokteran. Ge</w:t>
      </w:r>
      <w:bookmarkStart w:id="0" w:name="_GoBack"/>
      <w:bookmarkEnd w:id="0"/>
      <w:r w:rsidRPr="00835344">
        <w:rPr>
          <w:rFonts w:ascii="Times New Roman" w:hAnsi="Times New Roman" w:cs="Times New Roman"/>
          <w:sz w:val="24"/>
          <w:szCs w:val="24"/>
        </w:rPr>
        <w:t>jala ini bermula dari dunia kedokteran Barat, dikarenakan masyarakat yang mempunya</w:t>
      </w:r>
      <w:r>
        <w:rPr>
          <w:rFonts w:ascii="Times New Roman" w:hAnsi="Times New Roman" w:cs="Times New Roman"/>
          <w:sz w:val="24"/>
          <w:szCs w:val="24"/>
        </w:rPr>
        <w:t>i pen</w:t>
      </w:r>
      <w:r w:rsidRPr="00835344">
        <w:rPr>
          <w:rFonts w:ascii="Times New Roman" w:hAnsi="Times New Roman" w:cs="Times New Roman"/>
          <w:sz w:val="24"/>
          <w:szCs w:val="24"/>
        </w:rPr>
        <w:t xml:space="preserve">didikan lebih tinggi. Di Indonesia karena kemajuan pendidikan dan teknologi membuat masyarakat lebih kritis terhadap segala </w:t>
      </w:r>
      <w:r w:rsidRPr="00835344">
        <w:rPr>
          <w:rFonts w:ascii="Times New Roman" w:hAnsi="Times New Roman" w:cs="Times New Roman"/>
          <w:sz w:val="24"/>
          <w:szCs w:val="24"/>
        </w:rPr>
        <w:lastRenderedPageBreak/>
        <w:t xml:space="preserve">tindakan yang dilakukan oleh seorang dokter dan institusi kesehatan. </w:t>
      </w:r>
    </w:p>
    <w:p w:rsidR="007A77E7" w:rsidRPr="00835344" w:rsidRDefault="007A77E7" w:rsidP="007A77E7">
      <w:pPr>
        <w:pStyle w:val="ListParagraph"/>
        <w:spacing w:after="0" w:line="240" w:lineRule="auto"/>
        <w:ind w:left="0" w:firstLine="720"/>
        <w:jc w:val="both"/>
        <w:rPr>
          <w:rFonts w:ascii="Times New Roman" w:hAnsi="Times New Roman" w:cs="Times New Roman"/>
          <w:sz w:val="24"/>
          <w:szCs w:val="24"/>
        </w:rPr>
      </w:pPr>
      <w:r w:rsidRPr="00835344">
        <w:rPr>
          <w:rFonts w:ascii="Times New Roman" w:hAnsi="Times New Roman" w:cs="Times New Roman"/>
          <w:sz w:val="24"/>
          <w:szCs w:val="24"/>
        </w:rPr>
        <w:t xml:space="preserve">Hal ini juga terjadi karena terjadi perubahan hubungan pola dokter pasien dari hubungan yang paternalistik menjadi hubungan yang sederajat sehingga pasien memiliki hak dalam memberikan pendapatnya dalam terapi yang diberikan kepadanya. Namun hal tersebut perlu dilindungi hubungan tersebut dengan regulasi yang ada. </w:t>
      </w:r>
    </w:p>
    <w:p w:rsidR="007A77E7" w:rsidRDefault="007A77E7" w:rsidP="007A77E7">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Dewan Perwakilan Rakyat bersama Pemerintah</w:t>
      </w:r>
      <w:r w:rsidRPr="00835344">
        <w:rPr>
          <w:rFonts w:ascii="Times New Roman" w:hAnsi="Times New Roman" w:cs="Times New Roman"/>
          <w:sz w:val="24"/>
          <w:szCs w:val="24"/>
        </w:rPr>
        <w:t xml:space="preserve"> telah membuat banyak regulasi untuk melindungi pihak dokter dan institusi kesehatan dan juga pihak pasien. Berbagai regulasi yang telah dikeluarkan oleh</w:t>
      </w:r>
      <w:r>
        <w:rPr>
          <w:rFonts w:ascii="Times New Roman" w:hAnsi="Times New Roman" w:cs="Times New Roman"/>
          <w:sz w:val="24"/>
          <w:szCs w:val="24"/>
        </w:rPr>
        <w:t xml:space="preserve"> Pemerintah bersama Dewan Perwakilan Rakyat seperti Undang-Undang No. 8 Tahun 1999 Tentang Perlindungan Konsumen, Undang-Undang No. 29 Tahun 2004 Tentang</w:t>
      </w:r>
      <w:r w:rsidRPr="00835344">
        <w:rPr>
          <w:rFonts w:ascii="Times New Roman" w:hAnsi="Times New Roman" w:cs="Times New Roman"/>
          <w:sz w:val="24"/>
          <w:szCs w:val="24"/>
        </w:rPr>
        <w:t xml:space="preserve"> Praktek Kedokteran, U</w:t>
      </w:r>
      <w:r>
        <w:rPr>
          <w:rFonts w:ascii="Times New Roman" w:hAnsi="Times New Roman" w:cs="Times New Roman"/>
          <w:sz w:val="24"/>
          <w:szCs w:val="24"/>
        </w:rPr>
        <w:t>ndang-</w:t>
      </w:r>
      <w:r w:rsidRPr="00835344">
        <w:rPr>
          <w:rFonts w:ascii="Times New Roman" w:hAnsi="Times New Roman" w:cs="Times New Roman"/>
          <w:sz w:val="24"/>
          <w:szCs w:val="24"/>
        </w:rPr>
        <w:t>U</w:t>
      </w:r>
      <w:r>
        <w:rPr>
          <w:rFonts w:ascii="Times New Roman" w:hAnsi="Times New Roman" w:cs="Times New Roman"/>
          <w:sz w:val="24"/>
          <w:szCs w:val="24"/>
        </w:rPr>
        <w:t>ndang No. 36 Tahun 2009 Tentang Kesehatan, Undang-Undang No.36 Tahun 2014 Tentang</w:t>
      </w:r>
      <w:r w:rsidRPr="00835344">
        <w:rPr>
          <w:rFonts w:ascii="Times New Roman" w:hAnsi="Times New Roman" w:cs="Times New Roman"/>
          <w:sz w:val="24"/>
          <w:szCs w:val="24"/>
        </w:rPr>
        <w:t xml:space="preserve"> Tenaga Kesehatan, dll. Salah satu hal penting dalam melindungi dalam melakukan pelayanan kesehatan adalah persetujuan tindakan medis (</w:t>
      </w:r>
      <w:r w:rsidRPr="00CF0AD7">
        <w:rPr>
          <w:rFonts w:ascii="Times New Roman" w:hAnsi="Times New Roman" w:cs="Times New Roman"/>
          <w:i/>
          <w:sz w:val="24"/>
          <w:szCs w:val="24"/>
        </w:rPr>
        <w:t>informed consent</w:t>
      </w:r>
      <w:r w:rsidRPr="00835344">
        <w:rPr>
          <w:rFonts w:ascii="Times New Roman" w:hAnsi="Times New Roman" w:cs="Times New Roman"/>
          <w:sz w:val="24"/>
          <w:szCs w:val="24"/>
        </w:rPr>
        <w:t xml:space="preserve">). </w:t>
      </w:r>
    </w:p>
    <w:p w:rsidR="007A77E7" w:rsidRDefault="007A77E7" w:rsidP="007A77E7">
      <w:pPr>
        <w:pStyle w:val="ListParagraph"/>
        <w:spacing w:after="0" w:line="240" w:lineRule="auto"/>
        <w:ind w:left="0" w:firstLine="720"/>
        <w:jc w:val="both"/>
        <w:rPr>
          <w:rFonts w:ascii="Times New Roman" w:hAnsi="Times New Roman" w:cs="Times New Roman"/>
          <w:sz w:val="24"/>
          <w:szCs w:val="24"/>
        </w:rPr>
      </w:pPr>
      <w:r w:rsidRPr="00835344">
        <w:rPr>
          <w:rFonts w:ascii="Times New Roman" w:hAnsi="Times New Roman" w:cs="Times New Roman"/>
          <w:sz w:val="24"/>
          <w:szCs w:val="24"/>
        </w:rPr>
        <w:t>Persetujuan merupakan bagian dari perikatan yang terdapat dalam kitab u</w:t>
      </w:r>
      <w:r>
        <w:rPr>
          <w:rFonts w:ascii="Times New Roman" w:hAnsi="Times New Roman" w:cs="Times New Roman"/>
          <w:sz w:val="24"/>
          <w:szCs w:val="24"/>
        </w:rPr>
        <w:t>ndang-undang hukum perdata (KUH Perdata</w:t>
      </w:r>
      <w:r w:rsidRPr="00835344">
        <w:rPr>
          <w:rFonts w:ascii="Times New Roman" w:hAnsi="Times New Roman" w:cs="Times New Roman"/>
          <w:sz w:val="24"/>
          <w:szCs w:val="24"/>
        </w:rPr>
        <w:t>). Dalam per</w:t>
      </w:r>
      <w:r>
        <w:rPr>
          <w:rFonts w:ascii="Times New Roman" w:hAnsi="Times New Roman" w:cs="Times New Roman"/>
          <w:sz w:val="24"/>
          <w:szCs w:val="24"/>
        </w:rPr>
        <w:t>ika</w:t>
      </w:r>
      <w:r w:rsidRPr="00835344">
        <w:rPr>
          <w:rFonts w:ascii="Times New Roman" w:hAnsi="Times New Roman" w:cs="Times New Roman"/>
          <w:sz w:val="24"/>
          <w:szCs w:val="24"/>
        </w:rPr>
        <w:t>tan diperlukan dua pihak, dalam hal persetujuan tindakan medis yaitu hubungan dokter pasien. Hubungan dokter dengan pasien merupakan hubungan terapetik, yang dalam hukum dikatakan suatu perjanjian melakukan jasa-jasa tertentu.</w:t>
      </w:r>
    </w:p>
    <w:p w:rsidR="007A77E7" w:rsidRPr="000C465F" w:rsidRDefault="007A77E7" w:rsidP="007A77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C465F">
        <w:rPr>
          <w:rFonts w:ascii="Times New Roman" w:hAnsi="Times New Roman" w:cs="Times New Roman"/>
          <w:sz w:val="24"/>
          <w:szCs w:val="24"/>
        </w:rPr>
        <w:t>Pada prinsipnya yang berhak memberikan persetujuan atau penolakan tindakan medis adalah pasien yang bersangkutan.</w:t>
      </w:r>
      <w:r>
        <w:rPr>
          <w:rFonts w:ascii="Times New Roman" w:hAnsi="Times New Roman" w:cs="Times New Roman"/>
          <w:sz w:val="24"/>
          <w:szCs w:val="24"/>
        </w:rPr>
        <w:t xml:space="preserve"> </w:t>
      </w:r>
      <w:r w:rsidRPr="000C465F">
        <w:rPr>
          <w:rFonts w:ascii="Times New Roman" w:hAnsi="Times New Roman" w:cs="Times New Roman"/>
          <w:sz w:val="24"/>
          <w:szCs w:val="24"/>
        </w:rPr>
        <w:t>Namun, apabila pasien yang bersangkutan berada di bawah pengampuan (</w:t>
      </w:r>
      <w:r w:rsidRPr="00BE3D3F">
        <w:rPr>
          <w:rFonts w:ascii="Times New Roman" w:hAnsi="Times New Roman" w:cs="Times New Roman"/>
          <w:i/>
          <w:sz w:val="24"/>
          <w:szCs w:val="24"/>
        </w:rPr>
        <w:t>under curatele</w:t>
      </w:r>
      <w:r w:rsidRPr="000C465F">
        <w:rPr>
          <w:rFonts w:ascii="Times New Roman" w:hAnsi="Times New Roman" w:cs="Times New Roman"/>
          <w:sz w:val="24"/>
          <w:szCs w:val="24"/>
        </w:rPr>
        <w:t>) persetujuan atau penolakan tindakan medis dapat diberikan oleh keluarga terdekat antara lain suami/istri, ayah/ibu kandung, anak-anak kandung atau saudara saudara kandung.</w:t>
      </w:r>
      <w:r>
        <w:rPr>
          <w:rFonts w:ascii="Times New Roman" w:hAnsi="Times New Roman" w:cs="Times New Roman"/>
          <w:sz w:val="24"/>
          <w:szCs w:val="24"/>
        </w:rPr>
        <w:t xml:space="preserve"> </w:t>
      </w:r>
      <w:r w:rsidRPr="000C465F">
        <w:rPr>
          <w:rFonts w:ascii="Times New Roman" w:hAnsi="Times New Roman" w:cs="Times New Roman"/>
          <w:sz w:val="24"/>
          <w:szCs w:val="24"/>
        </w:rPr>
        <w:t>Dalam keadaan gawat darurat, untuk menyelamatkan jiwa pasien tidak diperlukan persetujuan. Namun, setelah pasien sadar atau dalam kondisi yang sudah memungkinkan, segera diberikan penjelasan dan dibuat persetujuan.</w:t>
      </w:r>
      <w:r>
        <w:rPr>
          <w:rStyle w:val="FootnoteReference"/>
        </w:rPr>
        <w:footnoteReference w:id="1"/>
      </w:r>
    </w:p>
    <w:p w:rsidR="007A77E7" w:rsidRPr="000C465F" w:rsidRDefault="007A77E7" w:rsidP="007A77E7">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C465F">
        <w:rPr>
          <w:rFonts w:ascii="Times New Roman" w:hAnsi="Times New Roman" w:cs="Times New Roman"/>
          <w:sz w:val="24"/>
          <w:szCs w:val="24"/>
        </w:rPr>
        <w:t>Dalam hal pasien adalah anak-anak atau orang yang tidak sadar, maka penjelasan diberikan kepada keluarganya atau yang mengantar. Apabila tidak ada yang mengantar dan tidak ada keluarganya sedangkan tindakan medis harus dilakukan maka penjelasan diberikan kepada anak yang bersangkutan atau pada kesempatan pertama pasien sudah sadar.</w:t>
      </w:r>
    </w:p>
    <w:p w:rsidR="007A77E7" w:rsidRDefault="007A77E7" w:rsidP="007A77E7">
      <w:pPr>
        <w:tabs>
          <w:tab w:val="left" w:pos="518"/>
          <w:tab w:val="left" w:pos="720"/>
        </w:tabs>
        <w:spacing w:before="60" w:after="6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0C465F">
        <w:rPr>
          <w:rFonts w:ascii="Times New Roman" w:eastAsia="Times New Roman" w:hAnsi="Times New Roman" w:cs="Times New Roman"/>
          <w:sz w:val="24"/>
          <w:szCs w:val="24"/>
          <w:lang w:eastAsia="id-ID"/>
        </w:rPr>
        <w:t xml:space="preserve">Sudah menjadi jelas bagi pasien yang dalam pengampuan adalah seorang anak, maka keluarga terdekat mempunyai hak untuk memberikan persetujuan setelah diberikan informasi medis, dikarenakan anak-anak belum memiliki kemampuan untuk mengerti tentang informasi medis yang disampaikan dan dalam menentukan yang terbaik bagi dirinya. </w:t>
      </w:r>
    </w:p>
    <w:p w:rsidR="007A77E7" w:rsidRDefault="007A77E7" w:rsidP="007A77E7">
      <w:pPr>
        <w:pStyle w:val="ListParagraph"/>
        <w:tabs>
          <w:tab w:val="left" w:pos="720"/>
        </w:tabs>
        <w:spacing w:after="0" w:line="240" w:lineRule="auto"/>
        <w:ind w:left="0" w:firstLine="720"/>
        <w:jc w:val="both"/>
        <w:rPr>
          <w:rFonts w:ascii="Times New Roman" w:eastAsia="Times New Roman" w:hAnsi="Times New Roman" w:cs="Times New Roman"/>
          <w:sz w:val="24"/>
          <w:szCs w:val="24"/>
          <w:lang w:eastAsia="id-ID"/>
        </w:rPr>
      </w:pPr>
      <w:r w:rsidRPr="000C465F">
        <w:rPr>
          <w:rFonts w:ascii="Times New Roman" w:eastAsia="Times New Roman" w:hAnsi="Times New Roman" w:cs="Times New Roman"/>
          <w:sz w:val="24"/>
          <w:szCs w:val="24"/>
          <w:lang w:eastAsia="id-ID"/>
        </w:rPr>
        <w:t>Yang menjadi  pertanyaan adalah seberapa jauh hak dari pada yang mengantar dalam membuat persetujuan bagi pasien tidak sadar terutama yang tidak ada keluarga atau saudaranya. Hal tersebut dapat terjadi pada pasien dengan gangguan jiwa, pasien kecelakaan yang tidak sadar dan tidak memiliki keluarga, anak jalanan yang tidak memiliki keluarga.</w:t>
      </w:r>
    </w:p>
    <w:p w:rsidR="007A77E7" w:rsidRDefault="007A77E7" w:rsidP="007A77E7">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w:t>
      </w:r>
      <w:r w:rsidRPr="000C465F">
        <w:rPr>
          <w:rFonts w:ascii="Times New Roman" w:hAnsi="Times New Roman" w:cs="Times New Roman"/>
          <w:sz w:val="24"/>
          <w:szCs w:val="24"/>
        </w:rPr>
        <w:t>ada kenyataan</w:t>
      </w:r>
      <w:r>
        <w:rPr>
          <w:rFonts w:ascii="Times New Roman" w:hAnsi="Times New Roman" w:cs="Times New Roman"/>
          <w:sz w:val="24"/>
          <w:szCs w:val="24"/>
        </w:rPr>
        <w:t>nya</w:t>
      </w:r>
      <w:r w:rsidRPr="000C465F">
        <w:rPr>
          <w:rFonts w:ascii="Times New Roman" w:hAnsi="Times New Roman" w:cs="Times New Roman"/>
          <w:sz w:val="24"/>
          <w:szCs w:val="24"/>
        </w:rPr>
        <w:t xml:space="preserve"> di lapangan untuk di Indonesia, masih banyak kendala dalam melakukan persetujuan tindakan medis. Hal tersebut dapat dilihat dari penelitian yang dilakukan oleh Juariah tahun 2009, Di RSU Cibabat, RSKIA Astanaanyar dan RS Muhammadiyah, Standar Operasional Prosedur (SOP) untuk pelayanan dan tindakan sudah tersusun dengan baik. Tetapi di RB Barokah, belum semua standar tersedia. Sedangkan, di Puskesmas Garuda belum ada satu pun standar pelayanan yang tersusun, yang di dalamnya termasuk persetujuan tindakan medis</w:t>
      </w:r>
      <w:r>
        <w:rPr>
          <w:rStyle w:val="FootnoteReference"/>
        </w:rPr>
        <w:footnoteReference w:id="2"/>
      </w:r>
      <w:r w:rsidRPr="000C465F">
        <w:rPr>
          <w:rFonts w:ascii="Times New Roman" w:hAnsi="Times New Roman" w:cs="Times New Roman"/>
          <w:sz w:val="24"/>
          <w:szCs w:val="24"/>
        </w:rPr>
        <w:t>. Dan menurut penelitian Titiek Soelistiyowati tahun 2011, di RSUD Tugurejo Semarang menyebutkan bahwa pelaksanaan persetujuan tindakan medis untuk KB sudah dilaksanakan dengan baik namun terkendala dengan pemahaman pasien, padahal pemahaman pasien menjadi penting dalam persetujuan tindakan medis</w:t>
      </w:r>
      <w:r>
        <w:rPr>
          <w:rStyle w:val="FootnoteReference"/>
        </w:rPr>
        <w:footnoteReference w:id="3"/>
      </w:r>
      <w:r w:rsidRPr="000C465F">
        <w:rPr>
          <w:rFonts w:ascii="Times New Roman" w:hAnsi="Times New Roman" w:cs="Times New Roman"/>
          <w:sz w:val="24"/>
          <w:szCs w:val="24"/>
        </w:rPr>
        <w:t>. Dan pada penelitian Gloria G Yosephine tahun 2011 RSUP Dr. M Djamil Padang menyebutkan bahwa pelaksanaan persetujuan tindakan medis juga belum berlangsung dengan baik sesuai dengan peraturan yang berlaku</w:t>
      </w:r>
      <w:r>
        <w:rPr>
          <w:rStyle w:val="FootnoteReference"/>
        </w:rPr>
        <w:footnoteReference w:id="4"/>
      </w:r>
      <w:r w:rsidRPr="000C465F">
        <w:rPr>
          <w:rFonts w:ascii="Times New Roman" w:hAnsi="Times New Roman" w:cs="Times New Roman"/>
          <w:sz w:val="24"/>
          <w:szCs w:val="24"/>
        </w:rPr>
        <w:t xml:space="preserve">. Dalam hal penelaahan dokumen, peneliti sebagai instrument untuk mengobservasi juga menemukan belum seragamnya formulir standar baku persetujuan tindakan medik yang belum sesuai dengan </w:t>
      </w:r>
      <w:r>
        <w:rPr>
          <w:rFonts w:ascii="Times New Roman" w:hAnsi="Times New Roman" w:cs="Times New Roman"/>
          <w:sz w:val="24"/>
          <w:szCs w:val="24"/>
        </w:rPr>
        <w:t xml:space="preserve">Undang-Undang No. 8 Tahun 1999 Tentang Perlindungan Konsumen, </w:t>
      </w:r>
      <w:r w:rsidRPr="000C465F">
        <w:rPr>
          <w:rFonts w:ascii="Times New Roman" w:hAnsi="Times New Roman" w:cs="Times New Roman"/>
          <w:sz w:val="24"/>
          <w:szCs w:val="24"/>
        </w:rPr>
        <w:t>U</w:t>
      </w:r>
      <w:r>
        <w:rPr>
          <w:rFonts w:ascii="Times New Roman" w:hAnsi="Times New Roman" w:cs="Times New Roman"/>
          <w:sz w:val="24"/>
          <w:szCs w:val="24"/>
        </w:rPr>
        <w:t>ndang-Undang No. 29 Tahun 2004 Tentang</w:t>
      </w:r>
      <w:r w:rsidRPr="000C465F">
        <w:rPr>
          <w:rFonts w:ascii="Times New Roman" w:hAnsi="Times New Roman" w:cs="Times New Roman"/>
          <w:sz w:val="24"/>
          <w:szCs w:val="24"/>
        </w:rPr>
        <w:t xml:space="preserve"> Praktik Kedokteran </w:t>
      </w:r>
      <w:r>
        <w:rPr>
          <w:rFonts w:ascii="Times New Roman" w:hAnsi="Times New Roman" w:cs="Times New Roman"/>
          <w:sz w:val="24"/>
          <w:szCs w:val="24"/>
        </w:rPr>
        <w:t>dan Peraturan Mentri Kesehatan No. 290 Tahun 2008 T</w:t>
      </w:r>
      <w:r w:rsidRPr="000C465F">
        <w:rPr>
          <w:rFonts w:ascii="Times New Roman" w:hAnsi="Times New Roman" w:cs="Times New Roman"/>
          <w:sz w:val="24"/>
          <w:szCs w:val="24"/>
        </w:rPr>
        <w:t>entang Persetujuan Tindakan Medis, yang belum memasukan unsur-unsur yang harus ada dalam persetujuan tindakan medis secara lengkap</w:t>
      </w:r>
      <w:r>
        <w:rPr>
          <w:rFonts w:ascii="Times New Roman" w:hAnsi="Times New Roman" w:cs="Times New Roman"/>
          <w:sz w:val="24"/>
          <w:szCs w:val="24"/>
        </w:rPr>
        <w:t xml:space="preserve"> sehingga diperlukan evaluasi dalam pembentukan perundang-undangan agar dapat lebih aplikatif dalam pelaksanaanya</w:t>
      </w:r>
      <w:r w:rsidRPr="000C465F">
        <w:rPr>
          <w:rFonts w:ascii="Times New Roman" w:hAnsi="Times New Roman" w:cs="Times New Roman"/>
          <w:sz w:val="24"/>
          <w:szCs w:val="24"/>
        </w:rPr>
        <w:t xml:space="preserve">. Kendala di lapangan adalah untuk pasien yang tidak cakap secara hukum dan tidak ada wali/orang </w:t>
      </w:r>
      <w:r>
        <w:rPr>
          <w:rFonts w:ascii="Times New Roman" w:hAnsi="Times New Roman" w:cs="Times New Roman"/>
          <w:sz w:val="24"/>
          <w:szCs w:val="24"/>
        </w:rPr>
        <w:t>tua seperti orang dengan ganggu</w:t>
      </w:r>
      <w:r w:rsidRPr="000C465F">
        <w:rPr>
          <w:rFonts w:ascii="Times New Roman" w:hAnsi="Times New Roman" w:cs="Times New Roman"/>
          <w:sz w:val="24"/>
          <w:szCs w:val="24"/>
        </w:rPr>
        <w:t xml:space="preserve">an jiwa, anak jalanan, orang yang kecelakaan yang tidak sadar tetapi tidak dalam keadaan gawat darurat dan yang mengantarnya tidak bersedia menjadi wali atau penanggung yang seringkali membuat petugas kesehatan kebingungan dalam pelaksanaan persetujuan tindakan medis tersebut karena hal tersebut tidak diatur dalam peraturan perundang-undangan yang ada di Indonesia. </w:t>
      </w:r>
    </w:p>
    <w:p w:rsidR="007A77E7" w:rsidRPr="000C465F" w:rsidRDefault="00563FBA" w:rsidP="00563FB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77E7" w:rsidRPr="000C465F">
        <w:rPr>
          <w:rFonts w:ascii="Times New Roman" w:hAnsi="Times New Roman" w:cs="Times New Roman"/>
          <w:sz w:val="24"/>
          <w:szCs w:val="24"/>
        </w:rPr>
        <w:t>Untuk itu perlu digali leb</w:t>
      </w:r>
      <w:r w:rsidR="007A77E7">
        <w:rPr>
          <w:rFonts w:ascii="Times New Roman" w:hAnsi="Times New Roman" w:cs="Times New Roman"/>
          <w:sz w:val="24"/>
          <w:szCs w:val="24"/>
        </w:rPr>
        <w:t>i</w:t>
      </w:r>
      <w:r w:rsidR="007A77E7" w:rsidRPr="000C465F">
        <w:rPr>
          <w:rFonts w:ascii="Times New Roman" w:hAnsi="Times New Roman" w:cs="Times New Roman"/>
          <w:sz w:val="24"/>
          <w:szCs w:val="24"/>
        </w:rPr>
        <w:t xml:space="preserve">h dalam mengenai persetujuan tindakan medik yang juga dilaksanakan di negara-negara </w:t>
      </w:r>
      <w:r w:rsidR="007A77E7" w:rsidRPr="009C497B">
        <w:rPr>
          <w:rFonts w:ascii="Times New Roman" w:hAnsi="Times New Roman" w:cs="Times New Roman"/>
          <w:i/>
          <w:sz w:val="24"/>
          <w:szCs w:val="24"/>
        </w:rPr>
        <w:t xml:space="preserve">common law </w:t>
      </w:r>
      <w:r w:rsidR="007A77E7" w:rsidRPr="000C465F">
        <w:rPr>
          <w:rFonts w:ascii="Times New Roman" w:hAnsi="Times New Roman" w:cs="Times New Roman"/>
          <w:sz w:val="24"/>
          <w:szCs w:val="24"/>
        </w:rPr>
        <w:t>(</w:t>
      </w:r>
      <w:r w:rsidR="007A77E7">
        <w:rPr>
          <w:rFonts w:ascii="Times New Roman" w:hAnsi="Times New Roman" w:cs="Times New Roman"/>
          <w:sz w:val="24"/>
          <w:szCs w:val="24"/>
        </w:rPr>
        <w:t xml:space="preserve">dalam hal tulisan ini adalah Inggris dan Malaysia dengan penjelasan </w:t>
      </w:r>
      <w:r w:rsidR="007A77E7" w:rsidRPr="000C465F">
        <w:rPr>
          <w:rFonts w:ascii="Times New Roman" w:hAnsi="Times New Roman" w:cs="Times New Roman"/>
          <w:sz w:val="24"/>
          <w:szCs w:val="24"/>
        </w:rPr>
        <w:t xml:space="preserve">seperti yang telah disebutkan sebelumnya) dalam mengatasi permasalahan-permasalahan di Indonesia terutama mengenai ketidakcakapan hukum pasien dalam memberikan persetujuan tindakan medis. </w:t>
      </w:r>
    </w:p>
    <w:p w:rsidR="007A77E7" w:rsidRPr="00835344" w:rsidRDefault="007A77E7" w:rsidP="00563FBA">
      <w:pPr>
        <w:pStyle w:val="ListParagraph"/>
        <w:tabs>
          <w:tab w:val="left" w:pos="720"/>
        </w:tabs>
        <w:spacing w:after="0" w:line="240" w:lineRule="auto"/>
        <w:ind w:left="0" w:firstLine="720"/>
        <w:jc w:val="both"/>
        <w:rPr>
          <w:rFonts w:ascii="Times New Roman" w:hAnsi="Times New Roman" w:cs="Times New Roman"/>
          <w:sz w:val="24"/>
          <w:szCs w:val="24"/>
        </w:rPr>
      </w:pPr>
      <w:r w:rsidRPr="00835344">
        <w:rPr>
          <w:rFonts w:ascii="Times New Roman" w:hAnsi="Times New Roman" w:cs="Times New Roman"/>
          <w:sz w:val="24"/>
          <w:szCs w:val="24"/>
        </w:rPr>
        <w:t xml:space="preserve">Berdasarkan latar belakang tersebut di atas, penulis akan menulis tesis ini dengan judul : </w:t>
      </w:r>
      <w:r>
        <w:rPr>
          <w:rFonts w:ascii="Times New Roman" w:hAnsi="Times New Roman" w:cs="Times New Roman"/>
          <w:sz w:val="24"/>
          <w:szCs w:val="24"/>
        </w:rPr>
        <w:t>KEWENANGAN PEMBERIAN</w:t>
      </w:r>
      <w:r w:rsidRPr="00835344">
        <w:rPr>
          <w:rFonts w:ascii="Times New Roman" w:hAnsi="Times New Roman" w:cs="Times New Roman"/>
          <w:sz w:val="24"/>
          <w:szCs w:val="24"/>
        </w:rPr>
        <w:t xml:space="preserve"> PERSETUJUAN TINDAKAN MEDIS (</w:t>
      </w:r>
      <w:r w:rsidRPr="002160EC">
        <w:rPr>
          <w:rFonts w:ascii="Times New Roman" w:hAnsi="Times New Roman" w:cs="Times New Roman"/>
          <w:i/>
          <w:sz w:val="24"/>
          <w:szCs w:val="24"/>
        </w:rPr>
        <w:t>INFORMED CONSENT</w:t>
      </w:r>
      <w:r>
        <w:rPr>
          <w:rFonts w:ascii="Times New Roman" w:hAnsi="Times New Roman" w:cs="Times New Roman"/>
          <w:sz w:val="24"/>
          <w:szCs w:val="24"/>
        </w:rPr>
        <w:t xml:space="preserve">) TERHADAP PASIEN YANG TIDAK CAKAP SECARA HUKUM (SUATU PERBANDINGAN </w:t>
      </w:r>
      <w:r w:rsidRPr="002160EC">
        <w:rPr>
          <w:rFonts w:ascii="Times New Roman" w:hAnsi="Times New Roman" w:cs="Times New Roman"/>
          <w:i/>
          <w:sz w:val="24"/>
          <w:szCs w:val="24"/>
        </w:rPr>
        <w:t>COMMON LAW SYSTEM</w:t>
      </w:r>
      <w:r>
        <w:rPr>
          <w:rFonts w:ascii="Times New Roman" w:hAnsi="Times New Roman" w:cs="Times New Roman"/>
          <w:sz w:val="24"/>
          <w:szCs w:val="24"/>
        </w:rPr>
        <w:t xml:space="preserve"> DAN </w:t>
      </w:r>
      <w:r w:rsidRPr="002160EC">
        <w:rPr>
          <w:rFonts w:ascii="Times New Roman" w:hAnsi="Times New Roman" w:cs="Times New Roman"/>
          <w:i/>
          <w:sz w:val="24"/>
          <w:szCs w:val="24"/>
        </w:rPr>
        <w:t>CIVIL LAW SYSTEM</w:t>
      </w:r>
      <w:r>
        <w:rPr>
          <w:rFonts w:ascii="Times New Roman" w:hAnsi="Times New Roman" w:cs="Times New Roman"/>
          <w:sz w:val="24"/>
          <w:szCs w:val="24"/>
        </w:rPr>
        <w:t>)</w:t>
      </w:r>
    </w:p>
    <w:p w:rsidR="007A77E7" w:rsidRDefault="007A77E7" w:rsidP="007A77E7">
      <w:pPr>
        <w:tabs>
          <w:tab w:val="left" w:pos="720"/>
        </w:tabs>
        <w:autoSpaceDE w:val="0"/>
        <w:autoSpaceDN w:val="0"/>
        <w:adjustRightInd w:val="0"/>
        <w:spacing w:after="0" w:line="240" w:lineRule="auto"/>
        <w:jc w:val="both"/>
        <w:rPr>
          <w:rFonts w:ascii="Times New Roman" w:hAnsi="Times New Roman" w:cs="Times New Roman"/>
          <w:sz w:val="24"/>
          <w:szCs w:val="24"/>
        </w:rPr>
      </w:pPr>
    </w:p>
    <w:p w:rsidR="00563FBA" w:rsidRPr="00563FBA" w:rsidRDefault="00563FBA" w:rsidP="007A77E7">
      <w:pPr>
        <w:tabs>
          <w:tab w:val="left" w:pos="720"/>
        </w:tabs>
        <w:autoSpaceDE w:val="0"/>
        <w:autoSpaceDN w:val="0"/>
        <w:adjustRightInd w:val="0"/>
        <w:spacing w:after="0" w:line="240" w:lineRule="auto"/>
        <w:jc w:val="both"/>
        <w:rPr>
          <w:rFonts w:ascii="Times New Roman" w:hAnsi="Times New Roman" w:cs="Times New Roman"/>
          <w:b/>
          <w:sz w:val="24"/>
          <w:szCs w:val="24"/>
        </w:rPr>
      </w:pPr>
      <w:r w:rsidRPr="00563FBA">
        <w:rPr>
          <w:rFonts w:ascii="Times New Roman" w:hAnsi="Times New Roman" w:cs="Times New Roman"/>
          <w:b/>
          <w:sz w:val="24"/>
          <w:szCs w:val="24"/>
        </w:rPr>
        <w:t>IDENTIFIKASI MASALAH</w:t>
      </w:r>
    </w:p>
    <w:p w:rsidR="00563FBA" w:rsidRPr="00835344" w:rsidRDefault="00563FBA" w:rsidP="00563FBA">
      <w:pPr>
        <w:pStyle w:val="ListParagraph"/>
        <w:spacing w:after="0" w:line="240" w:lineRule="auto"/>
        <w:ind w:left="0"/>
        <w:jc w:val="both"/>
        <w:rPr>
          <w:rFonts w:ascii="Times New Roman" w:hAnsi="Times New Roman" w:cs="Times New Roman"/>
          <w:sz w:val="24"/>
          <w:szCs w:val="24"/>
        </w:rPr>
      </w:pPr>
      <w:r w:rsidRPr="00835344">
        <w:rPr>
          <w:rFonts w:ascii="Times New Roman" w:hAnsi="Times New Roman" w:cs="Times New Roman"/>
          <w:sz w:val="24"/>
          <w:szCs w:val="24"/>
        </w:rPr>
        <w:t xml:space="preserve">Setelah penulis menguraikan latar belakang tersebut di atas, maka dapat dirumuskan beberapa masalah yang dikaji dalam tesis ini yaitu sebagai berikut : </w:t>
      </w:r>
    </w:p>
    <w:p w:rsidR="00563FBA" w:rsidRDefault="00563FBA" w:rsidP="00563FBA">
      <w:pPr>
        <w:pStyle w:val="ListParagraph"/>
        <w:numPr>
          <w:ilvl w:val="3"/>
          <w:numId w:val="17"/>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Bagaimana</w:t>
      </w:r>
      <w:r w:rsidRPr="00835344">
        <w:rPr>
          <w:rFonts w:ascii="Times New Roman" w:hAnsi="Times New Roman" w:cs="Times New Roman"/>
          <w:sz w:val="24"/>
          <w:szCs w:val="24"/>
        </w:rPr>
        <w:t xml:space="preserve"> </w:t>
      </w:r>
      <w:r>
        <w:rPr>
          <w:rFonts w:ascii="Times New Roman" w:hAnsi="Times New Roman" w:cs="Times New Roman"/>
          <w:sz w:val="24"/>
          <w:szCs w:val="24"/>
        </w:rPr>
        <w:t>perbedaan persetujuan tindakan medis (</w:t>
      </w:r>
      <w:r w:rsidRPr="002160EC">
        <w:rPr>
          <w:rFonts w:ascii="Times New Roman" w:hAnsi="Times New Roman" w:cs="Times New Roman"/>
          <w:i/>
          <w:sz w:val="24"/>
          <w:szCs w:val="24"/>
        </w:rPr>
        <w:t>Informed Consent</w:t>
      </w:r>
      <w:r>
        <w:rPr>
          <w:rFonts w:ascii="Times New Roman" w:hAnsi="Times New Roman" w:cs="Times New Roman"/>
          <w:sz w:val="24"/>
          <w:szCs w:val="24"/>
        </w:rPr>
        <w:t xml:space="preserve">) yang ada dalam negara </w:t>
      </w:r>
      <w:r w:rsidRPr="002160EC">
        <w:rPr>
          <w:rFonts w:ascii="Times New Roman" w:hAnsi="Times New Roman" w:cs="Times New Roman"/>
          <w:i/>
          <w:sz w:val="24"/>
          <w:szCs w:val="24"/>
        </w:rPr>
        <w:t>common law system</w:t>
      </w:r>
      <w:r>
        <w:rPr>
          <w:rFonts w:ascii="Times New Roman" w:hAnsi="Times New Roman" w:cs="Times New Roman"/>
          <w:sz w:val="24"/>
          <w:szCs w:val="24"/>
        </w:rPr>
        <w:t xml:space="preserve"> dan </w:t>
      </w:r>
      <w:r w:rsidRPr="002160EC">
        <w:rPr>
          <w:rFonts w:ascii="Times New Roman" w:hAnsi="Times New Roman" w:cs="Times New Roman"/>
          <w:i/>
          <w:sz w:val="24"/>
          <w:szCs w:val="24"/>
        </w:rPr>
        <w:t>civil law system</w:t>
      </w:r>
      <w:r>
        <w:rPr>
          <w:rFonts w:ascii="Times New Roman" w:hAnsi="Times New Roman" w:cs="Times New Roman"/>
          <w:sz w:val="24"/>
          <w:szCs w:val="24"/>
        </w:rPr>
        <w:t>?</w:t>
      </w:r>
    </w:p>
    <w:p w:rsidR="00563FBA" w:rsidRDefault="00563FBA" w:rsidP="00563FBA">
      <w:pPr>
        <w:pStyle w:val="ListParagraph"/>
        <w:numPr>
          <w:ilvl w:val="3"/>
          <w:numId w:val="17"/>
        </w:numPr>
        <w:autoSpaceDE w:val="0"/>
        <w:autoSpaceDN w:val="0"/>
        <w:adjustRightInd w:val="0"/>
        <w:spacing w:after="0" w:line="240" w:lineRule="auto"/>
        <w:ind w:left="360"/>
        <w:jc w:val="both"/>
        <w:rPr>
          <w:rFonts w:ascii="Times New Roman" w:hAnsi="Times New Roman" w:cs="Times New Roman"/>
          <w:sz w:val="24"/>
          <w:szCs w:val="24"/>
        </w:rPr>
      </w:pPr>
      <w:r w:rsidRPr="00BA40D0">
        <w:rPr>
          <w:rFonts w:ascii="Times New Roman" w:hAnsi="Times New Roman" w:cs="Times New Roman"/>
          <w:sz w:val="24"/>
          <w:szCs w:val="24"/>
        </w:rPr>
        <w:t xml:space="preserve">Bagaimana </w:t>
      </w:r>
      <w:r>
        <w:rPr>
          <w:rFonts w:ascii="Times New Roman" w:hAnsi="Times New Roman" w:cs="Times New Roman"/>
          <w:sz w:val="24"/>
          <w:szCs w:val="24"/>
        </w:rPr>
        <w:t>pemberian kewenangan</w:t>
      </w:r>
      <w:r w:rsidRPr="00BA40D0">
        <w:rPr>
          <w:rFonts w:ascii="Times New Roman" w:hAnsi="Times New Roman" w:cs="Times New Roman"/>
          <w:sz w:val="24"/>
          <w:szCs w:val="24"/>
        </w:rPr>
        <w:t xml:space="preserve"> persetujuan tindakan medis bagi pasien dalam keadaan tidak cakap secara hukum pada </w:t>
      </w:r>
      <w:r w:rsidRPr="00BA40D0">
        <w:rPr>
          <w:rFonts w:ascii="Times New Roman" w:hAnsi="Times New Roman" w:cs="Times New Roman"/>
          <w:i/>
          <w:sz w:val="24"/>
          <w:szCs w:val="24"/>
        </w:rPr>
        <w:t>common law system</w:t>
      </w:r>
      <w:r w:rsidRPr="00BA40D0">
        <w:rPr>
          <w:rFonts w:ascii="Times New Roman" w:hAnsi="Times New Roman" w:cs="Times New Roman"/>
          <w:sz w:val="24"/>
          <w:szCs w:val="24"/>
        </w:rPr>
        <w:t xml:space="preserve"> dan </w:t>
      </w:r>
      <w:r w:rsidRPr="00BA40D0">
        <w:rPr>
          <w:rFonts w:ascii="Times New Roman" w:hAnsi="Times New Roman" w:cs="Times New Roman"/>
          <w:i/>
          <w:sz w:val="24"/>
          <w:szCs w:val="24"/>
        </w:rPr>
        <w:t>civil law system</w:t>
      </w:r>
      <w:r w:rsidRPr="00BA40D0">
        <w:rPr>
          <w:rFonts w:ascii="Times New Roman" w:hAnsi="Times New Roman" w:cs="Times New Roman"/>
          <w:sz w:val="24"/>
          <w:szCs w:val="24"/>
        </w:rPr>
        <w:t>?</w:t>
      </w:r>
    </w:p>
    <w:p w:rsidR="00563FBA" w:rsidRPr="00FB7D3B" w:rsidRDefault="00563FBA" w:rsidP="00563FBA">
      <w:pPr>
        <w:pStyle w:val="ListParagraph"/>
        <w:numPr>
          <w:ilvl w:val="3"/>
          <w:numId w:val="17"/>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Bagaimana kelebihan persetujuan tindakan medis (</w:t>
      </w:r>
      <w:r w:rsidRPr="002160EC">
        <w:rPr>
          <w:rFonts w:ascii="Times New Roman" w:hAnsi="Times New Roman" w:cs="Times New Roman"/>
          <w:i/>
          <w:sz w:val="24"/>
          <w:szCs w:val="24"/>
        </w:rPr>
        <w:t>Informed Consent</w:t>
      </w:r>
      <w:r>
        <w:rPr>
          <w:rFonts w:ascii="Times New Roman" w:hAnsi="Times New Roman" w:cs="Times New Roman"/>
          <w:sz w:val="24"/>
          <w:szCs w:val="24"/>
        </w:rPr>
        <w:t xml:space="preserve">) pada </w:t>
      </w:r>
      <w:r w:rsidRPr="002160EC">
        <w:rPr>
          <w:rFonts w:ascii="Times New Roman" w:hAnsi="Times New Roman" w:cs="Times New Roman"/>
          <w:i/>
          <w:sz w:val="24"/>
          <w:szCs w:val="24"/>
        </w:rPr>
        <w:t>common law system</w:t>
      </w:r>
      <w:r>
        <w:rPr>
          <w:rFonts w:ascii="Times New Roman" w:hAnsi="Times New Roman" w:cs="Times New Roman"/>
          <w:sz w:val="24"/>
          <w:szCs w:val="24"/>
        </w:rPr>
        <w:t xml:space="preserve"> yang dapat diadopsi pada persetujuan tindakan medis terhadap </w:t>
      </w:r>
      <w:r w:rsidRPr="002160EC">
        <w:rPr>
          <w:rFonts w:ascii="Times New Roman" w:hAnsi="Times New Roman" w:cs="Times New Roman"/>
          <w:i/>
          <w:sz w:val="24"/>
          <w:szCs w:val="24"/>
        </w:rPr>
        <w:t>civil law system</w:t>
      </w:r>
      <w:r>
        <w:rPr>
          <w:rFonts w:ascii="Times New Roman" w:hAnsi="Times New Roman" w:cs="Times New Roman"/>
          <w:sz w:val="24"/>
          <w:szCs w:val="24"/>
        </w:rPr>
        <w:t>?</w:t>
      </w:r>
    </w:p>
    <w:p w:rsidR="007A77E7" w:rsidRPr="007A77E7" w:rsidRDefault="007A77E7" w:rsidP="007A77E7">
      <w:pPr>
        <w:pStyle w:val="ListParagraph"/>
        <w:spacing w:after="0" w:line="240" w:lineRule="auto"/>
        <w:ind w:left="0" w:firstLine="720"/>
        <w:jc w:val="both"/>
        <w:rPr>
          <w:rFonts w:ascii="Times New Roman" w:hAnsi="Times New Roman" w:cs="Times New Roman"/>
          <w:sz w:val="24"/>
          <w:szCs w:val="24"/>
        </w:rPr>
      </w:pPr>
    </w:p>
    <w:p w:rsidR="00DF3828" w:rsidRDefault="00563FBA" w:rsidP="00470D59">
      <w:pPr>
        <w:tabs>
          <w:tab w:val="left" w:pos="48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563FBA" w:rsidRPr="00563FBA" w:rsidRDefault="00563FBA" w:rsidP="00563FBA">
      <w:pPr>
        <w:tabs>
          <w:tab w:val="left" w:pos="720"/>
          <w:tab w:val="left" w:pos="48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63FBA">
        <w:rPr>
          <w:rFonts w:ascii="Times New Roman" w:hAnsi="Times New Roman" w:cs="Times New Roman"/>
          <w:sz w:val="24"/>
          <w:szCs w:val="24"/>
        </w:rPr>
        <w:t>Spesifikasi penelitian yang digunakan adalah deskriptif analitis, yaitu menggambarkan berbagai peraturan perundang-undangan yang berlaku dikaitkan dengan teori-teori hukum dan praktek pelaksanaan hukum positif yang terkait dengan permasalahan yang diteliti.</w:t>
      </w:r>
    </w:p>
    <w:p w:rsidR="00563FBA" w:rsidRDefault="00563FBA" w:rsidP="00563FBA">
      <w:pPr>
        <w:tabs>
          <w:tab w:val="left" w:pos="720"/>
          <w:tab w:val="left" w:pos="48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63FBA">
        <w:rPr>
          <w:rFonts w:ascii="Times New Roman" w:hAnsi="Times New Roman" w:cs="Times New Roman"/>
          <w:sz w:val="24"/>
          <w:szCs w:val="24"/>
        </w:rPr>
        <w:t>Metode yang digunakan dalam penelitian ini adalah perbandingan hukum (</w:t>
      </w:r>
      <w:r w:rsidRPr="00563FBA">
        <w:rPr>
          <w:rFonts w:ascii="Times New Roman" w:hAnsi="Times New Roman" w:cs="Times New Roman"/>
          <w:i/>
          <w:sz w:val="24"/>
          <w:szCs w:val="24"/>
        </w:rPr>
        <w:t>comparative study</w:t>
      </w:r>
      <w:r w:rsidRPr="00563FBA">
        <w:rPr>
          <w:rFonts w:ascii="Times New Roman" w:hAnsi="Times New Roman" w:cs="Times New Roman"/>
          <w:sz w:val="24"/>
          <w:szCs w:val="24"/>
        </w:rPr>
        <w:t xml:space="preserve">). </w:t>
      </w:r>
      <w:r>
        <w:rPr>
          <w:rFonts w:ascii="Times New Roman" w:hAnsi="Times New Roman" w:cs="Times New Roman"/>
          <w:sz w:val="24"/>
          <w:szCs w:val="24"/>
        </w:rPr>
        <w:t>Menurut Sunaryati Hartono dalam Kapita Selekta Hukum Perbandingan, perbandingan hukum merupakan suatu metode dan bukan suatu cabang ilmu hukum seperti anggapan orang, metode perbandingan yang tidak terbatas pada satu sistem saja tetapi dapat juga pada sistem hukum yang menyangkut lebih dari satu bidang hukum, misalnya hukum antar golongan, hukum perdata internasional, dll</w:t>
      </w:r>
      <w:r>
        <w:rPr>
          <w:rStyle w:val="FootnoteReference"/>
        </w:rPr>
        <w:footnoteReference w:id="5"/>
      </w:r>
      <w:r>
        <w:rPr>
          <w:rFonts w:ascii="Times New Roman" w:hAnsi="Times New Roman" w:cs="Times New Roman"/>
          <w:sz w:val="24"/>
          <w:szCs w:val="24"/>
        </w:rPr>
        <w:t>.</w:t>
      </w:r>
    </w:p>
    <w:p w:rsidR="00563FBA" w:rsidRPr="00D20B77" w:rsidRDefault="00563FBA" w:rsidP="00563FBA">
      <w:pPr>
        <w:pStyle w:val="ListParagraph"/>
        <w:spacing w:after="0" w:line="240" w:lineRule="auto"/>
        <w:ind w:left="0"/>
        <w:jc w:val="both"/>
        <w:rPr>
          <w:rFonts w:ascii="Times New Roman" w:hAnsi="Times New Roman" w:cs="Times New Roman"/>
          <w:sz w:val="24"/>
          <w:szCs w:val="24"/>
        </w:rPr>
      </w:pPr>
      <w:r w:rsidRPr="00835344">
        <w:rPr>
          <w:rFonts w:ascii="Times New Roman" w:hAnsi="Times New Roman" w:cs="Times New Roman"/>
          <w:sz w:val="24"/>
          <w:szCs w:val="24"/>
        </w:rPr>
        <w:t xml:space="preserve">Penelitian ini dilakukan </w:t>
      </w:r>
      <w:r>
        <w:rPr>
          <w:rFonts w:ascii="Times New Roman" w:hAnsi="Times New Roman" w:cs="Times New Roman"/>
          <w:sz w:val="24"/>
          <w:szCs w:val="24"/>
        </w:rPr>
        <w:t xml:space="preserve">dengan tahapan </w:t>
      </w:r>
      <w:r w:rsidRPr="00835344">
        <w:rPr>
          <w:rFonts w:ascii="Times New Roman" w:hAnsi="Times New Roman" w:cs="Times New Roman"/>
          <w:sz w:val="24"/>
          <w:szCs w:val="24"/>
        </w:rPr>
        <w:t>Penelitian kepustakaan (</w:t>
      </w:r>
      <w:r w:rsidRPr="00AD1B47">
        <w:rPr>
          <w:rFonts w:ascii="Times New Roman" w:hAnsi="Times New Roman" w:cs="Times New Roman"/>
          <w:i/>
          <w:sz w:val="24"/>
          <w:szCs w:val="24"/>
        </w:rPr>
        <w:t>library research</w:t>
      </w:r>
      <w:r w:rsidRPr="00835344">
        <w:rPr>
          <w:rFonts w:ascii="Times New Roman" w:hAnsi="Times New Roman" w:cs="Times New Roman"/>
          <w:sz w:val="24"/>
          <w:szCs w:val="24"/>
        </w:rPr>
        <w:t>)</w:t>
      </w:r>
      <w:r>
        <w:rPr>
          <w:rFonts w:ascii="Times New Roman" w:hAnsi="Times New Roman" w:cs="Times New Roman"/>
          <w:sz w:val="24"/>
          <w:szCs w:val="24"/>
        </w:rPr>
        <w:t xml:space="preserve">  dengan studi dokumen</w:t>
      </w:r>
      <w:r w:rsidRPr="00835344">
        <w:rPr>
          <w:rFonts w:ascii="Times New Roman" w:hAnsi="Times New Roman" w:cs="Times New Roman"/>
          <w:sz w:val="24"/>
          <w:szCs w:val="24"/>
        </w:rPr>
        <w:t xml:space="preserve">, </w:t>
      </w:r>
      <w:bookmarkStart w:id="1" w:name="_Toc466995949"/>
      <w:bookmarkStart w:id="2" w:name="_Toc473835834"/>
      <w:r>
        <w:rPr>
          <w:rFonts w:ascii="Times New Roman" w:hAnsi="Times New Roman" w:cs="Times New Roman"/>
          <w:sz w:val="24"/>
          <w:szCs w:val="24"/>
        </w:rPr>
        <w:t>dan p</w:t>
      </w:r>
      <w:r w:rsidRPr="00D20B77">
        <w:rPr>
          <w:rFonts w:ascii="Times New Roman" w:hAnsi="Times New Roman" w:cs="Times New Roman"/>
          <w:sz w:val="24"/>
          <w:szCs w:val="24"/>
        </w:rPr>
        <w:t>enelitian lapangan (</w:t>
      </w:r>
      <w:r w:rsidRPr="00D20B77">
        <w:rPr>
          <w:rFonts w:ascii="Times New Roman" w:hAnsi="Times New Roman" w:cs="Times New Roman"/>
          <w:i/>
          <w:sz w:val="24"/>
          <w:szCs w:val="24"/>
        </w:rPr>
        <w:t>field research</w:t>
      </w:r>
      <w:r w:rsidRPr="00D20B77">
        <w:rPr>
          <w:rFonts w:ascii="Times New Roman" w:hAnsi="Times New Roman" w:cs="Times New Roman"/>
          <w:sz w:val="24"/>
          <w:szCs w:val="24"/>
        </w:rPr>
        <w:t>), dilakukan untuk mendapatkan data primer sebagai data pendukung dan pelengkap atas data sekunder dengan melakukan wawancara (</w:t>
      </w:r>
      <w:r w:rsidRPr="00563FBA">
        <w:rPr>
          <w:rFonts w:ascii="Times New Roman" w:hAnsi="Times New Roman" w:cs="Times New Roman"/>
          <w:i/>
          <w:sz w:val="24"/>
          <w:szCs w:val="24"/>
        </w:rPr>
        <w:t>indepth</w:t>
      </w:r>
      <w:r>
        <w:rPr>
          <w:rFonts w:ascii="Times New Roman" w:hAnsi="Times New Roman" w:cs="Times New Roman"/>
          <w:sz w:val="24"/>
          <w:szCs w:val="24"/>
        </w:rPr>
        <w:t xml:space="preserve"> </w:t>
      </w:r>
      <w:r w:rsidRPr="00D20B77">
        <w:rPr>
          <w:rFonts w:ascii="Times New Roman" w:hAnsi="Times New Roman" w:cs="Times New Roman"/>
          <w:i/>
          <w:sz w:val="24"/>
          <w:szCs w:val="24"/>
        </w:rPr>
        <w:t>interview</w:t>
      </w:r>
      <w:r w:rsidRPr="00D20B77">
        <w:rPr>
          <w:rFonts w:ascii="Times New Roman" w:hAnsi="Times New Roman" w:cs="Times New Roman"/>
          <w:sz w:val="24"/>
          <w:szCs w:val="24"/>
        </w:rPr>
        <w:t>) dengan narasumber sebagai responden</w:t>
      </w:r>
      <w:bookmarkEnd w:id="1"/>
      <w:bookmarkEnd w:id="2"/>
    </w:p>
    <w:p w:rsidR="00563FBA" w:rsidRDefault="00563FBA" w:rsidP="00563FBA">
      <w:pPr>
        <w:pStyle w:val="ListParagraph"/>
        <w:spacing w:after="0" w:line="240" w:lineRule="auto"/>
        <w:ind w:left="0" w:firstLine="720"/>
        <w:jc w:val="both"/>
        <w:rPr>
          <w:rFonts w:ascii="Times New Roman" w:hAnsi="Times New Roman" w:cs="Times New Roman"/>
          <w:sz w:val="24"/>
          <w:szCs w:val="24"/>
        </w:rPr>
      </w:pPr>
      <w:r w:rsidRPr="00835344">
        <w:rPr>
          <w:rFonts w:ascii="Times New Roman" w:hAnsi="Times New Roman" w:cs="Times New Roman"/>
          <w:sz w:val="24"/>
          <w:szCs w:val="24"/>
        </w:rPr>
        <w:t>Studi dokumen dimaksudkan untuk mengumpulkan data sekund</w:t>
      </w:r>
      <w:r>
        <w:rPr>
          <w:rFonts w:ascii="Times New Roman" w:hAnsi="Times New Roman" w:cs="Times New Roman"/>
          <w:sz w:val="24"/>
          <w:szCs w:val="24"/>
        </w:rPr>
        <w:t>er yang diperoleh dari data tert</w:t>
      </w:r>
      <w:r w:rsidRPr="00835344">
        <w:rPr>
          <w:rFonts w:ascii="Times New Roman" w:hAnsi="Times New Roman" w:cs="Times New Roman"/>
          <w:sz w:val="24"/>
          <w:szCs w:val="24"/>
        </w:rPr>
        <w:t>ulis dengan menggunakan “</w:t>
      </w:r>
      <w:r w:rsidRPr="00AC32E9">
        <w:rPr>
          <w:rFonts w:ascii="Times New Roman" w:hAnsi="Times New Roman" w:cs="Times New Roman"/>
          <w:i/>
          <w:sz w:val="24"/>
          <w:szCs w:val="24"/>
        </w:rPr>
        <w:t>content analysis</w:t>
      </w:r>
      <w:r w:rsidRPr="00835344">
        <w:rPr>
          <w:rFonts w:ascii="Times New Roman" w:hAnsi="Times New Roman" w:cs="Times New Roman"/>
          <w:sz w:val="24"/>
          <w:szCs w:val="24"/>
        </w:rPr>
        <w:t>” adalah teknik yang digunakan untuk membuat kesimpulan secara sistematik dan objektif dengan mengidentifikasi karakter khusus dari pesan yang terkandung di dalamnya.</w:t>
      </w:r>
      <w:r>
        <w:rPr>
          <w:rStyle w:val="FootnoteReference"/>
        </w:rPr>
        <w:footnoteReference w:id="6"/>
      </w:r>
      <w:r w:rsidRPr="00835344">
        <w:rPr>
          <w:rFonts w:ascii="Times New Roman" w:hAnsi="Times New Roman" w:cs="Times New Roman"/>
          <w:sz w:val="24"/>
          <w:szCs w:val="24"/>
        </w:rPr>
        <w:t xml:space="preserve"> </w:t>
      </w:r>
    </w:p>
    <w:p w:rsidR="00563FBA" w:rsidRPr="00835344" w:rsidRDefault="00563FBA" w:rsidP="00563FBA">
      <w:pPr>
        <w:pStyle w:val="ListParagraph"/>
        <w:spacing w:after="0" w:line="240" w:lineRule="auto"/>
        <w:ind w:left="0" w:firstLine="720"/>
        <w:jc w:val="both"/>
        <w:rPr>
          <w:rFonts w:ascii="Times New Roman" w:hAnsi="Times New Roman" w:cs="Times New Roman"/>
          <w:sz w:val="24"/>
          <w:szCs w:val="24"/>
        </w:rPr>
      </w:pPr>
      <w:r w:rsidRPr="00961318">
        <w:rPr>
          <w:rFonts w:ascii="Times New Roman" w:hAnsi="Times New Roman" w:cs="Times New Roman"/>
          <w:sz w:val="24"/>
          <w:szCs w:val="24"/>
        </w:rPr>
        <w:t>Wawancara berencana (</w:t>
      </w:r>
      <w:r w:rsidRPr="00961318">
        <w:rPr>
          <w:rFonts w:ascii="Times New Roman" w:hAnsi="Times New Roman" w:cs="Times New Roman"/>
          <w:i/>
          <w:sz w:val="24"/>
          <w:szCs w:val="24"/>
        </w:rPr>
        <w:t>standardized interview</w:t>
      </w:r>
      <w:r w:rsidRPr="00961318">
        <w:rPr>
          <w:rFonts w:ascii="Times New Roman" w:hAnsi="Times New Roman" w:cs="Times New Roman"/>
          <w:sz w:val="24"/>
          <w:szCs w:val="24"/>
        </w:rPr>
        <w:t>), yaitu suatu wawancara yang disertai dengan suatu daftar pertanyaan yang disusun sebelumnya.</w:t>
      </w:r>
      <w:r>
        <w:rPr>
          <w:rStyle w:val="FootnoteReference"/>
        </w:rPr>
        <w:footnoteReference w:id="7"/>
      </w:r>
      <w:r>
        <w:rPr>
          <w:rFonts w:ascii="Times New Roman" w:hAnsi="Times New Roman" w:cs="Times New Roman"/>
          <w:sz w:val="24"/>
          <w:szCs w:val="24"/>
        </w:rPr>
        <w:t xml:space="preserve"> </w:t>
      </w:r>
      <w:r w:rsidRPr="00835344">
        <w:rPr>
          <w:rFonts w:ascii="Times New Roman" w:hAnsi="Times New Roman" w:cs="Times New Roman"/>
          <w:sz w:val="24"/>
          <w:szCs w:val="24"/>
        </w:rPr>
        <w:t>Hal-hal yang masih dianggap belum lengkap atau sempurna, dilengkapi dengan wawancara ulang, dengan maksud utnuk mempertegas dari semua data dan informasi yang telah diperoleh</w:t>
      </w:r>
      <w:r>
        <w:rPr>
          <w:rFonts w:ascii="Times New Roman" w:hAnsi="Times New Roman" w:cs="Times New Roman"/>
          <w:sz w:val="24"/>
          <w:szCs w:val="24"/>
        </w:rPr>
        <w:t>.</w:t>
      </w:r>
    </w:p>
    <w:p w:rsidR="00563FBA" w:rsidRPr="00835344" w:rsidRDefault="00563FBA" w:rsidP="00563FBA">
      <w:pPr>
        <w:spacing w:after="0" w:line="240" w:lineRule="auto"/>
        <w:ind w:firstLine="360"/>
        <w:jc w:val="both"/>
        <w:rPr>
          <w:rFonts w:ascii="Times New Roman" w:hAnsi="Times New Roman" w:cs="Times New Roman"/>
          <w:sz w:val="24"/>
          <w:szCs w:val="24"/>
        </w:rPr>
      </w:pPr>
      <w:r w:rsidRPr="00835344">
        <w:rPr>
          <w:rFonts w:ascii="Times New Roman" w:hAnsi="Times New Roman" w:cs="Times New Roman"/>
          <w:sz w:val="24"/>
          <w:szCs w:val="24"/>
        </w:rPr>
        <w:t>Sebagai cara untuk menarik kesimpulan dari hasil penelitian yang telah dilakukan digunakan analisis secara yuridis kualitatif. Disusun dalam bentuk uraian kalimat-kalimat.</w:t>
      </w:r>
      <w:r>
        <w:rPr>
          <w:rStyle w:val="FootnoteReference"/>
        </w:rPr>
        <w:footnoteReference w:id="8"/>
      </w:r>
      <w:r w:rsidRPr="00835344">
        <w:rPr>
          <w:rFonts w:ascii="Times New Roman" w:hAnsi="Times New Roman" w:cs="Times New Roman"/>
          <w:sz w:val="24"/>
          <w:szCs w:val="24"/>
        </w:rPr>
        <w:t xml:space="preserve"> </w:t>
      </w:r>
    </w:p>
    <w:p w:rsidR="00563FBA" w:rsidRPr="00835344" w:rsidRDefault="00563FBA" w:rsidP="00563FBA">
      <w:pPr>
        <w:spacing w:after="0" w:line="240" w:lineRule="auto"/>
        <w:ind w:firstLine="720"/>
        <w:jc w:val="both"/>
        <w:rPr>
          <w:rFonts w:ascii="Times New Roman" w:hAnsi="Times New Roman" w:cs="Times New Roman"/>
          <w:sz w:val="24"/>
          <w:szCs w:val="24"/>
        </w:rPr>
      </w:pPr>
      <w:r w:rsidRPr="00835344">
        <w:rPr>
          <w:rFonts w:ascii="Times New Roman" w:hAnsi="Times New Roman" w:cs="Times New Roman"/>
          <w:sz w:val="24"/>
          <w:szCs w:val="24"/>
        </w:rPr>
        <w:t>Yuridis artinya penelitian ini bertitik tolak pada peraturan perundang-udangan yang ada sebagai bentuk hukum positif. Kualitatif, artinya tanpa menggunakan angka, rumus, statistik, dan matematik.</w:t>
      </w:r>
      <w:r>
        <w:rPr>
          <w:rStyle w:val="FootnoteReference"/>
        </w:rPr>
        <w:footnoteReference w:id="9"/>
      </w:r>
      <w:r w:rsidRPr="00835344">
        <w:rPr>
          <w:rFonts w:ascii="Times New Roman" w:hAnsi="Times New Roman" w:cs="Times New Roman"/>
          <w:sz w:val="24"/>
          <w:szCs w:val="24"/>
        </w:rPr>
        <w:t xml:space="preserve"> </w:t>
      </w:r>
    </w:p>
    <w:p w:rsidR="00563FBA" w:rsidRPr="00835344" w:rsidRDefault="00563FBA" w:rsidP="00563FBA">
      <w:pPr>
        <w:spacing w:after="0" w:line="240" w:lineRule="auto"/>
        <w:ind w:firstLine="720"/>
        <w:jc w:val="both"/>
        <w:rPr>
          <w:rFonts w:ascii="Times New Roman" w:hAnsi="Times New Roman" w:cs="Times New Roman"/>
          <w:sz w:val="24"/>
          <w:szCs w:val="24"/>
        </w:rPr>
      </w:pPr>
      <w:r w:rsidRPr="00835344">
        <w:rPr>
          <w:rFonts w:ascii="Times New Roman" w:hAnsi="Times New Roman" w:cs="Times New Roman"/>
          <w:sz w:val="24"/>
          <w:szCs w:val="24"/>
        </w:rPr>
        <w:t>Analisis dilakukan pula terha</w:t>
      </w:r>
      <w:r>
        <w:rPr>
          <w:rFonts w:ascii="Times New Roman" w:hAnsi="Times New Roman" w:cs="Times New Roman"/>
          <w:sz w:val="24"/>
          <w:szCs w:val="24"/>
        </w:rPr>
        <w:t>dap pendapat para ahli (</w:t>
      </w:r>
      <w:r w:rsidRPr="0015618A">
        <w:rPr>
          <w:rFonts w:ascii="Times New Roman" w:hAnsi="Times New Roman" w:cs="Times New Roman"/>
          <w:i/>
          <w:sz w:val="24"/>
          <w:szCs w:val="24"/>
        </w:rPr>
        <w:t>doctrine</w:t>
      </w:r>
      <w:r w:rsidRPr="00835344">
        <w:rPr>
          <w:rFonts w:ascii="Times New Roman" w:hAnsi="Times New Roman" w:cs="Times New Roman"/>
          <w:sz w:val="24"/>
          <w:szCs w:val="24"/>
        </w:rPr>
        <w:t>) yang bertujuan untuk mendapatkan jawaban atas permasalahan yang diteliti.</w:t>
      </w:r>
    </w:p>
    <w:p w:rsidR="00A57A27" w:rsidRPr="00E74162" w:rsidRDefault="00563FBA" w:rsidP="00563FBA">
      <w:pPr>
        <w:jc w:val="both"/>
        <w:rPr>
          <w:rFonts w:ascii="Times New Roman" w:hAnsi="Times New Roman" w:cs="Times New Roman"/>
          <w:sz w:val="24"/>
          <w:szCs w:val="24"/>
        </w:rPr>
      </w:pPr>
      <w:r>
        <w:rPr>
          <w:rFonts w:ascii="Times New Roman" w:hAnsi="Times New Roman" w:cs="Times New Roman"/>
          <w:sz w:val="24"/>
          <w:szCs w:val="24"/>
        </w:rPr>
        <w:tab/>
        <w:t xml:space="preserve">Penelitian dilakukan di perpustakaan dan di Puskesmas Puter Dinas Kesehatan Kota Bandung sebagai studi lapangan. </w:t>
      </w:r>
    </w:p>
    <w:p w:rsidR="00A57A27" w:rsidRPr="00470D59" w:rsidRDefault="00563FBA" w:rsidP="00470D59">
      <w:pPr>
        <w:spacing w:after="0"/>
        <w:rPr>
          <w:rFonts w:ascii="Times New Roman" w:hAnsi="Times New Roman" w:cs="Times New Roman"/>
          <w:b/>
          <w:sz w:val="24"/>
          <w:szCs w:val="24"/>
        </w:rPr>
      </w:pPr>
      <w:r>
        <w:rPr>
          <w:rFonts w:ascii="Times New Roman" w:hAnsi="Times New Roman" w:cs="Times New Roman"/>
          <w:b/>
          <w:sz w:val="24"/>
          <w:szCs w:val="24"/>
        </w:rPr>
        <w:t>HASIL &amp; PEMBAHASAN</w:t>
      </w:r>
    </w:p>
    <w:p w:rsidR="00563FBA" w:rsidRPr="00563FBA" w:rsidRDefault="00563FBA" w:rsidP="00EE64F9">
      <w:pPr>
        <w:pStyle w:val="SUBBABA"/>
        <w:numPr>
          <w:ilvl w:val="0"/>
          <w:numId w:val="0"/>
        </w:numPr>
        <w:spacing w:line="240" w:lineRule="auto"/>
        <w:rPr>
          <w:sz w:val="24"/>
          <w:szCs w:val="24"/>
        </w:rPr>
      </w:pPr>
      <w:bookmarkStart w:id="3" w:name="_Toc475118331"/>
      <w:r w:rsidRPr="00563FBA">
        <w:rPr>
          <w:sz w:val="24"/>
          <w:szCs w:val="24"/>
        </w:rPr>
        <w:t xml:space="preserve">Perbandingan Pemberian </w:t>
      </w:r>
      <w:r w:rsidRPr="00563FBA">
        <w:rPr>
          <w:i/>
          <w:sz w:val="24"/>
          <w:szCs w:val="24"/>
        </w:rPr>
        <w:t>Informed Consent</w:t>
      </w:r>
      <w:r w:rsidRPr="00563FBA">
        <w:rPr>
          <w:sz w:val="24"/>
          <w:szCs w:val="24"/>
        </w:rPr>
        <w:t xml:space="preserve"> pada </w:t>
      </w:r>
      <w:r w:rsidRPr="00563FBA">
        <w:rPr>
          <w:i/>
          <w:sz w:val="24"/>
          <w:szCs w:val="24"/>
        </w:rPr>
        <w:t>common law</w:t>
      </w:r>
      <w:r w:rsidRPr="00563FBA">
        <w:rPr>
          <w:sz w:val="24"/>
          <w:szCs w:val="24"/>
        </w:rPr>
        <w:t xml:space="preserve"> dan </w:t>
      </w:r>
      <w:r w:rsidRPr="00563FBA">
        <w:rPr>
          <w:i/>
          <w:sz w:val="24"/>
          <w:szCs w:val="24"/>
        </w:rPr>
        <w:t>civil law system</w:t>
      </w:r>
      <w:bookmarkEnd w:id="3"/>
    </w:p>
    <w:p w:rsidR="00563FBA" w:rsidRDefault="00563FBA" w:rsidP="00563FBA">
      <w:pPr>
        <w:pStyle w:val="SUBSUBBAB1"/>
        <w:spacing w:line="240" w:lineRule="auto"/>
        <w:ind w:left="360"/>
      </w:pPr>
      <w:bookmarkStart w:id="4" w:name="_Toc475118332"/>
      <w:r>
        <w:t>Substansi Hukum</w:t>
      </w:r>
      <w:bookmarkEnd w:id="4"/>
    </w:p>
    <w:p w:rsidR="00563FBA" w:rsidRDefault="00563FBA" w:rsidP="00563FBA">
      <w:pPr>
        <w:pStyle w:val="ListParagraph"/>
        <w:tabs>
          <w:tab w:val="left" w:pos="72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Dalam UU No. 29 Tahun 2004 Tentang Praktik Kedokteran tidak disebutkan secara khusus mengenai definsi </w:t>
      </w:r>
      <w:r w:rsidRPr="00BD5A02">
        <w:rPr>
          <w:rFonts w:ascii="Times New Roman" w:hAnsi="Times New Roman" w:cs="Times New Roman"/>
          <w:i/>
          <w:sz w:val="24"/>
          <w:szCs w:val="24"/>
        </w:rPr>
        <w:t>informed consent.</w:t>
      </w:r>
      <w:r>
        <w:rPr>
          <w:rFonts w:ascii="Times New Roman" w:hAnsi="Times New Roman" w:cs="Times New Roman"/>
          <w:sz w:val="24"/>
          <w:szCs w:val="24"/>
        </w:rPr>
        <w:t xml:space="preserve"> </w:t>
      </w:r>
      <w:r w:rsidRPr="00BD5A02">
        <w:rPr>
          <w:rFonts w:ascii="Times New Roman" w:hAnsi="Times New Roman" w:cs="Times New Roman"/>
          <w:sz w:val="24"/>
          <w:szCs w:val="24"/>
        </w:rPr>
        <w:t>Menurut Pasal 1 PMK No. 290 Tahun 2008 Tentang Persetujuan Tindakan Kedokteran : Persetujuan tindakan kedokteran adalah persetujuan yang diberikan oleh pasien atau keluarga terdekat setelah mendapat penjelasan secara lengkap mengenai tindakan kedokteran atau kedokteran gigi yang akan dilakukan terhadap pasien.</w:t>
      </w:r>
    </w:p>
    <w:p w:rsidR="00563FBA" w:rsidRPr="00BD5A02" w:rsidRDefault="00563FBA" w:rsidP="00563FB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hal tersebut persetujuan tindakan kedokteran dalam </w:t>
      </w:r>
      <w:r w:rsidRPr="00BD5A02">
        <w:rPr>
          <w:rFonts w:ascii="Times New Roman" w:hAnsi="Times New Roman" w:cs="Times New Roman"/>
          <w:i/>
          <w:sz w:val="24"/>
          <w:szCs w:val="24"/>
        </w:rPr>
        <w:t>civil law</w:t>
      </w:r>
      <w:r>
        <w:rPr>
          <w:rFonts w:ascii="Times New Roman" w:hAnsi="Times New Roman" w:cs="Times New Roman"/>
          <w:sz w:val="24"/>
          <w:szCs w:val="24"/>
        </w:rPr>
        <w:t xml:space="preserve"> (Indonesia) terdapat unsur sebuah persetujuan yang diberikan oleh pasien atau keluarga terdekat atau wali setelah menerima informasi yang cukup atau lengkap. </w:t>
      </w:r>
    </w:p>
    <w:p w:rsidR="00563FBA" w:rsidRDefault="00563FBA" w:rsidP="00563FBA">
      <w:pPr>
        <w:pStyle w:val="biasa"/>
        <w:spacing w:line="240" w:lineRule="auto"/>
        <w:rPr>
          <w:color w:val="000000"/>
        </w:rPr>
      </w:pPr>
      <w:r>
        <w:rPr>
          <w:color w:val="000000"/>
        </w:rPr>
        <w:tab/>
      </w:r>
      <w:r w:rsidRPr="0006231D">
        <w:rPr>
          <w:color w:val="000000"/>
        </w:rPr>
        <w:t xml:space="preserve">Pada kasus Canterbury melawan Spence dinyatakan bahwa </w:t>
      </w:r>
      <w:r w:rsidRPr="0028098C">
        <w:rPr>
          <w:i/>
        </w:rPr>
        <w:t>true consent to what happens to one's self is the informed exercise of a</w:t>
      </w:r>
      <w:r w:rsidRPr="0028098C">
        <w:rPr>
          <w:i/>
          <w:color w:val="000000"/>
        </w:rPr>
        <w:t xml:space="preserve"> </w:t>
      </w:r>
      <w:r w:rsidRPr="0028098C">
        <w:rPr>
          <w:i/>
        </w:rPr>
        <w:t>choice, and that entails the opportunity to evaluate knowledgeably the</w:t>
      </w:r>
      <w:r w:rsidRPr="0028098C">
        <w:rPr>
          <w:i/>
          <w:color w:val="000000"/>
        </w:rPr>
        <w:t xml:space="preserve"> </w:t>
      </w:r>
      <w:r w:rsidRPr="0028098C">
        <w:rPr>
          <w:i/>
        </w:rPr>
        <w:t>options available and the risks attendant upon each</w:t>
      </w:r>
      <w:r w:rsidRPr="0006231D">
        <w:t xml:space="preserve"> (</w:t>
      </w:r>
      <w:r w:rsidRPr="0006231D">
        <w:rPr>
          <w:color w:val="000000"/>
        </w:rPr>
        <w:t>persetujuan yang benar tentang apa yang terjadi pada seseorang adalah informasi dari pilihan dan kesempatan untuk mengevaluasi pilihan tersebut dengan pilihan pengetahuan yang tersedia dan risiko yang akan dihadapinya)</w:t>
      </w:r>
      <w:r w:rsidRPr="0006231D">
        <w:rPr>
          <w:rStyle w:val="FootnoteReference"/>
          <w:b/>
        </w:rPr>
        <w:footnoteReference w:id="10"/>
      </w:r>
      <w:r>
        <w:rPr>
          <w:color w:val="000000"/>
        </w:rPr>
        <w:t xml:space="preserve"> Hal tersebut mengelaborasi definisi </w:t>
      </w:r>
      <w:r w:rsidRPr="00354694">
        <w:rPr>
          <w:i/>
          <w:color w:val="000000"/>
        </w:rPr>
        <w:t>informed consent</w:t>
      </w:r>
      <w:r>
        <w:rPr>
          <w:color w:val="000000"/>
        </w:rPr>
        <w:t xml:space="preserve"> sebagai hak untuk diinformasikan mengenai risiko yang mungkin terjadi dan alternatifnya. </w:t>
      </w:r>
    </w:p>
    <w:p w:rsidR="00563FBA" w:rsidRDefault="00563FBA" w:rsidP="00563FBA">
      <w:pPr>
        <w:pStyle w:val="biasa"/>
        <w:spacing w:line="240" w:lineRule="auto"/>
        <w:rPr>
          <w:color w:val="000000"/>
        </w:rPr>
      </w:pPr>
      <w:r>
        <w:rPr>
          <w:color w:val="000000"/>
        </w:rPr>
        <w:tab/>
        <w:t xml:space="preserve">Sedangkan menurut </w:t>
      </w:r>
      <w:r w:rsidRPr="00F631E8">
        <w:rPr>
          <w:i/>
          <w:color w:val="000000"/>
        </w:rPr>
        <w:t>Malaysian Medical Council</w:t>
      </w:r>
      <w:r>
        <w:rPr>
          <w:color w:val="000000"/>
        </w:rPr>
        <w:t xml:space="preserve"> , </w:t>
      </w:r>
      <w:r w:rsidRPr="00F631E8">
        <w:rPr>
          <w:i/>
          <w:color w:val="000000"/>
        </w:rPr>
        <w:t>informed consent</w:t>
      </w:r>
      <w:r>
        <w:rPr>
          <w:color w:val="000000"/>
        </w:rPr>
        <w:t xml:space="preserve"> adalah</w:t>
      </w:r>
    </w:p>
    <w:p w:rsidR="00563FBA" w:rsidRDefault="00563FBA" w:rsidP="00563FBA">
      <w:pPr>
        <w:pStyle w:val="biasa"/>
        <w:spacing w:line="240" w:lineRule="auto"/>
      </w:pPr>
      <w:r w:rsidRPr="00F631E8">
        <w:rPr>
          <w:i/>
        </w:rPr>
        <w:t>In general terms, CONSENT is the voluntary acquiescence by a person to the proposal of another; the act or result of reaching an accord; a concurrence of minds; actual willingness that an act or an infringement of an interest shall occur</w:t>
      </w:r>
      <w:r w:rsidRPr="00FF36A3">
        <w:t xml:space="preserve"> (</w:t>
      </w:r>
      <w:r w:rsidRPr="00FF36A3">
        <w:rPr>
          <w:color w:val="212121"/>
          <w:lang w:val="id-ID"/>
        </w:rPr>
        <w:t>Secara umum, persetujuan adalah persetujuan sukarela oleh seseorang lain</w:t>
      </w:r>
      <w:r w:rsidRPr="00FF36A3">
        <w:rPr>
          <w:color w:val="212121"/>
        </w:rPr>
        <w:t xml:space="preserve"> yang diajukan</w:t>
      </w:r>
      <w:r w:rsidRPr="00FF36A3">
        <w:rPr>
          <w:color w:val="212121"/>
          <w:lang w:val="id-ID"/>
        </w:rPr>
        <w:t xml:space="preserve">; keputusan atau hasil kesepakatan; sebuah persetujuan </w:t>
      </w:r>
      <w:r w:rsidRPr="00FF36A3">
        <w:rPr>
          <w:color w:val="212121"/>
        </w:rPr>
        <w:t>khendak</w:t>
      </w:r>
      <w:r w:rsidRPr="00FF36A3">
        <w:rPr>
          <w:color w:val="212121"/>
          <w:lang w:val="id-ID"/>
        </w:rPr>
        <w:t>; kemauan yang sebenarnya bahwa tindakan atau pelanggaran dari suatu kepentingan akan terjadi</w:t>
      </w:r>
      <w:r w:rsidRPr="00FF36A3">
        <w:rPr>
          <w:color w:val="212121"/>
        </w:rPr>
        <w:t>)</w:t>
      </w:r>
      <w:r w:rsidRPr="00FF36A3">
        <w:t>.</w:t>
      </w:r>
    </w:p>
    <w:p w:rsidR="00563FBA" w:rsidRPr="00BD5A02" w:rsidRDefault="00563FBA" w:rsidP="00563FBA">
      <w:pPr>
        <w:pStyle w:val="ListParagraph"/>
        <w:tabs>
          <w:tab w:val="left" w:pos="720"/>
        </w:tabs>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xml:space="preserve">Apabila dibandingkan maka dalam definsi </w:t>
      </w:r>
      <w:r w:rsidRPr="00FF36A3">
        <w:rPr>
          <w:rFonts w:ascii="Times New Roman" w:hAnsi="Times New Roman" w:cs="Times New Roman"/>
          <w:i/>
          <w:sz w:val="24"/>
          <w:szCs w:val="24"/>
        </w:rPr>
        <w:t>informed consent</w:t>
      </w:r>
      <w:r>
        <w:rPr>
          <w:rFonts w:ascii="Times New Roman" w:hAnsi="Times New Roman" w:cs="Times New Roman"/>
          <w:sz w:val="24"/>
          <w:szCs w:val="24"/>
        </w:rPr>
        <w:t xml:space="preserve"> baik </w:t>
      </w:r>
      <w:r w:rsidRPr="00FF36A3">
        <w:rPr>
          <w:rFonts w:ascii="Times New Roman" w:hAnsi="Times New Roman" w:cs="Times New Roman"/>
          <w:i/>
          <w:sz w:val="24"/>
          <w:szCs w:val="24"/>
        </w:rPr>
        <w:t>common law</w:t>
      </w:r>
      <w:r>
        <w:rPr>
          <w:rFonts w:ascii="Times New Roman" w:hAnsi="Times New Roman" w:cs="Times New Roman"/>
          <w:sz w:val="24"/>
          <w:szCs w:val="24"/>
        </w:rPr>
        <w:t xml:space="preserve"> dan </w:t>
      </w:r>
      <w:r w:rsidRPr="00FF36A3">
        <w:rPr>
          <w:rFonts w:ascii="Times New Roman" w:hAnsi="Times New Roman" w:cs="Times New Roman"/>
          <w:i/>
          <w:sz w:val="24"/>
          <w:szCs w:val="24"/>
        </w:rPr>
        <w:t>civil law</w:t>
      </w:r>
      <w:r>
        <w:rPr>
          <w:rFonts w:ascii="Times New Roman" w:hAnsi="Times New Roman" w:cs="Times New Roman"/>
          <w:sz w:val="24"/>
          <w:szCs w:val="24"/>
        </w:rPr>
        <w:t xml:space="preserve">, keduanya menekankan mengenai pentingnya informasi yang disampaikan dan juga adanya kesepakatan akan tindakan tersebut. Namun dalam </w:t>
      </w:r>
      <w:r w:rsidRPr="00FF36A3">
        <w:rPr>
          <w:rFonts w:ascii="Times New Roman" w:hAnsi="Times New Roman" w:cs="Times New Roman"/>
          <w:i/>
          <w:sz w:val="24"/>
          <w:szCs w:val="24"/>
        </w:rPr>
        <w:t>civil law</w:t>
      </w:r>
      <w:r>
        <w:rPr>
          <w:rFonts w:ascii="Times New Roman" w:hAnsi="Times New Roman" w:cs="Times New Roman"/>
          <w:sz w:val="24"/>
          <w:szCs w:val="24"/>
        </w:rPr>
        <w:t xml:space="preserve"> menekankan pentingnya unsur kecakapan dalam hukum dalam definisi </w:t>
      </w:r>
      <w:r w:rsidRPr="00FF36A3">
        <w:rPr>
          <w:rFonts w:ascii="Times New Roman" w:hAnsi="Times New Roman" w:cs="Times New Roman"/>
          <w:i/>
          <w:sz w:val="24"/>
          <w:szCs w:val="24"/>
        </w:rPr>
        <w:t>informed consent</w:t>
      </w:r>
      <w:r>
        <w:rPr>
          <w:rFonts w:ascii="Times New Roman" w:hAnsi="Times New Roman" w:cs="Times New Roman"/>
          <w:sz w:val="24"/>
          <w:szCs w:val="24"/>
        </w:rPr>
        <w:t xml:space="preserve">. </w:t>
      </w:r>
    </w:p>
    <w:p w:rsidR="00563FBA" w:rsidRDefault="00563FBA" w:rsidP="00563FBA">
      <w:pPr>
        <w:pStyle w:val="ListParagraph"/>
        <w:tabs>
          <w:tab w:val="left" w:pos="72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Informasi yang diberikan dalam </w:t>
      </w:r>
      <w:r w:rsidRPr="00354694">
        <w:rPr>
          <w:rFonts w:ascii="Times New Roman" w:hAnsi="Times New Roman" w:cs="Times New Roman"/>
          <w:i/>
          <w:sz w:val="24"/>
          <w:szCs w:val="24"/>
        </w:rPr>
        <w:t>informed consent</w:t>
      </w:r>
      <w:r>
        <w:rPr>
          <w:rFonts w:ascii="Times New Roman" w:hAnsi="Times New Roman" w:cs="Times New Roman"/>
          <w:sz w:val="24"/>
          <w:szCs w:val="24"/>
        </w:rPr>
        <w:t xml:space="preserve"> mengacu pada Pasal 45 ayat (3) UU No. 29 Tahun 2004 Tentang Praktik Kedokteran yaitu mengenai </w:t>
      </w:r>
      <w:r w:rsidRPr="008F288B">
        <w:rPr>
          <w:rFonts w:ascii="Times New Roman" w:hAnsi="Times New Roman" w:cs="Times New Roman"/>
          <w:sz w:val="24"/>
          <w:szCs w:val="24"/>
        </w:rPr>
        <w:t>diagnosi</w:t>
      </w:r>
      <w:r>
        <w:rPr>
          <w:rFonts w:ascii="Times New Roman" w:hAnsi="Times New Roman" w:cs="Times New Roman"/>
          <w:sz w:val="24"/>
          <w:szCs w:val="24"/>
        </w:rPr>
        <w:t xml:space="preserve">s dan tata cara tindakan medis; </w:t>
      </w:r>
      <w:r w:rsidRPr="008F288B">
        <w:rPr>
          <w:rFonts w:ascii="Times New Roman" w:hAnsi="Times New Roman" w:cs="Times New Roman"/>
          <w:sz w:val="24"/>
          <w:szCs w:val="24"/>
        </w:rPr>
        <w:t>tujuan tindakan medis yang dilakukan;</w:t>
      </w:r>
      <w:r>
        <w:rPr>
          <w:rFonts w:ascii="Times New Roman" w:hAnsi="Times New Roman" w:cs="Times New Roman"/>
          <w:sz w:val="24"/>
          <w:szCs w:val="24"/>
        </w:rPr>
        <w:t xml:space="preserve"> alternatif</w:t>
      </w:r>
      <w:r w:rsidRPr="008F288B">
        <w:rPr>
          <w:rFonts w:ascii="Times New Roman" w:hAnsi="Times New Roman" w:cs="Times New Roman"/>
          <w:sz w:val="24"/>
          <w:szCs w:val="24"/>
        </w:rPr>
        <w:t xml:space="preserve"> tindakan lain dan risikonya;</w:t>
      </w:r>
      <w:r>
        <w:rPr>
          <w:rFonts w:ascii="Times New Roman" w:hAnsi="Times New Roman" w:cs="Times New Roman"/>
          <w:sz w:val="24"/>
          <w:szCs w:val="24"/>
        </w:rPr>
        <w:t xml:space="preserve"> </w:t>
      </w:r>
      <w:r w:rsidRPr="008F288B">
        <w:rPr>
          <w:rFonts w:ascii="Times New Roman" w:hAnsi="Times New Roman" w:cs="Times New Roman"/>
          <w:sz w:val="24"/>
          <w:szCs w:val="24"/>
        </w:rPr>
        <w:t>risiko dan komplikasi yang mungkin terjadi; dan</w:t>
      </w:r>
      <w:r>
        <w:rPr>
          <w:rFonts w:ascii="Times New Roman" w:hAnsi="Times New Roman" w:cs="Times New Roman"/>
          <w:sz w:val="24"/>
          <w:szCs w:val="24"/>
        </w:rPr>
        <w:t xml:space="preserve"> </w:t>
      </w:r>
      <w:r w:rsidRPr="008F288B">
        <w:rPr>
          <w:rFonts w:ascii="Times New Roman" w:hAnsi="Times New Roman" w:cs="Times New Roman"/>
          <w:sz w:val="24"/>
          <w:szCs w:val="24"/>
        </w:rPr>
        <w:t>prognosis terhadap tindakan yang dilakukan.</w:t>
      </w:r>
      <w:r>
        <w:rPr>
          <w:rStyle w:val="FootnoteReference"/>
        </w:rPr>
        <w:footnoteReference w:id="11"/>
      </w:r>
      <w:r>
        <w:rPr>
          <w:rFonts w:ascii="Times New Roman" w:hAnsi="Times New Roman" w:cs="Times New Roman"/>
          <w:sz w:val="24"/>
          <w:szCs w:val="24"/>
        </w:rPr>
        <w:t xml:space="preserve"> Sedangkan menurut PMK No. 290 Tahun 2008 mengenai Persetujuan Tindakan Medik informasi yang harus diberikan mengenai </w:t>
      </w:r>
      <w:r w:rsidRPr="008F288B">
        <w:rPr>
          <w:rFonts w:ascii="Times New Roman" w:hAnsi="Times New Roman" w:cs="Times New Roman"/>
          <w:sz w:val="24"/>
          <w:szCs w:val="24"/>
        </w:rPr>
        <w:t>Diagnosis dan</w:t>
      </w:r>
      <w:r>
        <w:rPr>
          <w:rFonts w:ascii="Times New Roman" w:hAnsi="Times New Roman" w:cs="Times New Roman"/>
          <w:sz w:val="24"/>
          <w:szCs w:val="24"/>
        </w:rPr>
        <w:t xml:space="preserve"> tata cara tindakan kedokteran; </w:t>
      </w:r>
      <w:r w:rsidRPr="008F288B">
        <w:rPr>
          <w:rFonts w:ascii="Times New Roman" w:hAnsi="Times New Roman" w:cs="Times New Roman"/>
          <w:sz w:val="24"/>
          <w:szCs w:val="24"/>
        </w:rPr>
        <w:t>Tujuan tindakan kedokteran yang dilakukan;</w:t>
      </w:r>
      <w:r>
        <w:rPr>
          <w:rFonts w:ascii="Times New Roman" w:hAnsi="Times New Roman" w:cs="Times New Roman"/>
          <w:sz w:val="24"/>
          <w:szCs w:val="24"/>
        </w:rPr>
        <w:t xml:space="preserve"> </w:t>
      </w:r>
      <w:r w:rsidRPr="008F288B">
        <w:rPr>
          <w:rFonts w:ascii="Times New Roman" w:hAnsi="Times New Roman" w:cs="Times New Roman"/>
          <w:sz w:val="24"/>
          <w:szCs w:val="24"/>
        </w:rPr>
        <w:t>Alternatif tindakan lain, dan risikonya;</w:t>
      </w:r>
      <w:r>
        <w:rPr>
          <w:rFonts w:ascii="Times New Roman" w:hAnsi="Times New Roman" w:cs="Times New Roman"/>
          <w:sz w:val="24"/>
          <w:szCs w:val="24"/>
        </w:rPr>
        <w:t xml:space="preserve"> </w:t>
      </w:r>
      <w:r w:rsidRPr="008F288B">
        <w:rPr>
          <w:rFonts w:ascii="Times New Roman" w:hAnsi="Times New Roman" w:cs="Times New Roman"/>
          <w:sz w:val="24"/>
          <w:szCs w:val="24"/>
        </w:rPr>
        <w:t>Risiko dan komplikasi yang mungkin terjadi; dan</w:t>
      </w:r>
      <w:r>
        <w:rPr>
          <w:rFonts w:ascii="Times New Roman" w:hAnsi="Times New Roman" w:cs="Times New Roman"/>
          <w:sz w:val="24"/>
          <w:szCs w:val="24"/>
        </w:rPr>
        <w:t xml:space="preserve"> </w:t>
      </w:r>
      <w:r w:rsidRPr="008F288B">
        <w:rPr>
          <w:rFonts w:ascii="Times New Roman" w:hAnsi="Times New Roman" w:cs="Times New Roman"/>
          <w:sz w:val="24"/>
          <w:szCs w:val="24"/>
        </w:rPr>
        <w:t>Prognosis terhadap tindakan yang dilakukan.</w:t>
      </w:r>
      <w:r>
        <w:rPr>
          <w:rStyle w:val="FootnoteReference"/>
        </w:rPr>
        <w:footnoteReference w:id="12"/>
      </w:r>
      <w:r>
        <w:rPr>
          <w:rFonts w:ascii="Times New Roman" w:hAnsi="Times New Roman" w:cs="Times New Roman"/>
          <w:sz w:val="24"/>
          <w:szCs w:val="24"/>
        </w:rPr>
        <w:t xml:space="preserve"> </w:t>
      </w:r>
    </w:p>
    <w:p w:rsidR="00563FBA" w:rsidRDefault="00563FBA" w:rsidP="00AF4E62">
      <w:pPr>
        <w:pStyle w:val="ListParagraph"/>
        <w:tabs>
          <w:tab w:val="left" w:pos="72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Berdasarkan hal tersebut perbedaan informasi yang harus diberikan pada UU No. 29 Tahun 2004 dan PMK NO. 290 Ta</w:t>
      </w:r>
      <w:r w:rsidR="00AF4E62">
        <w:rPr>
          <w:rFonts w:ascii="Times New Roman" w:hAnsi="Times New Roman" w:cs="Times New Roman"/>
          <w:sz w:val="24"/>
          <w:szCs w:val="24"/>
        </w:rPr>
        <w:t>h</w:t>
      </w:r>
      <w:r>
        <w:rPr>
          <w:rFonts w:ascii="Times New Roman" w:hAnsi="Times New Roman" w:cs="Times New Roman"/>
          <w:sz w:val="24"/>
          <w:szCs w:val="24"/>
        </w:rPr>
        <w:t xml:space="preserve">un 2008 pada perkiraan pembiayaan. </w:t>
      </w:r>
    </w:p>
    <w:p w:rsidR="00563FBA" w:rsidRPr="00883CE2" w:rsidRDefault="00AF4E62" w:rsidP="00AF4E62">
      <w:pPr>
        <w:pStyle w:val="ListParagraph"/>
        <w:tabs>
          <w:tab w:val="left" w:pos="72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M</w:t>
      </w:r>
      <w:r w:rsidR="00563FBA">
        <w:rPr>
          <w:rFonts w:ascii="Times New Roman" w:hAnsi="Times New Roman" w:cs="Times New Roman"/>
          <w:sz w:val="24"/>
          <w:szCs w:val="24"/>
        </w:rPr>
        <w:t xml:space="preserve">enurut Claudia Carr, </w:t>
      </w:r>
      <w:r w:rsidR="00563FBA" w:rsidRPr="00883CE2">
        <w:rPr>
          <w:rFonts w:ascii="Times New Roman" w:hAnsi="Times New Roman" w:cs="Times New Roman"/>
          <w:sz w:val="24"/>
          <w:szCs w:val="24"/>
        </w:rPr>
        <w:t>setiap pasien mungkin ingin informasi lebih lanjut atau kurang atau keterlibatan dalam pengambilan keputusan tergantung pad</w:t>
      </w:r>
      <w:r w:rsidR="00563FBA">
        <w:rPr>
          <w:rFonts w:ascii="Times New Roman" w:hAnsi="Times New Roman" w:cs="Times New Roman"/>
          <w:sz w:val="24"/>
          <w:szCs w:val="24"/>
        </w:rPr>
        <w:t>a keadaan mereka atau keinginan</w:t>
      </w:r>
      <w:r w:rsidR="00563FBA" w:rsidRPr="00883CE2">
        <w:rPr>
          <w:rFonts w:ascii="Times New Roman" w:hAnsi="Times New Roman" w:cs="Times New Roman"/>
          <w:sz w:val="24"/>
          <w:szCs w:val="24"/>
        </w:rPr>
        <w:t>, beberapa informasi yang harus di</w:t>
      </w:r>
      <w:r w:rsidR="00563FBA">
        <w:rPr>
          <w:rFonts w:ascii="Times New Roman" w:hAnsi="Times New Roman" w:cs="Times New Roman"/>
          <w:sz w:val="24"/>
          <w:szCs w:val="24"/>
        </w:rPr>
        <w:t>berikan kepada pasien meliputi</w:t>
      </w:r>
      <w:r w:rsidR="00563FBA">
        <w:rPr>
          <w:rStyle w:val="FootnoteReference"/>
        </w:rPr>
        <w:footnoteReference w:id="13"/>
      </w:r>
      <w:r w:rsidR="00563FBA">
        <w:rPr>
          <w:rFonts w:ascii="Times New Roman" w:hAnsi="Times New Roman" w:cs="Times New Roman"/>
          <w:sz w:val="24"/>
          <w:szCs w:val="24"/>
        </w:rPr>
        <w:t>:</w:t>
      </w:r>
    </w:p>
    <w:p w:rsidR="00563FBA" w:rsidRPr="00883CE2" w:rsidRDefault="00563FBA" w:rsidP="00563FBA">
      <w:pPr>
        <w:pStyle w:val="ListParagraph"/>
        <w:tabs>
          <w:tab w:val="left" w:pos="450"/>
        </w:tabs>
        <w:autoSpaceDE w:val="0"/>
        <w:autoSpaceDN w:val="0"/>
        <w:adjustRightInd w:val="0"/>
        <w:spacing w:after="0" w:line="240" w:lineRule="auto"/>
        <w:ind w:left="270" w:hanging="270"/>
        <w:jc w:val="both"/>
        <w:rPr>
          <w:rFonts w:ascii="Times New Roman" w:hAnsi="Times New Roman" w:cs="Times New Roman"/>
          <w:sz w:val="24"/>
          <w:szCs w:val="24"/>
        </w:rPr>
      </w:pPr>
      <w:r w:rsidRPr="00883CE2">
        <w:rPr>
          <w:rFonts w:ascii="Times New Roman" w:hAnsi="Times New Roman" w:cs="Times New Roman"/>
          <w:sz w:val="24"/>
          <w:szCs w:val="24"/>
        </w:rPr>
        <w:t>a) diagnosis dan prognosis</w:t>
      </w:r>
    </w:p>
    <w:p w:rsidR="00563FBA" w:rsidRPr="00883CE2" w:rsidRDefault="00563FBA" w:rsidP="00563FBA">
      <w:pPr>
        <w:pStyle w:val="ListParagraph"/>
        <w:tabs>
          <w:tab w:val="left" w:pos="450"/>
        </w:tabs>
        <w:autoSpaceDE w:val="0"/>
        <w:autoSpaceDN w:val="0"/>
        <w:adjustRightInd w:val="0"/>
        <w:spacing w:after="0" w:line="240" w:lineRule="auto"/>
        <w:ind w:left="270" w:hanging="270"/>
        <w:jc w:val="both"/>
        <w:rPr>
          <w:rFonts w:ascii="Times New Roman" w:hAnsi="Times New Roman" w:cs="Times New Roman"/>
          <w:sz w:val="24"/>
          <w:szCs w:val="24"/>
        </w:rPr>
      </w:pPr>
      <w:r w:rsidRPr="00883CE2">
        <w:rPr>
          <w:rFonts w:ascii="Times New Roman" w:hAnsi="Times New Roman" w:cs="Times New Roman"/>
          <w:sz w:val="24"/>
          <w:szCs w:val="24"/>
        </w:rPr>
        <w:t>b) setiap ketidakpastian tentang diagnosis atau prognosis, termasuk pilihan untuk penyelidikan lebih lanjut</w:t>
      </w:r>
    </w:p>
    <w:p w:rsidR="00563FBA" w:rsidRPr="00883CE2" w:rsidRDefault="00563FBA" w:rsidP="00563FBA">
      <w:pPr>
        <w:pStyle w:val="ListParagraph"/>
        <w:tabs>
          <w:tab w:val="left" w:pos="450"/>
        </w:tabs>
        <w:autoSpaceDE w:val="0"/>
        <w:autoSpaceDN w:val="0"/>
        <w:adjustRightInd w:val="0"/>
        <w:spacing w:after="0" w:line="240" w:lineRule="auto"/>
        <w:ind w:left="270" w:hanging="270"/>
        <w:jc w:val="both"/>
        <w:rPr>
          <w:rFonts w:ascii="Times New Roman" w:hAnsi="Times New Roman" w:cs="Times New Roman"/>
          <w:sz w:val="24"/>
          <w:szCs w:val="24"/>
        </w:rPr>
      </w:pPr>
      <w:r w:rsidRPr="00883CE2">
        <w:rPr>
          <w:rFonts w:ascii="Times New Roman" w:hAnsi="Times New Roman" w:cs="Times New Roman"/>
          <w:sz w:val="24"/>
          <w:szCs w:val="24"/>
        </w:rPr>
        <w:t>c) pilihan untuk mengobati atau mengelola kondisi, termasuk pilihan untuk tidak m</w:t>
      </w:r>
      <w:r>
        <w:rPr>
          <w:rFonts w:ascii="Times New Roman" w:hAnsi="Times New Roman" w:cs="Times New Roman"/>
          <w:sz w:val="24"/>
          <w:szCs w:val="24"/>
        </w:rPr>
        <w:t>elanjutkan pengobatan</w:t>
      </w:r>
    </w:p>
    <w:p w:rsidR="00563FBA" w:rsidRPr="00883CE2" w:rsidRDefault="00563FBA" w:rsidP="00563FBA">
      <w:pPr>
        <w:pStyle w:val="ListParagraph"/>
        <w:tabs>
          <w:tab w:val="left" w:pos="450"/>
        </w:tabs>
        <w:autoSpaceDE w:val="0"/>
        <w:autoSpaceDN w:val="0"/>
        <w:adjustRightInd w:val="0"/>
        <w:spacing w:after="0" w:line="240" w:lineRule="auto"/>
        <w:ind w:left="270" w:hanging="270"/>
        <w:jc w:val="both"/>
        <w:rPr>
          <w:rFonts w:ascii="Times New Roman" w:hAnsi="Times New Roman" w:cs="Times New Roman"/>
          <w:sz w:val="24"/>
          <w:szCs w:val="24"/>
        </w:rPr>
      </w:pPr>
      <w:r w:rsidRPr="00883CE2">
        <w:rPr>
          <w:rFonts w:ascii="Times New Roman" w:hAnsi="Times New Roman" w:cs="Times New Roman"/>
          <w:sz w:val="24"/>
          <w:szCs w:val="24"/>
        </w:rPr>
        <w:t>d) tujuan penyelidikan yang diusulkan atau pengobatan dan apa yang akan melibatkan</w:t>
      </w:r>
    </w:p>
    <w:p w:rsidR="00563FBA" w:rsidRPr="005D330B" w:rsidRDefault="00563FBA" w:rsidP="00563FBA">
      <w:pPr>
        <w:pStyle w:val="ListParagraph"/>
        <w:tabs>
          <w:tab w:val="left" w:pos="450"/>
        </w:tabs>
        <w:autoSpaceDE w:val="0"/>
        <w:autoSpaceDN w:val="0"/>
        <w:adjustRightInd w:val="0"/>
        <w:spacing w:after="0" w:line="240" w:lineRule="auto"/>
        <w:ind w:left="270" w:hanging="270"/>
        <w:jc w:val="both"/>
        <w:rPr>
          <w:rFonts w:ascii="Times New Roman" w:hAnsi="Times New Roman" w:cs="Times New Roman"/>
          <w:sz w:val="24"/>
          <w:szCs w:val="24"/>
        </w:rPr>
      </w:pPr>
      <w:r w:rsidRPr="00883CE2">
        <w:rPr>
          <w:rFonts w:ascii="Times New Roman" w:hAnsi="Times New Roman" w:cs="Times New Roman"/>
          <w:sz w:val="24"/>
          <w:szCs w:val="24"/>
        </w:rPr>
        <w:t>e) potensi keuntungan, risiko dan beban, dan kemungkinan keberhasilan, untuk setiap opsi; ini harus mencakup informasi, jika tersedia, apa</w:t>
      </w:r>
      <w:r>
        <w:rPr>
          <w:rFonts w:ascii="Times New Roman" w:hAnsi="Times New Roman" w:cs="Times New Roman"/>
          <w:sz w:val="24"/>
          <w:szCs w:val="24"/>
        </w:rPr>
        <w:t xml:space="preserve">kah manfaat atau risiko terkena yang dokter </w:t>
      </w:r>
      <w:r w:rsidRPr="00883CE2">
        <w:rPr>
          <w:rFonts w:ascii="Times New Roman" w:hAnsi="Times New Roman" w:cs="Times New Roman"/>
          <w:sz w:val="24"/>
          <w:szCs w:val="24"/>
        </w:rPr>
        <w:t>pilih untuk memberikan perawatan.</w:t>
      </w:r>
    </w:p>
    <w:p w:rsidR="00563FBA" w:rsidRDefault="00563FBA" w:rsidP="00AF4E62">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paparan tersebut, isi dari informasi yang diberikan pada </w:t>
      </w:r>
      <w:r w:rsidRPr="00354694">
        <w:rPr>
          <w:rFonts w:ascii="Times New Roman" w:hAnsi="Times New Roman" w:cs="Times New Roman"/>
          <w:i/>
          <w:sz w:val="24"/>
          <w:szCs w:val="24"/>
        </w:rPr>
        <w:t>common law</w:t>
      </w:r>
      <w:r>
        <w:rPr>
          <w:rFonts w:ascii="Times New Roman" w:hAnsi="Times New Roman" w:cs="Times New Roman"/>
          <w:sz w:val="24"/>
          <w:szCs w:val="24"/>
        </w:rPr>
        <w:t xml:space="preserve"> tidak jauh berbeda dengan Manual Persetujuan Tindakan Medik KKI 2005 yang lebih lengkap dalam isi pemberian informasi </w:t>
      </w:r>
    </w:p>
    <w:p w:rsidR="00563FBA" w:rsidRDefault="00AF4E62" w:rsidP="00AF4E62">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w:t>
      </w:r>
      <w:r w:rsidR="00563FBA">
        <w:rPr>
          <w:rFonts w:ascii="Times New Roman" w:hAnsi="Times New Roman" w:cs="Times New Roman"/>
          <w:sz w:val="24"/>
          <w:szCs w:val="24"/>
        </w:rPr>
        <w:t xml:space="preserve">enurut UU No. 29 Tahun 2004 Pasal 45 </w:t>
      </w:r>
      <w:r w:rsidR="00563FBA" w:rsidRPr="00735238">
        <w:rPr>
          <w:rFonts w:ascii="Times New Roman" w:hAnsi="Times New Roman" w:cs="Times New Roman"/>
          <w:sz w:val="24"/>
          <w:szCs w:val="24"/>
        </w:rPr>
        <w:t xml:space="preserve">Ayat (1) </w:t>
      </w:r>
      <w:r w:rsidR="00563FBA">
        <w:rPr>
          <w:rFonts w:ascii="Times New Roman" w:hAnsi="Times New Roman" w:cs="Times New Roman"/>
          <w:sz w:val="24"/>
          <w:szCs w:val="24"/>
        </w:rPr>
        <w:t>bahwa s</w:t>
      </w:r>
      <w:r w:rsidR="00563FBA" w:rsidRPr="00735238">
        <w:rPr>
          <w:rFonts w:ascii="Times New Roman" w:hAnsi="Times New Roman" w:cs="Times New Roman"/>
          <w:sz w:val="24"/>
          <w:szCs w:val="24"/>
        </w:rPr>
        <w:t>etiap tindakan kedokteran atau kedokteran gigi yang akan dilakukan oleh dokter atau dokter gigi terhadap pa</w:t>
      </w:r>
      <w:r w:rsidR="00563FBA">
        <w:rPr>
          <w:rFonts w:ascii="Times New Roman" w:hAnsi="Times New Roman" w:cs="Times New Roman"/>
          <w:sz w:val="24"/>
          <w:szCs w:val="24"/>
        </w:rPr>
        <w:t>sien harus mendapat persetujuan.</w:t>
      </w:r>
      <w:r w:rsidR="00563FBA">
        <w:rPr>
          <w:rStyle w:val="FootnoteReference"/>
        </w:rPr>
        <w:footnoteReference w:id="14"/>
      </w:r>
    </w:p>
    <w:p w:rsidR="00563FBA" w:rsidRDefault="00563FBA" w:rsidP="00AF4E62">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Penjelasan Pasal 45 UU No. 29 Tahun 2004 </w:t>
      </w:r>
      <w:r w:rsidR="00AF4E62">
        <w:rPr>
          <w:rFonts w:ascii="Times New Roman" w:hAnsi="Times New Roman" w:cs="Times New Roman"/>
          <w:sz w:val="24"/>
          <w:szCs w:val="24"/>
        </w:rPr>
        <w:t>“</w:t>
      </w:r>
      <w:r w:rsidRPr="004834C9">
        <w:rPr>
          <w:rFonts w:ascii="Times New Roman" w:hAnsi="Times New Roman" w:cs="Times New Roman"/>
          <w:sz w:val="24"/>
          <w:szCs w:val="24"/>
        </w:rPr>
        <w:t>Pada prinsipnya yang berhak memberikan persetujuan atau penolakan tindakan medis adalah pasien yang bersangkutan. Namun, apabila pasien yang bersangkutan berada di bawah pengampuan (under curatele) persetujuan atau penolakan tindakan medis dapat diberikan oleh keluarga terdekat antara lain suami/istri, ayah/ibu kandung, anak-anak kandun</w:t>
      </w:r>
      <w:r>
        <w:rPr>
          <w:rFonts w:ascii="Times New Roman" w:hAnsi="Times New Roman" w:cs="Times New Roman"/>
          <w:sz w:val="24"/>
          <w:szCs w:val="24"/>
        </w:rPr>
        <w:t xml:space="preserve">g atau saudara-saudara kandung. </w:t>
      </w:r>
      <w:r w:rsidRPr="004834C9">
        <w:rPr>
          <w:rFonts w:ascii="Times New Roman" w:hAnsi="Times New Roman" w:cs="Times New Roman"/>
          <w:sz w:val="24"/>
          <w:szCs w:val="24"/>
        </w:rPr>
        <w:t>Dalam keadaan gawat darurat, untuk menyelamatkan jiwa pasien tidak diperlukan persetujuan. Namun, setelah pasien sadar atau dalam kondisi yang sudah memungkinkan, segera diberikan pen</w:t>
      </w:r>
      <w:r>
        <w:rPr>
          <w:rFonts w:ascii="Times New Roman" w:hAnsi="Times New Roman" w:cs="Times New Roman"/>
          <w:sz w:val="24"/>
          <w:szCs w:val="24"/>
        </w:rPr>
        <w:t xml:space="preserve">jelasan dan dibuat persetujuan. </w:t>
      </w:r>
      <w:r w:rsidRPr="004834C9">
        <w:rPr>
          <w:rFonts w:ascii="Times New Roman" w:hAnsi="Times New Roman" w:cs="Times New Roman"/>
          <w:sz w:val="24"/>
          <w:szCs w:val="24"/>
        </w:rPr>
        <w:t>Dalam hal pasien adalah anak-anak atau orang yang tidak sadar, maka penjelasan diberikan kepada keluarganya atau yang mengantar. Apabila tidak ada yang mengantar dan tidak ada keluarganya sedangkan tindakan medis harus dilakukan maka penjelasan diberikan kepada anak yang bersangkutan atau pada kesempatan pertama pasien sudah sadar</w:t>
      </w:r>
      <w:r>
        <w:rPr>
          <w:rFonts w:ascii="Times New Roman" w:hAnsi="Times New Roman" w:cs="Times New Roman"/>
          <w:sz w:val="24"/>
          <w:szCs w:val="24"/>
        </w:rPr>
        <w:t>.</w:t>
      </w:r>
      <w:r w:rsidR="00AF4E62">
        <w:rPr>
          <w:rFonts w:ascii="Times New Roman" w:hAnsi="Times New Roman" w:cs="Times New Roman"/>
          <w:sz w:val="24"/>
          <w:szCs w:val="24"/>
        </w:rPr>
        <w:t>”</w:t>
      </w:r>
      <w:r>
        <w:rPr>
          <w:rStyle w:val="FootnoteReference"/>
        </w:rPr>
        <w:footnoteReference w:id="15"/>
      </w:r>
    </w:p>
    <w:p w:rsidR="00563FBA" w:rsidRPr="00735238" w:rsidRDefault="00AF4E62" w:rsidP="00AF4E62">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w:t>
      </w:r>
      <w:r w:rsidR="00563FBA">
        <w:rPr>
          <w:rFonts w:ascii="Times New Roman" w:hAnsi="Times New Roman" w:cs="Times New Roman"/>
          <w:sz w:val="24"/>
          <w:szCs w:val="24"/>
        </w:rPr>
        <w:t xml:space="preserve">enurut Pasal 45 Ayat </w:t>
      </w:r>
      <w:r>
        <w:rPr>
          <w:rFonts w:ascii="Times New Roman" w:hAnsi="Times New Roman" w:cs="Times New Roman"/>
          <w:sz w:val="24"/>
          <w:szCs w:val="24"/>
        </w:rPr>
        <w:t>(5) UU No. 29 Tahun 2004 bahwa “</w:t>
      </w:r>
      <w:r w:rsidR="00563FBA" w:rsidRPr="00735238">
        <w:rPr>
          <w:rFonts w:ascii="Times New Roman" w:hAnsi="Times New Roman" w:cs="Times New Roman"/>
          <w:sz w:val="24"/>
          <w:szCs w:val="24"/>
        </w:rPr>
        <w:t>Setiap tindakan kedokteran atau kedokteran gigi yang mengandung risiko tinggi harus diberikan dengan persetujuan tertulis yang ditandatangani oleh yang berhak memberikan persetujuan.</w:t>
      </w:r>
      <w:r>
        <w:rPr>
          <w:rFonts w:ascii="Times New Roman" w:hAnsi="Times New Roman" w:cs="Times New Roman"/>
          <w:sz w:val="24"/>
          <w:szCs w:val="24"/>
        </w:rPr>
        <w:t>”</w:t>
      </w:r>
    </w:p>
    <w:p w:rsidR="00AF4E62" w:rsidRDefault="00563FBA" w:rsidP="00AF4E62">
      <w:pPr>
        <w:spacing w:after="0" w:line="240" w:lineRule="auto"/>
        <w:ind w:firstLine="720"/>
        <w:jc w:val="both"/>
        <w:rPr>
          <w:rFonts w:ascii="Times New Roman" w:hAnsi="Times New Roman" w:cs="Times New Roman"/>
          <w:sz w:val="24"/>
          <w:szCs w:val="24"/>
        </w:rPr>
      </w:pPr>
      <w:r w:rsidRPr="004834C9">
        <w:rPr>
          <w:rFonts w:ascii="Times New Roman" w:hAnsi="Times New Roman" w:cs="Times New Roman"/>
          <w:sz w:val="24"/>
          <w:szCs w:val="24"/>
        </w:rPr>
        <w:t xml:space="preserve">Menurut </w:t>
      </w:r>
      <w:r>
        <w:rPr>
          <w:rFonts w:ascii="Times New Roman" w:hAnsi="Times New Roman" w:cs="Times New Roman"/>
          <w:sz w:val="24"/>
          <w:szCs w:val="24"/>
        </w:rPr>
        <w:t>Pasal 2 Ayat (1) PMK No. 290 Tahun 2008 menyebutkan bahwa s</w:t>
      </w:r>
      <w:r w:rsidRPr="004834C9">
        <w:rPr>
          <w:rFonts w:ascii="Times New Roman" w:hAnsi="Times New Roman" w:cs="Times New Roman"/>
          <w:sz w:val="24"/>
          <w:szCs w:val="24"/>
        </w:rPr>
        <w:t>emua tindakan kedokteran yang akan dilakukan terhadap pasien harus mendapat persetujuan.</w:t>
      </w:r>
      <w:r>
        <w:rPr>
          <w:rFonts w:ascii="Times New Roman" w:hAnsi="Times New Roman" w:cs="Times New Roman"/>
          <w:sz w:val="24"/>
          <w:szCs w:val="24"/>
        </w:rPr>
        <w:t xml:space="preserve"> Dan pada Pasal 3 PMK Ayat No. 290 Tahun 2008 Ayat (1) dan (3) bahwa </w:t>
      </w:r>
      <w:r w:rsidR="00AF4E62">
        <w:rPr>
          <w:rFonts w:ascii="Times New Roman" w:hAnsi="Times New Roman" w:cs="Times New Roman"/>
          <w:sz w:val="24"/>
          <w:szCs w:val="24"/>
        </w:rPr>
        <w:t>“</w:t>
      </w:r>
      <w:r w:rsidRPr="004834C9">
        <w:rPr>
          <w:rFonts w:ascii="Times New Roman" w:hAnsi="Times New Roman" w:cs="Times New Roman"/>
          <w:sz w:val="24"/>
          <w:szCs w:val="24"/>
        </w:rPr>
        <w:t>Setiap tindakan kedokteran yang mengandung risiko tinggi harus memperoleh persetujuan tertulis yang ditandatangani oleh yang berhak memberikan persetujuan.</w:t>
      </w:r>
      <w:r>
        <w:rPr>
          <w:rFonts w:ascii="Times New Roman" w:hAnsi="Times New Roman" w:cs="Times New Roman"/>
          <w:sz w:val="24"/>
          <w:szCs w:val="24"/>
        </w:rPr>
        <w:t xml:space="preserve"> </w:t>
      </w:r>
      <w:r w:rsidRPr="004834C9">
        <w:rPr>
          <w:rFonts w:ascii="Times New Roman" w:hAnsi="Times New Roman" w:cs="Times New Roman"/>
          <w:sz w:val="24"/>
          <w:szCs w:val="24"/>
        </w:rPr>
        <w:t>Persetujuan tertulis sebagaimana dimaksud pada ayat (1) dibuat dalam bentuk pernyataan yang tertuang dalam formulir khusus yang dibuat untuk itu.</w:t>
      </w:r>
      <w:r w:rsidR="00AF4E62">
        <w:rPr>
          <w:rFonts w:ascii="Times New Roman" w:hAnsi="Times New Roman" w:cs="Times New Roman"/>
          <w:sz w:val="24"/>
          <w:szCs w:val="24"/>
        </w:rPr>
        <w:t>”</w:t>
      </w:r>
    </w:p>
    <w:p w:rsidR="00563FBA" w:rsidRDefault="00563FBA" w:rsidP="00AF4E6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hal tersebut di atas, persetujuan pada </w:t>
      </w:r>
      <w:r w:rsidRPr="004D6DD5">
        <w:rPr>
          <w:rFonts w:ascii="Times New Roman" w:hAnsi="Times New Roman" w:cs="Times New Roman"/>
          <w:i/>
          <w:sz w:val="24"/>
          <w:szCs w:val="24"/>
        </w:rPr>
        <w:t>civil law system</w:t>
      </w:r>
      <w:r>
        <w:rPr>
          <w:rFonts w:ascii="Times New Roman" w:hAnsi="Times New Roman" w:cs="Times New Roman"/>
          <w:sz w:val="24"/>
          <w:szCs w:val="24"/>
        </w:rPr>
        <w:t xml:space="preserve"> harus diberikan pada setiap tindakan kedokteran dan apabila kedokteran tersebut berisiko tinggi harus dibuat secara tertulis oleh yang berhak memberikanp persetujuan, yang ditandatangani dalam formulir khusus, Yang berhak memberikan persetujuan adalah yang cakap / kompeten secara sukarela serta didokumentasikan dalam rekam medis. </w:t>
      </w:r>
    </w:p>
    <w:p w:rsidR="00563FBA" w:rsidRPr="004F5DC0" w:rsidRDefault="00563FBA" w:rsidP="00AF4E6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4F5DC0">
        <w:rPr>
          <w:rFonts w:ascii="Times New Roman" w:hAnsi="Times New Roman" w:cs="Times New Roman"/>
          <w:sz w:val="24"/>
          <w:szCs w:val="24"/>
        </w:rPr>
        <w:t xml:space="preserve">rinsip pemberian </w:t>
      </w:r>
      <w:r w:rsidRPr="009308CA">
        <w:rPr>
          <w:rFonts w:ascii="Times New Roman" w:hAnsi="Times New Roman" w:cs="Times New Roman"/>
          <w:i/>
          <w:sz w:val="24"/>
          <w:szCs w:val="24"/>
        </w:rPr>
        <w:t xml:space="preserve">informed consent </w:t>
      </w:r>
      <w:r w:rsidRPr="004F5DC0">
        <w:rPr>
          <w:rFonts w:ascii="Times New Roman" w:hAnsi="Times New Roman" w:cs="Times New Roman"/>
          <w:sz w:val="24"/>
          <w:szCs w:val="24"/>
        </w:rPr>
        <w:t>menurut Kementrian Etika Inggris adalah</w:t>
      </w:r>
      <w:r>
        <w:rPr>
          <w:rStyle w:val="FootnoteReference"/>
        </w:rPr>
        <w:footnoteReference w:id="16"/>
      </w:r>
      <w:r w:rsidRPr="004F5DC0">
        <w:rPr>
          <w:rFonts w:ascii="Times New Roman" w:hAnsi="Times New Roman" w:cs="Times New Roman"/>
          <w:sz w:val="24"/>
          <w:szCs w:val="24"/>
        </w:rPr>
        <w:t xml:space="preserve"> </w:t>
      </w:r>
    </w:p>
    <w:p w:rsidR="00563FBA" w:rsidRPr="004F5DC0" w:rsidRDefault="00AF4E62" w:rsidP="00AF4E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563FBA" w:rsidRPr="004F5DC0">
        <w:rPr>
          <w:rFonts w:ascii="Times New Roman" w:hAnsi="Times New Roman" w:cs="Times New Roman"/>
          <w:sz w:val="24"/>
          <w:szCs w:val="24"/>
        </w:rPr>
        <w:t>Diberikan secara sukarela (tanpa penipuan atau paksaan)</w:t>
      </w:r>
    </w:p>
    <w:p w:rsidR="00563FBA" w:rsidRPr="004F5DC0" w:rsidRDefault="00AF4E62" w:rsidP="00AF4E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563FBA" w:rsidRPr="004F5DC0">
        <w:rPr>
          <w:rFonts w:ascii="Times New Roman" w:hAnsi="Times New Roman" w:cs="Times New Roman"/>
          <w:sz w:val="24"/>
          <w:szCs w:val="24"/>
        </w:rPr>
        <w:t>Diberikan oleh individu yang mempunyai kapasitas</w:t>
      </w:r>
    </w:p>
    <w:p w:rsidR="00563FBA" w:rsidRDefault="00AF4E62" w:rsidP="00AF4E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563FBA" w:rsidRPr="004F5DC0">
        <w:rPr>
          <w:rFonts w:ascii="Times New Roman" w:hAnsi="Times New Roman" w:cs="Times New Roman"/>
          <w:sz w:val="24"/>
          <w:szCs w:val="24"/>
        </w:rPr>
        <w:t>Diberikan oleh individu yang telah diinformasikan mengenai tindakan medis yang akan dilakukan.</w:t>
      </w:r>
    </w:p>
    <w:p w:rsidR="00563FBA" w:rsidRDefault="00563FBA" w:rsidP="00AF4E6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keputusan </w:t>
      </w:r>
      <w:r w:rsidRPr="004F5DC0">
        <w:rPr>
          <w:rFonts w:ascii="Times New Roman" w:hAnsi="Times New Roman" w:cs="Times New Roman"/>
          <w:sz w:val="24"/>
          <w:szCs w:val="24"/>
        </w:rPr>
        <w:t xml:space="preserve">Benyamin Cardozo dalam menangani perkara antara Schloendorff vs Society of the New York Hospital pada tahun 1914. Dalam memutuskan perkara tersebut Benyamin Cardozo berpendapat bahwa : </w:t>
      </w:r>
      <w:r w:rsidRPr="004F5DC0">
        <w:rPr>
          <w:rFonts w:ascii="Times New Roman" w:hAnsi="Times New Roman" w:cs="Times New Roman"/>
          <w:i/>
          <w:sz w:val="24"/>
          <w:szCs w:val="24"/>
        </w:rPr>
        <w:t>Every human of adult years and sound mind has a right to determine what shall be done with his own body and a surgeon who performs an operation without his patient's consent and assault for which he is. liable in damaged.</w:t>
      </w:r>
      <w:r w:rsidRPr="004F5DC0">
        <w:rPr>
          <w:rFonts w:ascii="Times New Roman" w:hAnsi="Times New Roman" w:cs="Times New Roman"/>
          <w:sz w:val="24"/>
          <w:szCs w:val="24"/>
        </w:rPr>
        <w:t xml:space="preserve"> (Putusan Benyamin Cardozo ini mengandung makna bahwa setiap orang (insan) yang sudah dewasa dan mampu berpikir secara sehat berhak untuk menentukan nasib sendiri terhadap apa yang seharusnya dilakukan terhadap dirinya). Berarti bahwa suatu intervensi terhadap tubuh seseorang yang dilakukan sang pengobat harus mendapat persetujuan (ijin) dari orang yang bersangkutan</w:t>
      </w:r>
      <w:r>
        <w:rPr>
          <w:rStyle w:val="FootnoteReference"/>
        </w:rPr>
        <w:footnoteReference w:id="17"/>
      </w:r>
    </w:p>
    <w:p w:rsidR="00563FBA" w:rsidRDefault="00563FBA" w:rsidP="00EE64F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dalam </w:t>
      </w:r>
      <w:r w:rsidRPr="004F5DC0">
        <w:rPr>
          <w:rFonts w:ascii="Times New Roman" w:hAnsi="Times New Roman" w:cs="Times New Roman"/>
          <w:i/>
          <w:sz w:val="24"/>
          <w:szCs w:val="24"/>
        </w:rPr>
        <w:t>common law, informed consent</w:t>
      </w:r>
      <w:r>
        <w:rPr>
          <w:rFonts w:ascii="Times New Roman" w:hAnsi="Times New Roman" w:cs="Times New Roman"/>
          <w:sz w:val="24"/>
          <w:szCs w:val="24"/>
        </w:rPr>
        <w:t xml:space="preserve"> diperlukan untuk setiap tindakan kedokteran, tidak disebutkan untuk yang berisiko tinggi atau tidak untuk menghindari </w:t>
      </w:r>
      <w:r w:rsidRPr="004F5DC0">
        <w:rPr>
          <w:rFonts w:ascii="Times New Roman" w:hAnsi="Times New Roman" w:cs="Times New Roman"/>
          <w:i/>
          <w:sz w:val="24"/>
          <w:szCs w:val="24"/>
        </w:rPr>
        <w:t>battery</w:t>
      </w:r>
      <w:r>
        <w:rPr>
          <w:rFonts w:ascii="Times New Roman" w:hAnsi="Times New Roman" w:cs="Times New Roman"/>
          <w:sz w:val="24"/>
          <w:szCs w:val="24"/>
        </w:rPr>
        <w:t xml:space="preserve">. Hal yang penting juga dalam </w:t>
      </w:r>
      <w:r w:rsidRPr="004F5DC0">
        <w:rPr>
          <w:rFonts w:ascii="Times New Roman" w:hAnsi="Times New Roman" w:cs="Times New Roman"/>
          <w:i/>
          <w:sz w:val="24"/>
          <w:szCs w:val="24"/>
        </w:rPr>
        <w:t>common law</w:t>
      </w:r>
      <w:r>
        <w:rPr>
          <w:rFonts w:ascii="Times New Roman" w:hAnsi="Times New Roman" w:cs="Times New Roman"/>
          <w:sz w:val="24"/>
          <w:szCs w:val="24"/>
        </w:rPr>
        <w:t xml:space="preserve"> adalah menekankan kepada informasi yang diberikan bukan kepada teknis pemberian informasi. </w:t>
      </w:r>
    </w:p>
    <w:p w:rsidR="00605B4D" w:rsidRDefault="00605B4D" w:rsidP="00EE64F9">
      <w:pPr>
        <w:pStyle w:val="SUBSUBBAB1"/>
        <w:spacing w:line="240" w:lineRule="auto"/>
        <w:ind w:left="360"/>
      </w:pPr>
      <w:bookmarkStart w:id="5" w:name="_Toc475118333"/>
      <w:r>
        <w:t>Kultur Hukum</w:t>
      </w:r>
      <w:bookmarkEnd w:id="5"/>
    </w:p>
    <w:p w:rsidR="00605B4D" w:rsidRPr="00DE14AF" w:rsidRDefault="00605B4D" w:rsidP="00EE64F9">
      <w:pPr>
        <w:spacing w:after="0" w:line="240" w:lineRule="auto"/>
        <w:ind w:right="60" w:firstLine="720"/>
        <w:jc w:val="both"/>
        <w:rPr>
          <w:rFonts w:ascii="Times New Roman" w:eastAsia="Times New Roman" w:hAnsi="Times New Roman" w:cs="Times New Roman"/>
          <w:sz w:val="24"/>
          <w:szCs w:val="24"/>
        </w:rPr>
      </w:pPr>
      <w:r w:rsidRPr="00DE14AF">
        <w:rPr>
          <w:rFonts w:ascii="Times New Roman" w:eastAsia="Times New Roman" w:hAnsi="Times New Roman" w:cs="Times New Roman"/>
          <w:sz w:val="24"/>
          <w:szCs w:val="24"/>
        </w:rPr>
        <w:t>Di Asia pada umumnya dan Indonesia pada khususnya ada beberapa aspek yang perlu diperhitungkan, salah satunya ialah masyarakat yang kolektif</w:t>
      </w:r>
      <w:r>
        <w:rPr>
          <w:rFonts w:ascii="Times New Roman" w:eastAsia="Times New Roman" w:hAnsi="Times New Roman" w:cs="Times New Roman"/>
          <w:sz w:val="24"/>
          <w:szCs w:val="24"/>
        </w:rPr>
        <w:t xml:space="preserve"> </w:t>
      </w:r>
      <w:r w:rsidRPr="00DE14AF">
        <w:rPr>
          <w:rFonts w:ascii="Times New Roman" w:eastAsia="Times New Roman" w:hAnsi="Times New Roman" w:cs="Times New Roman"/>
          <w:sz w:val="24"/>
          <w:szCs w:val="24"/>
        </w:rPr>
        <w:t xml:space="preserve">dan kekerabatan. Dalam hal </w:t>
      </w:r>
      <w:r w:rsidRPr="00DE14AF">
        <w:rPr>
          <w:rFonts w:ascii="Times New Roman" w:eastAsia="Times New Roman" w:hAnsi="Times New Roman" w:cs="Times New Roman"/>
          <w:i/>
          <w:sz w:val="24"/>
          <w:szCs w:val="24"/>
        </w:rPr>
        <w:t>informed consent,</w:t>
      </w:r>
      <w:r w:rsidRPr="00DE14AF">
        <w:rPr>
          <w:rFonts w:ascii="Times New Roman" w:eastAsia="Times New Roman" w:hAnsi="Times New Roman" w:cs="Times New Roman"/>
          <w:sz w:val="24"/>
          <w:szCs w:val="24"/>
        </w:rPr>
        <w:t xml:space="preserve"> otonomi ini bukanlah otonomi personal tetapi otonomi kolektif yang diberikan oleh beberapa orang ataupun seorang mewakili banyak orang misalnya kepala suku atau kepala </w:t>
      </w:r>
      <w:r>
        <w:rPr>
          <w:rFonts w:ascii="Times New Roman" w:eastAsia="Times New Roman" w:hAnsi="Times New Roman" w:cs="Times New Roman"/>
          <w:sz w:val="24"/>
          <w:szCs w:val="24"/>
        </w:rPr>
        <w:t xml:space="preserve">kampung. </w:t>
      </w:r>
      <w:r w:rsidRPr="00DE14AF">
        <w:rPr>
          <w:rFonts w:ascii="Times New Roman" w:eastAsia="Times New Roman" w:hAnsi="Times New Roman" w:cs="Times New Roman"/>
          <w:sz w:val="24"/>
          <w:szCs w:val="24"/>
        </w:rPr>
        <w:t xml:space="preserve">Sudah menjadi praktik di banyak tempat bahwa yang memberikan </w:t>
      </w:r>
      <w:r w:rsidRPr="00DE14AF">
        <w:rPr>
          <w:rFonts w:ascii="Times New Roman" w:eastAsia="Times New Roman" w:hAnsi="Times New Roman" w:cs="Times New Roman"/>
          <w:i/>
          <w:sz w:val="24"/>
          <w:szCs w:val="24"/>
        </w:rPr>
        <w:t>informed consent</w:t>
      </w:r>
      <w:r w:rsidRPr="00DE14AF">
        <w:rPr>
          <w:rFonts w:ascii="Times New Roman" w:eastAsia="Times New Roman" w:hAnsi="Times New Roman" w:cs="Times New Roman"/>
          <w:sz w:val="24"/>
          <w:szCs w:val="24"/>
        </w:rPr>
        <w:t xml:space="preserve"> bukan hanya pasien tetapi juga keluarga, bahkan seringkali keluarga besarnya. Di masyarakat tertentu, yang memberikan </w:t>
      </w:r>
      <w:r w:rsidRPr="00DE14AF">
        <w:rPr>
          <w:rFonts w:ascii="Times New Roman" w:eastAsia="Times New Roman" w:hAnsi="Times New Roman" w:cs="Times New Roman"/>
          <w:i/>
          <w:sz w:val="24"/>
          <w:szCs w:val="24"/>
        </w:rPr>
        <w:t>informed consent</w:t>
      </w:r>
      <w:r w:rsidRPr="00DE14AF">
        <w:rPr>
          <w:rFonts w:ascii="Times New Roman" w:eastAsia="Times New Roman" w:hAnsi="Times New Roman" w:cs="Times New Roman"/>
          <w:sz w:val="24"/>
          <w:szCs w:val="24"/>
        </w:rPr>
        <w:t xml:space="preserve"> adalah kepala suku yang bertindak mewakili seluruh warga suku itu. Dalam konteks dimana cara hidup orang bukanlah personalistik tetapi kekerabatan maka seharusnya bisa dimengerti dan bisa diterima secara legal bahwa </w:t>
      </w:r>
      <w:r w:rsidRPr="00DE14AF">
        <w:rPr>
          <w:rFonts w:ascii="Times New Roman" w:eastAsia="Times New Roman" w:hAnsi="Times New Roman" w:cs="Times New Roman"/>
          <w:i/>
          <w:sz w:val="24"/>
          <w:szCs w:val="24"/>
        </w:rPr>
        <w:t>informed consent</w:t>
      </w:r>
      <w:r w:rsidRPr="00DE14AF">
        <w:rPr>
          <w:rFonts w:ascii="Times New Roman" w:eastAsia="Times New Roman" w:hAnsi="Times New Roman" w:cs="Times New Roman"/>
          <w:sz w:val="24"/>
          <w:szCs w:val="24"/>
        </w:rPr>
        <w:t xml:space="preserve"> ini diberikan oleh kelompok tertentu atau satu orang atas nama kelompok.</w:t>
      </w:r>
      <w:r>
        <w:rPr>
          <w:rStyle w:val="FootnoteReference"/>
          <w:rFonts w:eastAsia="Times New Roman"/>
        </w:rPr>
        <w:footnoteReference w:id="18"/>
      </w:r>
      <w:r>
        <w:rPr>
          <w:rFonts w:ascii="Times New Roman" w:eastAsia="Times New Roman" w:hAnsi="Times New Roman" w:cs="Times New Roman"/>
          <w:sz w:val="24"/>
          <w:szCs w:val="24"/>
        </w:rPr>
        <w:t xml:space="preserve"> Untuk itu budaya hukum dalam pemberian </w:t>
      </w:r>
      <w:r w:rsidRPr="00DE14AF">
        <w:rPr>
          <w:rFonts w:ascii="Times New Roman" w:eastAsia="Times New Roman" w:hAnsi="Times New Roman" w:cs="Times New Roman"/>
          <w:i/>
          <w:sz w:val="24"/>
          <w:szCs w:val="24"/>
        </w:rPr>
        <w:t>informed consent</w:t>
      </w:r>
      <w:r>
        <w:rPr>
          <w:rFonts w:ascii="Times New Roman" w:eastAsia="Times New Roman" w:hAnsi="Times New Roman" w:cs="Times New Roman"/>
          <w:sz w:val="24"/>
          <w:szCs w:val="24"/>
        </w:rPr>
        <w:t xml:space="preserve"> adalah dalam kekerabatan utamanya setiap persetujuan tindakan selalu meminta pertimbangan keluarga dan tidak memutuskan atas pribadinya sendiri. </w:t>
      </w:r>
    </w:p>
    <w:p w:rsidR="00605B4D" w:rsidRDefault="00605B4D" w:rsidP="00605B4D">
      <w:pPr>
        <w:tabs>
          <w:tab w:val="left" w:pos="72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Dalam pengobatan Barat, </w:t>
      </w:r>
      <w:r w:rsidRPr="009F76A2">
        <w:rPr>
          <w:rFonts w:ascii="Times New Roman" w:hAnsi="Times New Roman" w:cs="Times New Roman"/>
          <w:sz w:val="24"/>
          <w:szCs w:val="24"/>
        </w:rPr>
        <w:t xml:space="preserve">hubungan paternalistik </w:t>
      </w:r>
      <w:r>
        <w:rPr>
          <w:rFonts w:ascii="Times New Roman" w:hAnsi="Times New Roman" w:cs="Times New Roman"/>
          <w:sz w:val="24"/>
          <w:szCs w:val="24"/>
        </w:rPr>
        <w:t xml:space="preserve">dokter –pasien sudah semakin menghilang, </w:t>
      </w:r>
      <w:r w:rsidRPr="009F76A2">
        <w:rPr>
          <w:rFonts w:ascii="Times New Roman" w:hAnsi="Times New Roman" w:cs="Times New Roman"/>
          <w:sz w:val="24"/>
          <w:szCs w:val="24"/>
        </w:rPr>
        <w:t>karena itu berarti bahwa lebih banyak orang akan mengajukan lebi</w:t>
      </w:r>
      <w:r>
        <w:rPr>
          <w:rFonts w:ascii="Times New Roman" w:hAnsi="Times New Roman" w:cs="Times New Roman"/>
          <w:sz w:val="24"/>
          <w:szCs w:val="24"/>
        </w:rPr>
        <w:t xml:space="preserve">h banyak pertanyaan kepada dokter </w:t>
      </w:r>
      <w:r w:rsidRPr="009F76A2">
        <w:rPr>
          <w:rFonts w:ascii="Times New Roman" w:hAnsi="Times New Roman" w:cs="Times New Roman"/>
          <w:sz w:val="24"/>
          <w:szCs w:val="24"/>
        </w:rPr>
        <w:t>dan perawat.</w:t>
      </w:r>
      <w:r>
        <w:rPr>
          <w:rStyle w:val="FootnoteReference"/>
        </w:rPr>
        <w:footnoteReference w:id="19"/>
      </w:r>
      <w:r w:rsidRPr="009F76A2">
        <w:rPr>
          <w:rFonts w:ascii="Times New Roman" w:hAnsi="Times New Roman" w:cs="Times New Roman"/>
          <w:sz w:val="24"/>
          <w:szCs w:val="24"/>
        </w:rPr>
        <w:t xml:space="preserve"> </w:t>
      </w:r>
      <w:r>
        <w:rPr>
          <w:rFonts w:ascii="Times New Roman" w:hAnsi="Times New Roman" w:cs="Times New Roman"/>
          <w:sz w:val="24"/>
          <w:szCs w:val="24"/>
        </w:rPr>
        <w:t xml:space="preserve">Pada </w:t>
      </w:r>
      <w:r w:rsidRPr="00B2648A">
        <w:rPr>
          <w:rFonts w:ascii="Times New Roman" w:hAnsi="Times New Roman" w:cs="Times New Roman"/>
          <w:sz w:val="24"/>
          <w:szCs w:val="24"/>
        </w:rPr>
        <w:t>masyarakat Barat seperti Amerika Serikat, penentuan nasib sendiri dan otonomi diadakan penting. Itu karena masyarakat Barat menekankan orde pertama otonomi, yang mempromosik</w:t>
      </w:r>
      <w:r>
        <w:rPr>
          <w:rFonts w:ascii="Times New Roman" w:hAnsi="Times New Roman" w:cs="Times New Roman"/>
          <w:sz w:val="24"/>
          <w:szCs w:val="24"/>
        </w:rPr>
        <w:t>an penentuan nasib sendiri</w:t>
      </w:r>
      <w:r w:rsidRPr="00B2648A">
        <w:rPr>
          <w:rFonts w:ascii="Times New Roman" w:hAnsi="Times New Roman" w:cs="Times New Roman"/>
          <w:sz w:val="24"/>
          <w:szCs w:val="24"/>
        </w:rPr>
        <w:t>.</w:t>
      </w:r>
      <w:r>
        <w:rPr>
          <w:rStyle w:val="FootnoteReference"/>
        </w:rPr>
        <w:footnoteReference w:id="20"/>
      </w:r>
      <w:r>
        <w:rPr>
          <w:rFonts w:ascii="Times New Roman" w:hAnsi="Times New Roman" w:cs="Times New Roman"/>
          <w:sz w:val="24"/>
          <w:szCs w:val="24"/>
        </w:rPr>
        <w:t xml:space="preserve"> </w:t>
      </w:r>
      <w:r w:rsidRPr="00B2648A">
        <w:rPr>
          <w:rFonts w:ascii="Times New Roman" w:hAnsi="Times New Roman" w:cs="Times New Roman"/>
          <w:sz w:val="24"/>
          <w:szCs w:val="24"/>
        </w:rPr>
        <w:t xml:space="preserve">Konsep </w:t>
      </w:r>
      <w:r w:rsidRPr="00B2648A">
        <w:rPr>
          <w:rFonts w:ascii="Times New Roman" w:hAnsi="Times New Roman" w:cs="Times New Roman"/>
          <w:i/>
          <w:sz w:val="24"/>
          <w:szCs w:val="24"/>
        </w:rPr>
        <w:t>informed consent</w:t>
      </w:r>
      <w:r>
        <w:rPr>
          <w:rFonts w:ascii="Times New Roman" w:hAnsi="Times New Roman" w:cs="Times New Roman"/>
          <w:sz w:val="24"/>
          <w:szCs w:val="24"/>
        </w:rPr>
        <w:t xml:space="preserve"> yang berasal</w:t>
      </w:r>
      <w:r w:rsidRPr="00B2648A">
        <w:rPr>
          <w:rFonts w:ascii="Times New Roman" w:hAnsi="Times New Roman" w:cs="Times New Roman"/>
          <w:sz w:val="24"/>
          <w:szCs w:val="24"/>
        </w:rPr>
        <w:t xml:space="preserve"> dari Barat menekankan otonomi pasien secara individual berbeda dengan struktur masyarakat Indonesia yang lebih bersifat komunal.</w:t>
      </w:r>
      <w:r>
        <w:rPr>
          <w:rStyle w:val="FootnoteReference"/>
        </w:rPr>
        <w:footnoteReference w:id="21"/>
      </w:r>
    </w:p>
    <w:p w:rsidR="00605B4D" w:rsidRDefault="00605B4D" w:rsidP="00605B4D">
      <w:pPr>
        <w:tabs>
          <w:tab w:val="left" w:pos="720"/>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Berdasarkan hal tersebut, pemberian </w:t>
      </w:r>
      <w:r w:rsidRPr="00B2648A">
        <w:rPr>
          <w:rFonts w:ascii="Times New Roman" w:hAnsi="Times New Roman" w:cs="Times New Roman"/>
          <w:i/>
          <w:sz w:val="24"/>
          <w:szCs w:val="24"/>
        </w:rPr>
        <w:t>informed consent</w:t>
      </w:r>
      <w:r>
        <w:rPr>
          <w:rFonts w:ascii="Times New Roman" w:hAnsi="Times New Roman" w:cs="Times New Roman"/>
          <w:sz w:val="24"/>
          <w:szCs w:val="24"/>
        </w:rPr>
        <w:t xml:space="preserve"> pada </w:t>
      </w:r>
      <w:r w:rsidRPr="00B2648A">
        <w:rPr>
          <w:rFonts w:ascii="Times New Roman" w:hAnsi="Times New Roman" w:cs="Times New Roman"/>
          <w:i/>
          <w:sz w:val="24"/>
          <w:szCs w:val="24"/>
        </w:rPr>
        <w:t xml:space="preserve">common law </w:t>
      </w:r>
      <w:r>
        <w:rPr>
          <w:rFonts w:ascii="Times New Roman" w:hAnsi="Times New Roman" w:cs="Times New Roman"/>
          <w:sz w:val="24"/>
          <w:szCs w:val="24"/>
        </w:rPr>
        <w:t xml:space="preserve">dan </w:t>
      </w:r>
      <w:r w:rsidRPr="00B2648A">
        <w:rPr>
          <w:rFonts w:ascii="Times New Roman" w:hAnsi="Times New Roman" w:cs="Times New Roman"/>
          <w:i/>
          <w:sz w:val="24"/>
          <w:szCs w:val="24"/>
        </w:rPr>
        <w:t>civil law</w:t>
      </w:r>
      <w:r>
        <w:rPr>
          <w:rFonts w:ascii="Times New Roman" w:hAnsi="Times New Roman" w:cs="Times New Roman"/>
          <w:sz w:val="24"/>
          <w:szCs w:val="24"/>
        </w:rPr>
        <w:t xml:space="preserve"> sangat berbeda dalam kebudayaan sehingga hal tersebut yang menyulitkan tenaga kesehatan apabila konsep </w:t>
      </w:r>
      <w:r w:rsidRPr="00354694">
        <w:rPr>
          <w:rFonts w:ascii="Times New Roman" w:hAnsi="Times New Roman" w:cs="Times New Roman"/>
          <w:i/>
          <w:sz w:val="24"/>
          <w:szCs w:val="24"/>
        </w:rPr>
        <w:t>informed consent</w:t>
      </w:r>
      <w:r>
        <w:rPr>
          <w:rFonts w:ascii="Times New Roman" w:hAnsi="Times New Roman" w:cs="Times New Roman"/>
          <w:sz w:val="24"/>
          <w:szCs w:val="24"/>
        </w:rPr>
        <w:t xml:space="preserve"> dengan budaya barat diterapkan di Indonesia yang masih menganut budaya paternalistik dan bersifat komunal. </w:t>
      </w:r>
    </w:p>
    <w:p w:rsidR="00605B4D" w:rsidRPr="00605B4D" w:rsidRDefault="00605B4D" w:rsidP="00605B4D">
      <w:pPr>
        <w:pStyle w:val="SUBBABA"/>
        <w:numPr>
          <w:ilvl w:val="0"/>
          <w:numId w:val="0"/>
        </w:numPr>
        <w:spacing w:line="240" w:lineRule="auto"/>
        <w:rPr>
          <w:i/>
          <w:sz w:val="24"/>
          <w:szCs w:val="24"/>
        </w:rPr>
      </w:pPr>
      <w:bookmarkStart w:id="6" w:name="_Toc475118334"/>
      <w:r w:rsidRPr="00605B4D">
        <w:rPr>
          <w:sz w:val="24"/>
          <w:szCs w:val="24"/>
        </w:rPr>
        <w:t xml:space="preserve">Pemberian </w:t>
      </w:r>
      <w:r w:rsidRPr="00605B4D">
        <w:rPr>
          <w:i/>
          <w:sz w:val="24"/>
          <w:szCs w:val="24"/>
        </w:rPr>
        <w:t>Informed Consent</w:t>
      </w:r>
      <w:r w:rsidRPr="00605B4D">
        <w:rPr>
          <w:sz w:val="24"/>
          <w:szCs w:val="24"/>
        </w:rPr>
        <w:t xml:space="preserve"> pada pasien yang tidak cakap secara hukum di </w:t>
      </w:r>
      <w:r w:rsidRPr="00605B4D">
        <w:rPr>
          <w:i/>
          <w:sz w:val="24"/>
          <w:szCs w:val="24"/>
        </w:rPr>
        <w:t>common law system</w:t>
      </w:r>
      <w:r w:rsidRPr="00605B4D">
        <w:rPr>
          <w:sz w:val="24"/>
          <w:szCs w:val="24"/>
        </w:rPr>
        <w:t xml:space="preserve"> dan </w:t>
      </w:r>
      <w:r w:rsidRPr="00605B4D">
        <w:rPr>
          <w:i/>
          <w:sz w:val="24"/>
          <w:szCs w:val="24"/>
        </w:rPr>
        <w:t>civil law system</w:t>
      </w:r>
      <w:bookmarkEnd w:id="6"/>
    </w:p>
    <w:p w:rsidR="00605B4D" w:rsidRDefault="00605B4D" w:rsidP="00EE64F9">
      <w:pPr>
        <w:pStyle w:val="SUBSUBBAB1"/>
        <w:numPr>
          <w:ilvl w:val="0"/>
          <w:numId w:val="29"/>
        </w:numPr>
        <w:spacing w:line="240" w:lineRule="auto"/>
        <w:ind w:left="360"/>
      </w:pPr>
      <w:bookmarkStart w:id="7" w:name="_Toc475118335"/>
      <w:r>
        <w:t>Substansi Hukum</w:t>
      </w:r>
      <w:bookmarkEnd w:id="7"/>
    </w:p>
    <w:p w:rsidR="00605B4D" w:rsidRPr="00D556F0" w:rsidRDefault="00605B4D" w:rsidP="00605B4D">
      <w:pPr>
        <w:spacing w:after="0" w:line="240" w:lineRule="auto"/>
        <w:ind w:firstLine="720"/>
        <w:jc w:val="both"/>
        <w:rPr>
          <w:rFonts w:ascii="Times New Roman" w:hAnsi="Times New Roman" w:cs="Times New Roman"/>
          <w:sz w:val="24"/>
          <w:szCs w:val="24"/>
        </w:rPr>
      </w:pPr>
      <w:r w:rsidRPr="00D556F0">
        <w:rPr>
          <w:rFonts w:ascii="Times New Roman" w:hAnsi="Times New Roman" w:cs="Times New Roman"/>
          <w:sz w:val="24"/>
          <w:szCs w:val="24"/>
        </w:rPr>
        <w:t>Orang-orang yang menurut Undang-undang tidak cakap untuk melakukan perbuatan hukum adalah</w:t>
      </w:r>
      <w:r w:rsidRPr="00D556F0">
        <w:rPr>
          <w:rStyle w:val="FootnoteReference"/>
          <w:b/>
        </w:rPr>
        <w:footnoteReference w:id="22"/>
      </w:r>
      <w:r w:rsidRPr="00D556F0">
        <w:rPr>
          <w:rFonts w:ascii="Times New Roman" w:hAnsi="Times New Roman" w:cs="Times New Roman"/>
          <w:sz w:val="24"/>
          <w:szCs w:val="24"/>
        </w:rPr>
        <w:t xml:space="preserve"> :</w:t>
      </w:r>
    </w:p>
    <w:p w:rsidR="00605B4D" w:rsidRPr="00D556F0" w:rsidRDefault="00605B4D" w:rsidP="00605B4D">
      <w:pPr>
        <w:spacing w:after="0" w:line="240" w:lineRule="auto"/>
        <w:jc w:val="both"/>
        <w:rPr>
          <w:rFonts w:ascii="Times New Roman" w:hAnsi="Times New Roman" w:cs="Times New Roman"/>
          <w:sz w:val="24"/>
          <w:szCs w:val="24"/>
        </w:rPr>
      </w:pPr>
      <w:r w:rsidRPr="00D556F0">
        <w:rPr>
          <w:rFonts w:ascii="Times New Roman" w:hAnsi="Times New Roman" w:cs="Times New Roman"/>
          <w:sz w:val="24"/>
          <w:szCs w:val="24"/>
        </w:rPr>
        <w:t>1)</w:t>
      </w:r>
      <w:r w:rsidRPr="00D556F0">
        <w:rPr>
          <w:rFonts w:ascii="Times New Roman" w:hAnsi="Times New Roman" w:cs="Times New Roman"/>
          <w:sz w:val="24"/>
          <w:szCs w:val="24"/>
        </w:rPr>
        <w:tab/>
        <w:t>Orang-orang yang belum dewasa, yaitu anak yang belum mencapai umur 18 tahun atau belum pernah melangsungkan perkawinan (Pasal 1330 KUH Perdata jo Pasal 47 UU No. 1 Tahun 1974).</w:t>
      </w:r>
    </w:p>
    <w:p w:rsidR="00605B4D" w:rsidRPr="00D556F0" w:rsidRDefault="00605B4D" w:rsidP="00605B4D">
      <w:pPr>
        <w:spacing w:after="0" w:line="240" w:lineRule="auto"/>
        <w:jc w:val="both"/>
        <w:rPr>
          <w:rFonts w:ascii="Times New Roman" w:hAnsi="Times New Roman" w:cs="Times New Roman"/>
          <w:sz w:val="24"/>
          <w:szCs w:val="24"/>
        </w:rPr>
      </w:pPr>
      <w:r w:rsidRPr="00D556F0">
        <w:rPr>
          <w:rFonts w:ascii="Times New Roman" w:hAnsi="Times New Roman" w:cs="Times New Roman"/>
          <w:sz w:val="24"/>
          <w:szCs w:val="24"/>
        </w:rPr>
        <w:t>2)</w:t>
      </w:r>
      <w:r w:rsidRPr="00D556F0">
        <w:rPr>
          <w:rFonts w:ascii="Times New Roman" w:hAnsi="Times New Roman" w:cs="Times New Roman"/>
          <w:sz w:val="24"/>
          <w:szCs w:val="24"/>
        </w:rPr>
        <w:tab/>
        <w:t>Orang-orang yang ditaruh di bawah pengampuan, yaitu orang-orang dewasa tapi dalam keadaan dungu, gila, mata gelap, dan pemboros (pasal 1330 KUH Perdata jo pasal 433 BW);</w:t>
      </w:r>
    </w:p>
    <w:p w:rsidR="00605B4D" w:rsidRPr="00D556F0" w:rsidRDefault="00605B4D" w:rsidP="00605B4D">
      <w:pPr>
        <w:spacing w:after="0" w:line="240" w:lineRule="auto"/>
        <w:jc w:val="both"/>
        <w:rPr>
          <w:rFonts w:ascii="Times New Roman" w:hAnsi="Times New Roman" w:cs="Times New Roman"/>
          <w:sz w:val="24"/>
          <w:szCs w:val="24"/>
        </w:rPr>
      </w:pPr>
      <w:r w:rsidRPr="00D556F0">
        <w:rPr>
          <w:rFonts w:ascii="Times New Roman" w:hAnsi="Times New Roman" w:cs="Times New Roman"/>
          <w:sz w:val="24"/>
          <w:szCs w:val="24"/>
        </w:rPr>
        <w:t>3)</w:t>
      </w:r>
      <w:r w:rsidRPr="00D556F0">
        <w:rPr>
          <w:rFonts w:ascii="Times New Roman" w:hAnsi="Times New Roman" w:cs="Times New Roman"/>
          <w:sz w:val="24"/>
          <w:szCs w:val="24"/>
        </w:rPr>
        <w:tab/>
        <w:t>Orang-orang yang dilarang undang-undang untuk melakukan perbuatan-perbuatan hukum tertentu, misalnya orang dinyatakan pailit (pasal 1330 KUH Perdata jo Undang-undang Kepailitan).</w:t>
      </w:r>
    </w:p>
    <w:p w:rsidR="00605B4D" w:rsidRDefault="00605B4D" w:rsidP="00605B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UU No. 29 Tahun 2004 tentang Praktik Kedokteran tidak disebutkan secara jelas mengenai orang yang berhak memberi persetujuan, hanya pada bagian Penjelasan Pasal 45 disebutkan keadaan-keadaan dimana pasien tidak dapat memberikan persetujuan dan membutuhkan wali / keluarga, / orang lain yaitu barada di bawah pengampuan, keadaan tidak sadar, dan anak. Secara lebih jelas disebutkan dalam Pasal 12 ayat (1) dan Pasal 13 PMK No. 290 Tahun 2008 yaitu :</w:t>
      </w:r>
    </w:p>
    <w:p w:rsidR="00605B4D" w:rsidRDefault="00605B4D" w:rsidP="00605B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Pasal 12 </w:t>
      </w:r>
    </w:p>
    <w:p w:rsidR="00605B4D" w:rsidRDefault="00605B4D" w:rsidP="00605B4D">
      <w:pPr>
        <w:spacing w:after="0" w:line="240" w:lineRule="auto"/>
        <w:jc w:val="both"/>
        <w:rPr>
          <w:rFonts w:ascii="Times New Roman" w:hAnsi="Times New Roman" w:cs="Times New Roman"/>
          <w:sz w:val="24"/>
          <w:szCs w:val="24"/>
        </w:rPr>
      </w:pPr>
      <w:r w:rsidRPr="00D556F0">
        <w:rPr>
          <w:rFonts w:ascii="Times New Roman" w:hAnsi="Times New Roman" w:cs="Times New Roman"/>
          <w:sz w:val="24"/>
          <w:szCs w:val="24"/>
        </w:rPr>
        <w:t>Persetujuan diberikan oleh pasien yang kompeten, atau oleh wali, atau keluarga terdekat atau pengampunya.</w:t>
      </w:r>
    </w:p>
    <w:p w:rsidR="00605B4D" w:rsidRDefault="00605B4D" w:rsidP="00605B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Pasal 13</w:t>
      </w:r>
    </w:p>
    <w:p w:rsidR="00605B4D" w:rsidRPr="00D556F0" w:rsidRDefault="00605B4D" w:rsidP="00605B4D">
      <w:pPr>
        <w:spacing w:after="0" w:line="240" w:lineRule="auto"/>
        <w:jc w:val="both"/>
        <w:rPr>
          <w:rFonts w:ascii="Times New Roman" w:hAnsi="Times New Roman" w:cs="Times New Roman"/>
          <w:sz w:val="24"/>
          <w:szCs w:val="24"/>
        </w:rPr>
      </w:pPr>
      <w:r w:rsidRPr="00D556F0">
        <w:rPr>
          <w:rFonts w:ascii="Times New Roman" w:hAnsi="Times New Roman" w:cs="Times New Roman"/>
          <w:sz w:val="24"/>
          <w:szCs w:val="24"/>
        </w:rPr>
        <w:t>(1)</w:t>
      </w:r>
      <w:r w:rsidRPr="00D556F0">
        <w:rPr>
          <w:rFonts w:ascii="Times New Roman" w:hAnsi="Times New Roman" w:cs="Times New Roman"/>
          <w:sz w:val="24"/>
          <w:szCs w:val="24"/>
        </w:rPr>
        <w:tab/>
        <w:t>Pasien dianggap kompet</w:t>
      </w:r>
      <w:r>
        <w:rPr>
          <w:rFonts w:ascii="Times New Roman" w:hAnsi="Times New Roman" w:cs="Times New Roman"/>
          <w:sz w:val="24"/>
          <w:szCs w:val="24"/>
        </w:rPr>
        <w:t>en berdasarkan usianya apabila:</w:t>
      </w:r>
    </w:p>
    <w:p w:rsidR="00605B4D" w:rsidRPr="00D556F0" w:rsidRDefault="00605B4D" w:rsidP="00605B4D">
      <w:pPr>
        <w:spacing w:after="0" w:line="240" w:lineRule="auto"/>
        <w:jc w:val="both"/>
        <w:rPr>
          <w:rFonts w:ascii="Times New Roman" w:hAnsi="Times New Roman" w:cs="Times New Roman"/>
          <w:sz w:val="24"/>
          <w:szCs w:val="24"/>
        </w:rPr>
      </w:pPr>
      <w:r w:rsidRPr="00D556F0">
        <w:rPr>
          <w:rFonts w:ascii="Times New Roman" w:hAnsi="Times New Roman" w:cs="Times New Roman"/>
          <w:sz w:val="24"/>
          <w:szCs w:val="24"/>
        </w:rPr>
        <w:t>a.</w:t>
      </w:r>
      <w:r w:rsidRPr="00D556F0">
        <w:rPr>
          <w:rFonts w:ascii="Times New Roman" w:hAnsi="Times New Roman" w:cs="Times New Roman"/>
          <w:sz w:val="24"/>
          <w:szCs w:val="24"/>
        </w:rPr>
        <w:tab/>
        <w:t>Pasien dewasa, yaitu telah berusia 21 (duapuluh satu) t</w:t>
      </w:r>
      <w:r>
        <w:rPr>
          <w:rFonts w:ascii="Times New Roman" w:hAnsi="Times New Roman" w:cs="Times New Roman"/>
          <w:sz w:val="24"/>
          <w:szCs w:val="24"/>
        </w:rPr>
        <w:t>ahun atau telah/pernah menikah.</w:t>
      </w:r>
    </w:p>
    <w:p w:rsidR="00605B4D" w:rsidRPr="00D556F0" w:rsidRDefault="00605B4D" w:rsidP="00605B4D">
      <w:pPr>
        <w:spacing w:after="0" w:line="240" w:lineRule="auto"/>
        <w:jc w:val="both"/>
        <w:rPr>
          <w:rFonts w:ascii="Times New Roman" w:hAnsi="Times New Roman" w:cs="Times New Roman"/>
          <w:sz w:val="24"/>
          <w:szCs w:val="24"/>
        </w:rPr>
      </w:pPr>
      <w:r w:rsidRPr="00D556F0">
        <w:rPr>
          <w:rFonts w:ascii="Times New Roman" w:hAnsi="Times New Roman" w:cs="Times New Roman"/>
          <w:sz w:val="24"/>
          <w:szCs w:val="24"/>
        </w:rPr>
        <w:t>b.</w:t>
      </w:r>
      <w:r w:rsidRPr="00D556F0">
        <w:rPr>
          <w:rFonts w:ascii="Times New Roman" w:hAnsi="Times New Roman" w:cs="Times New Roman"/>
          <w:sz w:val="24"/>
          <w:szCs w:val="24"/>
        </w:rPr>
        <w:tab/>
        <w:t>Pasien telah berusia 18 tahun, tidak termasuk anak berdasarka</w:t>
      </w:r>
      <w:r>
        <w:rPr>
          <w:rFonts w:ascii="Times New Roman" w:hAnsi="Times New Roman" w:cs="Times New Roman"/>
          <w:sz w:val="24"/>
          <w:szCs w:val="24"/>
        </w:rPr>
        <w:t>n peraturan perundang-undangan.</w:t>
      </w:r>
    </w:p>
    <w:p w:rsidR="00605B4D" w:rsidRPr="00D556F0" w:rsidRDefault="00605B4D" w:rsidP="00605B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Berdasarkan kesadarannya :</w:t>
      </w:r>
    </w:p>
    <w:p w:rsidR="00605B4D" w:rsidRPr="00D556F0" w:rsidRDefault="00605B4D" w:rsidP="00605B4D">
      <w:pPr>
        <w:spacing w:after="0" w:line="240" w:lineRule="auto"/>
        <w:jc w:val="both"/>
        <w:rPr>
          <w:rFonts w:ascii="Times New Roman" w:hAnsi="Times New Roman" w:cs="Times New Roman"/>
          <w:sz w:val="24"/>
          <w:szCs w:val="24"/>
        </w:rPr>
      </w:pPr>
      <w:r w:rsidRPr="00D556F0">
        <w:rPr>
          <w:rFonts w:ascii="Times New Roman" w:hAnsi="Times New Roman" w:cs="Times New Roman"/>
          <w:sz w:val="24"/>
          <w:szCs w:val="24"/>
        </w:rPr>
        <w:t>a.</w:t>
      </w:r>
      <w:r w:rsidRPr="00D556F0">
        <w:rPr>
          <w:rFonts w:ascii="Times New Roman" w:hAnsi="Times New Roman" w:cs="Times New Roman"/>
          <w:sz w:val="24"/>
          <w:szCs w:val="24"/>
        </w:rPr>
        <w:tab/>
        <w:t xml:space="preserve">Pasien dianggap kompeten apabila pasien tersebut tidak terganggu kesadaran fisiknya, sehingga mampu berkomunikasi secara wajar dan mampu </w:t>
      </w:r>
      <w:r>
        <w:rPr>
          <w:rFonts w:ascii="Times New Roman" w:hAnsi="Times New Roman" w:cs="Times New Roman"/>
          <w:sz w:val="24"/>
          <w:szCs w:val="24"/>
        </w:rPr>
        <w:t>membuat keputusan secara bebas.</w:t>
      </w:r>
    </w:p>
    <w:p w:rsidR="00605B4D" w:rsidRPr="00D556F0" w:rsidRDefault="00605B4D" w:rsidP="00605B4D">
      <w:pPr>
        <w:spacing w:after="0" w:line="240" w:lineRule="auto"/>
        <w:jc w:val="both"/>
        <w:rPr>
          <w:rFonts w:ascii="Times New Roman" w:hAnsi="Times New Roman" w:cs="Times New Roman"/>
          <w:sz w:val="24"/>
          <w:szCs w:val="24"/>
        </w:rPr>
      </w:pPr>
      <w:r w:rsidRPr="00D556F0">
        <w:rPr>
          <w:rFonts w:ascii="Times New Roman" w:hAnsi="Times New Roman" w:cs="Times New Roman"/>
          <w:sz w:val="24"/>
          <w:szCs w:val="24"/>
        </w:rPr>
        <w:t>b.</w:t>
      </w:r>
      <w:r w:rsidRPr="00D556F0">
        <w:rPr>
          <w:rFonts w:ascii="Times New Roman" w:hAnsi="Times New Roman" w:cs="Times New Roman"/>
          <w:sz w:val="24"/>
          <w:szCs w:val="24"/>
        </w:rPr>
        <w:tab/>
        <w:t>Pasien dapat kehilangan kompetensinya untuk sementara waktu apabila ia mengalami syok, nyeri yang sangat atau kelemahan lain akibat keadaan sakitnya.</w:t>
      </w:r>
    </w:p>
    <w:p w:rsidR="00605B4D" w:rsidRPr="00D556F0" w:rsidRDefault="00605B4D" w:rsidP="00605B4D">
      <w:pPr>
        <w:spacing w:after="0" w:line="240" w:lineRule="auto"/>
        <w:jc w:val="both"/>
        <w:rPr>
          <w:rFonts w:ascii="Times New Roman" w:hAnsi="Times New Roman" w:cs="Times New Roman"/>
          <w:sz w:val="24"/>
          <w:szCs w:val="24"/>
        </w:rPr>
      </w:pPr>
      <w:r w:rsidRPr="00D556F0">
        <w:rPr>
          <w:rFonts w:ascii="Times New Roman" w:hAnsi="Times New Roman" w:cs="Times New Roman"/>
          <w:sz w:val="24"/>
          <w:szCs w:val="24"/>
        </w:rPr>
        <w:t>(3)</w:t>
      </w:r>
      <w:r w:rsidRPr="00D556F0">
        <w:rPr>
          <w:rFonts w:ascii="Times New Roman" w:hAnsi="Times New Roman" w:cs="Times New Roman"/>
          <w:sz w:val="24"/>
          <w:szCs w:val="24"/>
        </w:rPr>
        <w:tab/>
        <w:t>B</w:t>
      </w:r>
      <w:r>
        <w:rPr>
          <w:rFonts w:ascii="Times New Roman" w:hAnsi="Times New Roman" w:cs="Times New Roman"/>
          <w:sz w:val="24"/>
          <w:szCs w:val="24"/>
        </w:rPr>
        <w:t>erdasarkan kesehatan mentalnya:</w:t>
      </w:r>
    </w:p>
    <w:p w:rsidR="00605B4D" w:rsidRPr="00D556F0" w:rsidRDefault="00605B4D" w:rsidP="00605B4D">
      <w:pPr>
        <w:spacing w:after="0" w:line="240" w:lineRule="auto"/>
        <w:jc w:val="both"/>
        <w:rPr>
          <w:rFonts w:ascii="Times New Roman" w:hAnsi="Times New Roman" w:cs="Times New Roman"/>
          <w:sz w:val="24"/>
          <w:szCs w:val="24"/>
        </w:rPr>
      </w:pPr>
      <w:r w:rsidRPr="00D556F0">
        <w:rPr>
          <w:rFonts w:ascii="Times New Roman" w:hAnsi="Times New Roman" w:cs="Times New Roman"/>
          <w:sz w:val="24"/>
          <w:szCs w:val="24"/>
        </w:rPr>
        <w:t>a.</w:t>
      </w:r>
      <w:r w:rsidRPr="00D556F0">
        <w:rPr>
          <w:rFonts w:ascii="Times New Roman" w:hAnsi="Times New Roman" w:cs="Times New Roman"/>
          <w:sz w:val="24"/>
          <w:szCs w:val="24"/>
        </w:rPr>
        <w:tab/>
        <w:t xml:space="preserve">Pasien dianggap kompeten apabila pasien tersebut tidak mengalami kemunduran perkembangan (retardasi mental) dan tidak mengalami penyakit mental yang membuatnya tidak mampu </w:t>
      </w:r>
      <w:r>
        <w:rPr>
          <w:rFonts w:ascii="Times New Roman" w:hAnsi="Times New Roman" w:cs="Times New Roman"/>
          <w:sz w:val="24"/>
          <w:szCs w:val="24"/>
        </w:rPr>
        <w:t>membuat keputusan secara bebas.</w:t>
      </w:r>
    </w:p>
    <w:p w:rsidR="00605B4D" w:rsidRPr="00D556F0" w:rsidRDefault="00605B4D" w:rsidP="00605B4D">
      <w:pPr>
        <w:spacing w:after="0" w:line="240" w:lineRule="auto"/>
        <w:jc w:val="both"/>
        <w:rPr>
          <w:rFonts w:ascii="Times New Roman" w:hAnsi="Times New Roman" w:cs="Times New Roman"/>
          <w:sz w:val="24"/>
          <w:szCs w:val="24"/>
        </w:rPr>
      </w:pPr>
      <w:r w:rsidRPr="00D556F0">
        <w:rPr>
          <w:rFonts w:ascii="Times New Roman" w:hAnsi="Times New Roman" w:cs="Times New Roman"/>
          <w:sz w:val="24"/>
          <w:szCs w:val="24"/>
        </w:rPr>
        <w:t>b.</w:t>
      </w:r>
      <w:r w:rsidRPr="00D556F0">
        <w:rPr>
          <w:rFonts w:ascii="Times New Roman" w:hAnsi="Times New Roman" w:cs="Times New Roman"/>
          <w:sz w:val="24"/>
          <w:szCs w:val="24"/>
        </w:rPr>
        <w:tab/>
        <w:t>Pasien dengan gangguan jiwa (mental) dapat dianggap kompeten, apabila dia masih mampu memahami informasi, mempercayainya, mempertahankannya, untuk kemudian menggunakannya dalam membuat keputusan yang bebas.</w:t>
      </w:r>
    </w:p>
    <w:p w:rsidR="00605B4D" w:rsidRDefault="00605B4D" w:rsidP="00605B4D">
      <w:pPr>
        <w:spacing w:after="0" w:line="240" w:lineRule="auto"/>
        <w:jc w:val="both"/>
        <w:rPr>
          <w:rFonts w:ascii="Times New Roman" w:hAnsi="Times New Roman" w:cs="Times New Roman"/>
          <w:sz w:val="24"/>
          <w:szCs w:val="24"/>
        </w:rPr>
      </w:pPr>
      <w:r w:rsidRPr="00D556F0">
        <w:rPr>
          <w:rFonts w:ascii="Times New Roman" w:hAnsi="Times New Roman" w:cs="Times New Roman"/>
          <w:sz w:val="24"/>
          <w:szCs w:val="24"/>
        </w:rPr>
        <w:t xml:space="preserve"> (4)</w:t>
      </w:r>
      <w:r w:rsidRPr="00D556F0">
        <w:rPr>
          <w:rFonts w:ascii="Times New Roman" w:hAnsi="Times New Roman" w:cs="Times New Roman"/>
          <w:sz w:val="24"/>
          <w:szCs w:val="24"/>
        </w:rPr>
        <w:tab/>
        <w:t>Kompetensi pasien harus dinilai oleh dokter pada saat diperlukan persetujuannya dan apabila meragukan maka harus ditentukan oleh tim dokter yang kompeten.</w:t>
      </w:r>
    </w:p>
    <w:p w:rsidR="00605B4D" w:rsidRPr="009B146E" w:rsidRDefault="00605B4D" w:rsidP="00605B4D">
      <w:pPr>
        <w:spacing w:after="0" w:line="240" w:lineRule="auto"/>
        <w:ind w:firstLine="720"/>
        <w:jc w:val="both"/>
        <w:rPr>
          <w:rFonts w:ascii="Times New Roman" w:hAnsi="Times New Roman" w:cs="Times New Roman"/>
          <w:i/>
          <w:sz w:val="24"/>
          <w:szCs w:val="24"/>
        </w:rPr>
      </w:pPr>
      <w:r w:rsidRPr="00D556F0">
        <w:rPr>
          <w:rFonts w:ascii="Times New Roman" w:hAnsi="Times New Roman" w:cs="Times New Roman"/>
          <w:sz w:val="24"/>
          <w:szCs w:val="24"/>
        </w:rPr>
        <w:t>Berdasarkan peraturan mentri kesehatan tersebut, orang yang berhak</w:t>
      </w:r>
      <w:r>
        <w:rPr>
          <w:rFonts w:ascii="Times New Roman" w:hAnsi="Times New Roman" w:cs="Times New Roman"/>
          <w:sz w:val="24"/>
          <w:szCs w:val="24"/>
        </w:rPr>
        <w:t xml:space="preserve"> memberikan persetujuan hanya pasien yang kompeten / cakap berdasarkan usia, kesadaran, dan kesehatan mental. Persetujuan juga dapat diberikan oleh wali/keluarga terdekat atau pengampunya. </w:t>
      </w:r>
    </w:p>
    <w:p w:rsidR="00605B4D" w:rsidRPr="00ED4512" w:rsidRDefault="00605B4D" w:rsidP="00605B4D">
      <w:pPr>
        <w:tabs>
          <w:tab w:val="left" w:pos="72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D4512">
        <w:rPr>
          <w:rFonts w:ascii="Times New Roman" w:hAnsi="Times New Roman" w:cs="Times New Roman"/>
          <w:sz w:val="24"/>
          <w:szCs w:val="24"/>
        </w:rPr>
        <w:t>Sebagai ukuran, bahwa seorang adalah</w:t>
      </w:r>
      <w:r>
        <w:rPr>
          <w:rFonts w:ascii="Times New Roman" w:hAnsi="Times New Roman" w:cs="Times New Roman"/>
          <w:sz w:val="24"/>
          <w:szCs w:val="24"/>
        </w:rPr>
        <w:t xml:space="preserve"> sudah dewasa, Hukum Adat tidak </w:t>
      </w:r>
      <w:r w:rsidRPr="00ED4512">
        <w:rPr>
          <w:rFonts w:ascii="Times New Roman" w:hAnsi="Times New Roman" w:cs="Times New Roman"/>
          <w:sz w:val="24"/>
          <w:szCs w:val="24"/>
        </w:rPr>
        <w:t xml:space="preserve">mengenal suatu umur tertentu, melainkan </w:t>
      </w:r>
      <w:r>
        <w:rPr>
          <w:rFonts w:ascii="Times New Roman" w:hAnsi="Times New Roman" w:cs="Times New Roman"/>
          <w:sz w:val="24"/>
          <w:szCs w:val="24"/>
        </w:rPr>
        <w:t xml:space="preserve">pada umumnya memakai pengertian </w:t>
      </w:r>
      <w:r w:rsidRPr="00ED4512">
        <w:rPr>
          <w:rFonts w:ascii="Times New Roman" w:hAnsi="Times New Roman" w:cs="Times New Roman"/>
          <w:sz w:val="24"/>
          <w:szCs w:val="24"/>
        </w:rPr>
        <w:t>"dapat hidup sendiri" atau "akil-balig", dan bi</w:t>
      </w:r>
      <w:r w:rsidRPr="00ED4512">
        <w:rPr>
          <w:rFonts w:ascii="Times New Roman" w:hAnsi="Times New Roman" w:cs="Times New Roman"/>
          <w:sz w:val="24"/>
          <w:szCs w:val="24"/>
        </w:rPr>
        <w:softHyphen/>
        <w:t>asanya orang-orang yang dianggap "akil balig" ini, berumur 16 atau 18 tahun atau sudah kawin dan berdiam sendiri, tidak bersama-sama dengan orang tuanya.</w:t>
      </w:r>
      <w:r>
        <w:rPr>
          <w:rStyle w:val="FootnoteReference"/>
        </w:rPr>
        <w:footnoteReference w:id="23"/>
      </w:r>
    </w:p>
    <w:p w:rsidR="00605B4D" w:rsidRDefault="00605B4D" w:rsidP="00605B4D">
      <w:pPr>
        <w:tabs>
          <w:tab w:val="left" w:pos="720"/>
          <w:tab w:val="left" w:pos="1440"/>
        </w:tabs>
        <w:spacing w:after="0" w:line="240" w:lineRule="auto"/>
        <w:jc w:val="both"/>
        <w:rPr>
          <w:rFonts w:ascii="Times New Roman" w:eastAsia="Times New Roman" w:hAnsi="Times New Roman" w:cs="Times New Roman"/>
          <w:sz w:val="24"/>
          <w:szCs w:val="24"/>
          <w:lang w:val="id-ID"/>
        </w:rPr>
      </w:pPr>
      <w:r>
        <w:rPr>
          <w:rFonts w:ascii="Times New Roman" w:hAnsi="Times New Roman" w:cs="Times New Roman"/>
          <w:sz w:val="24"/>
          <w:szCs w:val="24"/>
        </w:rPr>
        <w:tab/>
      </w:r>
      <w:r w:rsidRPr="00ED4512">
        <w:rPr>
          <w:rFonts w:ascii="Times New Roman" w:eastAsia="Times New Roman" w:hAnsi="Times New Roman" w:cs="Times New Roman"/>
          <w:sz w:val="24"/>
          <w:szCs w:val="24"/>
          <w:lang w:val="id-ID" w:eastAsia="id-ID"/>
        </w:rPr>
        <w:t xml:space="preserve">Mengenai orang-orang yang belum dewasa, kriterianya ditentukan oleh Pasal </w:t>
      </w:r>
      <w:r w:rsidRPr="00ED4512">
        <w:rPr>
          <w:rFonts w:ascii="Times New Roman" w:eastAsia="Times New Roman" w:hAnsi="Times New Roman" w:cs="Times New Roman"/>
          <w:sz w:val="24"/>
          <w:szCs w:val="24"/>
        </w:rPr>
        <w:t xml:space="preserve">330 </w:t>
      </w:r>
      <w:r w:rsidRPr="00ED4512">
        <w:rPr>
          <w:rFonts w:ascii="Times New Roman" w:eastAsia="Times New Roman" w:hAnsi="Times New Roman" w:cs="Times New Roman"/>
          <w:sz w:val="24"/>
          <w:szCs w:val="24"/>
          <w:lang w:val="id-ID" w:eastAsia="id-ID"/>
        </w:rPr>
        <w:t>KUH Perdata, yaitu "belum dewasa adalah mereka yang belum mencapai umur genap dua puluh satu tahun dan sebelumnya belum kawin". Bila perkawinan mereka putus (cerai) sebelum umur mereka genap dua puluh satu tahun maka mereka tidak kembali lagi dalam status belum dewasa</w:t>
      </w:r>
      <w:r>
        <w:rPr>
          <w:rFonts w:ascii="Times New Roman" w:eastAsia="Times New Roman" w:hAnsi="Times New Roman" w:cs="Times New Roman"/>
          <w:sz w:val="24"/>
          <w:szCs w:val="24"/>
          <w:lang w:eastAsia="id-ID"/>
        </w:rPr>
        <w:t xml:space="preserve">. </w:t>
      </w:r>
      <w:r w:rsidRPr="00ED4512">
        <w:rPr>
          <w:rFonts w:ascii="Times New Roman" w:eastAsia="Times New Roman" w:hAnsi="Times New Roman" w:cs="Times New Roman"/>
          <w:sz w:val="24"/>
          <w:szCs w:val="24"/>
          <w:lang w:val="id-ID" w:eastAsia="id-ID"/>
        </w:rPr>
        <w:t xml:space="preserve">Dengan dikeluarkannya Undang-Undang Nomor </w:t>
      </w:r>
      <w:r w:rsidRPr="00ED4512">
        <w:rPr>
          <w:rFonts w:ascii="Times New Roman" w:eastAsia="Times New Roman" w:hAnsi="Times New Roman" w:cs="Times New Roman"/>
          <w:sz w:val="24"/>
          <w:szCs w:val="24"/>
        </w:rPr>
        <w:t xml:space="preserve">1 </w:t>
      </w:r>
      <w:r w:rsidRPr="00ED4512">
        <w:rPr>
          <w:rFonts w:ascii="Times New Roman" w:eastAsia="Times New Roman" w:hAnsi="Times New Roman" w:cs="Times New Roman"/>
          <w:sz w:val="24"/>
          <w:szCs w:val="24"/>
          <w:lang w:val="id-ID" w:eastAsia="id-ID"/>
        </w:rPr>
        <w:t xml:space="preserve">Tahun </w:t>
      </w:r>
      <w:r w:rsidRPr="00ED4512">
        <w:rPr>
          <w:rFonts w:ascii="Times New Roman" w:eastAsia="Times New Roman" w:hAnsi="Times New Roman" w:cs="Times New Roman"/>
          <w:sz w:val="24"/>
          <w:szCs w:val="24"/>
        </w:rPr>
        <w:t xml:space="preserve">1974 </w:t>
      </w:r>
      <w:r>
        <w:rPr>
          <w:rFonts w:ascii="Times New Roman" w:eastAsia="Times New Roman" w:hAnsi="Times New Roman" w:cs="Times New Roman"/>
          <w:sz w:val="24"/>
          <w:szCs w:val="24"/>
          <w:lang w:val="id-ID" w:eastAsia="id-ID"/>
        </w:rPr>
        <w:t>T</w:t>
      </w:r>
      <w:r w:rsidRPr="00ED4512">
        <w:rPr>
          <w:rFonts w:ascii="Times New Roman" w:eastAsia="Times New Roman" w:hAnsi="Times New Roman" w:cs="Times New Roman"/>
          <w:sz w:val="24"/>
          <w:szCs w:val="24"/>
          <w:lang w:val="id-ID" w:eastAsia="id-ID"/>
        </w:rPr>
        <w:t xml:space="preserve">entang Perkawinan maka di Indonesia menjadi jelas ukuran seorang dewasa seperti yang disebutkan dalam Pasal </w:t>
      </w:r>
      <w:r w:rsidRPr="00ED4512">
        <w:rPr>
          <w:rFonts w:ascii="Times New Roman" w:eastAsia="Times New Roman" w:hAnsi="Times New Roman" w:cs="Times New Roman"/>
          <w:sz w:val="24"/>
          <w:szCs w:val="24"/>
        </w:rPr>
        <w:t xml:space="preserve">50 </w:t>
      </w:r>
      <w:r w:rsidRPr="00ED4512">
        <w:rPr>
          <w:rFonts w:ascii="Times New Roman" w:eastAsia="Times New Roman" w:hAnsi="Times New Roman" w:cs="Times New Roman"/>
          <w:sz w:val="24"/>
          <w:szCs w:val="24"/>
          <w:lang w:val="id-ID" w:eastAsia="id-ID"/>
        </w:rPr>
        <w:t xml:space="preserve">ayat </w:t>
      </w:r>
      <w:r w:rsidRPr="00ED4512">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id-ID" w:eastAsia="id-ID"/>
        </w:rPr>
        <w:t xml:space="preserve">Undang-Undang No. 1 Tahun </w:t>
      </w:r>
      <w:r>
        <w:rPr>
          <w:rFonts w:ascii="Times New Roman" w:eastAsia="Times New Roman" w:hAnsi="Times New Roman" w:cs="Times New Roman"/>
          <w:sz w:val="24"/>
          <w:szCs w:val="24"/>
          <w:lang w:eastAsia="id-ID"/>
        </w:rPr>
        <w:t>1974 Tentang Perkawinan</w:t>
      </w:r>
      <w:r w:rsidRPr="00ED4512">
        <w:rPr>
          <w:rFonts w:ascii="Times New Roman" w:eastAsia="Times New Roman" w:hAnsi="Times New Roman" w:cs="Times New Roman"/>
          <w:sz w:val="24"/>
          <w:szCs w:val="24"/>
          <w:lang w:val="id-ID" w:eastAsia="id-ID"/>
        </w:rPr>
        <w:t>, yaitu:</w:t>
      </w:r>
      <w:r>
        <w:rPr>
          <w:rFonts w:ascii="Times New Roman" w:eastAsia="Times New Roman" w:hAnsi="Times New Roman" w:cs="Times New Roman"/>
          <w:sz w:val="24"/>
          <w:szCs w:val="24"/>
        </w:rPr>
        <w:t xml:space="preserve"> </w:t>
      </w:r>
      <w:r w:rsidRPr="00ED4512">
        <w:rPr>
          <w:rFonts w:ascii="Times New Roman" w:eastAsia="Times New Roman" w:hAnsi="Times New Roman" w:cs="Times New Roman"/>
          <w:sz w:val="24"/>
          <w:szCs w:val="24"/>
          <w:lang w:val="id-ID" w:eastAsia="id-ID"/>
        </w:rPr>
        <w:t xml:space="preserve">"Anak yang belum mencapai umur </w:t>
      </w:r>
      <w:r w:rsidRPr="00ED4512">
        <w:rPr>
          <w:rFonts w:ascii="Times New Roman" w:eastAsia="Times New Roman" w:hAnsi="Times New Roman" w:cs="Times New Roman"/>
          <w:sz w:val="24"/>
          <w:szCs w:val="24"/>
        </w:rPr>
        <w:t xml:space="preserve">18 </w:t>
      </w:r>
      <w:r w:rsidRPr="00ED4512">
        <w:rPr>
          <w:rFonts w:ascii="Times New Roman" w:eastAsia="Times New Roman" w:hAnsi="Times New Roman" w:cs="Times New Roman"/>
          <w:sz w:val="24"/>
          <w:szCs w:val="24"/>
          <w:lang w:val="id-ID" w:eastAsia="id-ID"/>
        </w:rPr>
        <w:t>(delapan belas) tahun atau belum pernah melangsungkan perkawinan, yang tidak berada di bawah kekuasaan orang tua, berada di bawah kekuasaan wali"</w:t>
      </w:r>
      <w:r>
        <w:rPr>
          <w:rStyle w:val="FootnoteReference"/>
          <w:rFonts w:eastAsia="Times New Roman"/>
          <w:lang w:val="id-ID" w:eastAsia="id-ID"/>
        </w:rPr>
        <w:footnoteReference w:id="24"/>
      </w:r>
    </w:p>
    <w:p w:rsidR="00605B4D" w:rsidRPr="003428EB" w:rsidRDefault="00605B4D" w:rsidP="00605B4D">
      <w:pPr>
        <w:tabs>
          <w:tab w:val="left" w:pos="720"/>
          <w:tab w:val="left" w:pos="1440"/>
        </w:tabs>
        <w:spacing w:after="0" w:line="240" w:lineRule="auto"/>
        <w:ind w:right="4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sidRPr="00ED4512">
        <w:rPr>
          <w:rFonts w:ascii="Times New Roman" w:eastAsia="Times New Roman" w:hAnsi="Times New Roman" w:cs="Times New Roman"/>
          <w:sz w:val="24"/>
          <w:szCs w:val="24"/>
          <w:lang w:val="id-ID" w:eastAsia="id-ID"/>
        </w:rPr>
        <w:t xml:space="preserve">Pernyataan dari pasal tersebut dapat disimpulkan bahwa anak yang belum dewasa itu adalah anak yang berusia belum mencapai </w:t>
      </w:r>
      <w:r w:rsidRPr="00ED4512">
        <w:rPr>
          <w:rFonts w:ascii="Times New Roman" w:eastAsia="Times New Roman" w:hAnsi="Times New Roman" w:cs="Times New Roman"/>
          <w:sz w:val="24"/>
          <w:szCs w:val="24"/>
        </w:rPr>
        <w:t xml:space="preserve">18 </w:t>
      </w:r>
      <w:r w:rsidRPr="00ED4512">
        <w:rPr>
          <w:rFonts w:ascii="Times New Roman" w:eastAsia="Times New Roman" w:hAnsi="Times New Roman" w:cs="Times New Roman"/>
          <w:sz w:val="24"/>
          <w:szCs w:val="24"/>
          <w:lang w:val="id-ID" w:eastAsia="id-ID"/>
        </w:rPr>
        <w:t>tahun atau belum pernah melangsungkan perkawinan</w:t>
      </w:r>
      <w:r>
        <w:rPr>
          <w:rStyle w:val="FootnoteReference"/>
          <w:rFonts w:eastAsia="Times New Roman"/>
          <w:lang w:val="id-ID" w:eastAsia="id-ID"/>
        </w:rPr>
        <w:footnoteReference w:id="25"/>
      </w:r>
      <w:r w:rsidRPr="00ED4512">
        <w:rPr>
          <w:rFonts w:ascii="Times New Roman" w:eastAsia="Times New Roman" w:hAnsi="Times New Roman" w:cs="Times New Roman"/>
          <w:sz w:val="24"/>
          <w:szCs w:val="24"/>
          <w:lang w:val="id-ID" w:eastAsia="id-ID"/>
        </w:rPr>
        <w:t>.</w:t>
      </w:r>
      <w:r>
        <w:rPr>
          <w:rFonts w:ascii="Times New Roman" w:hAnsi="Times New Roman" w:cs="Times New Roman"/>
          <w:sz w:val="24"/>
          <w:szCs w:val="24"/>
        </w:rPr>
        <w:t xml:space="preserve"> </w:t>
      </w:r>
    </w:p>
    <w:p w:rsidR="00605B4D" w:rsidRDefault="00605B4D" w:rsidP="00605B4D">
      <w:pPr>
        <w:tabs>
          <w:tab w:val="left" w:pos="72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Menurut Pasal 13 PMK No.  290 Tahun 2008 adalah</w:t>
      </w:r>
      <w:r w:rsidRPr="009B146E">
        <w:rPr>
          <w:rFonts w:ascii="Times New Roman" w:hAnsi="Times New Roman" w:cs="Times New Roman"/>
          <w:sz w:val="24"/>
          <w:szCs w:val="24"/>
        </w:rPr>
        <w:t xml:space="preserve"> telah berusia 21 (dua</w:t>
      </w:r>
      <w:r>
        <w:rPr>
          <w:rFonts w:ascii="Times New Roman" w:hAnsi="Times New Roman" w:cs="Times New Roman"/>
          <w:sz w:val="24"/>
          <w:szCs w:val="24"/>
        </w:rPr>
        <w:t xml:space="preserve"> </w:t>
      </w:r>
      <w:r w:rsidRPr="009B146E">
        <w:rPr>
          <w:rFonts w:ascii="Times New Roman" w:hAnsi="Times New Roman" w:cs="Times New Roman"/>
          <w:sz w:val="24"/>
          <w:szCs w:val="24"/>
        </w:rPr>
        <w:t xml:space="preserve">puluh satu) </w:t>
      </w:r>
      <w:r>
        <w:rPr>
          <w:rFonts w:ascii="Times New Roman" w:hAnsi="Times New Roman" w:cs="Times New Roman"/>
          <w:sz w:val="24"/>
          <w:szCs w:val="24"/>
        </w:rPr>
        <w:t>tahun atau telah/pernah menikah serta p</w:t>
      </w:r>
      <w:r w:rsidRPr="009B146E">
        <w:rPr>
          <w:rFonts w:ascii="Times New Roman" w:hAnsi="Times New Roman" w:cs="Times New Roman"/>
          <w:sz w:val="24"/>
          <w:szCs w:val="24"/>
        </w:rPr>
        <w:t>asien telah berusia 18 tahun, tidak termasuk anak berdasarkan peraturan perundang-undangan.</w:t>
      </w:r>
      <w:r>
        <w:rPr>
          <w:rFonts w:ascii="Times New Roman" w:hAnsi="Times New Roman" w:cs="Times New Roman"/>
          <w:sz w:val="24"/>
          <w:szCs w:val="24"/>
        </w:rPr>
        <w:t xml:space="preserve"> Sedangkan menurut Manual Persetujuan Tindakan KKI 2008 adalah usia 18 tahun atau lebih atau pernah menikah dengan pengecualian dalam kasus risiko tinggi maka anak usia 16-18 tahun dapat memberikan </w:t>
      </w:r>
      <w:r w:rsidRPr="0042638E">
        <w:rPr>
          <w:rFonts w:ascii="Times New Roman" w:hAnsi="Times New Roman" w:cs="Times New Roman"/>
          <w:i/>
          <w:sz w:val="24"/>
          <w:szCs w:val="24"/>
        </w:rPr>
        <w:t>informed consent</w:t>
      </w:r>
      <w:r>
        <w:rPr>
          <w:rFonts w:ascii="Times New Roman" w:hAnsi="Times New Roman" w:cs="Times New Roman"/>
          <w:sz w:val="24"/>
          <w:szCs w:val="24"/>
        </w:rPr>
        <w:t xml:space="preserve"> dengan memenuhi syarat menjadi kompeten. Dasar hukum bagi pedoman tersebut adalah : </w:t>
      </w:r>
    </w:p>
    <w:p w:rsidR="00605B4D" w:rsidRDefault="00605B4D" w:rsidP="00605B4D">
      <w:pPr>
        <w:spacing w:before="60" w:after="60" w:line="240" w:lineRule="auto"/>
        <w:ind w:right="20"/>
        <w:jc w:val="both"/>
        <w:rPr>
          <w:rFonts w:ascii="Times New Roman" w:eastAsia="Times New Roman" w:hAnsi="Times New Roman" w:cs="Times New Roman"/>
          <w:sz w:val="24"/>
          <w:szCs w:val="24"/>
          <w:lang w:val="id-ID" w:eastAsia="id-ID"/>
        </w:rPr>
      </w:pPr>
      <w:r w:rsidRPr="0042638E">
        <w:rPr>
          <w:rFonts w:ascii="Times New Roman" w:eastAsia="Times New Roman" w:hAnsi="Times New Roman" w:cs="Times New Roman"/>
          <w:sz w:val="24"/>
          <w:szCs w:val="24"/>
          <w:lang w:val="id-ID" w:eastAsia="id-ID"/>
        </w:rPr>
        <w:t xml:space="preserve">Berdasarkan Kitab Undang-Undang Hukum Perdata maka seseorang yang berumur </w:t>
      </w:r>
      <w:r w:rsidRPr="0042638E">
        <w:rPr>
          <w:rFonts w:ascii="Times New Roman" w:eastAsia="Times New Roman" w:hAnsi="Times New Roman" w:cs="Times New Roman"/>
          <w:sz w:val="24"/>
          <w:szCs w:val="24"/>
        </w:rPr>
        <w:t xml:space="preserve">21 </w:t>
      </w:r>
      <w:r w:rsidRPr="0042638E">
        <w:rPr>
          <w:rFonts w:ascii="Times New Roman" w:eastAsia="Times New Roman" w:hAnsi="Times New Roman" w:cs="Times New Roman"/>
          <w:sz w:val="24"/>
          <w:szCs w:val="24"/>
          <w:lang w:val="id-ID" w:eastAsia="id-ID"/>
        </w:rPr>
        <w:t>tahun atau lebih atau telah menikah dianggap sebagai orang dewasa dan oleh karenanya dapat memberikan persetujuan</w:t>
      </w:r>
      <w:r>
        <w:rPr>
          <w:rFonts w:ascii="Times New Roman" w:eastAsia="Times New Roman" w:hAnsi="Times New Roman" w:cs="Times New Roman"/>
          <w:sz w:val="24"/>
          <w:szCs w:val="24"/>
        </w:rPr>
        <w:t xml:space="preserve">. </w:t>
      </w:r>
      <w:r w:rsidRPr="0042638E">
        <w:rPr>
          <w:rFonts w:ascii="Times New Roman" w:eastAsia="Times New Roman" w:hAnsi="Times New Roman" w:cs="Times New Roman"/>
          <w:sz w:val="24"/>
          <w:szCs w:val="24"/>
          <w:lang w:val="id-ID" w:eastAsia="id-ID"/>
        </w:rPr>
        <w:t xml:space="preserve">Berdasarkan UU </w:t>
      </w:r>
      <w:r w:rsidRPr="0042638E">
        <w:rPr>
          <w:rFonts w:ascii="Times New Roman" w:eastAsia="Times New Roman" w:hAnsi="Times New Roman" w:cs="Times New Roman"/>
          <w:sz w:val="24"/>
          <w:szCs w:val="24"/>
        </w:rPr>
        <w:t xml:space="preserve">No 23 </w:t>
      </w:r>
      <w:r w:rsidRPr="0042638E">
        <w:rPr>
          <w:rFonts w:ascii="Times New Roman" w:eastAsia="Times New Roman" w:hAnsi="Times New Roman" w:cs="Times New Roman"/>
          <w:sz w:val="24"/>
          <w:szCs w:val="24"/>
          <w:lang w:val="id-ID" w:eastAsia="id-ID"/>
        </w:rPr>
        <w:t xml:space="preserve">Tahun </w:t>
      </w:r>
      <w:r w:rsidRPr="0042638E">
        <w:rPr>
          <w:rFonts w:ascii="Times New Roman" w:eastAsia="Times New Roman" w:hAnsi="Times New Roman" w:cs="Times New Roman"/>
          <w:sz w:val="24"/>
          <w:szCs w:val="24"/>
        </w:rPr>
        <w:t xml:space="preserve">2002 </w:t>
      </w:r>
      <w:r w:rsidRPr="0042638E">
        <w:rPr>
          <w:rFonts w:ascii="Times New Roman" w:eastAsia="Times New Roman" w:hAnsi="Times New Roman" w:cs="Times New Roman"/>
          <w:sz w:val="24"/>
          <w:szCs w:val="24"/>
          <w:lang w:val="id-ID" w:eastAsia="id-ID"/>
        </w:rPr>
        <w:t xml:space="preserve">tentang Perlindungan Anak maka setiap orang yang berusia </w:t>
      </w:r>
      <w:r w:rsidRPr="0042638E">
        <w:rPr>
          <w:rFonts w:ascii="Times New Roman" w:eastAsia="Times New Roman" w:hAnsi="Times New Roman" w:cs="Times New Roman"/>
          <w:sz w:val="24"/>
          <w:szCs w:val="24"/>
        </w:rPr>
        <w:t xml:space="preserve">18 </w:t>
      </w:r>
      <w:r w:rsidRPr="0042638E">
        <w:rPr>
          <w:rFonts w:ascii="Times New Roman" w:eastAsia="Times New Roman" w:hAnsi="Times New Roman" w:cs="Times New Roman"/>
          <w:sz w:val="24"/>
          <w:szCs w:val="24"/>
          <w:lang w:val="id-ID" w:eastAsia="id-ID"/>
        </w:rPr>
        <w:t>tahun atau lebih dianggap sebagai orang yang sudah bukan anak-anak. Dengan demikian mereka dapat diperlakukan sebagaimana orang dewasa yang kompeten, dan oleh karenanya dapat memberikan persetujuan</w:t>
      </w:r>
      <w:r>
        <w:rPr>
          <w:rFonts w:ascii="Times New Roman" w:eastAsia="Times New Roman" w:hAnsi="Times New Roman" w:cs="Times New Roman"/>
          <w:sz w:val="24"/>
          <w:szCs w:val="24"/>
        </w:rPr>
        <w:t xml:space="preserve">. </w:t>
      </w:r>
      <w:r w:rsidRPr="0042638E">
        <w:rPr>
          <w:rFonts w:ascii="Times New Roman" w:eastAsia="Times New Roman" w:hAnsi="Times New Roman" w:cs="Times New Roman"/>
          <w:sz w:val="24"/>
          <w:szCs w:val="24"/>
          <w:lang w:val="id-ID" w:eastAsia="id-ID"/>
        </w:rPr>
        <w:t xml:space="preserve">Mereka yang telah berusia </w:t>
      </w:r>
      <w:r w:rsidRPr="0042638E">
        <w:rPr>
          <w:rFonts w:ascii="Times New Roman" w:eastAsia="Times New Roman" w:hAnsi="Times New Roman" w:cs="Times New Roman"/>
          <w:sz w:val="24"/>
          <w:szCs w:val="24"/>
        </w:rPr>
        <w:t xml:space="preserve">16 </w:t>
      </w:r>
      <w:r w:rsidRPr="0042638E">
        <w:rPr>
          <w:rFonts w:ascii="Times New Roman" w:eastAsia="Times New Roman" w:hAnsi="Times New Roman" w:cs="Times New Roman"/>
          <w:sz w:val="24"/>
          <w:szCs w:val="24"/>
          <w:lang w:val="id-ID" w:eastAsia="id-ID"/>
        </w:rPr>
        <w:t xml:space="preserve">tahun tetapi belum </w:t>
      </w:r>
      <w:r w:rsidRPr="0042638E">
        <w:rPr>
          <w:rFonts w:ascii="Times New Roman" w:eastAsia="Times New Roman" w:hAnsi="Times New Roman" w:cs="Times New Roman"/>
          <w:sz w:val="24"/>
          <w:szCs w:val="24"/>
        </w:rPr>
        <w:t xml:space="preserve">18 </w:t>
      </w:r>
      <w:r w:rsidRPr="0042638E">
        <w:rPr>
          <w:rFonts w:ascii="Times New Roman" w:eastAsia="Times New Roman" w:hAnsi="Times New Roman" w:cs="Times New Roman"/>
          <w:sz w:val="24"/>
          <w:szCs w:val="24"/>
          <w:lang w:val="id-ID" w:eastAsia="id-ID"/>
        </w:rPr>
        <w:t xml:space="preserve">tahun memang masih tergolong anak menurut hukum, namun dengan menghargai hak individu untuk berpendapat sebagaimana juga diatur dalam UU </w:t>
      </w:r>
      <w:r w:rsidRPr="0042638E">
        <w:rPr>
          <w:rFonts w:ascii="Times New Roman" w:eastAsia="Times New Roman" w:hAnsi="Times New Roman" w:cs="Times New Roman"/>
          <w:sz w:val="24"/>
          <w:szCs w:val="24"/>
        </w:rPr>
        <w:t xml:space="preserve">No 23 </w:t>
      </w:r>
      <w:r w:rsidRPr="0042638E">
        <w:rPr>
          <w:rFonts w:ascii="Times New Roman" w:eastAsia="Times New Roman" w:hAnsi="Times New Roman" w:cs="Times New Roman"/>
          <w:sz w:val="24"/>
          <w:szCs w:val="24"/>
          <w:lang w:val="id-ID" w:eastAsia="id-ID"/>
        </w:rPr>
        <w:t xml:space="preserve">Tahun </w:t>
      </w:r>
      <w:r w:rsidRPr="0042638E">
        <w:rPr>
          <w:rFonts w:ascii="Times New Roman" w:eastAsia="Times New Roman" w:hAnsi="Times New Roman" w:cs="Times New Roman"/>
          <w:sz w:val="24"/>
          <w:szCs w:val="24"/>
        </w:rPr>
        <w:t xml:space="preserve">2002 </w:t>
      </w:r>
      <w:r w:rsidRPr="0042638E">
        <w:rPr>
          <w:rFonts w:ascii="Times New Roman" w:eastAsia="Times New Roman" w:hAnsi="Times New Roman" w:cs="Times New Roman"/>
          <w:sz w:val="24"/>
          <w:szCs w:val="24"/>
          <w:lang w:val="id-ID" w:eastAsia="id-ID"/>
        </w:rPr>
        <w:t>tentang Perlindungan Anak, maka mereka dapat diperlakukan seperti orang dewasa dan dapat memberikan persetujuan tindakan kedokteran tert</w:t>
      </w:r>
      <w:r>
        <w:rPr>
          <w:rFonts w:ascii="Times New Roman" w:eastAsia="Times New Roman" w:hAnsi="Times New Roman" w:cs="Times New Roman"/>
          <w:sz w:val="24"/>
          <w:szCs w:val="24"/>
          <w:lang w:val="id-ID" w:eastAsia="id-ID"/>
        </w:rPr>
        <w:t>entu, khususnya yang tidak beri</w:t>
      </w:r>
      <w:r w:rsidRPr="0042638E">
        <w:rPr>
          <w:rFonts w:ascii="Times New Roman" w:eastAsia="Times New Roman" w:hAnsi="Times New Roman" w:cs="Times New Roman"/>
          <w:sz w:val="24"/>
          <w:szCs w:val="24"/>
          <w:lang w:val="id-ID" w:eastAsia="id-ID"/>
        </w:rPr>
        <w:t>siko tinggi. Untuk itu mereka harus dapat menunjukkan kompetensinya dalam menerima informasi dan membuat keputusan dengan bebas. Selain itu, persetujuan atau penolakan mereka dapat dibatalkan oleh orang tua atau wali atau penetapan pengadilan.</w:t>
      </w:r>
    </w:p>
    <w:p w:rsidR="00605B4D" w:rsidRDefault="00605B4D" w:rsidP="00605B4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Konsep mengenai anak 16-18 tahun tersebut sebenarnya telah mengadopsi sistem pemberian </w:t>
      </w:r>
      <w:r w:rsidRPr="0039768D">
        <w:rPr>
          <w:rFonts w:ascii="Times New Roman" w:hAnsi="Times New Roman" w:cs="Times New Roman"/>
          <w:i/>
          <w:sz w:val="24"/>
          <w:szCs w:val="24"/>
        </w:rPr>
        <w:t>informed consent</w:t>
      </w:r>
      <w:r>
        <w:rPr>
          <w:rFonts w:ascii="Times New Roman" w:hAnsi="Times New Roman" w:cs="Times New Roman"/>
          <w:sz w:val="24"/>
          <w:szCs w:val="24"/>
        </w:rPr>
        <w:t xml:space="preserve"> pada anak di </w:t>
      </w:r>
      <w:r w:rsidRPr="0039768D">
        <w:rPr>
          <w:rFonts w:ascii="Times New Roman" w:hAnsi="Times New Roman" w:cs="Times New Roman"/>
          <w:i/>
          <w:sz w:val="24"/>
          <w:szCs w:val="24"/>
        </w:rPr>
        <w:t>common law</w:t>
      </w:r>
      <w:r>
        <w:rPr>
          <w:rFonts w:ascii="Times New Roman" w:hAnsi="Times New Roman" w:cs="Times New Roman"/>
          <w:sz w:val="24"/>
          <w:szCs w:val="24"/>
        </w:rPr>
        <w:t xml:space="preserve">, namun sayangnya pedoman tersebut tidak memiliki kekuatan hukum positif. </w:t>
      </w:r>
    </w:p>
    <w:p w:rsidR="00605B4D" w:rsidRPr="00E111C0" w:rsidRDefault="00605B4D" w:rsidP="00605B4D">
      <w:pPr>
        <w:tabs>
          <w:tab w:val="left" w:pos="72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D4512">
        <w:rPr>
          <w:rFonts w:ascii="Times New Roman" w:hAnsi="Times New Roman" w:cs="Times New Roman"/>
          <w:sz w:val="24"/>
          <w:szCs w:val="24"/>
        </w:rPr>
        <w:t>Perihal orang-orang yang kurang s</w:t>
      </w:r>
      <w:r>
        <w:rPr>
          <w:rFonts w:ascii="Times New Roman" w:hAnsi="Times New Roman" w:cs="Times New Roman"/>
          <w:sz w:val="24"/>
          <w:szCs w:val="24"/>
        </w:rPr>
        <w:t>ehat pikirannya Pasal 1330 ayat (</w:t>
      </w:r>
      <w:r w:rsidRPr="00ED4512">
        <w:rPr>
          <w:rFonts w:ascii="Times New Roman" w:hAnsi="Times New Roman" w:cs="Times New Roman"/>
          <w:sz w:val="24"/>
          <w:szCs w:val="24"/>
        </w:rPr>
        <w:t>2</w:t>
      </w:r>
      <w:r>
        <w:rPr>
          <w:rFonts w:ascii="Times New Roman" w:hAnsi="Times New Roman" w:cs="Times New Roman"/>
          <w:sz w:val="24"/>
          <w:szCs w:val="24"/>
        </w:rPr>
        <w:t xml:space="preserve">) KUH Perdata </w:t>
      </w:r>
      <w:r w:rsidRPr="00ED4512">
        <w:rPr>
          <w:rFonts w:ascii="Times New Roman" w:hAnsi="Times New Roman" w:cs="Times New Roman"/>
          <w:sz w:val="24"/>
          <w:szCs w:val="24"/>
        </w:rPr>
        <w:t>bagi orang-orang yang tunduk padanya meng</w:t>
      </w:r>
      <w:r w:rsidRPr="00ED4512">
        <w:rPr>
          <w:rFonts w:ascii="Times New Roman" w:hAnsi="Times New Roman" w:cs="Times New Roman"/>
          <w:sz w:val="24"/>
          <w:szCs w:val="24"/>
        </w:rPr>
        <w:softHyphen/>
        <w:t>adakan suatu perbatasan dalam hal kesanggupan melakukan perbuatan hukum, yaitu hanya orang yang "</w:t>
      </w:r>
      <w:r>
        <w:rPr>
          <w:rFonts w:ascii="Times New Roman" w:hAnsi="Times New Roman" w:cs="Times New Roman"/>
          <w:i/>
          <w:sz w:val="24"/>
          <w:szCs w:val="24"/>
        </w:rPr>
        <w:t>u</w:t>
      </w:r>
      <w:r w:rsidRPr="00020A6C">
        <w:rPr>
          <w:rFonts w:ascii="Times New Roman" w:hAnsi="Times New Roman" w:cs="Times New Roman"/>
          <w:i/>
          <w:sz w:val="24"/>
          <w:szCs w:val="24"/>
        </w:rPr>
        <w:t>ndercuratele gesteld</w:t>
      </w:r>
      <w:r>
        <w:rPr>
          <w:rFonts w:ascii="Times New Roman" w:hAnsi="Times New Roman" w:cs="Times New Roman"/>
          <w:sz w:val="24"/>
          <w:szCs w:val="24"/>
        </w:rPr>
        <w:t>" (diadakan di</w:t>
      </w:r>
      <w:r w:rsidRPr="00ED4512">
        <w:rPr>
          <w:rFonts w:ascii="Times New Roman" w:hAnsi="Times New Roman" w:cs="Times New Roman"/>
          <w:sz w:val="24"/>
          <w:szCs w:val="24"/>
        </w:rPr>
        <w:t xml:space="preserve">bawah suatu pengawasan tertentu) dianggap tidak dapat melakukan perbuatan hukum yang sah sedang menurut </w:t>
      </w:r>
      <w:r>
        <w:rPr>
          <w:rFonts w:ascii="Times New Roman" w:hAnsi="Times New Roman" w:cs="Times New Roman"/>
          <w:sz w:val="24"/>
          <w:szCs w:val="24"/>
        </w:rPr>
        <w:t>Pa</w:t>
      </w:r>
      <w:r w:rsidRPr="00ED4512">
        <w:rPr>
          <w:rFonts w:ascii="Times New Roman" w:hAnsi="Times New Roman" w:cs="Times New Roman"/>
          <w:sz w:val="24"/>
          <w:szCs w:val="24"/>
        </w:rPr>
        <w:t xml:space="preserve">sal 38 ayat </w:t>
      </w:r>
      <w:r>
        <w:rPr>
          <w:rFonts w:ascii="Times New Roman" w:hAnsi="Times New Roman" w:cs="Times New Roman"/>
          <w:sz w:val="24"/>
          <w:szCs w:val="24"/>
        </w:rPr>
        <w:t>(</w:t>
      </w:r>
      <w:r w:rsidRPr="00ED4512">
        <w:rPr>
          <w:rFonts w:ascii="Times New Roman" w:hAnsi="Times New Roman" w:cs="Times New Roman"/>
          <w:sz w:val="24"/>
          <w:szCs w:val="24"/>
        </w:rPr>
        <w:t>2</w:t>
      </w:r>
      <w:r>
        <w:rPr>
          <w:rFonts w:ascii="Times New Roman" w:hAnsi="Times New Roman" w:cs="Times New Roman"/>
          <w:sz w:val="24"/>
          <w:szCs w:val="24"/>
        </w:rPr>
        <w:t>)</w:t>
      </w:r>
      <w:r w:rsidRPr="00ED4512">
        <w:rPr>
          <w:rFonts w:ascii="Times New Roman" w:hAnsi="Times New Roman" w:cs="Times New Roman"/>
          <w:sz w:val="24"/>
          <w:szCs w:val="24"/>
        </w:rPr>
        <w:t xml:space="preserve"> "</w:t>
      </w:r>
      <w:r w:rsidRPr="00020A6C">
        <w:rPr>
          <w:rFonts w:ascii="Times New Roman" w:hAnsi="Times New Roman" w:cs="Times New Roman"/>
          <w:i/>
          <w:sz w:val="24"/>
          <w:szCs w:val="24"/>
        </w:rPr>
        <w:t>Regelement Krankzinnigenwezen</w:t>
      </w:r>
      <w:r w:rsidRPr="00ED4512">
        <w:rPr>
          <w:rFonts w:ascii="Times New Roman" w:hAnsi="Times New Roman" w:cs="Times New Roman"/>
          <w:sz w:val="24"/>
          <w:szCs w:val="24"/>
        </w:rPr>
        <w:t>" seorang Eropa yang dimaksudkan dalam rumah sakit untuk orang g</w:t>
      </w:r>
      <w:r>
        <w:rPr>
          <w:rFonts w:ascii="Times New Roman" w:hAnsi="Times New Roman" w:cs="Times New Roman"/>
          <w:sz w:val="24"/>
          <w:szCs w:val="24"/>
        </w:rPr>
        <w:t>ila tentang kesanggupan membuat</w:t>
      </w:r>
      <w:r w:rsidRPr="00ED4512">
        <w:rPr>
          <w:rFonts w:ascii="Times New Roman" w:hAnsi="Times New Roman" w:cs="Times New Roman"/>
          <w:sz w:val="24"/>
          <w:szCs w:val="24"/>
        </w:rPr>
        <w:t xml:space="preserve"> perjanjian di</w:t>
      </w:r>
      <w:r w:rsidRPr="00ED4512">
        <w:rPr>
          <w:rFonts w:ascii="Times New Roman" w:hAnsi="Times New Roman" w:cs="Times New Roman"/>
          <w:sz w:val="24"/>
          <w:szCs w:val="24"/>
        </w:rPr>
        <w:softHyphen/>
        <w:t>samakan dengan seorang yang berada di bawah "</w:t>
      </w:r>
      <w:r w:rsidRPr="00020A6C">
        <w:rPr>
          <w:rFonts w:ascii="Times New Roman" w:hAnsi="Times New Roman" w:cs="Times New Roman"/>
          <w:i/>
          <w:sz w:val="24"/>
          <w:szCs w:val="24"/>
        </w:rPr>
        <w:t>curatele</w:t>
      </w:r>
      <w:r>
        <w:rPr>
          <w:rFonts w:ascii="Times New Roman" w:hAnsi="Times New Roman" w:cs="Times New Roman"/>
          <w:sz w:val="24"/>
          <w:szCs w:val="24"/>
        </w:rPr>
        <w:t>", m</w:t>
      </w:r>
      <w:r w:rsidRPr="00ED4512">
        <w:rPr>
          <w:rFonts w:ascii="Times New Roman" w:hAnsi="Times New Roman" w:cs="Times New Roman"/>
          <w:sz w:val="24"/>
          <w:szCs w:val="24"/>
        </w:rPr>
        <w:t>aka, kalau seorang gila yang tidak berada dibawah suatu pengawasan, "</w:t>
      </w:r>
      <w:r w:rsidRPr="00020A6C">
        <w:rPr>
          <w:rFonts w:ascii="Times New Roman" w:hAnsi="Times New Roman" w:cs="Times New Roman"/>
          <w:i/>
          <w:sz w:val="24"/>
          <w:szCs w:val="24"/>
        </w:rPr>
        <w:t>curatele</w:t>
      </w:r>
      <w:r>
        <w:rPr>
          <w:rFonts w:ascii="Times New Roman" w:hAnsi="Times New Roman" w:cs="Times New Roman"/>
          <w:sz w:val="24"/>
          <w:szCs w:val="24"/>
        </w:rPr>
        <w:t>" d</w:t>
      </w:r>
      <w:r w:rsidRPr="00ED4512">
        <w:rPr>
          <w:rFonts w:ascii="Times New Roman" w:hAnsi="Times New Roman" w:cs="Times New Roman"/>
          <w:sz w:val="24"/>
          <w:szCs w:val="24"/>
        </w:rPr>
        <w:t>an juga tidak dimasukkan dalam rumah sakit untuk orang gila, mela</w:t>
      </w:r>
      <w:r w:rsidRPr="00ED4512">
        <w:rPr>
          <w:rFonts w:ascii="Times New Roman" w:hAnsi="Times New Roman" w:cs="Times New Roman"/>
          <w:sz w:val="24"/>
          <w:szCs w:val="24"/>
        </w:rPr>
        <w:softHyphen/>
        <w:t>kukan perbuatan hukum, perbuatan ini tidak dapat dianggap tidak sa</w:t>
      </w:r>
      <w:r>
        <w:rPr>
          <w:rFonts w:ascii="Times New Roman" w:hAnsi="Times New Roman" w:cs="Times New Roman"/>
          <w:sz w:val="24"/>
          <w:szCs w:val="24"/>
        </w:rPr>
        <w:t>h, kalau hanya didasarkan pada Pasal 1330 KUH Perdata</w:t>
      </w:r>
      <w:r w:rsidRPr="00ED4512">
        <w:rPr>
          <w:rFonts w:ascii="Times New Roman" w:hAnsi="Times New Roman" w:cs="Times New Roman"/>
          <w:sz w:val="24"/>
          <w:szCs w:val="24"/>
        </w:rPr>
        <w:t xml:space="preserve"> tentang ketidak sanggupan (</w:t>
      </w:r>
      <w:r w:rsidRPr="00020A6C">
        <w:rPr>
          <w:rFonts w:ascii="Times New Roman" w:hAnsi="Times New Roman" w:cs="Times New Roman"/>
          <w:i/>
          <w:sz w:val="24"/>
          <w:szCs w:val="24"/>
        </w:rPr>
        <w:t>onbekwaamheid</w:t>
      </w:r>
      <w:r w:rsidRPr="00ED4512">
        <w:rPr>
          <w:rFonts w:ascii="Times New Roman" w:hAnsi="Times New Roman" w:cs="Times New Roman"/>
          <w:sz w:val="24"/>
          <w:szCs w:val="24"/>
        </w:rPr>
        <w:t>) untuk membentuk suatu persetujuan. Mungkin salah</w:t>
      </w:r>
      <w:r w:rsidRPr="00ED4512">
        <w:rPr>
          <w:rFonts w:ascii="Times New Roman" w:hAnsi="Times New Roman" w:cs="Times New Roman"/>
          <w:sz w:val="24"/>
          <w:szCs w:val="24"/>
        </w:rPr>
        <w:softHyphen/>
        <w:t>nya perbuatan seorang gila itu dapat dibantah dengan beralasan atas</w:t>
      </w:r>
      <w:r>
        <w:rPr>
          <w:rFonts w:ascii="Times New Roman" w:hAnsi="Times New Roman" w:cs="Times New Roman"/>
          <w:sz w:val="24"/>
          <w:szCs w:val="24"/>
        </w:rPr>
        <w:t xml:space="preserve"> </w:t>
      </w:r>
      <w:r w:rsidRPr="00ED4512">
        <w:rPr>
          <w:rFonts w:ascii="Times New Roman" w:hAnsi="Times New Roman" w:cs="Times New Roman"/>
          <w:sz w:val="24"/>
          <w:szCs w:val="24"/>
        </w:rPr>
        <w:t>keadaan tidak sempurna dari perizinan (</w:t>
      </w:r>
      <w:r w:rsidRPr="00020A6C">
        <w:rPr>
          <w:rFonts w:ascii="Times New Roman" w:hAnsi="Times New Roman" w:cs="Times New Roman"/>
          <w:i/>
          <w:sz w:val="24"/>
          <w:szCs w:val="24"/>
        </w:rPr>
        <w:t>toestemming</w:t>
      </w:r>
      <w:r>
        <w:rPr>
          <w:rFonts w:ascii="Times New Roman" w:hAnsi="Times New Roman" w:cs="Times New Roman"/>
          <w:sz w:val="24"/>
          <w:szCs w:val="24"/>
        </w:rPr>
        <w:t>) yang juga dipergunak</w:t>
      </w:r>
      <w:r w:rsidRPr="00ED4512">
        <w:rPr>
          <w:rFonts w:ascii="Times New Roman" w:hAnsi="Times New Roman" w:cs="Times New Roman"/>
          <w:sz w:val="24"/>
          <w:szCs w:val="24"/>
        </w:rPr>
        <w:t xml:space="preserve">an untuk sahnya suatu </w:t>
      </w:r>
      <w:r>
        <w:rPr>
          <w:rFonts w:ascii="Times New Roman" w:hAnsi="Times New Roman" w:cs="Times New Roman"/>
          <w:sz w:val="24"/>
          <w:szCs w:val="24"/>
        </w:rPr>
        <w:t>persetujuan (Pasal 1320 ayat (1) KUH Perdata</w:t>
      </w:r>
      <w:r w:rsidRPr="00ED4512">
        <w:rPr>
          <w:rFonts w:ascii="Times New Roman" w:hAnsi="Times New Roman" w:cs="Times New Roman"/>
          <w:sz w:val="24"/>
          <w:szCs w:val="24"/>
        </w:rPr>
        <w:t xml:space="preserve"> )</w:t>
      </w:r>
      <w:r>
        <w:rPr>
          <w:rStyle w:val="FootnoteReference"/>
        </w:rPr>
        <w:footnoteReference w:id="26"/>
      </w:r>
      <w:r w:rsidRPr="00ED4512">
        <w:rPr>
          <w:rFonts w:ascii="Times New Roman" w:hAnsi="Times New Roman" w:cs="Times New Roman"/>
          <w:sz w:val="24"/>
          <w:szCs w:val="24"/>
        </w:rPr>
        <w:t>.</w:t>
      </w:r>
      <w:r>
        <w:rPr>
          <w:rFonts w:ascii="Times New Roman" w:hAnsi="Times New Roman" w:cs="Times New Roman"/>
          <w:sz w:val="24"/>
          <w:szCs w:val="24"/>
        </w:rPr>
        <w:t xml:space="preserve"> </w:t>
      </w:r>
      <w:r w:rsidRPr="008B339D">
        <w:rPr>
          <w:rFonts w:ascii="Times New Roman" w:eastAsia="Times New Roman" w:hAnsi="Times New Roman" w:cs="Times New Roman"/>
          <w:sz w:val="24"/>
          <w:szCs w:val="24"/>
          <w:lang w:val="id-ID" w:eastAsia="id-ID"/>
        </w:rPr>
        <w:t>Dalam keadaan yang disebutkan di atas, pembentuk undang-undang memandang bahwa yang bersangkutan tidak mampu menjalani tanggung jawabnya dan oleh karena itu tidak cakap bertindak untuk mengadakan perjanjian</w:t>
      </w:r>
      <w:r>
        <w:rPr>
          <w:rStyle w:val="FootnoteReference"/>
          <w:rFonts w:eastAsia="Times New Roman"/>
          <w:lang w:val="id-ID" w:eastAsia="id-ID"/>
        </w:rPr>
        <w:footnoteReference w:id="27"/>
      </w:r>
      <w:r w:rsidRPr="008B339D">
        <w:rPr>
          <w:rFonts w:ascii="Times New Roman" w:eastAsia="Times New Roman" w:hAnsi="Times New Roman" w:cs="Times New Roman"/>
          <w:sz w:val="24"/>
          <w:szCs w:val="24"/>
          <w:lang w:val="id-ID" w:eastAsia="id-ID"/>
        </w:rPr>
        <w:t>.</w:t>
      </w:r>
    </w:p>
    <w:p w:rsidR="00605B4D" w:rsidRDefault="00605B4D" w:rsidP="00605B4D">
      <w:pPr>
        <w:tabs>
          <w:tab w:val="left" w:pos="72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Menurut Pasal 13 PMK No. 290 Tahun 2008 Tentang Persetujuan Tindakan Medik baik kesadaran fisik yaitu cara berkomunikasi, keadaan nyeri, syok, dan lemah juga kesadaran mental yaitu retardasi mental dan karena gangguan kesehatan mentalnya tidak mampu memahami informasi, </w:t>
      </w:r>
      <w:r w:rsidRPr="00D556F0">
        <w:rPr>
          <w:rFonts w:ascii="Times New Roman" w:hAnsi="Times New Roman" w:cs="Times New Roman"/>
          <w:sz w:val="24"/>
          <w:szCs w:val="24"/>
        </w:rPr>
        <w:t>mempercayainya, mempertahankannya, untuk kemudian menggunakannya dalam membuat keputus</w:t>
      </w:r>
      <w:r>
        <w:rPr>
          <w:rFonts w:ascii="Times New Roman" w:hAnsi="Times New Roman" w:cs="Times New Roman"/>
          <w:sz w:val="24"/>
          <w:szCs w:val="24"/>
        </w:rPr>
        <w:t>an yang bebas yang ditentukan oleh dokternya dan apabila ragu dappat meminta bantuan tim dokter. Sedangkan menurut Manual Persetujuan Tindakan Medik KKI 2008 menyebutkan “</w:t>
      </w:r>
      <w:r w:rsidRPr="000663F3">
        <w:rPr>
          <w:rFonts w:ascii="Times New Roman" w:hAnsi="Times New Roman" w:cs="Times New Roman"/>
          <w:sz w:val="24"/>
          <w:szCs w:val="24"/>
        </w:rPr>
        <w:t>Seseorang pasien dengan gangguan jiwa yang berusia 18 tahun atau lebih tidak boleh dianggap tidak kompeten sampai nanti terbukti tidak kompeten dengan pemeriksaan. Sebaliknya, seseorang yang normalnya kompeten, dapat menjadi tidak kompeten sementara sebagai akibat dari nyeri hebat, syok, pengaruh obat tertentu atau keadaan kesehatan fisiknya</w:t>
      </w:r>
      <w:r>
        <w:rPr>
          <w:rFonts w:ascii="Times New Roman" w:hAnsi="Times New Roman" w:cs="Times New Roman"/>
          <w:sz w:val="24"/>
          <w:szCs w:val="24"/>
        </w:rPr>
        <w:t>”</w:t>
      </w:r>
      <w:r w:rsidRPr="000663F3">
        <w:rPr>
          <w:rFonts w:ascii="Times New Roman" w:hAnsi="Times New Roman" w:cs="Times New Roman"/>
          <w:sz w:val="24"/>
          <w:szCs w:val="24"/>
        </w:rPr>
        <w:t>.</w:t>
      </w:r>
      <w:r>
        <w:rPr>
          <w:rStyle w:val="FootnoteReference"/>
        </w:rPr>
        <w:footnoteReference w:id="28"/>
      </w:r>
    </w:p>
    <w:p w:rsidR="00605B4D" w:rsidRPr="0039768D" w:rsidRDefault="00605B4D" w:rsidP="00605B4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Hal tersebut merupakan penegasan dari peraturan mentri kesehatan bahwa orang dengan gangguan jiwa masih dapat memberikan persetujuan tindakan medis dengan memenuhi syarat tertentu. </w:t>
      </w:r>
    </w:p>
    <w:p w:rsidR="00605B4D" w:rsidRPr="00297B7D" w:rsidRDefault="00605B4D" w:rsidP="00605B4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Mindy </w:t>
      </w:r>
      <w:r w:rsidRPr="00297B7D">
        <w:rPr>
          <w:rFonts w:ascii="Times New Roman" w:hAnsi="Times New Roman" w:cs="Times New Roman"/>
          <w:sz w:val="24"/>
          <w:szCs w:val="24"/>
        </w:rPr>
        <w:t xml:space="preserve">Chen-Wishart menggolongkan tiga kategori orang yang tidak berwenang melakukan perbuatan hukum, terutama untuk membuat kontrak, yang meliputi </w:t>
      </w:r>
      <w:r w:rsidRPr="00297B7D">
        <w:rPr>
          <w:rFonts w:ascii="Times New Roman" w:hAnsi="Times New Roman" w:cs="Times New Roman"/>
          <w:i/>
          <w:sz w:val="24"/>
          <w:szCs w:val="24"/>
        </w:rPr>
        <w:t>infancy</w:t>
      </w:r>
      <w:r w:rsidRPr="00297B7D">
        <w:rPr>
          <w:rFonts w:ascii="Times New Roman" w:hAnsi="Times New Roman" w:cs="Times New Roman"/>
          <w:sz w:val="24"/>
          <w:szCs w:val="24"/>
        </w:rPr>
        <w:t xml:space="preserve">; </w:t>
      </w:r>
      <w:r w:rsidRPr="00297B7D">
        <w:rPr>
          <w:rFonts w:ascii="Times New Roman" w:hAnsi="Times New Roman" w:cs="Times New Roman"/>
          <w:i/>
          <w:sz w:val="24"/>
          <w:szCs w:val="24"/>
        </w:rPr>
        <w:t>mental incapacity; and those so affected by drink or drugs as not to know what they are doing. Infancy</w:t>
      </w:r>
      <w:r w:rsidRPr="00297B7D">
        <w:rPr>
          <w:rFonts w:ascii="Times New Roman" w:hAnsi="Times New Roman" w:cs="Times New Roman"/>
          <w:sz w:val="24"/>
          <w:szCs w:val="24"/>
        </w:rPr>
        <w:t xml:space="preserve"> merupakan anak di bawah umur. </w:t>
      </w:r>
      <w:r w:rsidRPr="00297B7D">
        <w:rPr>
          <w:rFonts w:ascii="Times New Roman" w:hAnsi="Times New Roman" w:cs="Times New Roman"/>
          <w:i/>
          <w:sz w:val="24"/>
          <w:szCs w:val="24"/>
        </w:rPr>
        <w:t>Mental incapacity</w:t>
      </w:r>
      <w:r w:rsidRPr="00297B7D">
        <w:rPr>
          <w:rFonts w:ascii="Times New Roman" w:hAnsi="Times New Roman" w:cs="Times New Roman"/>
          <w:sz w:val="24"/>
          <w:szCs w:val="24"/>
        </w:rPr>
        <w:t xml:space="preserve"> merupakan orang-orang yang sakit jiwa. </w:t>
      </w:r>
      <w:r w:rsidRPr="00297B7D">
        <w:rPr>
          <w:rFonts w:ascii="Times New Roman" w:hAnsi="Times New Roman" w:cs="Times New Roman"/>
          <w:i/>
          <w:sz w:val="24"/>
          <w:szCs w:val="24"/>
        </w:rPr>
        <w:t>Drink or drugs</w:t>
      </w:r>
      <w:r w:rsidRPr="00297B7D">
        <w:rPr>
          <w:rFonts w:ascii="Times New Roman" w:hAnsi="Times New Roman" w:cs="Times New Roman"/>
          <w:sz w:val="24"/>
          <w:szCs w:val="24"/>
        </w:rPr>
        <w:t xml:space="preserve"> merupakan orang-orang yang meminum minum minuman keras atau narkoba. Akibat hukum dari perbuatan hukum yang dilakukan oleh orang-orang yang tidak wenang melakukan perbuatan hukum, maka perbuatan hukum yang dilakukannya adalah batal (</w:t>
      </w:r>
      <w:r w:rsidRPr="00297B7D">
        <w:rPr>
          <w:rFonts w:ascii="Times New Roman" w:hAnsi="Times New Roman" w:cs="Times New Roman"/>
          <w:i/>
          <w:sz w:val="24"/>
          <w:szCs w:val="24"/>
        </w:rPr>
        <w:t>void</w:t>
      </w:r>
      <w:r w:rsidRPr="00297B7D">
        <w:rPr>
          <w:rFonts w:ascii="Times New Roman" w:hAnsi="Times New Roman" w:cs="Times New Roman"/>
          <w:sz w:val="24"/>
          <w:szCs w:val="24"/>
        </w:rPr>
        <w:t>).</w:t>
      </w:r>
      <w:r>
        <w:rPr>
          <w:rStyle w:val="FootnoteReference"/>
        </w:rPr>
        <w:footnoteReference w:id="29"/>
      </w:r>
    </w:p>
    <w:p w:rsidR="00605B4D" w:rsidRPr="00297B7D" w:rsidRDefault="00605B4D" w:rsidP="00605B4D">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Namun untuk </w:t>
      </w:r>
      <w:r w:rsidRPr="000D06E8">
        <w:rPr>
          <w:rFonts w:ascii="Times New Roman" w:hAnsi="Times New Roman" w:cs="Times New Roman"/>
          <w:i/>
          <w:sz w:val="24"/>
          <w:szCs w:val="24"/>
        </w:rPr>
        <w:t>informed consent</w:t>
      </w:r>
      <w:r>
        <w:rPr>
          <w:rFonts w:ascii="Times New Roman" w:hAnsi="Times New Roman" w:cs="Times New Roman"/>
          <w:sz w:val="24"/>
          <w:szCs w:val="24"/>
        </w:rPr>
        <w:t xml:space="preserve"> berpegang p</w:t>
      </w:r>
      <w:r w:rsidRPr="00297B7D">
        <w:rPr>
          <w:rFonts w:ascii="Times New Roman" w:hAnsi="Times New Roman" w:cs="Times New Roman"/>
          <w:sz w:val="24"/>
          <w:szCs w:val="24"/>
        </w:rPr>
        <w:t xml:space="preserve">ada </w:t>
      </w:r>
      <w:r w:rsidRPr="00297B7D">
        <w:rPr>
          <w:rFonts w:ascii="Times New Roman" w:hAnsi="Times New Roman" w:cs="Times New Roman"/>
          <w:i/>
          <w:sz w:val="24"/>
          <w:szCs w:val="24"/>
        </w:rPr>
        <w:t>Mental Capacity Act</w:t>
      </w:r>
      <w:r w:rsidRPr="00297B7D">
        <w:rPr>
          <w:rFonts w:ascii="Times New Roman" w:hAnsi="Times New Roman" w:cs="Times New Roman"/>
          <w:sz w:val="24"/>
          <w:szCs w:val="24"/>
        </w:rPr>
        <w:t xml:space="preserve"> sebagian besar menempatkan hukum pada </w:t>
      </w:r>
      <w:r w:rsidRPr="00297B7D">
        <w:rPr>
          <w:rFonts w:ascii="Times New Roman" w:hAnsi="Times New Roman" w:cs="Times New Roman"/>
          <w:i/>
          <w:sz w:val="24"/>
          <w:szCs w:val="24"/>
        </w:rPr>
        <w:t>The Mental Capacity Act Practice 2005</w:t>
      </w:r>
      <w:r w:rsidRPr="00297B7D">
        <w:rPr>
          <w:rFonts w:ascii="Times New Roman" w:hAnsi="Times New Roman" w:cs="Times New Roman"/>
          <w:sz w:val="24"/>
          <w:szCs w:val="24"/>
        </w:rPr>
        <w:t xml:space="preserve"> yang menjelaskan bahwa ada lima prinsip hukum utama</w:t>
      </w:r>
      <w:r>
        <w:rPr>
          <w:rStyle w:val="FootnoteReference"/>
        </w:rPr>
        <w:footnoteReference w:id="30"/>
      </w:r>
      <w:r w:rsidRPr="00297B7D">
        <w:rPr>
          <w:rFonts w:ascii="Times New Roman" w:hAnsi="Times New Roman" w:cs="Times New Roman"/>
          <w:sz w:val="24"/>
          <w:szCs w:val="24"/>
        </w:rPr>
        <w:t>:</w:t>
      </w:r>
    </w:p>
    <w:p w:rsidR="00605B4D" w:rsidRPr="00883CE2" w:rsidRDefault="00605B4D" w:rsidP="00605B4D">
      <w:pPr>
        <w:pStyle w:val="ListParagraph"/>
        <w:tabs>
          <w:tab w:val="left" w:pos="450"/>
          <w:tab w:val="left" w:pos="720"/>
        </w:tabs>
        <w:autoSpaceDE w:val="0"/>
        <w:autoSpaceDN w:val="0"/>
        <w:adjustRightInd w:val="0"/>
        <w:spacing w:after="0" w:line="240" w:lineRule="auto"/>
        <w:ind w:left="0"/>
        <w:jc w:val="both"/>
        <w:rPr>
          <w:rFonts w:ascii="Times New Roman" w:hAnsi="Times New Roman" w:cs="Times New Roman"/>
          <w:sz w:val="24"/>
          <w:szCs w:val="24"/>
        </w:rPr>
      </w:pPr>
      <w:r w:rsidRPr="00883CE2">
        <w:rPr>
          <w:rFonts w:ascii="Times New Roman" w:hAnsi="Times New Roman" w:cs="Times New Roman"/>
          <w:sz w:val="24"/>
          <w:szCs w:val="24"/>
        </w:rPr>
        <w:t>1. Seseorang harus diasumsikan memiliki kapasitas kecuali ditetapkan bahwa mereka tidak memiliki kapasitas.</w:t>
      </w:r>
    </w:p>
    <w:p w:rsidR="00605B4D" w:rsidRPr="00883CE2" w:rsidRDefault="00605B4D" w:rsidP="00605B4D">
      <w:pPr>
        <w:pStyle w:val="ListParagraph"/>
        <w:tabs>
          <w:tab w:val="left" w:pos="450"/>
          <w:tab w:val="left" w:pos="720"/>
        </w:tabs>
        <w:autoSpaceDE w:val="0"/>
        <w:autoSpaceDN w:val="0"/>
        <w:adjustRightInd w:val="0"/>
        <w:spacing w:after="0" w:line="240" w:lineRule="auto"/>
        <w:ind w:left="0"/>
        <w:jc w:val="both"/>
        <w:rPr>
          <w:rFonts w:ascii="Times New Roman" w:hAnsi="Times New Roman" w:cs="Times New Roman"/>
          <w:sz w:val="24"/>
          <w:szCs w:val="24"/>
        </w:rPr>
      </w:pPr>
      <w:r w:rsidRPr="00883CE2">
        <w:rPr>
          <w:rFonts w:ascii="Times New Roman" w:hAnsi="Times New Roman" w:cs="Times New Roman"/>
          <w:sz w:val="24"/>
          <w:szCs w:val="24"/>
        </w:rPr>
        <w:t>2. Seseorang tidak harus diperlakukan sebagai tidak dapat membuat keputusan kecuali semua langkah praktis untuk membantu dia untuk melakukannya telah diambil tanpa keberhasilan.</w:t>
      </w:r>
    </w:p>
    <w:p w:rsidR="00605B4D" w:rsidRPr="00883CE2" w:rsidRDefault="00605B4D" w:rsidP="00605B4D">
      <w:pPr>
        <w:pStyle w:val="ListParagraph"/>
        <w:tabs>
          <w:tab w:val="left" w:pos="450"/>
          <w:tab w:val="left" w:pos="720"/>
        </w:tabs>
        <w:autoSpaceDE w:val="0"/>
        <w:autoSpaceDN w:val="0"/>
        <w:adjustRightInd w:val="0"/>
        <w:spacing w:after="0" w:line="240" w:lineRule="auto"/>
        <w:ind w:left="0"/>
        <w:jc w:val="both"/>
        <w:rPr>
          <w:rFonts w:ascii="Times New Roman" w:hAnsi="Times New Roman" w:cs="Times New Roman"/>
          <w:sz w:val="24"/>
          <w:szCs w:val="24"/>
        </w:rPr>
      </w:pPr>
      <w:r w:rsidRPr="00883CE2">
        <w:rPr>
          <w:rFonts w:ascii="Times New Roman" w:hAnsi="Times New Roman" w:cs="Times New Roman"/>
          <w:sz w:val="24"/>
          <w:szCs w:val="24"/>
        </w:rPr>
        <w:t>3. Seseorang tidak harus diperlakukan sebagai tidak dapat membuat keputusan hanya karena dia membuat keputusan yang bijaksana.</w:t>
      </w:r>
    </w:p>
    <w:p w:rsidR="00605B4D" w:rsidRPr="00883CE2" w:rsidRDefault="00605B4D" w:rsidP="00605B4D">
      <w:pPr>
        <w:pStyle w:val="ListParagraph"/>
        <w:tabs>
          <w:tab w:val="left" w:pos="450"/>
          <w:tab w:val="left" w:pos="720"/>
        </w:tabs>
        <w:autoSpaceDE w:val="0"/>
        <w:autoSpaceDN w:val="0"/>
        <w:adjustRightInd w:val="0"/>
        <w:spacing w:after="0" w:line="240" w:lineRule="auto"/>
        <w:ind w:left="0"/>
        <w:jc w:val="both"/>
        <w:rPr>
          <w:rFonts w:ascii="Times New Roman" w:hAnsi="Times New Roman" w:cs="Times New Roman"/>
          <w:sz w:val="24"/>
          <w:szCs w:val="24"/>
        </w:rPr>
      </w:pPr>
      <w:r w:rsidRPr="00883CE2">
        <w:rPr>
          <w:rFonts w:ascii="Times New Roman" w:hAnsi="Times New Roman" w:cs="Times New Roman"/>
          <w:sz w:val="24"/>
          <w:szCs w:val="24"/>
        </w:rPr>
        <w:t>4. Sebuah tindakan yang dilakukan, atau keputusan yang dibuat, berdasarkan Undang-Undang ini untuk atau atas nama orang yang tidak memiliki kapasitas harus dilakukan, atau dibuat, dalam kepentingan terbaiknya.</w:t>
      </w:r>
    </w:p>
    <w:p w:rsidR="00605B4D" w:rsidRDefault="00605B4D" w:rsidP="00605B4D">
      <w:pPr>
        <w:pStyle w:val="ListParagraph"/>
        <w:tabs>
          <w:tab w:val="left" w:pos="450"/>
          <w:tab w:val="left" w:pos="720"/>
        </w:tabs>
        <w:autoSpaceDE w:val="0"/>
        <w:autoSpaceDN w:val="0"/>
        <w:adjustRightInd w:val="0"/>
        <w:spacing w:after="0" w:line="240" w:lineRule="auto"/>
        <w:ind w:left="0"/>
        <w:jc w:val="both"/>
        <w:rPr>
          <w:rFonts w:ascii="Times New Roman" w:hAnsi="Times New Roman" w:cs="Times New Roman"/>
          <w:sz w:val="24"/>
          <w:szCs w:val="24"/>
        </w:rPr>
      </w:pPr>
      <w:r w:rsidRPr="00883CE2">
        <w:rPr>
          <w:rFonts w:ascii="Times New Roman" w:hAnsi="Times New Roman" w:cs="Times New Roman"/>
          <w:sz w:val="24"/>
          <w:szCs w:val="24"/>
        </w:rPr>
        <w:t>5. Sebelum tindakan dilakukan, atau keputusan dibuat, hal harus harus apakah tujuan yang dibutuhkan dapat secara efektif dicapai dengan cara yang kurang membatasi hak seseorang dan kebebasan bertindak.</w:t>
      </w:r>
    </w:p>
    <w:p w:rsidR="00605B4D" w:rsidRDefault="00605B4D" w:rsidP="00605B4D">
      <w:pPr>
        <w:pStyle w:val="ListParagraph"/>
        <w:tabs>
          <w:tab w:val="left" w:pos="450"/>
          <w:tab w:val="left" w:pos="720"/>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Pada Pasal </w:t>
      </w:r>
      <w:r w:rsidRPr="004608C4">
        <w:rPr>
          <w:rFonts w:ascii="Times New Roman" w:hAnsi="Times New Roman" w:cs="Times New Roman"/>
          <w:sz w:val="24"/>
          <w:szCs w:val="24"/>
        </w:rPr>
        <w:t xml:space="preserve"> 3 </w:t>
      </w:r>
      <w:r>
        <w:rPr>
          <w:rFonts w:ascii="Times New Roman" w:hAnsi="Times New Roman" w:cs="Times New Roman"/>
          <w:sz w:val="24"/>
          <w:szCs w:val="24"/>
        </w:rPr>
        <w:t xml:space="preserve">Ayat </w:t>
      </w:r>
      <w:r w:rsidRPr="004608C4">
        <w:rPr>
          <w:rFonts w:ascii="Times New Roman" w:hAnsi="Times New Roman" w:cs="Times New Roman"/>
          <w:sz w:val="24"/>
          <w:szCs w:val="24"/>
        </w:rPr>
        <w:t>(1)</w:t>
      </w:r>
      <w:r>
        <w:rPr>
          <w:rFonts w:ascii="Times New Roman" w:hAnsi="Times New Roman" w:cs="Times New Roman"/>
          <w:sz w:val="24"/>
          <w:szCs w:val="24"/>
        </w:rPr>
        <w:t xml:space="preserve"> MCA 2005,</w:t>
      </w:r>
      <w:r w:rsidRPr="004608C4">
        <w:rPr>
          <w:rFonts w:ascii="Times New Roman" w:hAnsi="Times New Roman" w:cs="Times New Roman"/>
          <w:sz w:val="24"/>
          <w:szCs w:val="24"/>
        </w:rPr>
        <w:t xml:space="preserve"> menyatakan bahwa seseorang tidak dapat membuat kep</w:t>
      </w:r>
      <w:r>
        <w:rPr>
          <w:rFonts w:ascii="Times New Roman" w:hAnsi="Times New Roman" w:cs="Times New Roman"/>
          <w:sz w:val="24"/>
          <w:szCs w:val="24"/>
        </w:rPr>
        <w:t xml:space="preserve">utusan jika mereka tidak dapat </w:t>
      </w:r>
      <w:r w:rsidRPr="004608C4">
        <w:rPr>
          <w:rFonts w:ascii="Times New Roman" w:hAnsi="Times New Roman" w:cs="Times New Roman"/>
          <w:sz w:val="24"/>
          <w:szCs w:val="24"/>
        </w:rPr>
        <w:t>memahami informasi yang relevan den</w:t>
      </w:r>
      <w:r>
        <w:rPr>
          <w:rFonts w:ascii="Times New Roman" w:hAnsi="Times New Roman" w:cs="Times New Roman"/>
          <w:sz w:val="24"/>
          <w:szCs w:val="24"/>
        </w:rPr>
        <w:t xml:space="preserve">gan keputusan yang akan dibuat,tidak dapat menyimpan informasi, tidak dapat </w:t>
      </w:r>
      <w:r w:rsidRPr="004608C4">
        <w:rPr>
          <w:rFonts w:ascii="Times New Roman" w:hAnsi="Times New Roman" w:cs="Times New Roman"/>
          <w:sz w:val="24"/>
          <w:szCs w:val="24"/>
        </w:rPr>
        <w:t xml:space="preserve">menggunakan atau </w:t>
      </w:r>
      <w:r>
        <w:rPr>
          <w:rFonts w:ascii="Times New Roman" w:hAnsi="Times New Roman" w:cs="Times New Roman"/>
          <w:sz w:val="24"/>
          <w:szCs w:val="24"/>
        </w:rPr>
        <w:t>menimbang</w:t>
      </w:r>
      <w:r w:rsidRPr="004608C4">
        <w:rPr>
          <w:rFonts w:ascii="Times New Roman" w:hAnsi="Times New Roman" w:cs="Times New Roman"/>
          <w:sz w:val="24"/>
          <w:szCs w:val="24"/>
        </w:rPr>
        <w:t xml:space="preserve"> informasi sebagai bagian dari proses pengambilan keputusan, atau </w:t>
      </w:r>
      <w:r>
        <w:rPr>
          <w:rFonts w:ascii="Times New Roman" w:hAnsi="Times New Roman" w:cs="Times New Roman"/>
          <w:sz w:val="24"/>
          <w:szCs w:val="24"/>
        </w:rPr>
        <w:t>tidak dapat mengkomunikasikan</w:t>
      </w:r>
      <w:r w:rsidRPr="004608C4">
        <w:rPr>
          <w:rFonts w:ascii="Times New Roman" w:hAnsi="Times New Roman" w:cs="Times New Roman"/>
          <w:sz w:val="24"/>
          <w:szCs w:val="24"/>
        </w:rPr>
        <w:t xml:space="preserve"> keputusan mereka (baik dengan berbicara, menggunakan bahasa isyarat atau cara lain).</w:t>
      </w:r>
      <w:r>
        <w:rPr>
          <w:rFonts w:ascii="Times New Roman" w:hAnsi="Times New Roman" w:cs="Times New Roman"/>
          <w:sz w:val="24"/>
          <w:szCs w:val="24"/>
        </w:rPr>
        <w:t xml:space="preserve"> Terdapat dua pertanyaan yang perlu dijawab dokter untuk menentukan seseorang cakap dalam </w:t>
      </w:r>
      <w:r w:rsidRPr="00BB7B8E">
        <w:rPr>
          <w:rFonts w:ascii="Times New Roman" w:hAnsi="Times New Roman" w:cs="Times New Roman"/>
          <w:i/>
          <w:sz w:val="24"/>
          <w:szCs w:val="24"/>
        </w:rPr>
        <w:t>common law</w:t>
      </w:r>
      <w:r>
        <w:rPr>
          <w:rFonts w:ascii="Times New Roman" w:hAnsi="Times New Roman" w:cs="Times New Roman"/>
          <w:sz w:val="24"/>
          <w:szCs w:val="24"/>
        </w:rPr>
        <w:t xml:space="preserve">, yaitu </w:t>
      </w:r>
      <w:r w:rsidRPr="004608C4">
        <w:rPr>
          <w:rFonts w:ascii="Times New Roman" w:hAnsi="Times New Roman" w:cs="Times New Roman"/>
          <w:sz w:val="24"/>
          <w:szCs w:val="24"/>
        </w:rPr>
        <w:t>apakah pasien memiliki penurunan atau gangguan dalam fungsi pikiran atau otak</w:t>
      </w:r>
      <w:r>
        <w:rPr>
          <w:rFonts w:ascii="Times New Roman" w:hAnsi="Times New Roman" w:cs="Times New Roman"/>
          <w:sz w:val="24"/>
          <w:szCs w:val="24"/>
        </w:rPr>
        <w:t>, dan yang kedua adalah apakah gangguan tersebut</w:t>
      </w:r>
      <w:r w:rsidRPr="004608C4">
        <w:rPr>
          <w:rFonts w:ascii="Times New Roman" w:hAnsi="Times New Roman" w:cs="Times New Roman"/>
          <w:sz w:val="24"/>
          <w:szCs w:val="24"/>
        </w:rPr>
        <w:t xml:space="preserve"> </w:t>
      </w:r>
      <w:r>
        <w:rPr>
          <w:rFonts w:ascii="Times New Roman" w:hAnsi="Times New Roman" w:cs="Times New Roman"/>
          <w:sz w:val="24"/>
          <w:szCs w:val="24"/>
        </w:rPr>
        <w:t>membuat</w:t>
      </w:r>
      <w:r w:rsidRPr="004608C4">
        <w:rPr>
          <w:rFonts w:ascii="Times New Roman" w:hAnsi="Times New Roman" w:cs="Times New Roman"/>
          <w:sz w:val="24"/>
          <w:szCs w:val="24"/>
        </w:rPr>
        <w:t xml:space="preserve"> pasien tidak mampu membuat keputusan</w:t>
      </w:r>
      <w:r>
        <w:rPr>
          <w:rFonts w:ascii="Times New Roman" w:hAnsi="Times New Roman" w:cs="Times New Roman"/>
          <w:sz w:val="24"/>
          <w:szCs w:val="24"/>
        </w:rPr>
        <w:t xml:space="preserve"> untuk</w:t>
      </w:r>
      <w:r w:rsidRPr="004608C4">
        <w:rPr>
          <w:rFonts w:ascii="Times New Roman" w:hAnsi="Times New Roman" w:cs="Times New Roman"/>
          <w:sz w:val="24"/>
          <w:szCs w:val="24"/>
        </w:rPr>
        <w:t xml:space="preserve"> dirinya sendiri da</w:t>
      </w:r>
      <w:r>
        <w:rPr>
          <w:rFonts w:ascii="Times New Roman" w:hAnsi="Times New Roman" w:cs="Times New Roman"/>
          <w:sz w:val="24"/>
          <w:szCs w:val="24"/>
        </w:rPr>
        <w:t xml:space="preserve">lam kaitannya dengan masalah yang dialami pasien tersebut. </w:t>
      </w:r>
      <w:r w:rsidRPr="004608C4">
        <w:rPr>
          <w:rFonts w:ascii="Times New Roman" w:hAnsi="Times New Roman" w:cs="Times New Roman"/>
          <w:sz w:val="24"/>
          <w:szCs w:val="24"/>
        </w:rPr>
        <w:t>Jika jawaban untuk kedua pertanyaan tersebut adalah 'Ya', maka pasien akan dianggap tidak memiliki kapasitas yang diperlukan untuk membuat keputusan.</w:t>
      </w:r>
      <w:r>
        <w:rPr>
          <w:rFonts w:ascii="Times New Roman" w:hAnsi="Times New Roman" w:cs="Times New Roman"/>
          <w:sz w:val="24"/>
          <w:szCs w:val="24"/>
        </w:rPr>
        <w:t xml:space="preserve"> Yang penting, pada Pasal </w:t>
      </w:r>
      <w:r w:rsidRPr="004608C4">
        <w:rPr>
          <w:rFonts w:ascii="Times New Roman" w:hAnsi="Times New Roman" w:cs="Times New Roman"/>
          <w:sz w:val="24"/>
          <w:szCs w:val="24"/>
        </w:rPr>
        <w:t xml:space="preserve">2 </w:t>
      </w:r>
      <w:r>
        <w:rPr>
          <w:rFonts w:ascii="Times New Roman" w:hAnsi="Times New Roman" w:cs="Times New Roman"/>
          <w:sz w:val="24"/>
          <w:szCs w:val="24"/>
        </w:rPr>
        <w:t xml:space="preserve">Ayat </w:t>
      </w:r>
      <w:r w:rsidRPr="004608C4">
        <w:rPr>
          <w:rFonts w:ascii="Times New Roman" w:hAnsi="Times New Roman" w:cs="Times New Roman"/>
          <w:sz w:val="24"/>
          <w:szCs w:val="24"/>
        </w:rPr>
        <w:t xml:space="preserve">(3) </w:t>
      </w:r>
      <w:r>
        <w:rPr>
          <w:rFonts w:ascii="Times New Roman" w:hAnsi="Times New Roman" w:cs="Times New Roman"/>
          <w:sz w:val="24"/>
          <w:szCs w:val="24"/>
        </w:rPr>
        <w:t xml:space="preserve">MCA 2005 </w:t>
      </w:r>
      <w:r w:rsidRPr="004608C4">
        <w:rPr>
          <w:rFonts w:ascii="Times New Roman" w:hAnsi="Times New Roman" w:cs="Times New Roman"/>
          <w:sz w:val="24"/>
          <w:szCs w:val="24"/>
        </w:rPr>
        <w:t>menyatakan bahwa setiap keputusan tentang kapasitas individu untuk membuat keputu</w:t>
      </w:r>
      <w:r>
        <w:rPr>
          <w:rFonts w:ascii="Times New Roman" w:hAnsi="Times New Roman" w:cs="Times New Roman"/>
          <w:sz w:val="24"/>
          <w:szCs w:val="24"/>
        </w:rPr>
        <w:t xml:space="preserve">san tidak boleh didasarkan pada </w:t>
      </w:r>
      <w:r w:rsidRPr="004608C4">
        <w:rPr>
          <w:rFonts w:ascii="Times New Roman" w:hAnsi="Times New Roman" w:cs="Times New Roman"/>
          <w:sz w:val="24"/>
          <w:szCs w:val="24"/>
        </w:rPr>
        <w:t>usia mereka - misalnya seorang individu tidak boleh dianggap kapasitas kurangnya hanya karena mereka orang tua;</w:t>
      </w:r>
      <w:r>
        <w:rPr>
          <w:rFonts w:ascii="Times New Roman" w:hAnsi="Times New Roman" w:cs="Times New Roman"/>
          <w:sz w:val="24"/>
          <w:szCs w:val="24"/>
        </w:rPr>
        <w:t xml:space="preserve"> </w:t>
      </w:r>
      <w:r w:rsidRPr="004608C4">
        <w:rPr>
          <w:rFonts w:ascii="Times New Roman" w:hAnsi="Times New Roman" w:cs="Times New Roman"/>
          <w:sz w:val="24"/>
          <w:szCs w:val="24"/>
        </w:rPr>
        <w:t>penampilan mereka - misalnya seorang individu tidak boleh dianggap tidak memiliki kapasitas hanya karena mereka muncul berantakan dan acak-acakan atau karena mereka menunjukkan karakteristik fisik kondisi seperti sindrom Down;</w:t>
      </w:r>
      <w:r>
        <w:rPr>
          <w:rFonts w:ascii="Times New Roman" w:hAnsi="Times New Roman" w:cs="Times New Roman"/>
          <w:sz w:val="24"/>
          <w:szCs w:val="24"/>
        </w:rPr>
        <w:t xml:space="preserve"> </w:t>
      </w:r>
      <w:r w:rsidRPr="004608C4">
        <w:rPr>
          <w:rFonts w:ascii="Times New Roman" w:hAnsi="Times New Roman" w:cs="Times New Roman"/>
          <w:sz w:val="24"/>
          <w:szCs w:val="24"/>
        </w:rPr>
        <w:t>asumsi tentang kondisi mereka - misalnya seorang individu tidak boleh dianggap kapasitas kurangnya hanya karena mereka menderita dari kondisi kesehatan jangka panjang seperti ketidakmampuan belajar, atau karena mereka mabuk; atau</w:t>
      </w:r>
      <w:r>
        <w:rPr>
          <w:rFonts w:ascii="Times New Roman" w:hAnsi="Times New Roman" w:cs="Times New Roman"/>
          <w:sz w:val="24"/>
          <w:szCs w:val="24"/>
        </w:rPr>
        <w:t xml:space="preserve"> </w:t>
      </w:r>
      <w:r w:rsidRPr="004608C4">
        <w:rPr>
          <w:rFonts w:ascii="Times New Roman" w:hAnsi="Times New Roman" w:cs="Times New Roman"/>
          <w:sz w:val="24"/>
          <w:szCs w:val="24"/>
        </w:rPr>
        <w:t>setiap aspek perilaku mereka - misalnya seorang individu tidak boleh dianggap kapasitas kurangnya hanya karena mereka berteriak dan menggerakkan tangan liar atau karena mereka mungkin tampak ditarik.</w:t>
      </w:r>
      <w:r>
        <w:rPr>
          <w:rStyle w:val="FootnoteReference"/>
        </w:rPr>
        <w:footnoteReference w:id="31"/>
      </w:r>
    </w:p>
    <w:p w:rsidR="00605B4D" w:rsidRDefault="00605B4D" w:rsidP="00605B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prinsipnya untuk perjanjian subjek hukum yang cakap adalah berusia dewasa tidak dalam ketidakmampuan mental atau dalam pengaruh obat seperti di </w:t>
      </w:r>
      <w:r w:rsidRPr="00297B7D">
        <w:rPr>
          <w:rFonts w:ascii="Times New Roman" w:hAnsi="Times New Roman" w:cs="Times New Roman"/>
          <w:i/>
          <w:sz w:val="24"/>
          <w:szCs w:val="24"/>
        </w:rPr>
        <w:t>civil law</w:t>
      </w:r>
      <w:r>
        <w:rPr>
          <w:rFonts w:ascii="Times New Roman" w:hAnsi="Times New Roman" w:cs="Times New Roman"/>
          <w:sz w:val="24"/>
          <w:szCs w:val="24"/>
        </w:rPr>
        <w:t xml:space="preserve"> (Indonesia) namun pada </w:t>
      </w:r>
      <w:r w:rsidRPr="00297B7D">
        <w:rPr>
          <w:rFonts w:ascii="Times New Roman" w:hAnsi="Times New Roman" w:cs="Times New Roman"/>
          <w:i/>
          <w:sz w:val="24"/>
          <w:szCs w:val="24"/>
        </w:rPr>
        <w:t>common law</w:t>
      </w:r>
      <w:r>
        <w:rPr>
          <w:rFonts w:ascii="Times New Roman" w:hAnsi="Times New Roman" w:cs="Times New Roman"/>
          <w:i/>
          <w:sz w:val="24"/>
          <w:szCs w:val="24"/>
        </w:rPr>
        <w:t xml:space="preserve"> </w:t>
      </w:r>
      <w:r>
        <w:rPr>
          <w:rFonts w:ascii="Times New Roman" w:hAnsi="Times New Roman" w:cs="Times New Roman"/>
          <w:sz w:val="24"/>
          <w:szCs w:val="24"/>
        </w:rPr>
        <w:t xml:space="preserve">menyangkut mengenai </w:t>
      </w:r>
      <w:r w:rsidRPr="00297B7D">
        <w:rPr>
          <w:rFonts w:ascii="Times New Roman" w:hAnsi="Times New Roman" w:cs="Times New Roman"/>
          <w:i/>
          <w:sz w:val="24"/>
          <w:szCs w:val="24"/>
        </w:rPr>
        <w:t>informed consent,</w:t>
      </w:r>
      <w:r>
        <w:rPr>
          <w:rFonts w:ascii="Times New Roman" w:hAnsi="Times New Roman" w:cs="Times New Roman"/>
          <w:sz w:val="24"/>
          <w:szCs w:val="24"/>
        </w:rPr>
        <w:t xml:space="preserve"> persyaratan teknis mengenai usia dapat diabaikan asalkan orang tersebut dapat memenuhi persyaratan dalam menerima informasi hingga memutuskan. </w:t>
      </w:r>
    </w:p>
    <w:p w:rsidR="00605B4D" w:rsidRPr="00EE4927" w:rsidRDefault="00605B4D" w:rsidP="00605B4D">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E4927">
        <w:rPr>
          <w:rFonts w:ascii="Times New Roman" w:hAnsi="Times New Roman" w:cs="Times New Roman"/>
          <w:sz w:val="24"/>
          <w:szCs w:val="24"/>
        </w:rPr>
        <w:t xml:space="preserve">Dalam penilaian yang panjang dan kompleks </w:t>
      </w:r>
      <w:r w:rsidRPr="00EE4927">
        <w:rPr>
          <w:rFonts w:ascii="Times New Roman" w:hAnsi="Times New Roman" w:cs="Times New Roman"/>
          <w:i/>
          <w:sz w:val="24"/>
          <w:szCs w:val="24"/>
        </w:rPr>
        <w:t>House of Lords</w:t>
      </w:r>
      <w:r w:rsidRPr="00EE4927">
        <w:rPr>
          <w:rFonts w:ascii="Times New Roman" w:hAnsi="Times New Roman" w:cs="Times New Roman"/>
          <w:sz w:val="24"/>
          <w:szCs w:val="24"/>
        </w:rPr>
        <w:t xml:space="preserve"> diperbolehkan banding, dan menolak untuk membuat pernyataan yang diminta oleh Ny.Gillick. Pada intinya, putusan pengadilan yang diajukan Ny.Gillick menyatakan bahwa anak di bawah 16 tahun dapat (tanpa persetujuan atau pengetahuan orang tua nya) menyetujui saran medis dan pengobatan, asalkan mereka memiliki tingkat yang cukup kematangan dan kecerdasan untuk memahami implikasi dari usulan pengobatan. </w:t>
      </w:r>
      <w:r>
        <w:rPr>
          <w:rFonts w:ascii="Times New Roman" w:hAnsi="Times New Roman" w:cs="Times New Roman"/>
          <w:sz w:val="24"/>
          <w:szCs w:val="24"/>
        </w:rPr>
        <w:t>Namun k</w:t>
      </w:r>
      <w:r w:rsidRPr="00EE4927">
        <w:rPr>
          <w:rFonts w:ascii="Times New Roman" w:hAnsi="Times New Roman" w:cs="Times New Roman"/>
          <w:sz w:val="24"/>
          <w:szCs w:val="24"/>
        </w:rPr>
        <w:t xml:space="preserve">eputusan pengadilan yang diajukan Ny. Gillick itu tidak berhasil diuji dalam kasus R (Axon) melawan Sekretaris Negara untuk Kesehatan [2006] EWHC 37. Di sini, orang tua menantang hak anak di bawah pedoman Departemen Kesehatan untuk melakukan aborsi di bawah usia 16 tahun. Silber J dikonfirmasi pendekatan di kasus Gillick dan hak pada pasien bawah umur yang telah cukup tingkat kematangannya dalam memahami adalah  untuk otonomi dan kerahasiaan. Setelah anak mencapai tahap ini, anak tidak hanya berhak untuk kerahasiaan, tetapi orang tua tidak bisa mengandalkan menggunakan pelanggaran Pasal 8 </w:t>
      </w:r>
      <w:r>
        <w:rPr>
          <w:rFonts w:ascii="Times New Roman" w:hAnsi="Times New Roman" w:cs="Times New Roman"/>
          <w:sz w:val="24"/>
          <w:szCs w:val="24"/>
        </w:rPr>
        <w:t xml:space="preserve">MCA 2005 </w:t>
      </w:r>
      <w:r w:rsidRPr="00EE4927">
        <w:rPr>
          <w:rFonts w:ascii="Times New Roman" w:hAnsi="Times New Roman" w:cs="Times New Roman"/>
          <w:sz w:val="24"/>
          <w:szCs w:val="24"/>
        </w:rPr>
        <w:t>dan menentang kekerasan pada kehidupan pribadi dan keluarga.</w:t>
      </w:r>
      <w:r>
        <w:rPr>
          <w:rStyle w:val="FootnoteReference"/>
        </w:rPr>
        <w:footnoteReference w:id="32"/>
      </w:r>
      <w:r>
        <w:rPr>
          <w:rFonts w:ascii="Times New Roman" w:hAnsi="Times New Roman" w:cs="Times New Roman"/>
          <w:sz w:val="24"/>
          <w:szCs w:val="24"/>
        </w:rPr>
        <w:t xml:space="preserve"> Untuk itu dalam </w:t>
      </w:r>
      <w:r w:rsidRPr="000D06E8">
        <w:rPr>
          <w:rFonts w:ascii="Times New Roman" w:hAnsi="Times New Roman" w:cs="Times New Roman"/>
          <w:i/>
          <w:sz w:val="24"/>
          <w:szCs w:val="24"/>
        </w:rPr>
        <w:t>common law</w:t>
      </w:r>
      <w:r>
        <w:rPr>
          <w:rFonts w:ascii="Times New Roman" w:hAnsi="Times New Roman" w:cs="Times New Roman"/>
          <w:sz w:val="24"/>
          <w:szCs w:val="24"/>
        </w:rPr>
        <w:t xml:space="preserve"> seorang anak dapat dimintai persetujuannya apabila mempunyai kematangan dan pemahaman yang cukup untuk memberikan keputusan. Dan yang melakukan penilaiannya adalah dokter itu sendiri. Jika dokter ragu, dapat meminta pertimbangan kepada pengadilan. </w:t>
      </w:r>
    </w:p>
    <w:p w:rsidR="00605B4D" w:rsidRDefault="00605B4D" w:rsidP="00605B4D">
      <w:pPr>
        <w:tabs>
          <w:tab w:val="left" w:pos="720"/>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Menurut MCA 2005 bagian </w:t>
      </w:r>
      <w:r w:rsidRPr="005A16D4">
        <w:rPr>
          <w:rFonts w:ascii="Times New Roman" w:eastAsia="Times New Roman" w:hAnsi="Times New Roman" w:cs="Times New Roman"/>
          <w:i/>
          <w:sz w:val="24"/>
          <w:szCs w:val="24"/>
          <w:lang w:eastAsia="id-ID"/>
        </w:rPr>
        <w:t>Code of Practice</w:t>
      </w:r>
      <w:r>
        <w:rPr>
          <w:rFonts w:ascii="Times New Roman" w:eastAsia="Times New Roman" w:hAnsi="Times New Roman" w:cs="Times New Roman"/>
          <w:sz w:val="24"/>
          <w:szCs w:val="24"/>
          <w:lang w:eastAsia="id-ID"/>
        </w:rPr>
        <w:t xml:space="preserve"> dengan kondisi tertentu mengenai gangguan fungsi otak yaitu</w:t>
      </w:r>
      <w:r>
        <w:rPr>
          <w:rStyle w:val="FootnoteReference"/>
          <w:rFonts w:eastAsia="Times New Roman"/>
          <w:lang w:eastAsia="id-ID"/>
        </w:rPr>
        <w:footnoteReference w:id="33"/>
      </w:r>
      <w:r>
        <w:rPr>
          <w:rFonts w:ascii="Times New Roman" w:eastAsia="Times New Roman" w:hAnsi="Times New Roman" w:cs="Times New Roman"/>
          <w:sz w:val="24"/>
          <w:szCs w:val="24"/>
          <w:lang w:eastAsia="id-ID"/>
        </w:rPr>
        <w:t xml:space="preserve"> :</w:t>
      </w:r>
    </w:p>
    <w:p w:rsidR="00605B4D" w:rsidRDefault="00605B4D" w:rsidP="00605B4D">
      <w:pPr>
        <w:pStyle w:val="ListParagraph"/>
        <w:numPr>
          <w:ilvl w:val="1"/>
          <w:numId w:val="24"/>
        </w:numPr>
        <w:autoSpaceDE w:val="0"/>
        <w:autoSpaceDN w:val="0"/>
        <w:adjustRightInd w:val="0"/>
        <w:spacing w:after="0" w:line="240" w:lineRule="auto"/>
        <w:ind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Kondisi yang berkaitan dengan gangguan jiwa</w:t>
      </w:r>
    </w:p>
    <w:p w:rsidR="00605B4D" w:rsidRDefault="00605B4D" w:rsidP="00605B4D">
      <w:pPr>
        <w:pStyle w:val="ListParagraph"/>
        <w:numPr>
          <w:ilvl w:val="1"/>
          <w:numId w:val="24"/>
        </w:numPr>
        <w:autoSpaceDE w:val="0"/>
        <w:autoSpaceDN w:val="0"/>
        <w:adjustRightInd w:val="0"/>
        <w:spacing w:after="0" w:line="240" w:lineRule="auto"/>
        <w:ind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Demensia</w:t>
      </w:r>
    </w:p>
    <w:p w:rsidR="00605B4D" w:rsidRDefault="00605B4D" w:rsidP="00605B4D">
      <w:pPr>
        <w:pStyle w:val="ListParagraph"/>
        <w:numPr>
          <w:ilvl w:val="1"/>
          <w:numId w:val="24"/>
        </w:numPr>
        <w:autoSpaceDE w:val="0"/>
        <w:autoSpaceDN w:val="0"/>
        <w:adjustRightInd w:val="0"/>
        <w:spacing w:after="0" w:line="240" w:lineRule="auto"/>
        <w:ind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Gangguan kemampuan belajar yang signifikan</w:t>
      </w:r>
    </w:p>
    <w:p w:rsidR="00605B4D" w:rsidRDefault="00605B4D" w:rsidP="00605B4D">
      <w:pPr>
        <w:pStyle w:val="ListParagraph"/>
        <w:numPr>
          <w:ilvl w:val="1"/>
          <w:numId w:val="24"/>
        </w:numPr>
        <w:autoSpaceDE w:val="0"/>
        <w:autoSpaceDN w:val="0"/>
        <w:adjustRightInd w:val="0"/>
        <w:spacing w:after="0" w:line="240" w:lineRule="auto"/>
        <w:ind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Efek cedera otak jangka panjang</w:t>
      </w:r>
    </w:p>
    <w:p w:rsidR="00605B4D" w:rsidRPr="00280453" w:rsidRDefault="00605B4D" w:rsidP="00605B4D">
      <w:pPr>
        <w:pStyle w:val="ListParagraph"/>
        <w:numPr>
          <w:ilvl w:val="1"/>
          <w:numId w:val="24"/>
        </w:numPr>
        <w:autoSpaceDE w:val="0"/>
        <w:autoSpaceDN w:val="0"/>
        <w:adjustRightInd w:val="0"/>
        <w:spacing w:after="0" w:line="240" w:lineRule="auto"/>
        <w:ind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Kondisi medis dan fisik yang menyebabkan kebingungan atau gangguan </w:t>
      </w:r>
      <w:r w:rsidRPr="00280453">
        <w:rPr>
          <w:rFonts w:ascii="Times New Roman" w:eastAsia="Times New Roman" w:hAnsi="Times New Roman" w:cs="Times New Roman"/>
          <w:sz w:val="24"/>
          <w:szCs w:val="24"/>
          <w:lang w:eastAsia="id-ID"/>
        </w:rPr>
        <w:t>kesadaran</w:t>
      </w:r>
    </w:p>
    <w:p w:rsidR="00605B4D" w:rsidRDefault="00605B4D" w:rsidP="00605B4D">
      <w:pPr>
        <w:pStyle w:val="ListParagraph"/>
        <w:numPr>
          <w:ilvl w:val="1"/>
          <w:numId w:val="24"/>
        </w:numPr>
        <w:autoSpaceDE w:val="0"/>
        <w:autoSpaceDN w:val="0"/>
        <w:adjustRightInd w:val="0"/>
        <w:spacing w:after="0" w:line="240" w:lineRule="auto"/>
        <w:ind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Delirium</w:t>
      </w:r>
    </w:p>
    <w:p w:rsidR="00605B4D" w:rsidRDefault="00605B4D" w:rsidP="00605B4D">
      <w:pPr>
        <w:pStyle w:val="ListParagraph"/>
        <w:numPr>
          <w:ilvl w:val="1"/>
          <w:numId w:val="24"/>
        </w:numPr>
        <w:autoSpaceDE w:val="0"/>
        <w:autoSpaceDN w:val="0"/>
        <w:adjustRightInd w:val="0"/>
        <w:spacing w:after="0" w:line="240" w:lineRule="auto"/>
        <w:ind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Memar otak yang diikuti cedera otak</w:t>
      </w:r>
    </w:p>
    <w:p w:rsidR="00605B4D" w:rsidRDefault="00605B4D" w:rsidP="00605B4D">
      <w:pPr>
        <w:pStyle w:val="ListParagraph"/>
        <w:numPr>
          <w:ilvl w:val="1"/>
          <w:numId w:val="24"/>
        </w:numPr>
        <w:autoSpaceDE w:val="0"/>
        <w:autoSpaceDN w:val="0"/>
        <w:adjustRightInd w:val="0"/>
        <w:spacing w:after="0" w:line="240" w:lineRule="auto"/>
        <w:ind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Gejala penggunan alkohol dan narkotika</w:t>
      </w:r>
    </w:p>
    <w:p w:rsidR="00605B4D" w:rsidRDefault="00605B4D" w:rsidP="00605B4D">
      <w:pPr>
        <w:tabs>
          <w:tab w:val="left" w:pos="720"/>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Namun penyakit tersebut dapat berbeda dalam kecakapan hukumnya, sebagai contoh orang dengan halusinasi dapat membuat keputusan ketika dalam pengobatan dibandingkan yang tidak.</w:t>
      </w:r>
      <w:r>
        <w:rPr>
          <w:rStyle w:val="FootnoteReference"/>
          <w:rFonts w:eastAsia="Times New Roman"/>
          <w:lang w:eastAsia="id-ID"/>
        </w:rPr>
        <w:footnoteReference w:id="34"/>
      </w:r>
      <w:r>
        <w:rPr>
          <w:rFonts w:ascii="Times New Roman" w:eastAsia="Times New Roman" w:hAnsi="Times New Roman" w:cs="Times New Roman"/>
          <w:sz w:val="24"/>
          <w:szCs w:val="24"/>
          <w:lang w:eastAsia="id-ID"/>
        </w:rPr>
        <w:t xml:space="preserve"> </w:t>
      </w:r>
      <w:r w:rsidRPr="00324C98">
        <w:rPr>
          <w:rFonts w:ascii="Times New Roman" w:eastAsia="Times New Roman" w:hAnsi="Times New Roman" w:cs="Times New Roman"/>
          <w:i/>
          <w:sz w:val="24"/>
          <w:szCs w:val="24"/>
          <w:lang w:eastAsia="id-ID"/>
        </w:rPr>
        <w:t>Common Law System</w:t>
      </w:r>
      <w:r>
        <w:rPr>
          <w:rFonts w:ascii="Times New Roman" w:eastAsia="Times New Roman" w:hAnsi="Times New Roman" w:cs="Times New Roman"/>
          <w:sz w:val="24"/>
          <w:szCs w:val="24"/>
          <w:lang w:eastAsia="id-ID"/>
        </w:rPr>
        <w:t xml:space="preserve"> merupakan dasar dari MCA 2005 untuk penerapan kecakapannya. Seperti pada kasus Re C (1994) All ER 819 dimana seorang skizofrenia paranoid dapat mengambil keputusan mengenai luka di kakinya yang menyebabkan gangrene. Hakim Thorpe menyatakan bahwa pasien dapat mengerti, menyimpan informasi, dan membuat pilihan yang jelas. Hal tersebut sesuai dengan pasal 3 ayat 1 MCA 2005 yaitu komunikasi. Menurut Hakim Thorpe ada 3 hal yang menyatakan seseorang cakap secara hukum yaitu dapat menyimpan informasi, mempercayainya, dan dapat membuat pilihan.</w:t>
      </w:r>
      <w:r>
        <w:rPr>
          <w:rStyle w:val="FootnoteReference"/>
          <w:rFonts w:eastAsia="Times New Roman"/>
          <w:lang w:eastAsia="id-ID"/>
        </w:rPr>
        <w:footnoteReference w:id="35"/>
      </w:r>
      <w:r>
        <w:rPr>
          <w:rFonts w:ascii="Times New Roman" w:eastAsia="Times New Roman" w:hAnsi="Times New Roman" w:cs="Times New Roman"/>
          <w:sz w:val="24"/>
          <w:szCs w:val="24"/>
          <w:lang w:eastAsia="id-ID"/>
        </w:rPr>
        <w:t xml:space="preserve"> Jadi tidak serta merta dalam </w:t>
      </w:r>
      <w:r w:rsidRPr="00EE4927">
        <w:rPr>
          <w:rFonts w:ascii="Times New Roman" w:eastAsia="Times New Roman" w:hAnsi="Times New Roman" w:cs="Times New Roman"/>
          <w:i/>
          <w:sz w:val="24"/>
          <w:szCs w:val="24"/>
          <w:lang w:eastAsia="id-ID"/>
        </w:rPr>
        <w:t>common law</w:t>
      </w:r>
      <w:r>
        <w:rPr>
          <w:rFonts w:ascii="Times New Roman" w:eastAsia="Times New Roman" w:hAnsi="Times New Roman" w:cs="Times New Roman"/>
          <w:sz w:val="24"/>
          <w:szCs w:val="24"/>
          <w:lang w:eastAsia="id-ID"/>
        </w:rPr>
        <w:t xml:space="preserve"> seorang dengan gangguan jiwa langsung disebut tidak cakap secara hukum untuk membuat keputusan untuk </w:t>
      </w:r>
      <w:r w:rsidRPr="00EE4927">
        <w:rPr>
          <w:rFonts w:ascii="Times New Roman" w:eastAsia="Times New Roman" w:hAnsi="Times New Roman" w:cs="Times New Roman"/>
          <w:i/>
          <w:sz w:val="24"/>
          <w:szCs w:val="24"/>
          <w:lang w:eastAsia="id-ID"/>
        </w:rPr>
        <w:t>informed consent</w:t>
      </w:r>
      <w:r>
        <w:rPr>
          <w:rFonts w:ascii="Times New Roman" w:eastAsia="Times New Roman" w:hAnsi="Times New Roman" w:cs="Times New Roman"/>
          <w:sz w:val="24"/>
          <w:szCs w:val="24"/>
          <w:lang w:eastAsia="id-ID"/>
        </w:rPr>
        <w:t xml:space="preserve"> tindakannya namun dapat dilakukan tes yang menguji pemahaman mereka dan mengerti, menyimpan informasi dan membuat pilihan yang jelas.</w:t>
      </w:r>
    </w:p>
    <w:p w:rsidR="00605B4D" w:rsidRDefault="00605B4D" w:rsidP="00EE64F9">
      <w:pPr>
        <w:pStyle w:val="SUBSUBBAB1"/>
        <w:numPr>
          <w:ilvl w:val="0"/>
          <w:numId w:val="29"/>
        </w:numPr>
        <w:spacing w:line="240" w:lineRule="auto"/>
        <w:ind w:left="360"/>
      </w:pPr>
      <w:bookmarkStart w:id="8" w:name="_Toc475118336"/>
      <w:r>
        <w:t>Struktur Hukum</w:t>
      </w:r>
      <w:bookmarkEnd w:id="8"/>
    </w:p>
    <w:p w:rsidR="00605B4D" w:rsidRDefault="00605B4D" w:rsidP="00605B4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Menurut Penjelasan Pasal 45 UU No. 29 Tahun 2004 Tentang Praktik Kedokteran, keputusan dapat diambil oleh keluarga (orang tua,suami/istri, anak-anak kandung, saudara kandung), pengantar, sesaat setelah pasien sadar, atau pada anak yang bersangkutan. Menurut Pasal 12 PMK No. 290 Tahun 2008 Tentang Persetujuan Tindakan Kedokteran dapat dilakukan oleh wali, keluarga terdekat atau pengampunya. Dan menurut Manual Persetujuan Tindakan Medik KKI 2008 memberikan penjelasan mengenai hal tersebut demikian : </w:t>
      </w:r>
    </w:p>
    <w:p w:rsidR="00605B4D" w:rsidRDefault="00605B4D" w:rsidP="00605B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Definisi mengenai w</w:t>
      </w:r>
      <w:r w:rsidRPr="00571ECA">
        <w:rPr>
          <w:rFonts w:ascii="Times New Roman" w:hAnsi="Times New Roman" w:cs="Times New Roman"/>
          <w:sz w:val="24"/>
          <w:szCs w:val="24"/>
        </w:rPr>
        <w:t>ali adalah orang yang secara hukum dianggap sah mewakili kepentingan orang lain yang tidak kompeten (dalam hal i</w:t>
      </w:r>
      <w:r>
        <w:rPr>
          <w:rFonts w:ascii="Times New Roman" w:hAnsi="Times New Roman" w:cs="Times New Roman"/>
          <w:sz w:val="24"/>
          <w:szCs w:val="24"/>
        </w:rPr>
        <w:t xml:space="preserve">ni pasien yang tidak kompeten); </w:t>
      </w:r>
      <w:r w:rsidRPr="00571ECA">
        <w:rPr>
          <w:rFonts w:ascii="Times New Roman" w:hAnsi="Times New Roman" w:cs="Times New Roman"/>
          <w:sz w:val="24"/>
          <w:szCs w:val="24"/>
        </w:rPr>
        <w:t>Keluarga terdekat adalah suami atau isteri, orang tua yang sah atau ana</w:t>
      </w:r>
      <w:r>
        <w:rPr>
          <w:rFonts w:ascii="Times New Roman" w:hAnsi="Times New Roman" w:cs="Times New Roman"/>
          <w:sz w:val="24"/>
          <w:szCs w:val="24"/>
        </w:rPr>
        <w:t xml:space="preserve">k kandung, dan saudara kandung; </w:t>
      </w:r>
      <w:r w:rsidRPr="00571ECA">
        <w:rPr>
          <w:rFonts w:ascii="Times New Roman" w:hAnsi="Times New Roman" w:cs="Times New Roman"/>
          <w:sz w:val="24"/>
          <w:szCs w:val="24"/>
        </w:rPr>
        <w:t>Pengampu adalah orang atau badan yang ditetapkan pengadilan sebagai pihak yang mewakili kepentingan seseorang tertentu (dalam hal ini pasien) yang dinyatakan berada di bawah pengampuan (</w:t>
      </w:r>
      <w:r w:rsidRPr="00605B4D">
        <w:rPr>
          <w:rFonts w:ascii="Times New Roman" w:hAnsi="Times New Roman" w:cs="Times New Roman"/>
          <w:i/>
          <w:sz w:val="24"/>
          <w:szCs w:val="24"/>
        </w:rPr>
        <w:t>curatele</w:t>
      </w:r>
      <w:r w:rsidRPr="00571ECA">
        <w:rPr>
          <w:rFonts w:ascii="Times New Roman" w:hAnsi="Times New Roman" w:cs="Times New Roman"/>
          <w:sz w:val="24"/>
          <w:szCs w:val="24"/>
        </w:rPr>
        <w:t>).</w:t>
      </w:r>
      <w:r>
        <w:rPr>
          <w:rStyle w:val="FootnoteReference"/>
        </w:rPr>
        <w:footnoteReference w:id="36"/>
      </w:r>
      <w:r>
        <w:rPr>
          <w:rFonts w:ascii="Times New Roman" w:hAnsi="Times New Roman" w:cs="Times New Roman"/>
          <w:sz w:val="24"/>
          <w:szCs w:val="24"/>
        </w:rPr>
        <w:t xml:space="preserve"> </w:t>
      </w:r>
      <w:r w:rsidRPr="00571ECA">
        <w:rPr>
          <w:rFonts w:ascii="Times New Roman" w:hAnsi="Times New Roman" w:cs="Times New Roman"/>
          <w:sz w:val="24"/>
          <w:szCs w:val="24"/>
        </w:rPr>
        <w:t>Keluarga terdekat atau pengampu umumnya dianggap dapat memberikan persetujuan tindakan kedokteran bagi orang dewasa lain yang tidak kompeten.</w:t>
      </w:r>
      <w:r>
        <w:rPr>
          <w:rFonts w:ascii="Times New Roman" w:hAnsi="Times New Roman" w:cs="Times New Roman"/>
          <w:sz w:val="24"/>
          <w:szCs w:val="24"/>
        </w:rPr>
        <w:t xml:space="preserve"> </w:t>
      </w:r>
      <w:r w:rsidRPr="00571ECA">
        <w:rPr>
          <w:rFonts w:ascii="Times New Roman" w:hAnsi="Times New Roman" w:cs="Times New Roman"/>
          <w:sz w:val="24"/>
          <w:szCs w:val="24"/>
        </w:rPr>
        <w:t>Sedangkan hubungan kekeluargaan yang lain seperti paman, bibi, kakek, mertua, ipar, menantu, keponakan dan lain-lain tidak dianggap sebagai keluarga terdekat, meskipun mereka pada keadaan tertentu dapat diikutsertakan ke dalam proses pemberian informasi dan pembuatan keputusan. Dalam hal terdapat ketidaksepakatan di dalam keluarga, maka dianjurkan agar dokter mempersilahkan mereka untuk bermufakat dan hanya menerima persetujuan atau penolakan</w:t>
      </w:r>
      <w:r>
        <w:rPr>
          <w:rFonts w:ascii="Times New Roman" w:hAnsi="Times New Roman" w:cs="Times New Roman"/>
          <w:sz w:val="24"/>
          <w:szCs w:val="24"/>
        </w:rPr>
        <w:t xml:space="preserve"> yang sudah disepakati bersama. </w:t>
      </w:r>
      <w:r w:rsidRPr="00571ECA">
        <w:rPr>
          <w:rFonts w:ascii="Times New Roman" w:hAnsi="Times New Roman" w:cs="Times New Roman"/>
          <w:sz w:val="24"/>
          <w:szCs w:val="24"/>
        </w:rPr>
        <w:t>Dokter tidak dibebani kewajiban untuk membuktikan hubungan kekeluargaan pembuat persetujuan dengan pasien, demikian pula penentuan mana yang lebih sah mewakili pasien dalam hal terdapat lebih dari satu isteri atau anak. Dokter berhak memperoleh pernyataan yang bena</w:t>
      </w:r>
      <w:r>
        <w:rPr>
          <w:rFonts w:ascii="Times New Roman" w:hAnsi="Times New Roman" w:cs="Times New Roman"/>
          <w:sz w:val="24"/>
          <w:szCs w:val="24"/>
        </w:rPr>
        <w:t xml:space="preserve">r dari pasien atau keluarganya. </w:t>
      </w:r>
      <w:r w:rsidRPr="00571ECA">
        <w:rPr>
          <w:rFonts w:ascii="Times New Roman" w:hAnsi="Times New Roman" w:cs="Times New Roman"/>
          <w:sz w:val="24"/>
          <w:szCs w:val="24"/>
        </w:rPr>
        <w:t>Pada pasien yang tidak mau menerima informasi perlu dimintakan siapa yang dia tunjuk sebagai wakil dalam menerima informasi dan membuat keputusan apabila ia menghendakinya demikian, misalnya wali atau keluarga terdekatnya. Demikian pula pada pasien yang tidak mau menandatangani formulir persetujuan, padahal ia menghendaki tindakan tersebut dilakukan.</w:t>
      </w:r>
      <w:r>
        <w:rPr>
          <w:rStyle w:val="FootnoteReference"/>
        </w:rPr>
        <w:footnoteReference w:id="37"/>
      </w:r>
      <w:r w:rsidRPr="00571ECA">
        <w:t xml:space="preserve"> </w:t>
      </w:r>
      <w:r w:rsidRPr="00571ECA">
        <w:rPr>
          <w:rFonts w:ascii="Times New Roman" w:hAnsi="Times New Roman" w:cs="Times New Roman"/>
          <w:sz w:val="24"/>
          <w:szCs w:val="24"/>
        </w:rPr>
        <w:t>Anak-anak dianggap tak mampu memberikan keputusan karena sejumlah alasan, seperti ketidakdewasaan mereka, kesulitan untuk memahami tindakan kedokteran, atau dampak dari kondisi mereka. Pada umumnya, seseorang dengan tanggung jawab orang tua (orang tua atau wali) atau pengadilan dapat memberikan keputusan bagi mereka. Jika keputusan penting harus dibuat yang menyangkut tindakan kedokteran yang dapat mempunyai akibat yang permanen, sedangkan terdapat dua orang dengan tanggung jawab orang tua (misalnya ayah dan ibu), maka keduanya harus dimintai pendapatnya. Anak harus selalu dilibatkan dalam proses pengambilan keputusan, misalnya keputusan tentang siapa yang akan tinggal bersamanya pada saat suatu tindakan ke</w:t>
      </w:r>
      <w:r>
        <w:rPr>
          <w:rFonts w:ascii="Times New Roman" w:hAnsi="Times New Roman" w:cs="Times New Roman"/>
          <w:sz w:val="24"/>
          <w:szCs w:val="24"/>
        </w:rPr>
        <w:t xml:space="preserve">dokteran tertentu dilaksanakan. </w:t>
      </w:r>
      <w:r w:rsidRPr="00571ECA">
        <w:rPr>
          <w:rFonts w:ascii="Times New Roman" w:hAnsi="Times New Roman" w:cs="Times New Roman"/>
          <w:sz w:val="24"/>
          <w:szCs w:val="24"/>
        </w:rPr>
        <w:t xml:space="preserve">Proses dalam mendapatkan persetujuan dari orang tua pasien adalah sama seperti ketika mereka memberikan keputusan untuk mereka sendiri, dengan kata lain, keputusan harus diberikan secara bebas oleh orang yang kompeten yang telah diberikan informasi. Kekuasaan untuk memberi persetujuan tersebut harus digunakan untuk kepentingan terbaik bagi si anak. Demi kepentingan terbaik pasien anak, pengadilan dapat membatalkan penolakan tindakan kedokteran oleh seseorang </w:t>
      </w:r>
      <w:r>
        <w:rPr>
          <w:rFonts w:ascii="Times New Roman" w:hAnsi="Times New Roman" w:cs="Times New Roman"/>
          <w:sz w:val="24"/>
          <w:szCs w:val="24"/>
        </w:rPr>
        <w:t xml:space="preserve">dalam tanggung jawab orang tua. </w:t>
      </w:r>
      <w:r w:rsidRPr="00571ECA">
        <w:rPr>
          <w:rFonts w:ascii="Times New Roman" w:hAnsi="Times New Roman" w:cs="Times New Roman"/>
          <w:sz w:val="24"/>
          <w:szCs w:val="24"/>
        </w:rPr>
        <w:t>Sekali lagi, kesejahteraan anak adalah lebih dari kesehatan fisik semata. Pembatalan keputusan orang tua harus dibatasi hanya pada keadaan-keadaan dimana si anak berrisiko menghadapi kematian atau kerusakan fisik atau mental yang ireversibel.</w:t>
      </w:r>
      <w:r>
        <w:rPr>
          <w:rStyle w:val="FootnoteReference"/>
        </w:rPr>
        <w:footnoteReference w:id="38"/>
      </w:r>
    </w:p>
    <w:p w:rsidR="00605B4D" w:rsidRDefault="00605B4D" w:rsidP="00605B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MCA 2005 terdapat beberapa alternatif apabila pasien tidak cakap secara hukum dalam pengambilan keputusan yaitu </w:t>
      </w:r>
    </w:p>
    <w:p w:rsidR="00605B4D" w:rsidRPr="008F13BA" w:rsidRDefault="00605B4D" w:rsidP="00605B4D">
      <w:pPr>
        <w:pStyle w:val="ListParagraph"/>
        <w:numPr>
          <w:ilvl w:val="0"/>
          <w:numId w:val="26"/>
        </w:numPr>
        <w:tabs>
          <w:tab w:val="left" w:pos="720"/>
          <w:tab w:val="left" w:pos="1440"/>
        </w:tabs>
        <w:autoSpaceDE w:val="0"/>
        <w:autoSpaceDN w:val="0"/>
        <w:adjustRightInd w:val="0"/>
        <w:spacing w:after="0" w:line="240" w:lineRule="auto"/>
        <w:ind w:left="360"/>
        <w:jc w:val="both"/>
        <w:rPr>
          <w:rFonts w:ascii="Times New Roman" w:eastAsia="Times New Roman" w:hAnsi="Times New Roman" w:cs="Times New Roman"/>
          <w:sz w:val="24"/>
          <w:szCs w:val="24"/>
          <w:lang w:eastAsia="id-ID"/>
        </w:rPr>
      </w:pPr>
      <w:r w:rsidRPr="0061209B">
        <w:rPr>
          <w:rFonts w:ascii="Times New Roman" w:eastAsia="Times New Roman" w:hAnsi="Times New Roman" w:cs="Times New Roman"/>
          <w:i/>
          <w:sz w:val="24"/>
          <w:szCs w:val="24"/>
          <w:lang w:eastAsia="id-ID"/>
        </w:rPr>
        <w:t xml:space="preserve">Advance decision </w:t>
      </w:r>
    </w:p>
    <w:p w:rsidR="00605B4D" w:rsidRPr="008F13BA" w:rsidRDefault="00605B4D" w:rsidP="00605B4D">
      <w:pPr>
        <w:tabs>
          <w:tab w:val="left" w:pos="720"/>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M</w:t>
      </w:r>
      <w:r w:rsidRPr="008F13BA">
        <w:rPr>
          <w:rFonts w:ascii="Times New Roman" w:eastAsia="Times New Roman" w:hAnsi="Times New Roman" w:cs="Times New Roman"/>
          <w:sz w:val="24"/>
          <w:szCs w:val="24"/>
          <w:lang w:eastAsia="id-ID"/>
        </w:rPr>
        <w:t xml:space="preserve">erupakan mekanisme di mana pasien yang kompeten dapat menolak terapi spesifik, jika mereka kehilangan kapasitas membuat keputusan. </w:t>
      </w:r>
      <w:r w:rsidRPr="008F13BA">
        <w:rPr>
          <w:rFonts w:ascii="Times New Roman" w:eastAsia="Times New Roman" w:hAnsi="Times New Roman" w:cs="Times New Roman"/>
          <w:i/>
          <w:sz w:val="24"/>
          <w:szCs w:val="24"/>
          <w:lang w:eastAsia="id-ID"/>
        </w:rPr>
        <w:t>Advance decision</w:t>
      </w:r>
      <w:r w:rsidRPr="008F13BA">
        <w:rPr>
          <w:rFonts w:ascii="Times New Roman" w:eastAsia="Times New Roman" w:hAnsi="Times New Roman" w:cs="Times New Roman"/>
          <w:sz w:val="24"/>
          <w:szCs w:val="24"/>
          <w:lang w:eastAsia="id-ID"/>
        </w:rPr>
        <w:t xml:space="preserve"> diatur dalam Pasal 24-26 MCA 2005. Beberapa ketentuan mengenai </w:t>
      </w:r>
      <w:r w:rsidRPr="008F13BA">
        <w:rPr>
          <w:rFonts w:ascii="Times New Roman" w:eastAsia="Times New Roman" w:hAnsi="Times New Roman" w:cs="Times New Roman"/>
          <w:i/>
          <w:sz w:val="24"/>
          <w:szCs w:val="24"/>
          <w:lang w:eastAsia="id-ID"/>
        </w:rPr>
        <w:t>Advance decision</w:t>
      </w:r>
      <w:r w:rsidRPr="008F13BA">
        <w:rPr>
          <w:rFonts w:ascii="Times New Roman" w:eastAsia="Times New Roman" w:hAnsi="Times New Roman" w:cs="Times New Roman"/>
          <w:sz w:val="24"/>
          <w:szCs w:val="24"/>
          <w:lang w:eastAsia="id-ID"/>
        </w:rPr>
        <w:t xml:space="preserve"> adalah dapat dibuat hanya oleh orang yang kompeten (lebih dari 18 tahun) (Pasal 24 ayat 1 MCA 2005), Menolak terapi yang spesifik (Pasal 24 ayat 1a MCA 2005), Dapat tidak tertulis kecuali untuk memberikan bantuan perpanjangan hidup. (Pasal 24 ayat 6 MCA 2005), Dapat dilepas kembali haknya kapanpun oleh pasien yang kompeten. (Pasal 24 ayat 3 MCA 2005)., Berlaku saat pasien menjadi tidak kompeten (Pasal 24 ayat 1b MCA 2005), Harus valid dan dapat diterapkan dalam terapi. (Pasal 25 ayat 1 MCA 2005).</w:t>
      </w:r>
      <w:r>
        <w:rPr>
          <w:rStyle w:val="FootnoteReference"/>
          <w:rFonts w:eastAsia="Times New Roman"/>
          <w:lang w:eastAsia="id-ID"/>
        </w:rPr>
        <w:footnoteReference w:id="39"/>
      </w:r>
      <w:r w:rsidRPr="008F13BA">
        <w:rPr>
          <w:rFonts w:ascii="Times New Roman" w:eastAsia="Times New Roman" w:hAnsi="Times New Roman" w:cs="Times New Roman"/>
          <w:sz w:val="24"/>
          <w:szCs w:val="24"/>
          <w:lang w:eastAsia="id-ID"/>
        </w:rPr>
        <w:t xml:space="preserve"> </w:t>
      </w:r>
      <w:r w:rsidRPr="008F13BA">
        <w:rPr>
          <w:rFonts w:ascii="Times New Roman" w:eastAsia="Times New Roman" w:hAnsi="Times New Roman" w:cs="Times New Roman"/>
          <w:i/>
          <w:sz w:val="24"/>
          <w:szCs w:val="24"/>
          <w:lang w:eastAsia="id-ID"/>
        </w:rPr>
        <w:t>Advance decision</w:t>
      </w:r>
      <w:r w:rsidRPr="008F13BA">
        <w:rPr>
          <w:rFonts w:ascii="Times New Roman" w:eastAsia="Times New Roman" w:hAnsi="Times New Roman" w:cs="Times New Roman"/>
          <w:sz w:val="24"/>
          <w:szCs w:val="24"/>
          <w:lang w:eastAsia="id-ID"/>
        </w:rPr>
        <w:t xml:space="preserve"> hanya mengizinkan keputusan yang bersifat negatif yaitu untuk menolak tindakan. </w:t>
      </w:r>
      <w:r w:rsidRPr="008F13BA">
        <w:rPr>
          <w:rFonts w:ascii="Times New Roman" w:eastAsia="Times New Roman" w:hAnsi="Times New Roman" w:cs="Times New Roman"/>
          <w:i/>
          <w:sz w:val="24"/>
          <w:szCs w:val="24"/>
          <w:lang w:eastAsia="id-ID"/>
        </w:rPr>
        <w:t>Advance decision</w:t>
      </w:r>
      <w:r w:rsidRPr="008F13BA">
        <w:rPr>
          <w:rFonts w:ascii="Times New Roman" w:eastAsia="Times New Roman" w:hAnsi="Times New Roman" w:cs="Times New Roman"/>
          <w:sz w:val="24"/>
          <w:szCs w:val="24"/>
          <w:lang w:eastAsia="id-ID"/>
        </w:rPr>
        <w:t xml:space="preserve"> termasuk terapi saat ini dan terapi kelanjutannya, atau menerima terapi untuk periode tertentu saja. Dan jika menolak tindakan yang bersifat menyelamatkan nyawa, harus secara tertulis dan disaksikan pihak ketiga. </w:t>
      </w:r>
      <w:r w:rsidRPr="008F13BA">
        <w:rPr>
          <w:rFonts w:ascii="Times New Roman" w:eastAsia="Times New Roman" w:hAnsi="Times New Roman" w:cs="Times New Roman"/>
          <w:i/>
          <w:sz w:val="24"/>
          <w:szCs w:val="24"/>
          <w:lang w:eastAsia="id-ID"/>
        </w:rPr>
        <w:t>Advance decision</w:t>
      </w:r>
      <w:r w:rsidRPr="008F13BA">
        <w:rPr>
          <w:rFonts w:ascii="Times New Roman" w:eastAsia="Times New Roman" w:hAnsi="Times New Roman" w:cs="Times New Roman"/>
          <w:sz w:val="24"/>
          <w:szCs w:val="24"/>
          <w:lang w:eastAsia="id-ID"/>
        </w:rPr>
        <w:t xml:space="preserve"> tidak dapat menolak untuk perawatan dasar seperti penghangat, selimut, tindakan pembersihan, penawaran makanan dan air melalui mulut.</w:t>
      </w:r>
      <w:r>
        <w:rPr>
          <w:rStyle w:val="FootnoteReference"/>
          <w:rFonts w:eastAsia="Times New Roman"/>
          <w:lang w:eastAsia="id-ID"/>
        </w:rPr>
        <w:footnoteReference w:id="40"/>
      </w:r>
      <w:r w:rsidRPr="008F13BA">
        <w:rPr>
          <w:rFonts w:ascii="Times New Roman" w:eastAsia="Times New Roman" w:hAnsi="Times New Roman" w:cs="Times New Roman"/>
          <w:sz w:val="24"/>
          <w:szCs w:val="24"/>
          <w:lang w:eastAsia="id-ID"/>
        </w:rPr>
        <w:t xml:space="preserve"> </w:t>
      </w:r>
    </w:p>
    <w:p w:rsidR="00605B4D" w:rsidRPr="0019788C" w:rsidRDefault="00605B4D" w:rsidP="00605B4D">
      <w:pPr>
        <w:pStyle w:val="ListParagraph"/>
        <w:numPr>
          <w:ilvl w:val="0"/>
          <w:numId w:val="26"/>
        </w:numPr>
        <w:tabs>
          <w:tab w:val="left" w:pos="720"/>
          <w:tab w:val="left" w:pos="1440"/>
        </w:tabs>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sidRPr="0019788C">
        <w:rPr>
          <w:rFonts w:ascii="Times New Roman" w:eastAsia="Times New Roman" w:hAnsi="Times New Roman" w:cs="Times New Roman"/>
          <w:i/>
          <w:sz w:val="24"/>
          <w:szCs w:val="24"/>
          <w:lang w:eastAsia="id-ID"/>
        </w:rPr>
        <w:t>Lasting Power Attorney</w:t>
      </w:r>
      <w:r w:rsidRPr="0019788C">
        <w:rPr>
          <w:rFonts w:ascii="Times New Roman" w:eastAsia="Times New Roman" w:hAnsi="Times New Roman" w:cs="Times New Roman"/>
          <w:sz w:val="24"/>
          <w:szCs w:val="24"/>
          <w:lang w:eastAsia="id-ID"/>
        </w:rPr>
        <w:t xml:space="preserve"> (LPA)</w:t>
      </w:r>
    </w:p>
    <w:p w:rsidR="00605B4D" w:rsidRDefault="00605B4D" w:rsidP="00605B4D">
      <w:pPr>
        <w:tabs>
          <w:tab w:val="left" w:pos="720"/>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Merupakan prosedur pemberian kuasa yang berkepanjangan oleh pasien yang cakap hukum kepada seseorang ketika orang tersebut tidak cakap hukum. Yang memberi kuasa harus berusia lebih dari 18 tahun dan mempunyai kecakapan dalam hukum. Sangat mungkin terdapat lebih dari 1 orang yang dberi kuasa unuk membuat keputusan pada pasien. Namun terdapat larangan LPA membuat keputusan yang bertentangan dengan kepentingan terbaik pasien walaupun yang diberi kuasa percaya bahwa pasien akan memutuskan keputusan tersebut. </w:t>
      </w:r>
      <w:r>
        <w:rPr>
          <w:rStyle w:val="FootnoteReference"/>
          <w:rFonts w:eastAsia="Times New Roman"/>
          <w:lang w:eastAsia="id-ID"/>
        </w:rPr>
        <w:footnoteReference w:id="41"/>
      </w:r>
      <w:r>
        <w:rPr>
          <w:rFonts w:ascii="Times New Roman" w:eastAsia="Times New Roman" w:hAnsi="Times New Roman" w:cs="Times New Roman"/>
          <w:sz w:val="24"/>
          <w:szCs w:val="24"/>
          <w:lang w:eastAsia="id-ID"/>
        </w:rPr>
        <w:t xml:space="preserve"> Seorang LPA juga tidak dapat membuat keputusan menolak atau menyetujui alat bantu kehidupan kecuali secara jelas dinyatakan dalam surat kuasa.</w:t>
      </w:r>
      <w:r>
        <w:rPr>
          <w:rStyle w:val="FootnoteReference"/>
          <w:rFonts w:eastAsia="Times New Roman"/>
          <w:lang w:eastAsia="id-ID"/>
        </w:rPr>
        <w:footnoteReference w:id="42"/>
      </w:r>
    </w:p>
    <w:p w:rsidR="00605B4D" w:rsidRPr="0019788C" w:rsidRDefault="00605B4D" w:rsidP="00605B4D">
      <w:pPr>
        <w:pStyle w:val="ListParagraph"/>
        <w:numPr>
          <w:ilvl w:val="0"/>
          <w:numId w:val="26"/>
        </w:numPr>
        <w:tabs>
          <w:tab w:val="left" w:pos="720"/>
          <w:tab w:val="left" w:pos="1440"/>
        </w:tabs>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sidRPr="0019788C">
        <w:rPr>
          <w:rFonts w:ascii="Times New Roman" w:eastAsia="Times New Roman" w:hAnsi="Times New Roman" w:cs="Times New Roman"/>
          <w:sz w:val="24"/>
          <w:szCs w:val="24"/>
          <w:lang w:eastAsia="id-ID"/>
        </w:rPr>
        <w:t>Deputi</w:t>
      </w:r>
    </w:p>
    <w:p w:rsidR="00605B4D" w:rsidRDefault="00605B4D" w:rsidP="00605B4D">
      <w:pPr>
        <w:tabs>
          <w:tab w:val="left" w:pos="720"/>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Dalam pasal 16 MCA 2005, jika pasien mengkhendaki yang mengambil keputusan adalah seorang deputi maka pengadilan akan menunjuk seorang deputi berdasarkan kepentingan terbaik pasien, dengan prinsip pengadilan menunjuk seorang deputi untuk mengambil keputusan dan kekuasaan seorang deputi terbatas pada lingkungan tertentu dan durasi waktu praktik yang masuk akal dalam keadaan tertentu.deputi biasa ditunjuk untuk kasus khusus. Pengadilan dapat menunjuk lebih dari 1 deputi, deputi apat ditunjuk dari keluarga pasien. Deputi dibatasi tidak dapat menolak untuk menghentikan bantuan hidup dan berpusat pada kepentingan terbaik bagi pasien.</w:t>
      </w:r>
      <w:r>
        <w:rPr>
          <w:rStyle w:val="FootnoteReference"/>
          <w:rFonts w:eastAsia="Times New Roman"/>
          <w:lang w:eastAsia="id-ID"/>
        </w:rPr>
        <w:footnoteReference w:id="43"/>
      </w:r>
      <w:r>
        <w:rPr>
          <w:rFonts w:ascii="Times New Roman" w:eastAsia="Times New Roman" w:hAnsi="Times New Roman" w:cs="Times New Roman"/>
          <w:sz w:val="24"/>
          <w:szCs w:val="24"/>
          <w:lang w:eastAsia="id-ID"/>
        </w:rPr>
        <w:t xml:space="preserve"> </w:t>
      </w:r>
    </w:p>
    <w:p w:rsidR="00605B4D" w:rsidRPr="0019788C" w:rsidRDefault="00605B4D" w:rsidP="00605B4D">
      <w:pPr>
        <w:pStyle w:val="ListParagraph"/>
        <w:numPr>
          <w:ilvl w:val="0"/>
          <w:numId w:val="26"/>
        </w:numPr>
        <w:tabs>
          <w:tab w:val="left" w:pos="720"/>
          <w:tab w:val="left" w:pos="1440"/>
        </w:tabs>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sidRPr="0019788C">
        <w:rPr>
          <w:rFonts w:ascii="Times New Roman" w:eastAsia="Times New Roman" w:hAnsi="Times New Roman" w:cs="Times New Roman"/>
          <w:sz w:val="24"/>
          <w:szCs w:val="24"/>
          <w:lang w:eastAsia="id-ID"/>
        </w:rPr>
        <w:t>Keputusan pengadilan</w:t>
      </w:r>
    </w:p>
    <w:p w:rsidR="00605B4D" w:rsidRDefault="00605B4D" w:rsidP="00605B4D">
      <w:pPr>
        <w:tabs>
          <w:tab w:val="left" w:pos="720"/>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Pengadilan dapat memutuskan berdasarkan kepnetingan yang terbaik bagi pasien. Memutuskan berdasarkan kepentingan terbaik bagi pasien bukan berarti memutuskan apabila kita menjadi pasien tersebut namun harus memperhatikan faktor-faktor yang masuk akal dan berhbungan dengan keadaan pasien. (Sesuai pasal 4 MCA 2005).</w:t>
      </w:r>
      <w:r>
        <w:rPr>
          <w:rStyle w:val="FootnoteReference"/>
          <w:rFonts w:eastAsia="Times New Roman"/>
          <w:lang w:eastAsia="id-ID"/>
        </w:rPr>
        <w:footnoteReference w:id="44"/>
      </w:r>
      <w:r>
        <w:rPr>
          <w:rFonts w:ascii="Times New Roman" w:eastAsia="Times New Roman" w:hAnsi="Times New Roman" w:cs="Times New Roman"/>
          <w:sz w:val="24"/>
          <w:szCs w:val="24"/>
          <w:lang w:eastAsia="id-ID"/>
        </w:rPr>
        <w:t xml:space="preserve"> Kepentingan terbaik bagi pasien juga memperhatikan harapan dan perasaan pasien sebelumnya, dan segala sesuatu yang relevan yang pernah ditulis oleh pasien saat masih mempunyai kecakapan. Pengadilan memiliki cara untuk mengetahui informasi yang relevan untuk kepentingan terbaik pasien yaitu dengan cara memperlakukan pasien sebagai individu, dan jika kasus pasien menolak harus mempertimbangkan emosi pasien saat itu karena dimungkinkan pasien saat itu menjadi tidak cakap secara hukum, dan yang ketiga mengingatkan kepada pemberi layanan kesehatan bahwa memberikan dengan paksa terapi melanggar hak asasi menusia. Pemberi layanan harus mengikuti khendak pasien kecuali terdapat kerugian bagi pasien tersebut.</w:t>
      </w:r>
      <w:r>
        <w:rPr>
          <w:rStyle w:val="FootnoteReference"/>
          <w:rFonts w:eastAsia="Times New Roman"/>
          <w:lang w:eastAsia="id-ID"/>
        </w:rPr>
        <w:footnoteReference w:id="45"/>
      </w:r>
      <w:r>
        <w:rPr>
          <w:rFonts w:ascii="Times New Roman" w:eastAsia="Times New Roman" w:hAnsi="Times New Roman" w:cs="Times New Roman"/>
          <w:sz w:val="24"/>
          <w:szCs w:val="24"/>
          <w:lang w:eastAsia="id-ID"/>
        </w:rPr>
        <w:t xml:space="preserve">  Juga dipertimbangkan mengenai latar belakang pasien tersebut, seperti harapan dan perasaan pasien sebelumnya, kepercayaan dan nilai yang dipegang pasien sebelumnya, dan faktor lainnya., Dengan hal itu sebenarnya pasien tidak memerlukan seorang pembuat keputusan untuk diriya setelah ada latar belakang tersebut untuk menentukan kepentingan yang terbaik bag pasien, namun untuk membuat jelas sebaiknya latar belakang tersebut dibuat catatan khusus dalam mempertimbangkan kepentingan yang terbaik bagi pasien. Namun hal tersbeut juga tidak mudah apabila terjadi pertentangan </w:t>
      </w:r>
    </w:p>
    <w:p w:rsidR="00605B4D" w:rsidRDefault="00605B4D" w:rsidP="00605B4D">
      <w:pPr>
        <w:tabs>
          <w:tab w:val="left" w:pos="720"/>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Berdasarkan </w:t>
      </w:r>
      <w:r w:rsidRPr="00776746">
        <w:rPr>
          <w:rFonts w:ascii="Times New Roman" w:eastAsia="Times New Roman" w:hAnsi="Times New Roman" w:cs="Times New Roman"/>
          <w:i/>
          <w:sz w:val="24"/>
          <w:szCs w:val="24"/>
          <w:lang w:eastAsia="id-ID"/>
        </w:rPr>
        <w:t>The Deprivation Liberty Code of Practice</w:t>
      </w:r>
      <w:r>
        <w:rPr>
          <w:rFonts w:ascii="Times New Roman" w:eastAsia="Times New Roman" w:hAnsi="Times New Roman" w:cs="Times New Roman"/>
          <w:sz w:val="24"/>
          <w:szCs w:val="24"/>
          <w:lang w:eastAsia="id-ID"/>
        </w:rPr>
        <w:t xml:space="preserve"> menambahkan bahwa menghilangkan hak seseorang untuk menyetujui rangkaian kesepakatan merupakan masalah yang serius dan keputusannya tidak dapat dilakukan. Penghilangan hak hanya boleh apabila penghilangan hak tersebut guna kepentingan terbaik pasien untuk mencegah kerugian, jika respon proporsional diberikan atas kemungkinan dan keparahan dari kerugian, dan jika tidak ada alternatif lain. Sangat jelas dalam pengekangan atas kebeebasan harus disetujui oleh pengadilan dibawah DOLS (</w:t>
      </w:r>
      <w:r w:rsidRPr="00111952">
        <w:rPr>
          <w:rFonts w:ascii="Times New Roman" w:eastAsia="Times New Roman" w:hAnsi="Times New Roman" w:cs="Times New Roman"/>
          <w:i/>
          <w:sz w:val="24"/>
          <w:szCs w:val="24"/>
          <w:lang w:eastAsia="id-ID"/>
        </w:rPr>
        <w:t>Depriviation of Liberty Safeguards</w:t>
      </w:r>
      <w:r>
        <w:rPr>
          <w:rFonts w:ascii="Times New Roman" w:eastAsia="Times New Roman" w:hAnsi="Times New Roman" w:cs="Times New Roman"/>
          <w:sz w:val="24"/>
          <w:szCs w:val="24"/>
          <w:lang w:eastAsia="id-ID"/>
        </w:rPr>
        <w:t>).  Pengadilan dapat menolak dan menyetujui pengekangan dengan bukti yang kuat bahwa pasien tidak dapat dibebaskan begitu saja.</w:t>
      </w:r>
      <w:r>
        <w:rPr>
          <w:rStyle w:val="FootnoteReference"/>
          <w:rFonts w:eastAsia="Times New Roman"/>
          <w:lang w:eastAsia="id-ID"/>
        </w:rPr>
        <w:footnoteReference w:id="46"/>
      </w:r>
      <w:r>
        <w:rPr>
          <w:rFonts w:ascii="Times New Roman" w:eastAsia="Times New Roman" w:hAnsi="Times New Roman" w:cs="Times New Roman"/>
          <w:sz w:val="24"/>
          <w:szCs w:val="24"/>
          <w:lang w:eastAsia="id-ID"/>
        </w:rPr>
        <w:t xml:space="preserve"> </w:t>
      </w:r>
    </w:p>
    <w:p w:rsidR="00605B4D" w:rsidRPr="0019788C" w:rsidRDefault="00605B4D" w:rsidP="00605B4D">
      <w:pPr>
        <w:pStyle w:val="ListParagraph"/>
        <w:numPr>
          <w:ilvl w:val="0"/>
          <w:numId w:val="26"/>
        </w:num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sidRPr="0019788C">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MC</w:t>
      </w:r>
      <w:r w:rsidRPr="0019788C">
        <w:rPr>
          <w:rFonts w:ascii="Times New Roman" w:eastAsia="Times New Roman" w:hAnsi="Times New Roman" w:cs="Times New Roman"/>
          <w:sz w:val="24"/>
          <w:szCs w:val="24"/>
          <w:lang w:eastAsia="id-ID"/>
        </w:rPr>
        <w:t>A (</w:t>
      </w:r>
      <w:r>
        <w:rPr>
          <w:rFonts w:ascii="Times New Roman" w:eastAsia="Times New Roman" w:hAnsi="Times New Roman" w:cs="Times New Roman"/>
          <w:i/>
          <w:sz w:val="24"/>
          <w:szCs w:val="24"/>
          <w:lang w:eastAsia="id-ID"/>
        </w:rPr>
        <w:t>Independent Mental Capacity</w:t>
      </w:r>
      <w:r w:rsidRPr="0019788C">
        <w:rPr>
          <w:rFonts w:ascii="Times New Roman" w:eastAsia="Times New Roman" w:hAnsi="Times New Roman" w:cs="Times New Roman"/>
          <w:i/>
          <w:sz w:val="24"/>
          <w:szCs w:val="24"/>
          <w:lang w:eastAsia="id-ID"/>
        </w:rPr>
        <w:t xml:space="preserve"> Advocate</w:t>
      </w:r>
      <w:r w:rsidRPr="0019788C">
        <w:rPr>
          <w:rFonts w:ascii="Times New Roman" w:eastAsia="Times New Roman" w:hAnsi="Times New Roman" w:cs="Times New Roman"/>
          <w:sz w:val="24"/>
          <w:szCs w:val="24"/>
          <w:lang w:eastAsia="id-ID"/>
        </w:rPr>
        <w:t>)</w:t>
      </w:r>
    </w:p>
    <w:p w:rsidR="00605B4D" w:rsidRDefault="00605B4D" w:rsidP="00605B4D">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Pada MCA 2005 Pasal 35 tercantum mengenai IMCA, IMCA dibentuk oleh lembaga otoritas kesehatan. IMCA berperan apabila tidak ada lagi yang dpaat dikonsultasikan mengenai kepentingan terbaik pasien selain tenaga medis. IMCA juga mendukung pasien yang tidak cakap secara hukum termasuk harapan dan perasaannya. IMCA dapat menanyakan mengenai pertimbangan medis dan hal lainnya. Jika terapi yang diberikan merupakan terapi yang serius maka IMHA menunjuk orang lain untuk mewakili, kecuali dalam keadaan gawat darurat.</w:t>
      </w:r>
      <w:r>
        <w:rPr>
          <w:rStyle w:val="FootnoteReference"/>
          <w:rFonts w:eastAsia="Times New Roman"/>
          <w:lang w:eastAsia="id-ID"/>
        </w:rPr>
        <w:footnoteReference w:id="47"/>
      </w:r>
      <w:r>
        <w:rPr>
          <w:rFonts w:ascii="Times New Roman" w:eastAsia="Times New Roman" w:hAnsi="Times New Roman" w:cs="Times New Roman"/>
          <w:sz w:val="24"/>
          <w:szCs w:val="24"/>
          <w:lang w:eastAsia="id-ID"/>
        </w:rPr>
        <w:t xml:space="preserve"> Apabila terdapat orang yang “</w:t>
      </w:r>
      <w:r w:rsidRPr="00B065E9">
        <w:rPr>
          <w:rFonts w:ascii="Times New Roman" w:eastAsia="Times New Roman" w:hAnsi="Times New Roman" w:cs="Times New Roman"/>
          <w:i/>
          <w:sz w:val="24"/>
          <w:szCs w:val="24"/>
          <w:lang w:eastAsia="id-ID"/>
        </w:rPr>
        <w:t>unbefriended</w:t>
      </w:r>
      <w:r>
        <w:rPr>
          <w:rFonts w:ascii="Times New Roman" w:eastAsia="Times New Roman" w:hAnsi="Times New Roman" w:cs="Times New Roman"/>
          <w:sz w:val="24"/>
          <w:szCs w:val="24"/>
          <w:lang w:eastAsia="id-ID"/>
        </w:rPr>
        <w:t>” yaitu orang yang tidak memiliki orang lain untuk berkonsultasi mengenai kepentingan terbaik bagi dirinya maka otoritas kesehatan menunjuk IMCA (</w:t>
      </w:r>
      <w:r>
        <w:rPr>
          <w:rFonts w:ascii="Times New Roman" w:eastAsia="Times New Roman" w:hAnsi="Times New Roman" w:cs="Times New Roman"/>
          <w:i/>
          <w:sz w:val="24"/>
          <w:szCs w:val="24"/>
          <w:lang w:eastAsia="id-ID"/>
        </w:rPr>
        <w:t>Independent Mental Capacity</w:t>
      </w:r>
      <w:r w:rsidRPr="00B065E9">
        <w:rPr>
          <w:rFonts w:ascii="Times New Roman" w:eastAsia="Times New Roman" w:hAnsi="Times New Roman" w:cs="Times New Roman"/>
          <w:i/>
          <w:sz w:val="24"/>
          <w:szCs w:val="24"/>
          <w:lang w:eastAsia="id-ID"/>
        </w:rPr>
        <w:t xml:space="preserve"> Advocat</w:t>
      </w:r>
      <w:r>
        <w:rPr>
          <w:rFonts w:ascii="Times New Roman" w:eastAsia="Times New Roman" w:hAnsi="Times New Roman" w:cs="Times New Roman"/>
          <w:sz w:val="24"/>
          <w:szCs w:val="24"/>
          <w:lang w:eastAsia="id-ID"/>
        </w:rPr>
        <w:t xml:space="preserve"> ) yang memiliki hak untuk bertanya mengenai pendapat medis lebih jauh, meminta informasi, dan menguji keputusan medis apakah hal tersebut merupakan yang terbaik bagi pasien.</w:t>
      </w:r>
      <w:r>
        <w:rPr>
          <w:rStyle w:val="FootnoteReference"/>
          <w:rFonts w:eastAsia="Times New Roman"/>
          <w:lang w:eastAsia="id-ID"/>
        </w:rPr>
        <w:footnoteReference w:id="48"/>
      </w:r>
    </w:p>
    <w:p w:rsidR="00605B4D" w:rsidRDefault="00605B4D" w:rsidP="00605B4D">
      <w:pPr>
        <w:tabs>
          <w:tab w:val="left" w:pos="720"/>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Berdasarkan perbandingan tersebut, dalam </w:t>
      </w:r>
      <w:r w:rsidRPr="008F13BA">
        <w:rPr>
          <w:rFonts w:ascii="Times New Roman" w:eastAsia="Times New Roman" w:hAnsi="Times New Roman" w:cs="Times New Roman"/>
          <w:i/>
          <w:sz w:val="24"/>
          <w:szCs w:val="24"/>
          <w:lang w:eastAsia="id-ID"/>
        </w:rPr>
        <w:t>common law system</w:t>
      </w:r>
      <w:r>
        <w:rPr>
          <w:rFonts w:ascii="Times New Roman" w:eastAsia="Times New Roman" w:hAnsi="Times New Roman" w:cs="Times New Roman"/>
          <w:sz w:val="24"/>
          <w:szCs w:val="24"/>
          <w:lang w:eastAsia="id-ID"/>
        </w:rPr>
        <w:t xml:space="preserve">, pengambilan keputusan pada saat pasien tidak cakap hukum terdapat banyak alternatif dibandingkan dengan </w:t>
      </w:r>
      <w:r w:rsidRPr="008F13BA">
        <w:rPr>
          <w:rFonts w:ascii="Times New Roman" w:eastAsia="Times New Roman" w:hAnsi="Times New Roman" w:cs="Times New Roman"/>
          <w:i/>
          <w:sz w:val="24"/>
          <w:szCs w:val="24"/>
          <w:lang w:eastAsia="id-ID"/>
        </w:rPr>
        <w:t>civil law system</w:t>
      </w:r>
      <w:r>
        <w:rPr>
          <w:rFonts w:ascii="Times New Roman" w:eastAsia="Times New Roman" w:hAnsi="Times New Roman" w:cs="Times New Roman"/>
          <w:sz w:val="24"/>
          <w:szCs w:val="24"/>
          <w:lang w:eastAsia="id-ID"/>
        </w:rPr>
        <w:t xml:space="preserve"> terutama yang tercantum dalam hukum positif di Indonesia baik Permenkes maupun UU. </w:t>
      </w:r>
    </w:p>
    <w:p w:rsidR="00EE64F9" w:rsidRDefault="00EE64F9" w:rsidP="00605B4D">
      <w:pPr>
        <w:tabs>
          <w:tab w:val="left" w:pos="720"/>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id-ID"/>
        </w:rPr>
      </w:pPr>
    </w:p>
    <w:p w:rsidR="00EE64F9" w:rsidRPr="00EE64F9" w:rsidRDefault="00EE64F9" w:rsidP="00EE64F9">
      <w:pPr>
        <w:pStyle w:val="SUBBABA"/>
        <w:numPr>
          <w:ilvl w:val="0"/>
          <w:numId w:val="0"/>
        </w:numPr>
        <w:spacing w:line="240" w:lineRule="auto"/>
        <w:rPr>
          <w:sz w:val="24"/>
          <w:szCs w:val="24"/>
        </w:rPr>
      </w:pPr>
      <w:bookmarkStart w:id="9" w:name="_Toc475118337"/>
      <w:r w:rsidRPr="00EE64F9">
        <w:rPr>
          <w:sz w:val="24"/>
          <w:szCs w:val="24"/>
        </w:rPr>
        <w:t xml:space="preserve">Kelebihan pemberian </w:t>
      </w:r>
      <w:r w:rsidRPr="00EE64F9">
        <w:rPr>
          <w:i/>
          <w:sz w:val="24"/>
          <w:szCs w:val="24"/>
        </w:rPr>
        <w:t>informed consent</w:t>
      </w:r>
      <w:r w:rsidRPr="00EE64F9">
        <w:rPr>
          <w:sz w:val="24"/>
          <w:szCs w:val="24"/>
        </w:rPr>
        <w:t xml:space="preserve"> pada </w:t>
      </w:r>
      <w:r w:rsidRPr="00EE64F9">
        <w:rPr>
          <w:i/>
          <w:sz w:val="24"/>
          <w:szCs w:val="24"/>
        </w:rPr>
        <w:t>Common Law System</w:t>
      </w:r>
      <w:r w:rsidRPr="00EE64F9">
        <w:rPr>
          <w:sz w:val="24"/>
          <w:szCs w:val="24"/>
        </w:rPr>
        <w:t xml:space="preserve"> yang dapat diadopsi di Indonesia (</w:t>
      </w:r>
      <w:r w:rsidRPr="00EE64F9">
        <w:rPr>
          <w:i/>
          <w:sz w:val="24"/>
          <w:szCs w:val="24"/>
        </w:rPr>
        <w:t>Civil Law System</w:t>
      </w:r>
      <w:r w:rsidRPr="00EE64F9">
        <w:rPr>
          <w:sz w:val="24"/>
          <w:szCs w:val="24"/>
        </w:rPr>
        <w:t>)</w:t>
      </w:r>
      <w:bookmarkEnd w:id="9"/>
    </w:p>
    <w:p w:rsidR="00EE64F9" w:rsidRDefault="00EE64F9" w:rsidP="00EE64F9">
      <w:pPr>
        <w:spacing w:after="0" w:line="240" w:lineRule="auto"/>
        <w:ind w:firstLine="720"/>
        <w:jc w:val="both"/>
        <w:rPr>
          <w:rFonts w:ascii="Times New Roman" w:hAnsi="Times New Roman" w:cs="Times New Roman"/>
          <w:sz w:val="24"/>
          <w:szCs w:val="24"/>
        </w:rPr>
      </w:pPr>
      <w:r w:rsidRPr="00EE64F9">
        <w:rPr>
          <w:rFonts w:ascii="Times New Roman" w:hAnsi="Times New Roman" w:cs="Times New Roman"/>
          <w:sz w:val="24"/>
          <w:szCs w:val="24"/>
        </w:rPr>
        <w:t xml:space="preserve">Terdapat perbedaan dalam pemberian </w:t>
      </w:r>
      <w:r w:rsidRPr="00EE64F9">
        <w:rPr>
          <w:rFonts w:ascii="Times New Roman" w:hAnsi="Times New Roman" w:cs="Times New Roman"/>
          <w:i/>
          <w:sz w:val="24"/>
          <w:szCs w:val="24"/>
        </w:rPr>
        <w:t>informed consent</w:t>
      </w:r>
      <w:r w:rsidRPr="00EE64F9">
        <w:rPr>
          <w:rFonts w:ascii="Times New Roman" w:hAnsi="Times New Roman" w:cs="Times New Roman"/>
          <w:sz w:val="24"/>
          <w:szCs w:val="24"/>
        </w:rPr>
        <w:t xml:space="preserve"> baik di </w:t>
      </w:r>
      <w:r w:rsidRPr="00EE64F9">
        <w:rPr>
          <w:rFonts w:ascii="Times New Roman" w:hAnsi="Times New Roman" w:cs="Times New Roman"/>
          <w:i/>
          <w:sz w:val="24"/>
          <w:szCs w:val="24"/>
        </w:rPr>
        <w:t>common law</w:t>
      </w:r>
      <w:r w:rsidRPr="00EE64F9">
        <w:rPr>
          <w:sz w:val="24"/>
          <w:szCs w:val="24"/>
        </w:rPr>
        <w:t xml:space="preserve"> </w:t>
      </w:r>
      <w:r w:rsidRPr="00EE64F9">
        <w:rPr>
          <w:rFonts w:ascii="Times New Roman" w:hAnsi="Times New Roman" w:cs="Times New Roman"/>
          <w:sz w:val="24"/>
          <w:szCs w:val="24"/>
        </w:rPr>
        <w:t xml:space="preserve">maupun </w:t>
      </w:r>
      <w:r w:rsidRPr="00EE64F9">
        <w:rPr>
          <w:rFonts w:ascii="Times New Roman" w:hAnsi="Times New Roman" w:cs="Times New Roman"/>
          <w:i/>
          <w:sz w:val="24"/>
          <w:szCs w:val="24"/>
        </w:rPr>
        <w:t>civil law</w:t>
      </w:r>
      <w:r w:rsidRPr="00EE64F9">
        <w:rPr>
          <w:rFonts w:ascii="Times New Roman" w:hAnsi="Times New Roman" w:cs="Times New Roman"/>
          <w:sz w:val="24"/>
          <w:szCs w:val="24"/>
        </w:rPr>
        <w:t xml:space="preserve"> walaupun keduanya memiliki prinsip yang sama dalam menjunjung nilai otonomi dari pasien dan mengutamkan informasi yang ada dalam </w:t>
      </w:r>
      <w:r w:rsidRPr="00EE64F9">
        <w:rPr>
          <w:rFonts w:ascii="Times New Roman" w:hAnsi="Times New Roman" w:cs="Times New Roman"/>
          <w:i/>
          <w:sz w:val="24"/>
          <w:szCs w:val="24"/>
        </w:rPr>
        <w:t>informed consent</w:t>
      </w:r>
      <w:r w:rsidRPr="00EE64F9">
        <w:rPr>
          <w:rFonts w:ascii="Times New Roman" w:hAnsi="Times New Roman" w:cs="Times New Roman"/>
          <w:sz w:val="24"/>
          <w:szCs w:val="24"/>
        </w:rPr>
        <w:t xml:space="preserve"> sebelum dilakukan tindakan. </w:t>
      </w:r>
      <w:r>
        <w:rPr>
          <w:rFonts w:ascii="Times New Roman" w:hAnsi="Times New Roman" w:cs="Times New Roman"/>
          <w:sz w:val="24"/>
          <w:szCs w:val="24"/>
        </w:rPr>
        <w:t>Hal tersebut adalah mengenai pa</w:t>
      </w:r>
      <w:r w:rsidRPr="00EE64F9">
        <w:rPr>
          <w:rFonts w:ascii="Times New Roman" w:hAnsi="Times New Roman" w:cs="Times New Roman"/>
          <w:sz w:val="24"/>
          <w:szCs w:val="24"/>
        </w:rPr>
        <w:t xml:space="preserve">sien anak yang dikategorikan di Indonesia sebagai tidak cakap secara hukum dalam pemberian </w:t>
      </w:r>
      <w:r w:rsidRPr="00EE64F9">
        <w:rPr>
          <w:rFonts w:ascii="Times New Roman" w:hAnsi="Times New Roman" w:cs="Times New Roman"/>
          <w:i/>
          <w:sz w:val="24"/>
          <w:szCs w:val="24"/>
        </w:rPr>
        <w:t>informed consent</w:t>
      </w:r>
      <w:r w:rsidRPr="00EE64F9">
        <w:rPr>
          <w:rFonts w:ascii="Times New Roman" w:hAnsi="Times New Roman" w:cs="Times New Roman"/>
          <w:sz w:val="24"/>
          <w:szCs w:val="24"/>
        </w:rPr>
        <w:t xml:space="preserve">, perlu dilakukan pengkategorian usia anak itu sendiri khusus dalam </w:t>
      </w:r>
      <w:r w:rsidRPr="00EE64F9">
        <w:rPr>
          <w:rFonts w:ascii="Times New Roman" w:hAnsi="Times New Roman" w:cs="Times New Roman"/>
          <w:i/>
          <w:sz w:val="24"/>
          <w:szCs w:val="24"/>
        </w:rPr>
        <w:t>informed consent</w:t>
      </w:r>
      <w:r w:rsidRPr="00EE64F9">
        <w:rPr>
          <w:rFonts w:ascii="Times New Roman" w:hAnsi="Times New Roman" w:cs="Times New Roman"/>
          <w:sz w:val="24"/>
          <w:szCs w:val="24"/>
        </w:rPr>
        <w:t xml:space="preserve">. Antar undang-undang sendiri tidak seragam dalam mengkategorikan usia seorang anak yang cakap dalam melakukan perbuatan hukum. Untuk itu di </w:t>
      </w:r>
      <w:r w:rsidRPr="00EE64F9">
        <w:rPr>
          <w:rFonts w:ascii="Times New Roman" w:hAnsi="Times New Roman" w:cs="Times New Roman"/>
          <w:i/>
          <w:sz w:val="24"/>
          <w:szCs w:val="24"/>
        </w:rPr>
        <w:t>common law</w:t>
      </w:r>
      <w:r w:rsidRPr="00EE64F9">
        <w:rPr>
          <w:rFonts w:ascii="Times New Roman" w:hAnsi="Times New Roman" w:cs="Times New Roman"/>
          <w:sz w:val="24"/>
          <w:szCs w:val="24"/>
        </w:rPr>
        <w:t xml:space="preserve"> terdapat sebuah sebuah kekhususan mengenai usia anak (</w:t>
      </w:r>
      <w:r w:rsidRPr="00EE64F9">
        <w:rPr>
          <w:rFonts w:ascii="Times New Roman" w:hAnsi="Times New Roman" w:cs="Times New Roman"/>
          <w:i/>
          <w:sz w:val="24"/>
          <w:szCs w:val="24"/>
        </w:rPr>
        <w:t>children</w:t>
      </w:r>
      <w:r w:rsidRPr="00EE64F9">
        <w:rPr>
          <w:rFonts w:ascii="Times New Roman" w:hAnsi="Times New Roman" w:cs="Times New Roman"/>
          <w:sz w:val="24"/>
          <w:szCs w:val="24"/>
        </w:rPr>
        <w:t>) yaiu usia dibawah 16 tahun, dan usia 17-18 tahun disebut usia pemuda (</w:t>
      </w:r>
      <w:r w:rsidRPr="00EE64F9">
        <w:rPr>
          <w:rFonts w:ascii="Times New Roman" w:hAnsi="Times New Roman" w:cs="Times New Roman"/>
          <w:i/>
          <w:sz w:val="24"/>
          <w:szCs w:val="24"/>
        </w:rPr>
        <w:t>young people</w:t>
      </w:r>
      <w:r w:rsidRPr="00EE64F9">
        <w:rPr>
          <w:rFonts w:ascii="Times New Roman" w:hAnsi="Times New Roman" w:cs="Times New Roman"/>
          <w:sz w:val="24"/>
          <w:szCs w:val="24"/>
        </w:rPr>
        <w:t xml:space="preserve">) menurut MCA 2005. Dalam </w:t>
      </w:r>
      <w:r w:rsidRPr="00EE64F9">
        <w:rPr>
          <w:rFonts w:ascii="Times New Roman" w:hAnsi="Times New Roman" w:cs="Times New Roman"/>
          <w:i/>
          <w:sz w:val="24"/>
          <w:szCs w:val="24"/>
        </w:rPr>
        <w:t>common law</w:t>
      </w:r>
      <w:r w:rsidRPr="00EE64F9">
        <w:rPr>
          <w:rFonts w:ascii="Times New Roman" w:hAnsi="Times New Roman" w:cs="Times New Roman"/>
          <w:sz w:val="24"/>
          <w:szCs w:val="24"/>
        </w:rPr>
        <w:t xml:space="preserve"> juga berbeda dengan undang-undang pada umumnya tentang anak yang mengkategorikan usia 18 tahun menurut </w:t>
      </w:r>
      <w:r w:rsidRPr="00EE64F9">
        <w:rPr>
          <w:rFonts w:ascii="Times New Roman" w:hAnsi="Times New Roman" w:cs="Times New Roman"/>
          <w:i/>
          <w:sz w:val="24"/>
          <w:szCs w:val="24"/>
        </w:rPr>
        <w:t>Children Act</w:t>
      </w:r>
      <w:r w:rsidRPr="00EE64F9">
        <w:rPr>
          <w:rFonts w:ascii="Times New Roman" w:hAnsi="Times New Roman" w:cs="Times New Roman"/>
          <w:sz w:val="24"/>
          <w:szCs w:val="24"/>
        </w:rPr>
        <w:t xml:space="preserve"> 1989.</w:t>
      </w:r>
      <w:r w:rsidRPr="00EE64F9">
        <w:rPr>
          <w:rStyle w:val="FootnoteReference"/>
          <w:sz w:val="24"/>
          <w:szCs w:val="24"/>
        </w:rPr>
        <w:footnoteReference w:id="49"/>
      </w:r>
      <w:r w:rsidRPr="00EE64F9">
        <w:rPr>
          <w:rFonts w:ascii="Times New Roman" w:hAnsi="Times New Roman" w:cs="Times New Roman"/>
          <w:sz w:val="24"/>
          <w:szCs w:val="24"/>
        </w:rPr>
        <w:t xml:space="preserve"> Pada usia pemuda dapat dilakukan penilaian mengenai kompetensi Gillick pada anak itu sendiri yaitu  mengerti prosedur dan implikasi dari efek termasuk potensi efek yang akan terjadi, mengerti risiko apabila menolak tindakan termasuk konsekuensi alami dari penyakit apabila tidak dilakukan terapi,  mampu menyimpan informasi cukup lama untuk dapat memutuskan, Mempunyai cukup intelegensia dan kedewasaan untk mempertimbangkan informasi hingga kepada keputusan.</w:t>
      </w:r>
      <w:r w:rsidRPr="00EE64F9">
        <w:rPr>
          <w:rStyle w:val="FootnoteReference"/>
          <w:sz w:val="24"/>
          <w:szCs w:val="24"/>
        </w:rPr>
        <w:footnoteReference w:id="50"/>
      </w:r>
      <w:r w:rsidRPr="00EE64F9">
        <w:rPr>
          <w:rFonts w:ascii="Times New Roman" w:hAnsi="Times New Roman" w:cs="Times New Roman"/>
          <w:sz w:val="24"/>
          <w:szCs w:val="24"/>
        </w:rPr>
        <w:t xml:space="preserve"> Dan yang menilai semuanya itu adalah dokter itu sendiri sehingga dapat menjawab persoalan mengenai anak jalanan pada usia pemuda apabila sudah memenuhi kompetensi Gillick maka dapat mengambil keputusan sendiri untuk dirinya. Apabila dokter tidak yakin maka dapat mengambil alternatif lain seperti IMCA. Hal demikian sebenarnya sudah diakomodir dalam Manual Persetujuan Tindakan Medik KKI 2008 namun belum masuk dalam hukum positif di Indonesia sehingga membuat tenaga kesehatan ragu dalam menerapkan hal tersebut.  </w:t>
      </w:r>
    </w:p>
    <w:p w:rsidR="00EE64F9" w:rsidRDefault="00EE64F9" w:rsidP="00EE64F9">
      <w:pPr>
        <w:spacing w:after="0" w:line="240" w:lineRule="auto"/>
        <w:ind w:firstLine="720"/>
        <w:jc w:val="both"/>
        <w:rPr>
          <w:rFonts w:ascii="Times New Roman" w:eastAsia="Times New Roman" w:hAnsi="Times New Roman" w:cs="Times New Roman"/>
          <w:sz w:val="24"/>
          <w:szCs w:val="24"/>
          <w:lang w:eastAsia="id-ID"/>
        </w:rPr>
      </w:pPr>
      <w:r w:rsidRPr="00EE64F9">
        <w:rPr>
          <w:rFonts w:ascii="Times New Roman" w:hAnsi="Times New Roman" w:cs="Times New Roman"/>
          <w:sz w:val="24"/>
          <w:szCs w:val="24"/>
        </w:rPr>
        <w:t xml:space="preserve">Pasien dengan gangguan kejiwaan di Indonesia termasuk tidak cakap secara hukum sehingga tidak dapat melakukan perbuatan hukum, namun dalam </w:t>
      </w:r>
      <w:r w:rsidRPr="00EE64F9">
        <w:rPr>
          <w:rFonts w:ascii="Times New Roman" w:hAnsi="Times New Roman" w:cs="Times New Roman"/>
          <w:i/>
          <w:sz w:val="24"/>
          <w:szCs w:val="24"/>
        </w:rPr>
        <w:t>common law</w:t>
      </w:r>
      <w:r w:rsidRPr="00EE64F9">
        <w:rPr>
          <w:rFonts w:ascii="Times New Roman" w:hAnsi="Times New Roman" w:cs="Times New Roman"/>
          <w:sz w:val="24"/>
          <w:szCs w:val="24"/>
        </w:rPr>
        <w:t xml:space="preserve"> terutama dalam </w:t>
      </w:r>
      <w:r w:rsidRPr="00EE64F9">
        <w:rPr>
          <w:rFonts w:ascii="Times New Roman" w:hAnsi="Times New Roman" w:cs="Times New Roman"/>
          <w:i/>
          <w:sz w:val="24"/>
          <w:szCs w:val="24"/>
        </w:rPr>
        <w:t>informed consent</w:t>
      </w:r>
      <w:r w:rsidRPr="00EE64F9">
        <w:rPr>
          <w:rFonts w:ascii="Times New Roman" w:hAnsi="Times New Roman" w:cs="Times New Roman"/>
          <w:sz w:val="24"/>
          <w:szCs w:val="24"/>
        </w:rPr>
        <w:t xml:space="preserve"> membuat </w:t>
      </w:r>
      <w:r w:rsidRPr="00EE64F9">
        <w:rPr>
          <w:rFonts w:ascii="Times New Roman" w:eastAsia="Times New Roman" w:hAnsi="Times New Roman" w:cs="Times New Roman"/>
          <w:sz w:val="24"/>
          <w:szCs w:val="24"/>
          <w:lang w:eastAsia="id-ID"/>
        </w:rPr>
        <w:t xml:space="preserve">Menurut </w:t>
      </w:r>
      <w:r w:rsidRPr="00EE64F9">
        <w:rPr>
          <w:rFonts w:ascii="Times New Roman" w:eastAsia="Times New Roman" w:hAnsi="Times New Roman" w:cs="Times New Roman"/>
          <w:i/>
          <w:sz w:val="24"/>
          <w:szCs w:val="24"/>
          <w:lang w:eastAsia="id-ID"/>
        </w:rPr>
        <w:t>Mental Capacity Act</w:t>
      </w:r>
      <w:r w:rsidRPr="00EE64F9">
        <w:rPr>
          <w:rFonts w:ascii="Times New Roman" w:eastAsia="Times New Roman" w:hAnsi="Times New Roman" w:cs="Times New Roman"/>
          <w:sz w:val="24"/>
          <w:szCs w:val="24"/>
          <w:lang w:eastAsia="id-ID"/>
        </w:rPr>
        <w:t xml:space="preserve"> (MCA 2005) pada pasal 1 ayat 2 MCA 2005 bahwa setiap orang dinyatakan cakap sampai terbukti tidak cakap, pasal 2 ayat 1 MCA 2005 bahwa setiap orang yang tidak cakap jika pada saat pengambilan keputusan tidak dapat mengambil keputusan karena gangguan fungsi dari otak,  pasal 2 ayat 2 MCA 2005 gangguan pada otak dapat bersifat permanen atau sementara, Pasal 3 ayat 1 MCA 2005 bahwa seseorang dinyatakan tidak cakap jika tidak mampu membuat keputusan untuk dirinya, menahan informasi, menggunakan informasi sebagai bagian dalam membuat putusan, dan mengkomunikasikan keputusan tersebut. Pada pasal 2 ayat 1 dan pasal 3 ayat 1 MCA 2005 maka dilakukan tes kecakapan yang menilai proses membuat keputusan daripada keputusan yang telah dibuat.</w:t>
      </w:r>
      <w:r w:rsidRPr="00EE64F9">
        <w:rPr>
          <w:rStyle w:val="FootnoteReference"/>
          <w:rFonts w:eastAsia="Times New Roman"/>
          <w:sz w:val="24"/>
          <w:szCs w:val="24"/>
          <w:lang w:eastAsia="id-ID"/>
        </w:rPr>
        <w:footnoteReference w:id="51"/>
      </w:r>
      <w:r w:rsidRPr="00EE64F9">
        <w:rPr>
          <w:rFonts w:ascii="Times New Roman" w:eastAsia="Times New Roman" w:hAnsi="Times New Roman" w:cs="Times New Roman"/>
          <w:sz w:val="24"/>
          <w:szCs w:val="24"/>
          <w:lang w:eastAsia="id-ID"/>
        </w:rPr>
        <w:t xml:space="preserve"> Jadi pada </w:t>
      </w:r>
      <w:r w:rsidRPr="00EE64F9">
        <w:rPr>
          <w:rFonts w:ascii="Times New Roman" w:eastAsia="Times New Roman" w:hAnsi="Times New Roman" w:cs="Times New Roman"/>
          <w:i/>
          <w:sz w:val="24"/>
          <w:szCs w:val="24"/>
          <w:lang w:eastAsia="id-ID"/>
        </w:rPr>
        <w:t xml:space="preserve">common law </w:t>
      </w:r>
      <w:r w:rsidRPr="00EE64F9">
        <w:rPr>
          <w:rFonts w:ascii="Times New Roman" w:eastAsia="Times New Roman" w:hAnsi="Times New Roman" w:cs="Times New Roman"/>
          <w:sz w:val="24"/>
          <w:szCs w:val="24"/>
          <w:lang w:eastAsia="id-ID"/>
        </w:rPr>
        <w:t>seseorang seharusnya tidak menganggap seseorang tidak cakap secara hukum karena perilaku, atau disabilitas (Pasal 2 ayat 3 MCA 2005) tetapi orang yang membuat keputusan yang bukan-bukan (pada penilaian objektif) mungkin diperlukan penilaian kecakapan hukumnya.</w:t>
      </w:r>
      <w:r w:rsidRPr="00EE64F9">
        <w:rPr>
          <w:rStyle w:val="FootnoteReference"/>
          <w:rFonts w:eastAsia="Times New Roman"/>
          <w:sz w:val="24"/>
          <w:szCs w:val="24"/>
          <w:lang w:eastAsia="id-ID"/>
        </w:rPr>
        <w:footnoteReference w:id="52"/>
      </w:r>
      <w:r w:rsidRPr="00EE64F9">
        <w:rPr>
          <w:rFonts w:ascii="Times New Roman" w:eastAsia="Times New Roman" w:hAnsi="Times New Roman" w:cs="Times New Roman"/>
          <w:sz w:val="24"/>
          <w:szCs w:val="24"/>
          <w:lang w:eastAsia="id-ID"/>
        </w:rPr>
        <w:t xml:space="preserve"> Pada pasal 1 ayat (4) MCA 2005 menekankan pentingnya keputusan yang bijak dan rasional.</w:t>
      </w:r>
      <w:r w:rsidRPr="00EE64F9">
        <w:rPr>
          <w:rStyle w:val="FootnoteReference"/>
          <w:rFonts w:eastAsia="Times New Roman"/>
          <w:sz w:val="24"/>
          <w:szCs w:val="24"/>
          <w:lang w:eastAsia="id-ID"/>
        </w:rPr>
        <w:footnoteReference w:id="53"/>
      </w:r>
      <w:r w:rsidRPr="00EE64F9">
        <w:rPr>
          <w:rFonts w:ascii="Times New Roman" w:eastAsia="Times New Roman" w:hAnsi="Times New Roman" w:cs="Times New Roman"/>
          <w:sz w:val="24"/>
          <w:szCs w:val="24"/>
          <w:lang w:eastAsia="id-ID"/>
        </w:rPr>
        <w:t xml:space="preserve"> Kecakapan tersebut dapat dinilai dengan melakukan pengajuan pertanyaan tertentu. Seorang yang cakap dapat memutuskan beberapa isu. Jadi tidak mudah dalam </w:t>
      </w:r>
      <w:r w:rsidRPr="00EE64F9">
        <w:rPr>
          <w:rFonts w:ascii="Times New Roman" w:eastAsia="Times New Roman" w:hAnsi="Times New Roman" w:cs="Times New Roman"/>
          <w:i/>
          <w:sz w:val="24"/>
          <w:szCs w:val="24"/>
          <w:lang w:eastAsia="id-ID"/>
        </w:rPr>
        <w:t>common law</w:t>
      </w:r>
      <w:r w:rsidRPr="00EE64F9">
        <w:rPr>
          <w:rFonts w:ascii="Times New Roman" w:eastAsia="Times New Roman" w:hAnsi="Times New Roman" w:cs="Times New Roman"/>
          <w:sz w:val="24"/>
          <w:szCs w:val="24"/>
          <w:lang w:eastAsia="id-ID"/>
        </w:rPr>
        <w:t xml:space="preserve"> menyebut sesorang sebagai orang tersebut tidak kompeten.</w:t>
      </w:r>
      <w:r w:rsidRPr="00EE64F9">
        <w:rPr>
          <w:rStyle w:val="FootnoteReference"/>
          <w:rFonts w:eastAsia="Times New Roman"/>
          <w:sz w:val="24"/>
          <w:szCs w:val="24"/>
          <w:lang w:eastAsia="id-ID"/>
        </w:rPr>
        <w:footnoteReference w:id="54"/>
      </w:r>
      <w:r w:rsidRPr="00EE64F9">
        <w:rPr>
          <w:rFonts w:ascii="Times New Roman" w:eastAsia="Times New Roman" w:hAnsi="Times New Roman" w:cs="Times New Roman"/>
          <w:sz w:val="24"/>
          <w:szCs w:val="24"/>
          <w:lang w:eastAsia="id-ID"/>
        </w:rPr>
        <w:t xml:space="preserve"> Tes yang dilakukan dapat berupa </w:t>
      </w:r>
      <w:r w:rsidRPr="00EE64F9">
        <w:rPr>
          <w:rFonts w:ascii="Times New Roman" w:eastAsia="Times New Roman" w:hAnsi="Times New Roman" w:cs="Times New Roman"/>
          <w:i/>
          <w:sz w:val="24"/>
          <w:szCs w:val="24"/>
          <w:lang w:eastAsia="id-ID"/>
        </w:rPr>
        <w:t>diagnostic test</w:t>
      </w:r>
      <w:r w:rsidRPr="00EE64F9">
        <w:rPr>
          <w:rFonts w:ascii="Times New Roman" w:eastAsia="Times New Roman" w:hAnsi="Times New Roman" w:cs="Times New Roman"/>
          <w:sz w:val="24"/>
          <w:szCs w:val="24"/>
          <w:lang w:eastAsia="id-ID"/>
        </w:rPr>
        <w:t xml:space="preserve"> dan fungsional test.</w:t>
      </w:r>
      <w:r w:rsidRPr="00EE64F9">
        <w:rPr>
          <w:rStyle w:val="FootnoteReference"/>
          <w:rFonts w:eastAsia="Times New Roman"/>
          <w:sz w:val="24"/>
          <w:szCs w:val="24"/>
          <w:lang w:eastAsia="id-ID"/>
        </w:rPr>
        <w:footnoteReference w:id="55"/>
      </w:r>
      <w:r w:rsidRPr="00EE64F9">
        <w:rPr>
          <w:rFonts w:ascii="Times New Roman" w:eastAsia="Times New Roman" w:hAnsi="Times New Roman" w:cs="Times New Roman"/>
          <w:sz w:val="24"/>
          <w:szCs w:val="24"/>
          <w:lang w:eastAsia="id-ID"/>
        </w:rPr>
        <w:t xml:space="preserve"> Karena itu dalam </w:t>
      </w:r>
      <w:r w:rsidRPr="00EE64F9">
        <w:rPr>
          <w:rFonts w:ascii="Times New Roman" w:eastAsia="Times New Roman" w:hAnsi="Times New Roman" w:cs="Times New Roman"/>
          <w:i/>
          <w:sz w:val="24"/>
          <w:szCs w:val="24"/>
          <w:lang w:eastAsia="id-ID"/>
        </w:rPr>
        <w:t>common law</w:t>
      </w:r>
      <w:r w:rsidRPr="00EE64F9">
        <w:rPr>
          <w:rFonts w:ascii="Times New Roman" w:eastAsia="Times New Roman" w:hAnsi="Times New Roman" w:cs="Times New Roman"/>
          <w:sz w:val="24"/>
          <w:szCs w:val="24"/>
          <w:lang w:eastAsia="id-ID"/>
        </w:rPr>
        <w:t xml:space="preserve"> seorang yang menderita skizofrenia paranoid dapat mengambil keputusan mengenai penanganan luka di kakinya sendiri karena pasien tersebut dapat menyimpan informasi, mempercayainya, dan dapat membuat pilihan.</w:t>
      </w:r>
      <w:r w:rsidRPr="00EE64F9">
        <w:rPr>
          <w:rStyle w:val="FootnoteReference"/>
          <w:rFonts w:eastAsia="Times New Roman"/>
          <w:sz w:val="24"/>
          <w:szCs w:val="24"/>
          <w:lang w:eastAsia="id-ID"/>
        </w:rPr>
        <w:footnoteReference w:id="56"/>
      </w:r>
      <w:r w:rsidRPr="00EE64F9">
        <w:rPr>
          <w:rFonts w:ascii="Times New Roman" w:eastAsia="Times New Roman" w:hAnsi="Times New Roman" w:cs="Times New Roman"/>
          <w:sz w:val="24"/>
          <w:szCs w:val="24"/>
          <w:lang w:eastAsia="id-ID"/>
        </w:rPr>
        <w:t xml:space="preserve"> Berdasarkan hal tersebut dapat menjawab persoalan dokter di layanan kesehatan mengenai orang gila yang tidak ada yang mau bertanggungjawab terhadap tindakan yang harus dilakukan terhadapnya dengan menilai kompetensi pasien tersebut sebelum menganggap pasien tersebut tidak cakap karena gangguan jiwanya. Apabila pasien tersebut dinilai cakap dalam mengambil keputusan dengan memenuhi kriteria di atas maka tidak perlu tenaga kesehatan meminta wali atau pengantar untuk bertanggung jawab. Hal tersebut di atas juga telah ada dalam Manual Persetujuan Tindakan Medik KKI 2008 namun belum terdapat dalam hukum posiitif di Indonesia.</w:t>
      </w:r>
    </w:p>
    <w:p w:rsidR="00EE64F9" w:rsidRPr="00EE64F9" w:rsidRDefault="00EE64F9" w:rsidP="00EE64F9">
      <w:pPr>
        <w:spacing w:line="240" w:lineRule="auto"/>
        <w:ind w:firstLine="720"/>
        <w:jc w:val="both"/>
        <w:rPr>
          <w:rFonts w:ascii="Times New Roman" w:hAnsi="Times New Roman" w:cs="Times New Roman"/>
          <w:sz w:val="24"/>
          <w:szCs w:val="24"/>
        </w:rPr>
      </w:pPr>
      <w:r w:rsidRPr="00EE64F9">
        <w:rPr>
          <w:rFonts w:ascii="Times New Roman" w:hAnsi="Times New Roman" w:cs="Times New Roman"/>
          <w:sz w:val="24"/>
          <w:szCs w:val="24"/>
        </w:rPr>
        <w:t xml:space="preserve">Pada kasus pasien yang tidak cakap secara hukum dan dinilai tidak kompeten dalam mengambil keputusannya sendiri serta tidak ada wali, hukum Indonesia bergantung kepada yang mengantar namun pada kenyataannya tidak semua yang mengantar juga mau bertanggung jawab, untuk itu hal yang dapat diadopsi dari </w:t>
      </w:r>
      <w:r w:rsidRPr="00EE64F9">
        <w:rPr>
          <w:rFonts w:ascii="Times New Roman" w:hAnsi="Times New Roman" w:cs="Times New Roman"/>
          <w:i/>
          <w:sz w:val="24"/>
          <w:szCs w:val="24"/>
        </w:rPr>
        <w:t>common law</w:t>
      </w:r>
      <w:r w:rsidRPr="00EE64F9">
        <w:rPr>
          <w:rFonts w:ascii="Times New Roman" w:hAnsi="Times New Roman" w:cs="Times New Roman"/>
          <w:sz w:val="24"/>
          <w:szCs w:val="24"/>
        </w:rPr>
        <w:t xml:space="preserve"> untuk kasus tersebut adalah adanya IMCA. Kasus tidak adanya orang yang bertanggungjawab pada </w:t>
      </w:r>
      <w:r w:rsidRPr="00EE64F9">
        <w:rPr>
          <w:rFonts w:ascii="Times New Roman" w:hAnsi="Times New Roman" w:cs="Times New Roman"/>
          <w:i/>
          <w:sz w:val="24"/>
          <w:szCs w:val="24"/>
        </w:rPr>
        <w:t>common law</w:t>
      </w:r>
      <w:r w:rsidRPr="00EE64F9">
        <w:rPr>
          <w:rFonts w:ascii="Times New Roman" w:hAnsi="Times New Roman" w:cs="Times New Roman"/>
          <w:sz w:val="24"/>
          <w:szCs w:val="24"/>
        </w:rPr>
        <w:t xml:space="preserve"> disebut </w:t>
      </w:r>
      <w:r w:rsidRPr="00EE64F9">
        <w:rPr>
          <w:rFonts w:ascii="Times New Roman" w:hAnsi="Times New Roman" w:cs="Times New Roman"/>
          <w:i/>
          <w:sz w:val="24"/>
          <w:szCs w:val="24"/>
        </w:rPr>
        <w:t>unbefriended</w:t>
      </w:r>
      <w:r w:rsidRPr="00EE64F9">
        <w:rPr>
          <w:rFonts w:ascii="Times New Roman" w:hAnsi="Times New Roman" w:cs="Times New Roman"/>
          <w:sz w:val="24"/>
          <w:szCs w:val="24"/>
        </w:rPr>
        <w:t xml:space="preserve"> dengan solusi IMCA yang ditunjuk oleh dinas kesehatan setempat yang sudah terlatih dan berwenang untuk mempelajari pertimbangan medis, harapan dan perasaan pasien, meminta </w:t>
      </w:r>
      <w:r w:rsidRPr="00EE64F9">
        <w:rPr>
          <w:rFonts w:ascii="Times New Roman" w:hAnsi="Times New Roman" w:cs="Times New Roman"/>
          <w:i/>
          <w:sz w:val="24"/>
          <w:szCs w:val="24"/>
        </w:rPr>
        <w:t>second opinion</w:t>
      </w:r>
      <w:r w:rsidRPr="00EE64F9">
        <w:rPr>
          <w:rFonts w:ascii="Times New Roman" w:hAnsi="Times New Roman" w:cs="Times New Roman"/>
          <w:sz w:val="24"/>
          <w:szCs w:val="24"/>
        </w:rPr>
        <w:t>, dan menguji keputusan medis tersebut untuk kepentingan yang terbaik bagi pasien. Hal tersebut belum ada baik di hukum positif di Indonesia maupun di Manual Persetujuan Tindakan Medis KKI 2008 sehingga dapat menjawab persoalan mengenai pasien yang tidak cakap secara hukum setelah penilaian dan tidak ada wali/pengantar yang mau bertanggung jawab.</w:t>
      </w:r>
    </w:p>
    <w:p w:rsidR="00563FBA" w:rsidRPr="00563FBA" w:rsidRDefault="00563FBA" w:rsidP="00470D59">
      <w:pPr>
        <w:spacing w:after="0"/>
        <w:rPr>
          <w:rFonts w:ascii="Times New Roman" w:eastAsia="Calibri" w:hAnsi="Times New Roman" w:cs="Times New Roman"/>
          <w:sz w:val="24"/>
          <w:szCs w:val="24"/>
        </w:rPr>
      </w:pPr>
    </w:p>
    <w:p w:rsidR="00A57A27" w:rsidRPr="00470D59" w:rsidRDefault="00605B4D" w:rsidP="00470D59">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KESIMPULAN &amp; SARAN</w:t>
      </w:r>
    </w:p>
    <w:p w:rsidR="00A57A27" w:rsidRPr="00470D59" w:rsidRDefault="00605B4D" w:rsidP="00605B4D">
      <w:pPr>
        <w:spacing w:after="0" w:line="240" w:lineRule="auto"/>
        <w:rPr>
          <w:rFonts w:ascii="Times New Roman" w:hAnsi="Times New Roman" w:cs="Times New Roman"/>
          <w:b/>
          <w:sz w:val="24"/>
          <w:szCs w:val="24"/>
        </w:rPr>
      </w:pPr>
      <w:r>
        <w:rPr>
          <w:rFonts w:ascii="Times New Roman" w:hAnsi="Times New Roman" w:cs="Times New Roman"/>
          <w:b/>
          <w:sz w:val="24"/>
          <w:szCs w:val="24"/>
        </w:rPr>
        <w:t>Kesimpulan</w:t>
      </w:r>
    </w:p>
    <w:p w:rsidR="00605B4D" w:rsidRDefault="00605B4D" w:rsidP="00EE64F9">
      <w:p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1. </w:t>
      </w:r>
      <w:r w:rsidRPr="00605B4D">
        <w:rPr>
          <w:rFonts w:ascii="Times New Roman" w:hAnsi="Times New Roman" w:cs="Times New Roman"/>
          <w:sz w:val="24"/>
          <w:szCs w:val="24"/>
        </w:rPr>
        <w:t xml:space="preserve">Dalam analisis perbandingan mengenai </w:t>
      </w:r>
      <w:r w:rsidRPr="00605B4D">
        <w:rPr>
          <w:rFonts w:ascii="Times New Roman" w:hAnsi="Times New Roman" w:cs="Times New Roman"/>
          <w:i/>
          <w:sz w:val="24"/>
          <w:szCs w:val="24"/>
        </w:rPr>
        <w:t>informed consent</w:t>
      </w:r>
      <w:r w:rsidRPr="00605B4D">
        <w:rPr>
          <w:rFonts w:ascii="Times New Roman" w:hAnsi="Times New Roman" w:cs="Times New Roman"/>
          <w:sz w:val="24"/>
          <w:szCs w:val="24"/>
        </w:rPr>
        <w:t xml:space="preserve"> dalam </w:t>
      </w:r>
      <w:r w:rsidRPr="00605B4D">
        <w:rPr>
          <w:rFonts w:ascii="Times New Roman" w:hAnsi="Times New Roman" w:cs="Times New Roman"/>
          <w:i/>
          <w:sz w:val="24"/>
          <w:szCs w:val="24"/>
        </w:rPr>
        <w:t>common law</w:t>
      </w:r>
      <w:r w:rsidRPr="00605B4D">
        <w:rPr>
          <w:rFonts w:ascii="Times New Roman" w:hAnsi="Times New Roman" w:cs="Times New Roman"/>
          <w:sz w:val="24"/>
          <w:szCs w:val="24"/>
        </w:rPr>
        <w:t xml:space="preserve"> dan </w:t>
      </w:r>
      <w:r w:rsidRPr="00605B4D">
        <w:rPr>
          <w:rFonts w:ascii="Times New Roman" w:hAnsi="Times New Roman" w:cs="Times New Roman"/>
          <w:i/>
          <w:sz w:val="24"/>
          <w:szCs w:val="24"/>
        </w:rPr>
        <w:t>civil law</w:t>
      </w:r>
      <w:r w:rsidRPr="00605B4D">
        <w:rPr>
          <w:rFonts w:ascii="Times New Roman" w:hAnsi="Times New Roman" w:cs="Times New Roman"/>
          <w:sz w:val="24"/>
          <w:szCs w:val="24"/>
        </w:rPr>
        <w:t xml:space="preserve"> terdapat be</w:t>
      </w:r>
      <w:r>
        <w:rPr>
          <w:rFonts w:ascii="Times New Roman" w:hAnsi="Times New Roman" w:cs="Times New Roman"/>
          <w:sz w:val="24"/>
          <w:szCs w:val="24"/>
        </w:rPr>
        <w:t>berapa perbedaan dan persamaan yang dapat disimpulkan dalam Tabel 1.1</w:t>
      </w:r>
      <w:r w:rsidR="00EE64F9">
        <w:rPr>
          <w:rFonts w:ascii="Times New Roman" w:hAnsi="Times New Roman" w:cs="Times New Roman"/>
          <w:sz w:val="24"/>
          <w:szCs w:val="24"/>
        </w:rPr>
        <w:t>.</w:t>
      </w:r>
      <w:r>
        <w:rPr>
          <w:rFonts w:ascii="Times New Roman" w:hAnsi="Times New Roman" w:cs="Times New Roman"/>
          <w:sz w:val="24"/>
          <w:szCs w:val="24"/>
        </w:rPr>
        <w:t xml:space="preserve"> </w:t>
      </w:r>
    </w:p>
    <w:p w:rsidR="00605B4D" w:rsidRDefault="00605B4D" w:rsidP="00605B4D">
      <w:pPr>
        <w:pStyle w:val="ListParagraph"/>
        <w:numPr>
          <w:ilvl w:val="2"/>
          <w:numId w:val="1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Mengenai </w:t>
      </w:r>
      <w:r w:rsidR="00EE64F9">
        <w:rPr>
          <w:rFonts w:ascii="Times New Roman" w:hAnsi="Times New Roman" w:cs="Times New Roman"/>
          <w:sz w:val="24"/>
          <w:szCs w:val="24"/>
        </w:rPr>
        <w:t>perbedaan pemberian informed consent pada pasien yang tidak cakap</w:t>
      </w:r>
      <w:r>
        <w:rPr>
          <w:rFonts w:ascii="Times New Roman" w:hAnsi="Times New Roman" w:cs="Times New Roman"/>
          <w:sz w:val="24"/>
          <w:szCs w:val="24"/>
        </w:rPr>
        <w:t xml:space="preserve"> dalam hukum, dari sudut pandang substansi hukum pada </w:t>
      </w:r>
      <w:r w:rsidRPr="006056DA">
        <w:rPr>
          <w:rFonts w:ascii="Times New Roman" w:hAnsi="Times New Roman" w:cs="Times New Roman"/>
          <w:i/>
          <w:sz w:val="24"/>
          <w:szCs w:val="24"/>
        </w:rPr>
        <w:t>civil law</w:t>
      </w:r>
      <w:r>
        <w:rPr>
          <w:rFonts w:ascii="Times New Roman" w:hAnsi="Times New Roman" w:cs="Times New Roman"/>
          <w:sz w:val="24"/>
          <w:szCs w:val="24"/>
        </w:rPr>
        <w:t xml:space="preserve"> (Indonesia)</w:t>
      </w:r>
      <w:r w:rsidR="00EE64F9">
        <w:rPr>
          <w:rFonts w:ascii="Times New Roman" w:hAnsi="Times New Roman" w:cs="Times New Roman"/>
          <w:sz w:val="24"/>
          <w:szCs w:val="24"/>
        </w:rPr>
        <w:t xml:space="preserve"> dan common law dapat dilihat </w:t>
      </w:r>
      <w:r>
        <w:rPr>
          <w:rFonts w:ascii="Times New Roman" w:hAnsi="Times New Roman" w:cs="Times New Roman"/>
          <w:sz w:val="24"/>
          <w:szCs w:val="24"/>
        </w:rPr>
        <w:t xml:space="preserve"> </w:t>
      </w:r>
      <w:r w:rsidR="00EE64F9">
        <w:rPr>
          <w:rFonts w:ascii="Times New Roman" w:hAnsi="Times New Roman" w:cs="Times New Roman"/>
          <w:sz w:val="24"/>
          <w:szCs w:val="24"/>
        </w:rPr>
        <w:t>dalam Tabel 1.2.</w:t>
      </w:r>
    </w:p>
    <w:p w:rsidR="00605B4D" w:rsidRPr="00C93C4E" w:rsidRDefault="00605B4D" w:rsidP="00605B4D">
      <w:pPr>
        <w:pStyle w:val="ListParagraph"/>
        <w:numPr>
          <w:ilvl w:val="2"/>
          <w:numId w:val="1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Hal-hal yang dapat diadopsi dari </w:t>
      </w:r>
      <w:r w:rsidRPr="006056DA">
        <w:rPr>
          <w:rFonts w:ascii="Times New Roman" w:hAnsi="Times New Roman" w:cs="Times New Roman"/>
          <w:i/>
          <w:sz w:val="24"/>
          <w:szCs w:val="24"/>
        </w:rPr>
        <w:t>common law</w:t>
      </w:r>
      <w:r>
        <w:rPr>
          <w:rFonts w:ascii="Times New Roman" w:hAnsi="Times New Roman" w:cs="Times New Roman"/>
          <w:sz w:val="24"/>
          <w:szCs w:val="24"/>
        </w:rPr>
        <w:t xml:space="preserve"> pada </w:t>
      </w:r>
      <w:r w:rsidRPr="006056DA">
        <w:rPr>
          <w:rFonts w:ascii="Times New Roman" w:hAnsi="Times New Roman" w:cs="Times New Roman"/>
          <w:i/>
          <w:sz w:val="24"/>
          <w:szCs w:val="24"/>
        </w:rPr>
        <w:t>civil law</w:t>
      </w:r>
      <w:r>
        <w:rPr>
          <w:rFonts w:ascii="Times New Roman" w:hAnsi="Times New Roman" w:cs="Times New Roman"/>
          <w:sz w:val="24"/>
          <w:szCs w:val="24"/>
        </w:rPr>
        <w:t xml:space="preserve"> di Indonesia menurut penulis adalah mengenai kompetensi Gillick pada anak yang sebenarnya telah tercantum dalam Manual Persetujuan Tindakan Medik KKI 2008 namun tidak tercantum dalam hukum positif di Indonesia baik peraturan mentri maupun undang-undang. Hal lain yang dapat diadopsi adalah mengenai gangguan jiwa </w:t>
      </w:r>
      <w:r w:rsidR="00EE64F9">
        <w:rPr>
          <w:noProof/>
        </w:rPr>
        <w:t>-</w:t>
      </w:r>
      <w:r>
        <w:rPr>
          <w:rFonts w:ascii="Times New Roman" w:hAnsi="Times New Roman" w:cs="Times New Roman"/>
          <w:sz w:val="24"/>
          <w:szCs w:val="24"/>
        </w:rPr>
        <w:t>yang tidak secara serta merta dianggap tidak cakap secara hukum namun dilakukan tes untuk menguji ke</w:t>
      </w:r>
      <w:r w:rsidRPr="00693B29">
        <w:rPr>
          <w:rFonts w:ascii="Times New Roman" w:eastAsia="Times New Roman" w:hAnsi="Times New Roman" w:cs="Times New Roman"/>
          <w:sz w:val="24"/>
          <w:szCs w:val="24"/>
          <w:lang w:eastAsia="id-ID"/>
        </w:rPr>
        <w:t>mampu</w:t>
      </w:r>
      <w:r>
        <w:rPr>
          <w:rFonts w:ascii="Times New Roman" w:eastAsia="Times New Roman" w:hAnsi="Times New Roman" w:cs="Times New Roman"/>
          <w:sz w:val="24"/>
          <w:szCs w:val="24"/>
          <w:lang w:eastAsia="id-ID"/>
        </w:rPr>
        <w:t>an</w:t>
      </w:r>
      <w:r w:rsidRPr="00693B29">
        <w:rPr>
          <w:rFonts w:ascii="Times New Roman" w:eastAsia="Times New Roman" w:hAnsi="Times New Roman" w:cs="Times New Roman"/>
          <w:sz w:val="24"/>
          <w:szCs w:val="24"/>
          <w:lang w:eastAsia="id-ID"/>
        </w:rPr>
        <w:t xml:space="preserve"> membuat keputusan untuk dirinya, menahan informasi, menggunakan informasi sebagai bagian dalam membuat putusan, dan mengk</w:t>
      </w:r>
      <w:r>
        <w:rPr>
          <w:rFonts w:ascii="Times New Roman" w:eastAsia="Times New Roman" w:hAnsi="Times New Roman" w:cs="Times New Roman"/>
          <w:sz w:val="24"/>
          <w:szCs w:val="24"/>
          <w:lang w:eastAsia="id-ID"/>
        </w:rPr>
        <w:t xml:space="preserve">omunikasikan keputusan tersebut. Mengenai ujian mengenai hal tersebut juga sudah tercantum dalam Manual Persetujuan Tindakan Medik KKI 2008 namun belum tercantum dalam hukum positif di Indonesia. Apabila setelah dilakukan uji kompetensi Gillick atau pada orang gangguan jiwa dilakukan uji kapasitas untuk membuat keputusan tidak cakap, dan tidak ada keluarga,/wali/pengantar yang bersedia memberikan persetujuan maka hal yang dapat diadopsi dari </w:t>
      </w:r>
      <w:r w:rsidRPr="006056DA">
        <w:rPr>
          <w:rFonts w:ascii="Times New Roman" w:eastAsia="Times New Roman" w:hAnsi="Times New Roman" w:cs="Times New Roman"/>
          <w:i/>
          <w:sz w:val="24"/>
          <w:szCs w:val="24"/>
          <w:lang w:eastAsia="id-ID"/>
        </w:rPr>
        <w:t>common law</w:t>
      </w:r>
      <w:r>
        <w:rPr>
          <w:rFonts w:ascii="Times New Roman" w:eastAsia="Times New Roman" w:hAnsi="Times New Roman" w:cs="Times New Roman"/>
          <w:sz w:val="24"/>
          <w:szCs w:val="24"/>
          <w:lang w:eastAsia="id-ID"/>
        </w:rPr>
        <w:t xml:space="preserve"> adalah disediakannya IMCA oleh Dinas Kesehatan setempat untuk melakukan analisis terhadap persetujuan  tindakan medik yang diberikan oleh tenaga kesehatan</w:t>
      </w:r>
      <w:r w:rsidRPr="00C93C4E">
        <w:rPr>
          <w:rFonts w:ascii="Times New Roman" w:eastAsia="Times New Roman" w:hAnsi="Times New Roman" w:cs="Times New Roman"/>
          <w:sz w:val="24"/>
          <w:szCs w:val="24"/>
          <w:lang w:eastAsia="id-ID"/>
        </w:rPr>
        <w:t xml:space="preserve"> </w:t>
      </w:r>
    </w:p>
    <w:p w:rsidR="00A57A27" w:rsidRPr="00470D59" w:rsidRDefault="00EE64F9" w:rsidP="00470D59">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Saran</w:t>
      </w:r>
      <w:r w:rsidR="00A57A27" w:rsidRPr="00470D59">
        <w:rPr>
          <w:rFonts w:ascii="Times New Roman" w:hAnsi="Times New Roman" w:cs="Times New Roman"/>
          <w:b/>
          <w:color w:val="000000"/>
          <w:sz w:val="24"/>
          <w:szCs w:val="24"/>
        </w:rPr>
        <w:t xml:space="preserve"> </w:t>
      </w:r>
    </w:p>
    <w:p w:rsidR="00EE64F9" w:rsidRDefault="00EE64F9" w:rsidP="00EE64F9">
      <w:pPr>
        <w:pStyle w:val="ListParagraph"/>
        <w:numPr>
          <w:ilvl w:val="0"/>
          <w:numId w:val="2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Melalui penelitian ini diketahui beberapa alternatif dalam menyelesaikan masalah pada pasien yang tidak cakap secara hukum melalui perbandingan hukum antara </w:t>
      </w:r>
      <w:r w:rsidRPr="006056DA">
        <w:rPr>
          <w:rFonts w:ascii="Times New Roman" w:hAnsi="Times New Roman" w:cs="Times New Roman"/>
          <w:i/>
          <w:sz w:val="24"/>
          <w:szCs w:val="24"/>
        </w:rPr>
        <w:t>common law</w:t>
      </w:r>
      <w:r>
        <w:rPr>
          <w:rFonts w:ascii="Times New Roman" w:hAnsi="Times New Roman" w:cs="Times New Roman"/>
          <w:sz w:val="24"/>
          <w:szCs w:val="24"/>
        </w:rPr>
        <w:t xml:space="preserve"> dan </w:t>
      </w:r>
      <w:r w:rsidRPr="006056DA">
        <w:rPr>
          <w:rFonts w:ascii="Times New Roman" w:hAnsi="Times New Roman" w:cs="Times New Roman"/>
          <w:i/>
          <w:sz w:val="24"/>
          <w:szCs w:val="24"/>
        </w:rPr>
        <w:t>civil law</w:t>
      </w:r>
      <w:r>
        <w:rPr>
          <w:rFonts w:ascii="Times New Roman" w:hAnsi="Times New Roman" w:cs="Times New Roman"/>
          <w:sz w:val="24"/>
          <w:szCs w:val="24"/>
        </w:rPr>
        <w:t xml:space="preserve"> yang sering kali membuat tenaga kesehatan bingung. Melalui penerapan kompetensi Gillick pada anak, pengujian kapasitas pada pasien dengan gangguan jiwa seperti yang telah tercantum pada Manual Persetujuan Tindakan Medik KKI 2008 dapat dimasukkan kepada Rancangan Undang-Undang Praktik Kedokteran yang direvisi dan dijabarkan kedalam peraturan mentri kesehatan yang di kemudian hari yang memperkuat pedoman yang dikeluarkan oleh KKI agar mempunyai kekuatan hukum. Selain iu saran mengenai IMCA (</w:t>
      </w:r>
      <w:r w:rsidRPr="006056DA">
        <w:rPr>
          <w:rFonts w:ascii="Times New Roman" w:hAnsi="Times New Roman" w:cs="Times New Roman"/>
          <w:i/>
          <w:sz w:val="24"/>
          <w:szCs w:val="24"/>
        </w:rPr>
        <w:t>Independent Mental Capacity Act</w:t>
      </w:r>
      <w:r>
        <w:rPr>
          <w:rFonts w:ascii="Times New Roman" w:hAnsi="Times New Roman" w:cs="Times New Roman"/>
          <w:sz w:val="24"/>
          <w:szCs w:val="24"/>
        </w:rPr>
        <w:t xml:space="preserve">) juga merupakan solusi bagi yang tidak lolos uji kompetensi Gillick pada anak atau uji kapasitas pada orang dengan gangguan jiwa dan tidak ada wali/keluarga/pengantar yang bertanggung jawab yang memberikan kepastian hukum kepada tenaga kesehatan untuk melakukan tindakan medik yang diperlukan oleh pasien berdasarkan kepentingan yang terbaik bagi pasien. </w:t>
      </w:r>
    </w:p>
    <w:p w:rsidR="00EE64F9" w:rsidRDefault="00EE64F9" w:rsidP="00EE64F9">
      <w:pPr>
        <w:pStyle w:val="ListParagraph"/>
        <w:numPr>
          <w:ilvl w:val="0"/>
          <w:numId w:val="2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Melalui penelitian ini juga, diharapkan permasalahan mengenai perjanjian baku yang dibuat oleh institusi kesehatan dapat dibuatkan standar perjanjian agar tidak melanggar kaidah-kaidah yang ditetapkan oleh UU yang berkaitan seperti UU Perlindungan Konsumen mengenai perjanjian baku. Manual Persetujuan Tindakan Medik KKI 2008 sebenarnya telah memberikan contoh mengenai </w:t>
      </w:r>
      <w:r w:rsidRPr="006056DA">
        <w:rPr>
          <w:rFonts w:ascii="Times New Roman" w:hAnsi="Times New Roman" w:cs="Times New Roman"/>
          <w:i/>
          <w:sz w:val="24"/>
          <w:szCs w:val="24"/>
        </w:rPr>
        <w:t>Informed Consent</w:t>
      </w:r>
      <w:r>
        <w:rPr>
          <w:rFonts w:ascii="Times New Roman" w:hAnsi="Times New Roman" w:cs="Times New Roman"/>
          <w:sz w:val="24"/>
          <w:szCs w:val="24"/>
        </w:rPr>
        <w:t xml:space="preserve"> yang menjadi contoh bagi institusi kesehatan dalam pembuatannya namun pedoman tersebut tidak terdapat dalam hukum positif di Indonesia sehingga sulit bagi institusi kesehatan untuk mengadopsi contoh perjanjian baku tersebut.</w:t>
      </w:r>
    </w:p>
    <w:p w:rsidR="00E74162" w:rsidRPr="00EE64F9" w:rsidRDefault="00EE64F9" w:rsidP="00EE64F9">
      <w:pPr>
        <w:pStyle w:val="ListParagraph"/>
        <w:numPr>
          <w:ilvl w:val="0"/>
          <w:numId w:val="2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Penelitian selanjutnya yang dapat dikembangkan berkaitan dengan penelitian ini adalah mengenai </w:t>
      </w:r>
      <w:r w:rsidRPr="00EE64F9">
        <w:rPr>
          <w:rFonts w:ascii="Times New Roman" w:hAnsi="Times New Roman" w:cs="Times New Roman"/>
          <w:i/>
          <w:sz w:val="24"/>
          <w:szCs w:val="24"/>
        </w:rPr>
        <w:t>informed consent</w:t>
      </w:r>
      <w:r>
        <w:rPr>
          <w:rFonts w:ascii="Times New Roman" w:hAnsi="Times New Roman" w:cs="Times New Roman"/>
          <w:sz w:val="24"/>
          <w:szCs w:val="24"/>
        </w:rPr>
        <w:t xml:space="preserve"> yang dibuat berdasarkan budaya hukum Indonesia karena konsep mengenai </w:t>
      </w:r>
      <w:r w:rsidRPr="00EE64F9">
        <w:rPr>
          <w:rFonts w:ascii="Times New Roman" w:hAnsi="Times New Roman" w:cs="Times New Roman"/>
          <w:i/>
          <w:sz w:val="24"/>
          <w:szCs w:val="24"/>
        </w:rPr>
        <w:t>informed consent</w:t>
      </w:r>
      <w:r>
        <w:rPr>
          <w:rFonts w:ascii="Times New Roman" w:hAnsi="Times New Roman" w:cs="Times New Roman"/>
          <w:sz w:val="24"/>
          <w:szCs w:val="24"/>
        </w:rPr>
        <w:t xml:space="preserve"> berasal dari budaya barat. Selain itu dapat dikembangkan penelitian mengenai peran IMCA yang dihubungkan dengan konsep </w:t>
      </w:r>
      <w:r w:rsidRPr="00EE64F9">
        <w:rPr>
          <w:rFonts w:ascii="Times New Roman" w:hAnsi="Times New Roman" w:cs="Times New Roman"/>
          <w:i/>
          <w:sz w:val="24"/>
          <w:szCs w:val="24"/>
        </w:rPr>
        <w:t>hospital by law</w:t>
      </w:r>
      <w:r>
        <w:rPr>
          <w:rFonts w:ascii="Times New Roman" w:hAnsi="Times New Roman" w:cs="Times New Roman"/>
          <w:sz w:val="24"/>
          <w:szCs w:val="24"/>
        </w:rPr>
        <w:t xml:space="preserve"> di rumah sakit dalam UU Rumah Sakit.</w:t>
      </w:r>
    </w:p>
    <w:p w:rsidR="00470D59" w:rsidRDefault="00470D59" w:rsidP="00A57A27">
      <w:pPr>
        <w:autoSpaceDE w:val="0"/>
        <w:autoSpaceDN w:val="0"/>
        <w:adjustRightInd w:val="0"/>
        <w:spacing w:after="0" w:line="480" w:lineRule="auto"/>
        <w:jc w:val="both"/>
        <w:rPr>
          <w:rFonts w:ascii="Times New Roman" w:hAnsi="Times New Roman" w:cs="Times New Roman"/>
          <w:color w:val="000000"/>
          <w:sz w:val="24"/>
          <w:szCs w:val="24"/>
        </w:rPr>
      </w:pPr>
    </w:p>
    <w:p w:rsidR="00EE64F9" w:rsidRDefault="00EE64F9" w:rsidP="00A57A27">
      <w:pPr>
        <w:autoSpaceDE w:val="0"/>
        <w:autoSpaceDN w:val="0"/>
        <w:adjustRightInd w:val="0"/>
        <w:spacing w:after="0" w:line="480" w:lineRule="auto"/>
        <w:jc w:val="both"/>
        <w:rPr>
          <w:rFonts w:ascii="Times New Roman" w:hAnsi="Times New Roman" w:cs="Times New Roman"/>
          <w:color w:val="000000"/>
          <w:sz w:val="24"/>
          <w:szCs w:val="24"/>
        </w:rPr>
      </w:pPr>
    </w:p>
    <w:p w:rsidR="00EE64F9" w:rsidRDefault="00EE64F9" w:rsidP="00A57A27">
      <w:pPr>
        <w:autoSpaceDE w:val="0"/>
        <w:autoSpaceDN w:val="0"/>
        <w:adjustRightInd w:val="0"/>
        <w:spacing w:after="0" w:line="480" w:lineRule="auto"/>
        <w:jc w:val="both"/>
        <w:rPr>
          <w:rFonts w:ascii="Times New Roman" w:hAnsi="Times New Roman" w:cs="Times New Roman"/>
          <w:color w:val="000000"/>
          <w:sz w:val="24"/>
          <w:szCs w:val="24"/>
        </w:rPr>
        <w:sectPr w:rsidR="00EE64F9" w:rsidSect="00470D59">
          <w:type w:val="continuous"/>
          <w:pgSz w:w="12240" w:h="15840"/>
          <w:pgMar w:top="1440" w:right="1440" w:bottom="1440" w:left="1440" w:header="720" w:footer="720" w:gutter="0"/>
          <w:cols w:num="2" w:space="720"/>
          <w:docGrid w:linePitch="360"/>
        </w:sectPr>
      </w:pPr>
    </w:p>
    <w:p w:rsidR="00EE64F9" w:rsidRDefault="00EE64F9" w:rsidP="00A57A27">
      <w:pPr>
        <w:autoSpaceDE w:val="0"/>
        <w:autoSpaceDN w:val="0"/>
        <w:adjustRightInd w:val="0"/>
        <w:spacing w:after="0" w:line="480" w:lineRule="auto"/>
        <w:jc w:val="both"/>
        <w:rPr>
          <w:rFonts w:ascii="Times New Roman" w:hAnsi="Times New Roman" w:cs="Times New Roman"/>
          <w:b/>
          <w:color w:val="000000"/>
          <w:sz w:val="24"/>
          <w:szCs w:val="24"/>
        </w:rPr>
      </w:pPr>
    </w:p>
    <w:p w:rsidR="00FE7E14" w:rsidRDefault="00FE7E14" w:rsidP="00A57A27">
      <w:pPr>
        <w:autoSpaceDE w:val="0"/>
        <w:autoSpaceDN w:val="0"/>
        <w:adjustRightInd w:val="0"/>
        <w:spacing w:after="0" w:line="480" w:lineRule="auto"/>
        <w:jc w:val="both"/>
        <w:rPr>
          <w:rFonts w:ascii="Times New Roman" w:hAnsi="Times New Roman" w:cs="Times New Roman"/>
          <w:b/>
          <w:color w:val="000000"/>
          <w:sz w:val="24"/>
          <w:szCs w:val="24"/>
        </w:rPr>
      </w:pPr>
    </w:p>
    <w:p w:rsidR="00FE7E14" w:rsidRDefault="00FE7E14" w:rsidP="00A57A27">
      <w:pPr>
        <w:autoSpaceDE w:val="0"/>
        <w:autoSpaceDN w:val="0"/>
        <w:adjustRightInd w:val="0"/>
        <w:spacing w:after="0" w:line="480" w:lineRule="auto"/>
        <w:jc w:val="both"/>
        <w:rPr>
          <w:rFonts w:ascii="Times New Roman" w:hAnsi="Times New Roman" w:cs="Times New Roman"/>
          <w:b/>
          <w:color w:val="000000"/>
          <w:sz w:val="24"/>
          <w:szCs w:val="24"/>
        </w:rPr>
      </w:pPr>
    </w:p>
    <w:p w:rsidR="00FE7E14" w:rsidRDefault="00FE7E14" w:rsidP="00FE7E14">
      <w:pPr>
        <w:autoSpaceDE w:val="0"/>
        <w:autoSpaceDN w:val="0"/>
        <w:adjustRightInd w:val="0"/>
        <w:spacing w:after="0" w:line="480" w:lineRule="auto"/>
        <w:jc w:val="center"/>
        <w:rPr>
          <w:rFonts w:ascii="Times New Roman" w:hAnsi="Times New Roman" w:cs="Times New Roman"/>
          <w:b/>
          <w:i/>
          <w:color w:val="000000"/>
          <w:sz w:val="24"/>
          <w:szCs w:val="24"/>
        </w:rPr>
      </w:pPr>
      <w:r>
        <w:rPr>
          <w:rFonts w:ascii="Times New Roman" w:hAnsi="Times New Roman" w:cs="Times New Roman"/>
          <w:b/>
          <w:color w:val="000000"/>
          <w:sz w:val="24"/>
          <w:szCs w:val="24"/>
        </w:rPr>
        <w:t xml:space="preserve">Tabel 1.1 Perbedaan Persetujuan Tindakan Medis pada </w:t>
      </w:r>
      <w:r w:rsidRPr="00FE7E14">
        <w:rPr>
          <w:rFonts w:ascii="Times New Roman" w:hAnsi="Times New Roman" w:cs="Times New Roman"/>
          <w:b/>
          <w:i/>
          <w:color w:val="000000"/>
          <w:sz w:val="24"/>
          <w:szCs w:val="24"/>
        </w:rPr>
        <w:t>Common Law</w:t>
      </w:r>
      <w:r>
        <w:rPr>
          <w:rFonts w:ascii="Times New Roman" w:hAnsi="Times New Roman" w:cs="Times New Roman"/>
          <w:b/>
          <w:color w:val="000000"/>
          <w:sz w:val="24"/>
          <w:szCs w:val="24"/>
        </w:rPr>
        <w:t xml:space="preserve"> dan </w:t>
      </w:r>
      <w:r w:rsidRPr="00FE7E14">
        <w:rPr>
          <w:rFonts w:ascii="Times New Roman" w:hAnsi="Times New Roman" w:cs="Times New Roman"/>
          <w:b/>
          <w:i/>
          <w:color w:val="000000"/>
          <w:sz w:val="24"/>
          <w:szCs w:val="24"/>
        </w:rPr>
        <w:t>Civil Law</w:t>
      </w:r>
    </w:p>
    <w:tbl>
      <w:tblPr>
        <w:tblStyle w:val="TableGrid"/>
        <w:tblW w:w="9440" w:type="dxa"/>
        <w:tblLook w:val="0420" w:firstRow="1" w:lastRow="0" w:firstColumn="0" w:lastColumn="0" w:noHBand="0" w:noVBand="1"/>
      </w:tblPr>
      <w:tblGrid>
        <w:gridCol w:w="1395"/>
        <w:gridCol w:w="3725"/>
        <w:gridCol w:w="4320"/>
      </w:tblGrid>
      <w:tr w:rsidR="00FE7E14" w:rsidRPr="00FE7E14" w:rsidTr="00FE7E14">
        <w:trPr>
          <w:trHeight w:val="584"/>
        </w:trPr>
        <w:tc>
          <w:tcPr>
            <w:tcW w:w="1395" w:type="dxa"/>
            <w:hideMark/>
          </w:tcPr>
          <w:p w:rsidR="00FE7E14" w:rsidRPr="00FE7E14" w:rsidRDefault="00FE7E14" w:rsidP="00FE7E14">
            <w:pPr>
              <w:autoSpaceDE w:val="0"/>
              <w:autoSpaceDN w:val="0"/>
              <w:adjustRightInd w:val="0"/>
              <w:jc w:val="center"/>
              <w:rPr>
                <w:rFonts w:ascii="Times New Roman" w:hAnsi="Times New Roman" w:cs="Times New Roman"/>
                <w:color w:val="000000"/>
                <w:sz w:val="24"/>
                <w:szCs w:val="24"/>
              </w:rPr>
            </w:pPr>
            <w:r w:rsidRPr="00FE7E14">
              <w:rPr>
                <w:rFonts w:ascii="Times New Roman" w:hAnsi="Times New Roman" w:cs="Times New Roman"/>
                <w:bCs/>
                <w:color w:val="000000"/>
                <w:sz w:val="24"/>
                <w:szCs w:val="24"/>
              </w:rPr>
              <w:t>Perbedaaan</w:t>
            </w:r>
          </w:p>
        </w:tc>
        <w:tc>
          <w:tcPr>
            <w:tcW w:w="3725" w:type="dxa"/>
            <w:hideMark/>
          </w:tcPr>
          <w:p w:rsidR="00FE7E14" w:rsidRPr="00FE7E14" w:rsidRDefault="00FE7E14" w:rsidP="00FE7E14">
            <w:pPr>
              <w:autoSpaceDE w:val="0"/>
              <w:autoSpaceDN w:val="0"/>
              <w:adjustRightInd w:val="0"/>
              <w:jc w:val="center"/>
              <w:rPr>
                <w:rFonts w:ascii="Times New Roman" w:hAnsi="Times New Roman" w:cs="Times New Roman"/>
                <w:color w:val="000000"/>
                <w:sz w:val="24"/>
                <w:szCs w:val="24"/>
              </w:rPr>
            </w:pPr>
            <w:r w:rsidRPr="00FE7E14">
              <w:rPr>
                <w:rFonts w:ascii="Times New Roman" w:hAnsi="Times New Roman" w:cs="Times New Roman"/>
                <w:bCs/>
                <w:i/>
                <w:color w:val="000000"/>
                <w:sz w:val="24"/>
                <w:szCs w:val="24"/>
              </w:rPr>
              <w:t>Civil Law</w:t>
            </w:r>
            <w:r w:rsidRPr="00FE7E14">
              <w:rPr>
                <w:rFonts w:ascii="Times New Roman" w:hAnsi="Times New Roman" w:cs="Times New Roman"/>
                <w:bCs/>
                <w:color w:val="000000"/>
                <w:sz w:val="24"/>
                <w:szCs w:val="24"/>
              </w:rPr>
              <w:t xml:space="preserve"> (Indonesia)</w:t>
            </w:r>
          </w:p>
        </w:tc>
        <w:tc>
          <w:tcPr>
            <w:tcW w:w="4320" w:type="dxa"/>
            <w:hideMark/>
          </w:tcPr>
          <w:p w:rsidR="00FE7E14" w:rsidRPr="00FE7E14" w:rsidRDefault="00FE7E14" w:rsidP="00FE7E14">
            <w:pPr>
              <w:autoSpaceDE w:val="0"/>
              <w:autoSpaceDN w:val="0"/>
              <w:adjustRightInd w:val="0"/>
              <w:jc w:val="center"/>
              <w:rPr>
                <w:rFonts w:ascii="Times New Roman" w:hAnsi="Times New Roman" w:cs="Times New Roman"/>
                <w:color w:val="000000"/>
                <w:sz w:val="24"/>
                <w:szCs w:val="24"/>
              </w:rPr>
            </w:pPr>
            <w:r w:rsidRPr="00FE7E14">
              <w:rPr>
                <w:rFonts w:ascii="Times New Roman" w:hAnsi="Times New Roman" w:cs="Times New Roman"/>
                <w:bCs/>
                <w:i/>
                <w:color w:val="000000"/>
                <w:sz w:val="24"/>
                <w:szCs w:val="24"/>
              </w:rPr>
              <w:t>Common Law</w:t>
            </w:r>
            <w:r w:rsidRPr="00FE7E14">
              <w:rPr>
                <w:rFonts w:ascii="Times New Roman" w:hAnsi="Times New Roman" w:cs="Times New Roman"/>
                <w:bCs/>
                <w:color w:val="000000"/>
                <w:sz w:val="24"/>
                <w:szCs w:val="24"/>
              </w:rPr>
              <w:t xml:space="preserve"> (Inggris)</w:t>
            </w:r>
          </w:p>
        </w:tc>
      </w:tr>
      <w:tr w:rsidR="00FE7E14" w:rsidRPr="00FE7E14" w:rsidTr="00FE7E14">
        <w:trPr>
          <w:trHeight w:val="291"/>
        </w:trPr>
        <w:tc>
          <w:tcPr>
            <w:tcW w:w="9440" w:type="dxa"/>
            <w:gridSpan w:val="3"/>
            <w:hideMark/>
          </w:tcPr>
          <w:p w:rsidR="00FE7E14" w:rsidRPr="00FE7E14" w:rsidRDefault="00FE7E14" w:rsidP="00FE7E14">
            <w:pPr>
              <w:autoSpaceDE w:val="0"/>
              <w:autoSpaceDN w:val="0"/>
              <w:adjustRightInd w:val="0"/>
              <w:jc w:val="center"/>
              <w:rPr>
                <w:rFonts w:ascii="Times New Roman" w:hAnsi="Times New Roman" w:cs="Times New Roman"/>
                <w:color w:val="000000"/>
                <w:sz w:val="24"/>
                <w:szCs w:val="24"/>
              </w:rPr>
            </w:pPr>
            <w:r w:rsidRPr="00FE7E14">
              <w:rPr>
                <w:rFonts w:ascii="Times New Roman" w:hAnsi="Times New Roman" w:cs="Times New Roman"/>
                <w:color w:val="000000"/>
                <w:sz w:val="24"/>
                <w:szCs w:val="24"/>
              </w:rPr>
              <w:t>Substansi Hukum</w:t>
            </w:r>
          </w:p>
        </w:tc>
      </w:tr>
      <w:tr w:rsidR="00FE7E14" w:rsidRPr="00FE7E14" w:rsidTr="00FE7E14">
        <w:trPr>
          <w:trHeight w:val="584"/>
        </w:trPr>
        <w:tc>
          <w:tcPr>
            <w:tcW w:w="1395" w:type="dxa"/>
            <w:hideMark/>
          </w:tcPr>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Definisi</w:t>
            </w:r>
          </w:p>
        </w:tc>
        <w:tc>
          <w:tcPr>
            <w:tcW w:w="3725" w:type="dxa"/>
            <w:hideMark/>
          </w:tcPr>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 xml:space="preserve">Menurut Pasal 1 PMK No. 290 Tahun 2008 Tentang Persetujuan Tindakan Kedokteran : </w:t>
            </w:r>
          </w:p>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Persetujuan tindakan kedokteran adalah persetujuan yang diberikan oleh pasien atau keluarga terdekat setelah mendapat penjelasan secara lengkap mengenai tindakan kedokteran atau kedokteran gigi yang akan dilakukan terhadap pasien</w:t>
            </w:r>
          </w:p>
        </w:tc>
        <w:tc>
          <w:tcPr>
            <w:tcW w:w="4320" w:type="dxa"/>
            <w:hideMark/>
          </w:tcPr>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i/>
                <w:iCs/>
                <w:color w:val="000000"/>
                <w:sz w:val="24"/>
                <w:szCs w:val="24"/>
              </w:rPr>
              <w:t xml:space="preserve">true consent to what happens to one's self is the informed exercise of a choice, and that entails the opportunity to evaluate knowledgeably the options available and the risks attendant upon each </w:t>
            </w:r>
            <w:r w:rsidRPr="00FE7E14">
              <w:rPr>
                <w:rFonts w:ascii="Times New Roman" w:hAnsi="Times New Roman" w:cs="Times New Roman"/>
                <w:color w:val="000000"/>
                <w:sz w:val="24"/>
                <w:szCs w:val="24"/>
              </w:rPr>
              <w:t>(persetujuan yang benar tentang apa yang terjadi pada seseorang adalah informasi dari pilihan dan kesempatan untuk mengevaluasi pilihan tersebut dengan pilihan pengetahuan yang tersedia dan risiko yang akan dihadapinya)</w:t>
            </w:r>
          </w:p>
        </w:tc>
      </w:tr>
      <w:tr w:rsidR="00FE7E14" w:rsidRPr="00FE7E14" w:rsidTr="00FE7E14">
        <w:trPr>
          <w:trHeight w:val="584"/>
        </w:trPr>
        <w:tc>
          <w:tcPr>
            <w:tcW w:w="1395" w:type="dxa"/>
            <w:hideMark/>
          </w:tcPr>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Informasi</w:t>
            </w:r>
          </w:p>
        </w:tc>
        <w:tc>
          <w:tcPr>
            <w:tcW w:w="3725" w:type="dxa"/>
            <w:hideMark/>
          </w:tcPr>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Pasal 45 ayat (3) UU No. 29 Tahun 2004 Tentang Praktik Kedokteran yaitu mengenai diagnosis dan tata cara tindakan medis; tujuan tindakan medis yang dilakukan; alternatif tindakan lain dan risikonya; risiko dan komplikasi yang mungkin terjadi; dan prognosis terhadap tindakan yang dilakukan</w:t>
            </w:r>
          </w:p>
        </w:tc>
        <w:tc>
          <w:tcPr>
            <w:tcW w:w="4320" w:type="dxa"/>
            <w:hideMark/>
          </w:tcPr>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diagnosis dan prognosis, setiap ketidakpastian tentang diagnosis atau prognosis, termasuk pilihan untuk penyelidikan lebih lanjut, pilihan untuk mengobati atau mengelola kondisi, termasuk pilihan untuk tidak melanjutkan pengobatan, tujuan penyelidikan yang diusulkan atau pengobatan dan apa yang akan melibatkan, potensi keuntungan, risiko dan beban, dan kemungkinan keberhasilan, untuk setiap opsi; ini harus mencakup informasi, jika tersedia, apakah manfaat atau risiko terkena yang dokter pilih untuk memberikan perawatan. (Claudia Carr)</w:t>
            </w:r>
          </w:p>
        </w:tc>
      </w:tr>
      <w:tr w:rsidR="00FE7E14" w:rsidRPr="00FE7E14" w:rsidTr="00FE7E14">
        <w:trPr>
          <w:trHeight w:val="584"/>
        </w:trPr>
        <w:tc>
          <w:tcPr>
            <w:tcW w:w="1395" w:type="dxa"/>
          </w:tcPr>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Persetujuan</w:t>
            </w:r>
          </w:p>
        </w:tc>
        <w:tc>
          <w:tcPr>
            <w:tcW w:w="3725" w:type="dxa"/>
          </w:tcPr>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Menurut UU No. 29 Tahun 2004 Pasal 45 Ayat (1) bahwa setiap tindakan kedokteran atau kedokteran gigi yang akan dilakukan oleh dokter atau dokter gigi terhadap pasien harus mendapat persetujuan</w:t>
            </w:r>
          </w:p>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 xml:space="preserve">Penjelasan Pasal 45 : Pada prinsipnya yang berhak memberikan persetujuan atau penolakan tindakan medis adalah pasien yang bersangkutan. Namun, apabila pasien yang bersangkutan berada di bawah pengampuan (under curatele) persetujuan atau penolakan tindakan medis dapat diberikan oleh keluarga terdekat antara lain suami/istri, ayah/ibu kandung, anak-anak kandung atau saudara-saudara kandung…. Dalam hal pasien adalah anak-anak atau orang yang tidak sadar, maka penjelasan diberikan kepada keluarganya atau yang mengantar. </w:t>
            </w:r>
          </w:p>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p>
        </w:tc>
        <w:tc>
          <w:tcPr>
            <w:tcW w:w="4320" w:type="dxa"/>
          </w:tcPr>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 xml:space="preserve">Prinsip pemberian informed consent menurut Kementrian Etika Inggris adalah  </w:t>
            </w:r>
          </w:p>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a. Diberikan secara sukarela (tanpa penipuan atau paksaan)</w:t>
            </w:r>
          </w:p>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b. Diberikan oleh individu yang mempunyai kapasitas</w:t>
            </w:r>
          </w:p>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c. Diberikan oleh individu yang telah diinformasikan mengenai tindakan medis yang akan dilakukan.</w:t>
            </w:r>
          </w:p>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 xml:space="preserve">Dalam memutuskan perkara tersebut Benyamin Cardozo berpendapat bahwa : </w:t>
            </w:r>
            <w:r w:rsidRPr="00FE7E14">
              <w:rPr>
                <w:rFonts w:ascii="Times New Roman" w:hAnsi="Times New Roman" w:cs="Times New Roman"/>
                <w:i/>
                <w:iCs/>
                <w:color w:val="000000"/>
                <w:sz w:val="24"/>
                <w:szCs w:val="24"/>
              </w:rPr>
              <w:t>Every human of adult years and sound mind has a right to determine what shall be done with his own body and a surgeon who performs an operation without his patient's consent and assault for which he is. liable in damaged.</w:t>
            </w:r>
            <w:r w:rsidRPr="00FE7E14">
              <w:rPr>
                <w:rFonts w:ascii="Times New Roman" w:hAnsi="Times New Roman" w:cs="Times New Roman"/>
                <w:color w:val="000000"/>
                <w:sz w:val="24"/>
                <w:szCs w:val="24"/>
              </w:rPr>
              <w:t xml:space="preserve"> (Putusan Benyamin Cardozo ini mengandung makna bahwa setiap orang (insan) yang sudah dewasa dan mampu berpikir secara sehat berhak untuk menentukan nasib sendiri terhadap apa yang seharusnya dilakukan terhadap dirinya)</w:t>
            </w:r>
          </w:p>
        </w:tc>
      </w:tr>
      <w:tr w:rsidR="00FE7E14" w:rsidRPr="00FE7E14" w:rsidTr="00FE7E14">
        <w:trPr>
          <w:trHeight w:val="296"/>
        </w:trPr>
        <w:tc>
          <w:tcPr>
            <w:tcW w:w="9440" w:type="dxa"/>
            <w:gridSpan w:val="3"/>
          </w:tcPr>
          <w:p w:rsidR="00FE7E14" w:rsidRPr="00FE7E14" w:rsidRDefault="00FE7E14" w:rsidP="00FE7E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Kultur Hukum</w:t>
            </w:r>
          </w:p>
        </w:tc>
      </w:tr>
      <w:tr w:rsidR="00FE7E14" w:rsidRPr="00FE7E14" w:rsidTr="00FE7E14">
        <w:trPr>
          <w:trHeight w:val="584"/>
        </w:trPr>
        <w:tc>
          <w:tcPr>
            <w:tcW w:w="1395" w:type="dxa"/>
          </w:tcPr>
          <w:p w:rsidR="00FE7E14" w:rsidRDefault="00FE7E14" w:rsidP="00E061C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Budaya</w:t>
            </w:r>
          </w:p>
        </w:tc>
        <w:tc>
          <w:tcPr>
            <w:tcW w:w="3725" w:type="dxa"/>
          </w:tcPr>
          <w:p w:rsidR="00FE7E14" w:rsidRPr="00FE7E14" w:rsidRDefault="00FE7E14" w:rsidP="00FE7E14">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 xml:space="preserve">otonomi di sini bukanlah otonomi personal tetapi otonomi kolektif yang diberikan oleh beberapa orang ataupun seorang mewakili banyak orang misalnya kepala suku atau kepala kampung. </w:t>
            </w:r>
          </w:p>
          <w:p w:rsidR="00FE7E14" w:rsidRPr="00FE7E14" w:rsidRDefault="00FE7E14" w:rsidP="00FE7E14">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 xml:space="preserve">Sudah menjadi praktik di banyak tempat bahwa yang memberikan </w:t>
            </w:r>
            <w:r w:rsidRPr="00FE7E14">
              <w:rPr>
                <w:rFonts w:ascii="Times New Roman" w:hAnsi="Times New Roman" w:cs="Times New Roman"/>
                <w:i/>
                <w:iCs/>
                <w:color w:val="000000"/>
                <w:sz w:val="24"/>
                <w:szCs w:val="24"/>
              </w:rPr>
              <w:t>informed consent</w:t>
            </w:r>
            <w:r w:rsidRPr="00FE7E14">
              <w:rPr>
                <w:rFonts w:ascii="Times New Roman" w:hAnsi="Times New Roman" w:cs="Times New Roman"/>
                <w:color w:val="000000"/>
                <w:sz w:val="24"/>
                <w:szCs w:val="24"/>
              </w:rPr>
              <w:t xml:space="preserve"> bukan hanya pasien tetapi juga keluarga, bahkan seringkali keluarga besarnya. </w:t>
            </w:r>
          </w:p>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p>
        </w:tc>
        <w:tc>
          <w:tcPr>
            <w:tcW w:w="4320" w:type="dxa"/>
          </w:tcPr>
          <w:p w:rsidR="00FE7E14" w:rsidRPr="00FE7E14" w:rsidRDefault="00FE7E14" w:rsidP="00E061C8">
            <w:pPr>
              <w:autoSpaceDE w:val="0"/>
              <w:autoSpaceDN w:val="0"/>
              <w:adjustRightInd w:val="0"/>
              <w:jc w:val="both"/>
              <w:rPr>
                <w:rFonts w:ascii="Times New Roman" w:hAnsi="Times New Roman" w:cs="Times New Roman"/>
                <w:color w:val="000000"/>
                <w:sz w:val="24"/>
                <w:szCs w:val="24"/>
              </w:rPr>
            </w:pPr>
            <w:r w:rsidRPr="00FE7E14">
              <w:rPr>
                <w:rFonts w:ascii="Times New Roman" w:hAnsi="Times New Roman" w:cs="Times New Roman"/>
                <w:color w:val="000000"/>
                <w:sz w:val="24"/>
                <w:szCs w:val="24"/>
              </w:rPr>
              <w:t xml:space="preserve">Dalam pengobatan Barat, hubungan paternalistik dokter –pasien sudah semakin menghilang. Pada masyarakat Barat seperti Amerika Serikat, penentuan nasib sendiri dan otonomi diadakan penting. Itu karena masyarakat Barat menekankan orde pertama otonomi, yang mempromosikan penentuan nasib sendiri.  Konsep informed consent yang berasal dari Barat menekankan otonomi pasien secara individual berbeda dengan struktur masyarakat Indonesia yang lebih bersifat komunal. </w:t>
            </w:r>
          </w:p>
        </w:tc>
      </w:tr>
    </w:tbl>
    <w:p w:rsidR="00EE64F9" w:rsidRDefault="00EE64F9" w:rsidP="00FE7E14">
      <w:pPr>
        <w:autoSpaceDE w:val="0"/>
        <w:autoSpaceDN w:val="0"/>
        <w:adjustRightInd w:val="0"/>
        <w:spacing w:after="0" w:line="480" w:lineRule="auto"/>
        <w:rPr>
          <w:rFonts w:ascii="Times New Roman" w:hAnsi="Times New Roman" w:cs="Times New Roman"/>
          <w:b/>
          <w:color w:val="000000"/>
          <w:sz w:val="24"/>
          <w:szCs w:val="24"/>
        </w:rPr>
      </w:pPr>
    </w:p>
    <w:p w:rsidR="00FE7E14" w:rsidRDefault="00FE7E14" w:rsidP="00FE7E14">
      <w:pPr>
        <w:autoSpaceDE w:val="0"/>
        <w:autoSpaceDN w:val="0"/>
        <w:adjustRightInd w:val="0"/>
        <w:spacing w:after="0" w:line="240" w:lineRule="auto"/>
        <w:jc w:val="center"/>
        <w:rPr>
          <w:rFonts w:ascii="Times New Roman" w:hAnsi="Times New Roman" w:cs="Times New Roman"/>
          <w:b/>
          <w:i/>
          <w:color w:val="000000"/>
          <w:sz w:val="24"/>
          <w:szCs w:val="24"/>
        </w:rPr>
      </w:pPr>
      <w:r>
        <w:rPr>
          <w:rFonts w:ascii="Times New Roman" w:hAnsi="Times New Roman" w:cs="Times New Roman"/>
          <w:b/>
          <w:color w:val="000000"/>
          <w:sz w:val="24"/>
          <w:szCs w:val="24"/>
        </w:rPr>
        <w:t xml:space="preserve">Tabel 1.2 Perbedaan Pemberian Persetujuan Tindakan Medis pada pasien yang tidak cakap secara hukum dalam </w:t>
      </w:r>
      <w:r w:rsidRPr="00FE7E14">
        <w:rPr>
          <w:rFonts w:ascii="Times New Roman" w:hAnsi="Times New Roman" w:cs="Times New Roman"/>
          <w:b/>
          <w:i/>
          <w:color w:val="000000"/>
          <w:sz w:val="24"/>
          <w:szCs w:val="24"/>
        </w:rPr>
        <w:t>Common Law</w:t>
      </w:r>
      <w:r>
        <w:rPr>
          <w:rFonts w:ascii="Times New Roman" w:hAnsi="Times New Roman" w:cs="Times New Roman"/>
          <w:b/>
          <w:color w:val="000000"/>
          <w:sz w:val="24"/>
          <w:szCs w:val="24"/>
        </w:rPr>
        <w:t xml:space="preserve"> dan </w:t>
      </w:r>
      <w:r w:rsidRPr="00FE7E14">
        <w:rPr>
          <w:rFonts w:ascii="Times New Roman" w:hAnsi="Times New Roman" w:cs="Times New Roman"/>
          <w:b/>
          <w:i/>
          <w:color w:val="000000"/>
          <w:sz w:val="24"/>
          <w:szCs w:val="24"/>
        </w:rPr>
        <w:t>Civil Law</w:t>
      </w:r>
    </w:p>
    <w:tbl>
      <w:tblPr>
        <w:tblStyle w:val="TableGrid"/>
        <w:tblW w:w="9440" w:type="dxa"/>
        <w:tblLook w:val="0420" w:firstRow="1" w:lastRow="0" w:firstColumn="0" w:lastColumn="0" w:noHBand="0" w:noVBand="1"/>
      </w:tblPr>
      <w:tblGrid>
        <w:gridCol w:w="1354"/>
        <w:gridCol w:w="3766"/>
        <w:gridCol w:w="4320"/>
      </w:tblGrid>
      <w:tr w:rsidR="00FE7E14" w:rsidRPr="00FE7E14" w:rsidTr="00FE7E14">
        <w:trPr>
          <w:trHeight w:val="584"/>
        </w:trPr>
        <w:tc>
          <w:tcPr>
            <w:tcW w:w="1354" w:type="dxa"/>
            <w:hideMark/>
          </w:tcPr>
          <w:p w:rsidR="00FE7E14" w:rsidRPr="00FE7E14" w:rsidRDefault="00FE7E14" w:rsidP="00FE7E14">
            <w:pPr>
              <w:autoSpaceDE w:val="0"/>
              <w:autoSpaceDN w:val="0"/>
              <w:adjustRightInd w:val="0"/>
              <w:jc w:val="center"/>
              <w:rPr>
                <w:rFonts w:ascii="Times New Roman" w:hAnsi="Times New Roman" w:cs="Times New Roman"/>
                <w:color w:val="000000"/>
                <w:sz w:val="24"/>
                <w:szCs w:val="24"/>
              </w:rPr>
            </w:pPr>
            <w:r w:rsidRPr="00FE7E14">
              <w:rPr>
                <w:rFonts w:ascii="Times New Roman" w:hAnsi="Times New Roman" w:cs="Times New Roman"/>
                <w:bCs/>
                <w:color w:val="000000"/>
                <w:sz w:val="24"/>
                <w:szCs w:val="24"/>
              </w:rPr>
              <w:t>Perbedaan</w:t>
            </w:r>
          </w:p>
        </w:tc>
        <w:tc>
          <w:tcPr>
            <w:tcW w:w="3766" w:type="dxa"/>
            <w:hideMark/>
          </w:tcPr>
          <w:p w:rsidR="00FE7E14" w:rsidRPr="00FE7E14" w:rsidRDefault="00FE7E14" w:rsidP="00FE7E14">
            <w:pPr>
              <w:autoSpaceDE w:val="0"/>
              <w:autoSpaceDN w:val="0"/>
              <w:adjustRightInd w:val="0"/>
              <w:jc w:val="center"/>
              <w:rPr>
                <w:rFonts w:ascii="Times New Roman" w:hAnsi="Times New Roman" w:cs="Times New Roman"/>
                <w:color w:val="000000"/>
                <w:sz w:val="24"/>
                <w:szCs w:val="24"/>
              </w:rPr>
            </w:pPr>
            <w:r w:rsidRPr="00FE7E14">
              <w:rPr>
                <w:rFonts w:ascii="Times New Roman" w:hAnsi="Times New Roman" w:cs="Times New Roman"/>
                <w:bCs/>
                <w:i/>
                <w:color w:val="000000"/>
                <w:sz w:val="24"/>
                <w:szCs w:val="24"/>
              </w:rPr>
              <w:t>Civil Law</w:t>
            </w:r>
            <w:r w:rsidRPr="00FE7E14">
              <w:rPr>
                <w:rFonts w:ascii="Times New Roman" w:hAnsi="Times New Roman" w:cs="Times New Roman"/>
                <w:bCs/>
                <w:color w:val="000000"/>
                <w:sz w:val="24"/>
                <w:szCs w:val="24"/>
              </w:rPr>
              <w:t xml:space="preserve"> (Indonesia)</w:t>
            </w:r>
          </w:p>
        </w:tc>
        <w:tc>
          <w:tcPr>
            <w:tcW w:w="4320" w:type="dxa"/>
            <w:hideMark/>
          </w:tcPr>
          <w:p w:rsidR="00FE7E14" w:rsidRPr="00FE7E14" w:rsidRDefault="00FE7E14" w:rsidP="00FE7E14">
            <w:pPr>
              <w:autoSpaceDE w:val="0"/>
              <w:autoSpaceDN w:val="0"/>
              <w:adjustRightInd w:val="0"/>
              <w:jc w:val="center"/>
              <w:rPr>
                <w:rFonts w:ascii="Times New Roman" w:hAnsi="Times New Roman" w:cs="Times New Roman"/>
                <w:color w:val="000000"/>
                <w:sz w:val="24"/>
                <w:szCs w:val="24"/>
              </w:rPr>
            </w:pPr>
            <w:r w:rsidRPr="00FE7E14">
              <w:rPr>
                <w:rFonts w:ascii="Times New Roman" w:hAnsi="Times New Roman" w:cs="Times New Roman"/>
                <w:bCs/>
                <w:i/>
                <w:color w:val="000000"/>
                <w:sz w:val="24"/>
                <w:szCs w:val="24"/>
              </w:rPr>
              <w:t>Common Law</w:t>
            </w:r>
            <w:r w:rsidRPr="00FE7E14">
              <w:rPr>
                <w:rFonts w:ascii="Times New Roman" w:hAnsi="Times New Roman" w:cs="Times New Roman"/>
                <w:bCs/>
                <w:color w:val="000000"/>
                <w:sz w:val="24"/>
                <w:szCs w:val="24"/>
              </w:rPr>
              <w:t xml:space="preserve"> (Inggris)</w:t>
            </w:r>
          </w:p>
        </w:tc>
      </w:tr>
      <w:tr w:rsidR="00FE7E14" w:rsidRPr="00FE7E14" w:rsidTr="00FE7E14">
        <w:trPr>
          <w:trHeight w:val="214"/>
        </w:trPr>
        <w:tc>
          <w:tcPr>
            <w:tcW w:w="9440" w:type="dxa"/>
            <w:gridSpan w:val="3"/>
          </w:tcPr>
          <w:p w:rsidR="00FE7E14" w:rsidRPr="00FE7E14" w:rsidRDefault="00FE7E14" w:rsidP="00FE7E14">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Substansi Hukum</w:t>
            </w:r>
          </w:p>
        </w:tc>
      </w:tr>
      <w:tr w:rsidR="00FE7E14" w:rsidRPr="00FE7E14" w:rsidTr="00FE7E14">
        <w:trPr>
          <w:trHeight w:val="584"/>
        </w:trPr>
        <w:tc>
          <w:tcPr>
            <w:tcW w:w="1354" w:type="dxa"/>
            <w:hideMark/>
          </w:tcPr>
          <w:p w:rsidR="00FE7E14" w:rsidRPr="00FE7E14" w:rsidRDefault="00FE7E14" w:rsidP="00FE7E14">
            <w:pPr>
              <w:autoSpaceDE w:val="0"/>
              <w:autoSpaceDN w:val="0"/>
              <w:adjustRightInd w:val="0"/>
              <w:rPr>
                <w:rFonts w:ascii="Times New Roman" w:hAnsi="Times New Roman" w:cs="Times New Roman"/>
                <w:color w:val="000000"/>
                <w:sz w:val="24"/>
                <w:szCs w:val="24"/>
              </w:rPr>
            </w:pPr>
            <w:r w:rsidRPr="00FE7E14">
              <w:rPr>
                <w:rFonts w:ascii="Times New Roman" w:hAnsi="Times New Roman" w:cs="Times New Roman"/>
                <w:color w:val="000000"/>
                <w:sz w:val="24"/>
                <w:szCs w:val="24"/>
              </w:rPr>
              <w:t>Kecakapan</w:t>
            </w:r>
          </w:p>
        </w:tc>
        <w:tc>
          <w:tcPr>
            <w:tcW w:w="3766" w:type="dxa"/>
            <w:hideMark/>
          </w:tcPr>
          <w:p w:rsidR="00FE7E14" w:rsidRPr="00FE7E14" w:rsidRDefault="00FE7E14" w:rsidP="00FE7E14">
            <w:pPr>
              <w:autoSpaceDE w:val="0"/>
              <w:autoSpaceDN w:val="0"/>
              <w:adjustRightInd w:val="0"/>
              <w:rPr>
                <w:rFonts w:ascii="Times New Roman" w:hAnsi="Times New Roman" w:cs="Times New Roman"/>
                <w:color w:val="000000"/>
                <w:sz w:val="24"/>
                <w:szCs w:val="24"/>
              </w:rPr>
            </w:pPr>
            <w:r w:rsidRPr="00FE7E14">
              <w:rPr>
                <w:rFonts w:ascii="Times New Roman" w:hAnsi="Times New Roman" w:cs="Times New Roman"/>
                <w:color w:val="000000"/>
                <w:sz w:val="24"/>
                <w:szCs w:val="24"/>
              </w:rPr>
              <w:t>Pasal 12 PMK 290 Tahun 2008</w:t>
            </w:r>
          </w:p>
          <w:p w:rsidR="00FE7E14" w:rsidRPr="00FE7E14" w:rsidRDefault="00FE7E14" w:rsidP="00FE7E14">
            <w:pPr>
              <w:autoSpaceDE w:val="0"/>
              <w:autoSpaceDN w:val="0"/>
              <w:adjustRightInd w:val="0"/>
              <w:rPr>
                <w:rFonts w:ascii="Times New Roman" w:hAnsi="Times New Roman" w:cs="Times New Roman"/>
                <w:color w:val="000000"/>
                <w:sz w:val="24"/>
                <w:szCs w:val="24"/>
              </w:rPr>
            </w:pPr>
            <w:r w:rsidRPr="00FE7E14">
              <w:rPr>
                <w:rFonts w:ascii="Times New Roman" w:hAnsi="Times New Roman" w:cs="Times New Roman"/>
                <w:color w:val="000000"/>
                <w:sz w:val="24"/>
                <w:szCs w:val="24"/>
              </w:rPr>
              <w:t>Persetujuan diberikan oleh pasien yang kompeten, atau oleh wali, atau keluarga terdekat atau pengampunya.</w:t>
            </w:r>
          </w:p>
          <w:p w:rsidR="00FE7E14" w:rsidRPr="00FE7E14" w:rsidRDefault="00FE7E14" w:rsidP="00FE7E14">
            <w:pPr>
              <w:autoSpaceDE w:val="0"/>
              <w:autoSpaceDN w:val="0"/>
              <w:adjustRightInd w:val="0"/>
              <w:rPr>
                <w:rFonts w:ascii="Times New Roman" w:hAnsi="Times New Roman" w:cs="Times New Roman"/>
                <w:color w:val="000000"/>
                <w:sz w:val="24"/>
                <w:szCs w:val="24"/>
              </w:rPr>
            </w:pPr>
            <w:r w:rsidRPr="00FE7E14">
              <w:rPr>
                <w:rFonts w:ascii="Times New Roman" w:hAnsi="Times New Roman" w:cs="Times New Roman"/>
                <w:color w:val="000000"/>
                <w:sz w:val="24"/>
                <w:szCs w:val="24"/>
              </w:rPr>
              <w:t>Pasal 13 PMK 290 Tahun 2008</w:t>
            </w:r>
          </w:p>
          <w:p w:rsidR="00B253B5" w:rsidRPr="00FE7E14" w:rsidRDefault="007527C9" w:rsidP="00FE7E14">
            <w:pPr>
              <w:numPr>
                <w:ilvl w:val="0"/>
                <w:numId w:val="30"/>
              </w:numPr>
              <w:tabs>
                <w:tab w:val="clear" w:pos="720"/>
              </w:tabs>
              <w:autoSpaceDE w:val="0"/>
              <w:autoSpaceDN w:val="0"/>
              <w:adjustRightInd w:val="0"/>
              <w:ind w:left="382"/>
              <w:rPr>
                <w:rFonts w:ascii="Times New Roman" w:hAnsi="Times New Roman" w:cs="Times New Roman"/>
                <w:color w:val="000000"/>
                <w:sz w:val="24"/>
                <w:szCs w:val="24"/>
              </w:rPr>
            </w:pPr>
            <w:r w:rsidRPr="00FE7E14">
              <w:rPr>
                <w:rFonts w:ascii="Times New Roman" w:hAnsi="Times New Roman" w:cs="Times New Roman"/>
                <w:color w:val="000000"/>
                <w:sz w:val="24"/>
                <w:szCs w:val="24"/>
              </w:rPr>
              <w:t xml:space="preserve">Pasien dianggap kompeten berdasarkan usianya </w:t>
            </w:r>
          </w:p>
          <w:p w:rsidR="00B253B5" w:rsidRPr="00FE7E14" w:rsidRDefault="007527C9" w:rsidP="00FE7E14">
            <w:pPr>
              <w:numPr>
                <w:ilvl w:val="0"/>
                <w:numId w:val="30"/>
              </w:numPr>
              <w:tabs>
                <w:tab w:val="clear" w:pos="720"/>
              </w:tabs>
              <w:autoSpaceDE w:val="0"/>
              <w:autoSpaceDN w:val="0"/>
              <w:adjustRightInd w:val="0"/>
              <w:ind w:left="382"/>
              <w:rPr>
                <w:rFonts w:ascii="Times New Roman" w:hAnsi="Times New Roman" w:cs="Times New Roman"/>
                <w:color w:val="000000"/>
                <w:sz w:val="24"/>
                <w:szCs w:val="24"/>
              </w:rPr>
            </w:pPr>
            <w:r w:rsidRPr="00FE7E14">
              <w:rPr>
                <w:rFonts w:ascii="Times New Roman" w:hAnsi="Times New Roman" w:cs="Times New Roman"/>
                <w:color w:val="000000"/>
                <w:sz w:val="24"/>
                <w:szCs w:val="24"/>
              </w:rPr>
              <w:t>Berdasarkan kesadarannya : kesadaran fisiknya, sementara waktu apabila ia mengalami syok, nyeri yang sangat atau kelemahan lain akibat keadaan sakitnya.</w:t>
            </w:r>
          </w:p>
          <w:p w:rsidR="00FE7E14" w:rsidRPr="00FE7E14" w:rsidRDefault="00FE7E14" w:rsidP="00FE7E14">
            <w:pPr>
              <w:autoSpaceDE w:val="0"/>
              <w:autoSpaceDN w:val="0"/>
              <w:adjustRightInd w:val="0"/>
              <w:ind w:left="382"/>
              <w:rPr>
                <w:rFonts w:ascii="Times New Roman" w:hAnsi="Times New Roman" w:cs="Times New Roman"/>
                <w:color w:val="000000"/>
                <w:sz w:val="24"/>
                <w:szCs w:val="24"/>
              </w:rPr>
            </w:pPr>
            <w:r w:rsidRPr="00FE7E14">
              <w:rPr>
                <w:rFonts w:ascii="Times New Roman" w:hAnsi="Times New Roman" w:cs="Times New Roman"/>
                <w:color w:val="000000"/>
                <w:sz w:val="24"/>
                <w:szCs w:val="24"/>
              </w:rPr>
              <w:t>(3) Berdasarkan kesehatan mentalnya:</w:t>
            </w:r>
          </w:p>
          <w:p w:rsidR="00FE7E14" w:rsidRPr="00FE7E14" w:rsidRDefault="00FE7E14" w:rsidP="00FE7E14">
            <w:pPr>
              <w:autoSpaceDE w:val="0"/>
              <w:autoSpaceDN w:val="0"/>
              <w:adjustRightInd w:val="0"/>
              <w:ind w:left="382"/>
              <w:rPr>
                <w:rFonts w:ascii="Times New Roman" w:hAnsi="Times New Roman" w:cs="Times New Roman"/>
                <w:color w:val="000000"/>
                <w:sz w:val="24"/>
                <w:szCs w:val="24"/>
              </w:rPr>
            </w:pPr>
            <w:r w:rsidRPr="00FE7E14">
              <w:rPr>
                <w:rFonts w:ascii="Times New Roman" w:hAnsi="Times New Roman" w:cs="Times New Roman"/>
                <w:color w:val="000000"/>
                <w:sz w:val="24"/>
                <w:szCs w:val="24"/>
              </w:rPr>
              <w:t>retardasi mental dan penyakit mental/ gangguan jiwa (mental)</w:t>
            </w:r>
          </w:p>
        </w:tc>
        <w:tc>
          <w:tcPr>
            <w:tcW w:w="4320" w:type="dxa"/>
            <w:hideMark/>
          </w:tcPr>
          <w:p w:rsidR="00FE7E14" w:rsidRPr="00FE7E14" w:rsidRDefault="00FE7E14" w:rsidP="00FE7E14">
            <w:pPr>
              <w:autoSpaceDE w:val="0"/>
              <w:autoSpaceDN w:val="0"/>
              <w:adjustRightInd w:val="0"/>
              <w:rPr>
                <w:rFonts w:ascii="Times New Roman" w:hAnsi="Times New Roman" w:cs="Times New Roman"/>
                <w:color w:val="000000"/>
                <w:sz w:val="24"/>
                <w:szCs w:val="24"/>
              </w:rPr>
            </w:pPr>
            <w:r w:rsidRPr="00FE7E14">
              <w:rPr>
                <w:rFonts w:ascii="Times New Roman" w:hAnsi="Times New Roman" w:cs="Times New Roman"/>
                <w:color w:val="000000"/>
                <w:sz w:val="24"/>
                <w:szCs w:val="24"/>
              </w:rPr>
              <w:t xml:space="preserve">Mindy Chen-Wishart menggolongkan tiga kategori orang yang tidak berwenang melakukan perbuatan hukum, terutama untuk membuat kontrak, yang meliputi </w:t>
            </w:r>
            <w:r w:rsidRPr="00FE7E14">
              <w:rPr>
                <w:rFonts w:ascii="Times New Roman" w:hAnsi="Times New Roman" w:cs="Times New Roman"/>
                <w:i/>
                <w:iCs/>
                <w:color w:val="000000"/>
                <w:sz w:val="24"/>
                <w:szCs w:val="24"/>
              </w:rPr>
              <w:t>infancy</w:t>
            </w:r>
            <w:r w:rsidRPr="00FE7E14">
              <w:rPr>
                <w:rFonts w:ascii="Times New Roman" w:hAnsi="Times New Roman" w:cs="Times New Roman"/>
                <w:color w:val="000000"/>
                <w:sz w:val="24"/>
                <w:szCs w:val="24"/>
              </w:rPr>
              <w:t xml:space="preserve">; </w:t>
            </w:r>
            <w:r w:rsidRPr="00FE7E14">
              <w:rPr>
                <w:rFonts w:ascii="Times New Roman" w:hAnsi="Times New Roman" w:cs="Times New Roman"/>
                <w:i/>
                <w:iCs/>
                <w:color w:val="000000"/>
                <w:sz w:val="24"/>
                <w:szCs w:val="24"/>
              </w:rPr>
              <w:t xml:space="preserve">mental incapacity; and those so affected by drink or drugs as not to know what they are doing. </w:t>
            </w:r>
          </w:p>
        </w:tc>
      </w:tr>
      <w:tr w:rsidR="00FE7E14" w:rsidRPr="00FE7E14" w:rsidTr="00FE7E14">
        <w:trPr>
          <w:trHeight w:val="584"/>
        </w:trPr>
        <w:tc>
          <w:tcPr>
            <w:tcW w:w="1354" w:type="dxa"/>
            <w:hideMark/>
          </w:tcPr>
          <w:p w:rsidR="00FE7E14" w:rsidRPr="00FE7E14" w:rsidRDefault="00FE7E14" w:rsidP="00FE7E14">
            <w:pPr>
              <w:autoSpaceDE w:val="0"/>
              <w:autoSpaceDN w:val="0"/>
              <w:adjustRightInd w:val="0"/>
              <w:rPr>
                <w:rFonts w:ascii="Times New Roman" w:hAnsi="Times New Roman" w:cs="Times New Roman"/>
                <w:color w:val="000000"/>
                <w:sz w:val="24"/>
                <w:szCs w:val="24"/>
              </w:rPr>
            </w:pPr>
            <w:r w:rsidRPr="00FE7E14">
              <w:rPr>
                <w:rFonts w:ascii="Times New Roman" w:hAnsi="Times New Roman" w:cs="Times New Roman"/>
                <w:color w:val="000000"/>
                <w:sz w:val="24"/>
                <w:szCs w:val="24"/>
              </w:rPr>
              <w:t>Anak</w:t>
            </w:r>
          </w:p>
        </w:tc>
        <w:tc>
          <w:tcPr>
            <w:tcW w:w="3766" w:type="dxa"/>
            <w:hideMark/>
          </w:tcPr>
          <w:p w:rsidR="00FE7E14" w:rsidRPr="00FE7E14" w:rsidRDefault="00FE7E14" w:rsidP="00FE7E14">
            <w:pPr>
              <w:autoSpaceDE w:val="0"/>
              <w:autoSpaceDN w:val="0"/>
              <w:adjustRightInd w:val="0"/>
              <w:rPr>
                <w:rFonts w:ascii="Times New Roman" w:hAnsi="Times New Roman" w:cs="Times New Roman"/>
                <w:color w:val="000000"/>
                <w:sz w:val="24"/>
                <w:szCs w:val="24"/>
              </w:rPr>
            </w:pPr>
            <w:r w:rsidRPr="00FE7E14">
              <w:rPr>
                <w:rFonts w:ascii="Times New Roman" w:hAnsi="Times New Roman" w:cs="Times New Roman"/>
                <w:color w:val="000000"/>
                <w:sz w:val="24"/>
                <w:szCs w:val="24"/>
              </w:rPr>
              <w:t xml:space="preserve">Menurut Pasal 13 PMK No.  290 Tahun 2008 adalah telah berusia 21 (dua puluh satu) tahun atau telah/pernah menikah serta pasien telah berusia 18 tahun, tidak termasuk anak berdasarkan peraturan perundang-undangan. </w:t>
            </w:r>
          </w:p>
        </w:tc>
        <w:tc>
          <w:tcPr>
            <w:tcW w:w="4320" w:type="dxa"/>
            <w:hideMark/>
          </w:tcPr>
          <w:p w:rsidR="00FE7E14" w:rsidRPr="00FE7E14" w:rsidRDefault="00FE7E14" w:rsidP="00FE7E14">
            <w:pPr>
              <w:autoSpaceDE w:val="0"/>
              <w:autoSpaceDN w:val="0"/>
              <w:adjustRightInd w:val="0"/>
              <w:rPr>
                <w:rFonts w:ascii="Times New Roman" w:hAnsi="Times New Roman" w:cs="Times New Roman"/>
                <w:color w:val="000000"/>
                <w:sz w:val="24"/>
                <w:szCs w:val="24"/>
              </w:rPr>
            </w:pPr>
            <w:r w:rsidRPr="00FE7E14">
              <w:rPr>
                <w:rFonts w:ascii="Times New Roman" w:hAnsi="Times New Roman" w:cs="Times New Roman"/>
                <w:color w:val="000000"/>
                <w:sz w:val="24"/>
                <w:szCs w:val="24"/>
              </w:rPr>
              <w:t xml:space="preserve">Anak adalah seorang dibawah umur 18 tahun. Tetapi pada pasal 8 ayat (1) </w:t>
            </w:r>
            <w:r w:rsidRPr="00FE7E14">
              <w:rPr>
                <w:rFonts w:ascii="Times New Roman" w:hAnsi="Times New Roman" w:cs="Times New Roman"/>
                <w:i/>
                <w:iCs/>
                <w:color w:val="000000"/>
                <w:sz w:val="24"/>
                <w:szCs w:val="24"/>
              </w:rPr>
              <w:t>Family Law Reform Act</w:t>
            </w:r>
            <w:r w:rsidRPr="00FE7E14">
              <w:rPr>
                <w:rFonts w:ascii="Times New Roman" w:hAnsi="Times New Roman" w:cs="Times New Roman"/>
                <w:color w:val="000000"/>
                <w:sz w:val="24"/>
                <w:szCs w:val="24"/>
              </w:rPr>
              <w:t xml:space="preserve"> 1969 membuat sangkaan tentang pemberian persetujuan tindakan medis pada anak umur 16-18 tahun. Hal tersebut disangkal jika orang tersebut tidak dapat percaya, menyimpan dan menimbang informasi, dan berkomunikasi tentang pilihan mereka (sesuai MCA 2005). </w:t>
            </w:r>
          </w:p>
        </w:tc>
      </w:tr>
      <w:tr w:rsidR="00FE7E14" w:rsidRPr="00FE7E14" w:rsidTr="00FE7E14">
        <w:trPr>
          <w:trHeight w:val="584"/>
        </w:trPr>
        <w:tc>
          <w:tcPr>
            <w:tcW w:w="1354" w:type="dxa"/>
          </w:tcPr>
          <w:p w:rsidR="00FE7E14" w:rsidRPr="00FE7E14" w:rsidRDefault="00FE7E14" w:rsidP="00FE7E14">
            <w:pPr>
              <w:pStyle w:val="NormalWeb"/>
              <w:spacing w:before="0" w:beforeAutospacing="0" w:after="0" w:afterAutospacing="0"/>
            </w:pPr>
            <w:r w:rsidRPr="00FE7E14">
              <w:rPr>
                <w:bCs/>
                <w:kern w:val="24"/>
              </w:rPr>
              <w:t>Gangguan Jiwa</w:t>
            </w:r>
          </w:p>
        </w:tc>
        <w:tc>
          <w:tcPr>
            <w:tcW w:w="3766" w:type="dxa"/>
          </w:tcPr>
          <w:p w:rsidR="00FE7E14" w:rsidRPr="00FE7E14" w:rsidRDefault="00FE7E14" w:rsidP="00FE7E14">
            <w:pPr>
              <w:pStyle w:val="NormalWeb"/>
              <w:spacing w:before="0" w:beforeAutospacing="0" w:after="0" w:afterAutospacing="0"/>
            </w:pPr>
            <w:r w:rsidRPr="00FE7E14">
              <w:rPr>
                <w:rFonts w:eastAsiaTheme="minorEastAsia"/>
                <w:bCs/>
                <w:color w:val="000000" w:themeColor="dark1"/>
                <w:kern w:val="24"/>
              </w:rPr>
              <w:t>Orang-orang yang ditaruh di bawah pengampuan, yaitu orang-orang dewasa tapi dalam keadaan dungu, gila, mata gelap, dan pemboros (pasal 1330 KUH Perdata jo pasal 433 BW);</w:t>
            </w:r>
          </w:p>
        </w:tc>
        <w:tc>
          <w:tcPr>
            <w:tcW w:w="4320" w:type="dxa"/>
          </w:tcPr>
          <w:p w:rsidR="00FE7E14" w:rsidRPr="00FE7E14" w:rsidRDefault="00FE7E14" w:rsidP="00FE7E14">
            <w:pPr>
              <w:pStyle w:val="NormalWeb"/>
              <w:spacing w:before="0" w:beforeAutospacing="0" w:after="0" w:afterAutospacing="0"/>
            </w:pPr>
            <w:r w:rsidRPr="00FE7E14">
              <w:rPr>
                <w:rFonts w:eastAsiaTheme="minorEastAsia"/>
                <w:bCs/>
                <w:color w:val="000000" w:themeColor="dark1"/>
                <w:kern w:val="24"/>
              </w:rPr>
              <w:t xml:space="preserve">Menurut </w:t>
            </w:r>
            <w:r w:rsidRPr="00FE7E14">
              <w:rPr>
                <w:rFonts w:eastAsiaTheme="minorEastAsia"/>
                <w:bCs/>
                <w:i/>
                <w:iCs/>
                <w:color w:val="000000" w:themeColor="dark1"/>
                <w:kern w:val="24"/>
              </w:rPr>
              <w:t>Mental Capacity Act</w:t>
            </w:r>
            <w:r w:rsidRPr="00FE7E14">
              <w:rPr>
                <w:rFonts w:eastAsiaTheme="minorEastAsia"/>
                <w:bCs/>
                <w:color w:val="000000" w:themeColor="dark1"/>
                <w:kern w:val="24"/>
              </w:rPr>
              <w:t xml:space="preserve"> (MCA 2005) pada pasal 1 ayat 2 MCA 2005 bahwa setiap orang dinyatakan cakap sampai terbukti tidak cakap, pasal 2 ayat 1 MCA 2005 bahwa setiap orang yang tidak cakap jika pada saat pengambilan keputusan tidak dapat mengambil keputusan karena gangguan fungsi dari otak, Pasal 3 ayat 1 MCA 2005 bahwa seseorang dinyatakan tidak cakap jika tidak mampu membuat keputusan untuk dirinya, menahan informasi, menggunakan informasi sebagai bagian dalam membuat putusan, dan mengkomunikasikan keputusan tersebut. Seseorang seharusnya tidak menganggap seseorang tidak cakap secara hukum karena perilaku atau disabilitas (Pasal 2 ayat 3 MCA 2005</w:t>
            </w:r>
          </w:p>
        </w:tc>
      </w:tr>
      <w:tr w:rsidR="00FE7E14" w:rsidRPr="00FE7E14" w:rsidTr="00FE7E14">
        <w:trPr>
          <w:trHeight w:val="259"/>
        </w:trPr>
        <w:tc>
          <w:tcPr>
            <w:tcW w:w="9440" w:type="dxa"/>
            <w:gridSpan w:val="3"/>
          </w:tcPr>
          <w:p w:rsidR="00FE7E14" w:rsidRPr="00FE7E14" w:rsidRDefault="00FE7E14" w:rsidP="00FE7E14">
            <w:pPr>
              <w:jc w:val="center"/>
              <w:divId w:val="1624846032"/>
              <w:rPr>
                <w:rFonts w:ascii="Times New Roman" w:hAnsi="Times New Roman" w:cs="Times New Roman"/>
                <w:sz w:val="24"/>
                <w:szCs w:val="24"/>
              </w:rPr>
            </w:pPr>
            <w:r>
              <w:rPr>
                <w:rFonts w:ascii="Times New Roman" w:hAnsi="Times New Roman" w:cs="Times New Roman"/>
                <w:sz w:val="24"/>
                <w:szCs w:val="24"/>
              </w:rPr>
              <w:t>Struktur Hukum</w:t>
            </w:r>
          </w:p>
        </w:tc>
      </w:tr>
      <w:tr w:rsidR="00FE7E14" w:rsidRPr="00FE7E14" w:rsidTr="00FE7E14">
        <w:trPr>
          <w:trHeight w:val="584"/>
        </w:trPr>
        <w:tc>
          <w:tcPr>
            <w:tcW w:w="1354" w:type="dxa"/>
          </w:tcPr>
          <w:p w:rsidR="00FE7E14" w:rsidRPr="00FE7E14" w:rsidRDefault="00FE7E14" w:rsidP="00FE7E14">
            <w:pPr>
              <w:pStyle w:val="NormalWeb"/>
              <w:spacing w:before="0" w:beforeAutospacing="0" w:after="0" w:afterAutospacing="0"/>
            </w:pPr>
            <w:r>
              <w:rPr>
                <w:color w:val="000000" w:themeColor="dark1"/>
                <w:kern w:val="24"/>
              </w:rPr>
              <w:t>A</w:t>
            </w:r>
            <w:r w:rsidRPr="00FE7E14">
              <w:rPr>
                <w:color w:val="000000" w:themeColor="dark1"/>
                <w:kern w:val="24"/>
              </w:rPr>
              <w:t xml:space="preserve">lternatif </w:t>
            </w:r>
            <w:r w:rsidRPr="00FE7E14">
              <w:rPr>
                <w:i/>
                <w:color w:val="000000" w:themeColor="dark1"/>
                <w:kern w:val="24"/>
              </w:rPr>
              <w:t>Informed Consent</w:t>
            </w:r>
            <w:r w:rsidRPr="00FE7E14">
              <w:rPr>
                <w:color w:val="000000" w:themeColor="dark1"/>
                <w:kern w:val="24"/>
              </w:rPr>
              <w:t xml:space="preserve"> pada yang tidak cakap hukum</w:t>
            </w:r>
          </w:p>
        </w:tc>
        <w:tc>
          <w:tcPr>
            <w:tcW w:w="3766" w:type="dxa"/>
          </w:tcPr>
          <w:p w:rsidR="00FE7E14" w:rsidRPr="00FE7E14" w:rsidRDefault="00FE7E14" w:rsidP="00FE7E14">
            <w:pPr>
              <w:pStyle w:val="NormalWeb"/>
              <w:spacing w:before="0" w:beforeAutospacing="0" w:after="0" w:afterAutospacing="0"/>
            </w:pPr>
            <w:r w:rsidRPr="00FE7E14">
              <w:rPr>
                <w:rFonts w:eastAsiaTheme="minorEastAsia"/>
                <w:color w:val="000000" w:themeColor="dark1"/>
                <w:kern w:val="24"/>
              </w:rPr>
              <w:t>Menurut Penjelasan Pasal 45 UUPK:</w:t>
            </w:r>
          </w:p>
          <w:p w:rsidR="00FE7E14" w:rsidRPr="00FE7E14" w:rsidRDefault="00FE7E14" w:rsidP="00FE7E14">
            <w:pPr>
              <w:pStyle w:val="NormalWeb"/>
              <w:spacing w:before="0" w:beforeAutospacing="0" w:after="0" w:afterAutospacing="0"/>
            </w:pPr>
            <w:r w:rsidRPr="00FE7E14">
              <w:rPr>
                <w:rFonts w:eastAsiaTheme="minorEastAsia"/>
                <w:color w:val="000000" w:themeColor="dark1"/>
                <w:kern w:val="24"/>
              </w:rPr>
              <w:t>(1)</w:t>
            </w:r>
            <w:r w:rsidRPr="00FE7E14">
              <w:rPr>
                <w:rFonts w:eastAsiaTheme="minorEastAsia"/>
                <w:color w:val="000000" w:themeColor="dark1"/>
                <w:kern w:val="24"/>
                <w:lang w:val="id-ID"/>
              </w:rPr>
              <w:t>Keluarga terdekat antara lain: suami/isteri, ayah/ ibu kandung, anak-anak kandung, saudara- saudara kandung.</w:t>
            </w:r>
          </w:p>
          <w:p w:rsidR="00FE7E14" w:rsidRPr="00FE7E14" w:rsidRDefault="00FE7E14" w:rsidP="00FE7E14">
            <w:pPr>
              <w:pStyle w:val="NormalWeb"/>
              <w:spacing w:before="0" w:beforeAutospacing="0" w:after="0" w:afterAutospacing="0"/>
            </w:pPr>
            <w:r w:rsidRPr="00FE7E14">
              <w:rPr>
                <w:rFonts w:eastAsiaTheme="minorEastAsia"/>
                <w:color w:val="000000" w:themeColor="dark1"/>
                <w:kern w:val="24"/>
                <w:lang w:val="id-ID"/>
              </w:rPr>
              <w:t xml:space="preserve">Bila keluarga tidak ada, </w:t>
            </w:r>
          </w:p>
          <w:p w:rsidR="00FE7E14" w:rsidRPr="00FE7E14" w:rsidRDefault="00FE7E14" w:rsidP="00FE7E14">
            <w:pPr>
              <w:pStyle w:val="NormalWeb"/>
              <w:spacing w:before="0" w:beforeAutospacing="0" w:after="0" w:afterAutospacing="0"/>
            </w:pPr>
            <w:r w:rsidRPr="00FE7E14">
              <w:rPr>
                <w:rFonts w:eastAsiaTheme="minorEastAsia"/>
                <w:color w:val="000000" w:themeColor="dark1"/>
                <w:kern w:val="24"/>
              </w:rPr>
              <w:t xml:space="preserve">(2) </w:t>
            </w:r>
            <w:r w:rsidRPr="00FE7E14">
              <w:rPr>
                <w:rFonts w:eastAsiaTheme="minorEastAsia"/>
                <w:color w:val="000000" w:themeColor="dark1"/>
                <w:kern w:val="24"/>
                <w:lang w:val="id-ID"/>
              </w:rPr>
              <w:t>diberikan kepada yang mengantar pasien.</w:t>
            </w:r>
          </w:p>
          <w:p w:rsidR="00FE7E14" w:rsidRPr="00FE7E14" w:rsidRDefault="00FE7E14" w:rsidP="00FE7E14">
            <w:pPr>
              <w:pStyle w:val="NormalWeb"/>
              <w:spacing w:before="0" w:beforeAutospacing="0" w:after="0" w:afterAutospacing="0"/>
            </w:pPr>
            <w:r w:rsidRPr="00FE7E14">
              <w:rPr>
                <w:rFonts w:eastAsiaTheme="minorEastAsia"/>
                <w:color w:val="000000" w:themeColor="dark1"/>
                <w:kern w:val="24"/>
              </w:rPr>
              <w:t xml:space="preserve">(3) </w:t>
            </w:r>
            <w:r w:rsidRPr="00FE7E14">
              <w:rPr>
                <w:rFonts w:eastAsiaTheme="minorEastAsia"/>
                <w:color w:val="000000" w:themeColor="dark1"/>
                <w:kern w:val="24"/>
                <w:lang w:val="id-ID"/>
              </w:rPr>
              <w:t>Pengampu</w:t>
            </w:r>
            <w:r w:rsidRPr="00FE7E14">
              <w:rPr>
                <w:rFonts w:eastAsiaTheme="minorEastAsia"/>
                <w:i/>
                <w:iCs/>
                <w:color w:val="000000" w:themeColor="dark1"/>
                <w:kern w:val="24"/>
                <w:lang w:val="id-ID"/>
              </w:rPr>
              <w:t xml:space="preserve"> </w:t>
            </w:r>
            <w:r w:rsidRPr="00FE7E14">
              <w:rPr>
                <w:rFonts w:eastAsiaTheme="minorEastAsia"/>
                <w:i/>
                <w:iCs/>
                <w:color w:val="000000" w:themeColor="dark1"/>
                <w:kern w:val="24"/>
              </w:rPr>
              <w:t>(curator).</w:t>
            </w:r>
          </w:p>
        </w:tc>
        <w:tc>
          <w:tcPr>
            <w:tcW w:w="4320" w:type="dxa"/>
          </w:tcPr>
          <w:p w:rsidR="00FE7E14" w:rsidRPr="00FE7E14" w:rsidRDefault="00FE7E14" w:rsidP="00FE7E14">
            <w:pPr>
              <w:pStyle w:val="ListParagraph"/>
              <w:numPr>
                <w:ilvl w:val="0"/>
                <w:numId w:val="31"/>
              </w:numPr>
              <w:rPr>
                <w:rFonts w:ascii="Times New Roman" w:hAnsi="Times New Roman" w:cs="Times New Roman"/>
                <w:sz w:val="24"/>
                <w:szCs w:val="24"/>
              </w:rPr>
            </w:pPr>
            <w:r w:rsidRPr="00FE7E14">
              <w:rPr>
                <w:rFonts w:ascii="Times New Roman" w:hAnsi="Times New Roman" w:cs="Times New Roman"/>
                <w:i/>
                <w:color w:val="000000" w:themeColor="dark1"/>
                <w:kern w:val="24"/>
                <w:sz w:val="24"/>
                <w:szCs w:val="24"/>
              </w:rPr>
              <w:t>Advanced Decision</w:t>
            </w:r>
            <w:r w:rsidRPr="00FE7E14">
              <w:rPr>
                <w:rFonts w:ascii="Times New Roman" w:hAnsi="Times New Roman" w:cs="Times New Roman"/>
                <w:color w:val="000000" w:themeColor="dark1"/>
                <w:kern w:val="24"/>
                <w:sz w:val="24"/>
                <w:szCs w:val="24"/>
              </w:rPr>
              <w:t xml:space="preserve"> (pasal 24-26 MCA 2005)</w:t>
            </w:r>
          </w:p>
          <w:p w:rsidR="00FE7E14" w:rsidRPr="00FE7E14" w:rsidRDefault="00FE7E14" w:rsidP="00FE7E14">
            <w:pPr>
              <w:pStyle w:val="ListParagraph"/>
              <w:numPr>
                <w:ilvl w:val="0"/>
                <w:numId w:val="31"/>
              </w:numPr>
              <w:rPr>
                <w:rFonts w:ascii="Times New Roman" w:hAnsi="Times New Roman" w:cs="Times New Roman"/>
                <w:i/>
                <w:sz w:val="24"/>
                <w:szCs w:val="24"/>
              </w:rPr>
            </w:pPr>
            <w:r w:rsidRPr="00FE7E14">
              <w:rPr>
                <w:rFonts w:ascii="Times New Roman" w:hAnsi="Times New Roman" w:cs="Times New Roman"/>
                <w:i/>
                <w:color w:val="000000" w:themeColor="dark1"/>
                <w:kern w:val="24"/>
                <w:sz w:val="24"/>
                <w:szCs w:val="24"/>
              </w:rPr>
              <w:t>Lasting Power of Attorney</w:t>
            </w:r>
          </w:p>
          <w:p w:rsidR="00FE7E14" w:rsidRPr="00FE7E14" w:rsidRDefault="00FE7E14" w:rsidP="00FE7E14">
            <w:pPr>
              <w:pStyle w:val="ListParagraph"/>
              <w:numPr>
                <w:ilvl w:val="0"/>
                <w:numId w:val="31"/>
              </w:numPr>
              <w:rPr>
                <w:rFonts w:ascii="Times New Roman" w:hAnsi="Times New Roman" w:cs="Times New Roman"/>
                <w:sz w:val="24"/>
                <w:szCs w:val="24"/>
              </w:rPr>
            </w:pPr>
            <w:r w:rsidRPr="00FE7E14">
              <w:rPr>
                <w:rFonts w:ascii="Times New Roman" w:hAnsi="Times New Roman" w:cs="Times New Roman"/>
                <w:color w:val="000000" w:themeColor="dark1"/>
                <w:kern w:val="24"/>
                <w:sz w:val="24"/>
                <w:szCs w:val="24"/>
              </w:rPr>
              <w:t>Deputi (Pasal 16 MCA 2005)</w:t>
            </w:r>
          </w:p>
          <w:p w:rsidR="00FE7E14" w:rsidRPr="00FE7E14" w:rsidRDefault="00FE7E14" w:rsidP="00FE7E14">
            <w:pPr>
              <w:pStyle w:val="ListParagraph"/>
              <w:numPr>
                <w:ilvl w:val="0"/>
                <w:numId w:val="31"/>
              </w:numPr>
              <w:rPr>
                <w:rFonts w:ascii="Times New Roman" w:hAnsi="Times New Roman" w:cs="Times New Roman"/>
                <w:sz w:val="24"/>
                <w:szCs w:val="24"/>
              </w:rPr>
            </w:pPr>
            <w:r w:rsidRPr="00FE7E14">
              <w:rPr>
                <w:rFonts w:ascii="Times New Roman" w:hAnsi="Times New Roman" w:cs="Times New Roman"/>
                <w:color w:val="000000" w:themeColor="dark1"/>
                <w:kern w:val="24"/>
                <w:sz w:val="24"/>
                <w:szCs w:val="24"/>
              </w:rPr>
              <w:t>Keputusan Pengadilan (Pasal 4 MCA 2005)</w:t>
            </w:r>
          </w:p>
          <w:p w:rsidR="00FE7E14" w:rsidRPr="00FE7E14" w:rsidRDefault="00FE7E14" w:rsidP="00FE7E14">
            <w:pPr>
              <w:pStyle w:val="ListParagraph"/>
              <w:numPr>
                <w:ilvl w:val="0"/>
                <w:numId w:val="31"/>
              </w:numPr>
              <w:rPr>
                <w:rFonts w:ascii="Times New Roman" w:hAnsi="Times New Roman" w:cs="Times New Roman"/>
                <w:sz w:val="24"/>
                <w:szCs w:val="24"/>
              </w:rPr>
            </w:pPr>
            <w:r w:rsidRPr="00FE7E14">
              <w:rPr>
                <w:rFonts w:ascii="Times New Roman" w:hAnsi="Times New Roman" w:cs="Times New Roman"/>
                <w:color w:val="000000" w:themeColor="dark1"/>
                <w:kern w:val="24"/>
                <w:sz w:val="24"/>
                <w:szCs w:val="24"/>
              </w:rPr>
              <w:t>IMCA (Pasal 35 MCA 2005)</w:t>
            </w:r>
          </w:p>
        </w:tc>
      </w:tr>
    </w:tbl>
    <w:p w:rsidR="00FE7E14" w:rsidRDefault="00FE7E14" w:rsidP="00FE7E14">
      <w:pPr>
        <w:autoSpaceDE w:val="0"/>
        <w:autoSpaceDN w:val="0"/>
        <w:adjustRightInd w:val="0"/>
        <w:spacing w:after="0" w:line="480" w:lineRule="auto"/>
        <w:rPr>
          <w:rFonts w:ascii="Times New Roman" w:hAnsi="Times New Roman" w:cs="Times New Roman"/>
          <w:b/>
          <w:color w:val="000000"/>
          <w:sz w:val="24"/>
          <w:szCs w:val="24"/>
        </w:rPr>
      </w:pPr>
    </w:p>
    <w:p w:rsidR="00EE64F9" w:rsidRDefault="00EE64F9" w:rsidP="00A57A27">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A57A27" w:rsidRPr="00635DE1" w:rsidRDefault="00A57A27" w:rsidP="004502A2">
      <w:pPr>
        <w:autoSpaceDE w:val="0"/>
        <w:autoSpaceDN w:val="0"/>
        <w:adjustRightInd w:val="0"/>
        <w:spacing w:after="0" w:line="240" w:lineRule="auto"/>
        <w:jc w:val="both"/>
        <w:rPr>
          <w:rFonts w:ascii="Times New Roman" w:hAnsi="Times New Roman" w:cs="Times New Roman"/>
          <w:b/>
          <w:color w:val="000000"/>
          <w:sz w:val="24"/>
          <w:szCs w:val="24"/>
        </w:rPr>
      </w:pPr>
      <w:r w:rsidRPr="00635DE1">
        <w:rPr>
          <w:rFonts w:ascii="Times New Roman" w:hAnsi="Times New Roman" w:cs="Times New Roman"/>
          <w:b/>
          <w:color w:val="000000"/>
          <w:sz w:val="24"/>
          <w:szCs w:val="24"/>
        </w:rPr>
        <w:t>DAFTAR PUSTAKA</w:t>
      </w:r>
    </w:p>
    <w:p w:rsidR="00635DE1" w:rsidRDefault="00635DE1" w:rsidP="004502A2">
      <w:pPr>
        <w:spacing w:after="0" w:line="240" w:lineRule="auto"/>
        <w:ind w:left="720" w:hanging="720"/>
        <w:jc w:val="both"/>
        <w:rPr>
          <w:rFonts w:ascii="Times New Roman" w:hAnsi="Times New Roman" w:cs="Times New Roman"/>
          <w:sz w:val="24"/>
          <w:szCs w:val="24"/>
        </w:rPr>
        <w:sectPr w:rsidR="00635DE1" w:rsidSect="00470D59">
          <w:type w:val="continuous"/>
          <w:pgSz w:w="12240" w:h="15840"/>
          <w:pgMar w:top="1440" w:right="1440" w:bottom="1440" w:left="1440" w:header="720" w:footer="720" w:gutter="0"/>
          <w:cols w:space="720"/>
          <w:docGrid w:linePitch="360"/>
        </w:sectPr>
      </w:pPr>
    </w:p>
    <w:p w:rsidR="00BD099A" w:rsidRPr="00F91A87" w:rsidRDefault="00BD099A" w:rsidP="004502A2">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Buku dan literatur</w:t>
      </w:r>
    </w:p>
    <w:p w:rsidR="00BD099A" w:rsidRPr="004502A2" w:rsidRDefault="00BD099A" w:rsidP="004502A2">
      <w:pPr>
        <w:pStyle w:val="dapus"/>
        <w:spacing w:line="240" w:lineRule="auto"/>
      </w:pPr>
      <w:r w:rsidRPr="004502A2">
        <w:t xml:space="preserve">Amiruddin, Zainal Asikin, </w:t>
      </w:r>
      <w:r w:rsidRPr="004502A2">
        <w:rPr>
          <w:i/>
        </w:rPr>
        <w:t>Pengantar Metode Penelitian Hukum</w:t>
      </w:r>
      <w:r w:rsidRPr="004502A2">
        <w:t>, Rajagrafindo Persada, Jakarta, 2016.</w:t>
      </w:r>
    </w:p>
    <w:p w:rsidR="00BD099A" w:rsidRPr="004502A2" w:rsidRDefault="00BD099A" w:rsidP="004502A2">
      <w:pPr>
        <w:pStyle w:val="dapus"/>
        <w:spacing w:line="240" w:lineRule="auto"/>
      </w:pPr>
      <w:r w:rsidRPr="004502A2">
        <w:t xml:space="preserve">C.B. Kusmaryanto, </w:t>
      </w:r>
      <w:r w:rsidRPr="004502A2">
        <w:rPr>
          <w:i/>
        </w:rPr>
        <w:t>Bioetika</w:t>
      </w:r>
      <w:r w:rsidRPr="004502A2">
        <w:t>, Penerbit Buku Kompas, Jakarta, 2015.</w:t>
      </w:r>
    </w:p>
    <w:p w:rsidR="00BD099A" w:rsidRPr="004502A2" w:rsidRDefault="00BD099A" w:rsidP="004502A2">
      <w:pPr>
        <w:pStyle w:val="dapus"/>
        <w:spacing w:line="240" w:lineRule="auto"/>
      </w:pPr>
      <w:r w:rsidRPr="004502A2">
        <w:t xml:space="preserve">Chrisdiono M. Achadiat, </w:t>
      </w:r>
      <w:r w:rsidRPr="004502A2">
        <w:rPr>
          <w:i/>
        </w:rPr>
        <w:t>Dinamika Etika dan Hukum Kedokteran</w:t>
      </w:r>
      <w:r w:rsidRPr="004502A2">
        <w:t>, Penerbit Buku Kedokteran EGC, Jakarta, 2004.</w:t>
      </w:r>
    </w:p>
    <w:p w:rsidR="00BD099A" w:rsidRPr="004502A2" w:rsidRDefault="00BD099A" w:rsidP="004502A2">
      <w:pPr>
        <w:pStyle w:val="dapus"/>
        <w:spacing w:line="240" w:lineRule="auto"/>
      </w:pPr>
      <w:r w:rsidRPr="004502A2">
        <w:t xml:space="preserve">Claudia Carr, </w:t>
      </w:r>
      <w:r w:rsidRPr="004502A2">
        <w:rPr>
          <w:i/>
        </w:rPr>
        <w:t>Unlocking Medical Law and Ethics</w:t>
      </w:r>
      <w:r w:rsidRPr="004502A2">
        <w:t>,Routledge,New York, 2015.</w:t>
      </w:r>
    </w:p>
    <w:p w:rsidR="00BD099A" w:rsidRPr="004502A2" w:rsidRDefault="00BD099A" w:rsidP="004502A2">
      <w:pPr>
        <w:spacing w:after="0" w:line="240" w:lineRule="auto"/>
        <w:ind w:left="720" w:hanging="720"/>
        <w:jc w:val="both"/>
        <w:rPr>
          <w:rFonts w:ascii="Times New Roman" w:hAnsi="Times New Roman" w:cs="Times New Roman"/>
          <w:sz w:val="24"/>
          <w:szCs w:val="24"/>
        </w:rPr>
      </w:pPr>
      <w:r w:rsidRPr="004502A2">
        <w:rPr>
          <w:rFonts w:ascii="Times New Roman" w:hAnsi="Times New Roman" w:cs="Times New Roman"/>
          <w:sz w:val="24"/>
          <w:szCs w:val="24"/>
        </w:rPr>
        <w:t xml:space="preserve">Gloria Gomgom Yosephine, </w:t>
      </w:r>
      <w:r w:rsidRPr="004502A2">
        <w:rPr>
          <w:rFonts w:ascii="Times New Roman" w:hAnsi="Times New Roman" w:cs="Times New Roman"/>
          <w:i/>
          <w:sz w:val="24"/>
          <w:szCs w:val="24"/>
        </w:rPr>
        <w:t>Pelaksanaan Persetujuan Tindakan Kedokteran di RSUP Dr. M. Djamil Padang</w:t>
      </w:r>
      <w:r w:rsidRPr="004502A2">
        <w:rPr>
          <w:rFonts w:ascii="Times New Roman" w:hAnsi="Times New Roman" w:cs="Times New Roman"/>
          <w:sz w:val="24"/>
          <w:szCs w:val="24"/>
        </w:rPr>
        <w:t>, Fakultas Hukum Universitas Andalas, Padang, 2011.</w:t>
      </w:r>
    </w:p>
    <w:p w:rsidR="00BD099A" w:rsidRPr="004502A2" w:rsidRDefault="00BD099A" w:rsidP="004502A2">
      <w:pPr>
        <w:pStyle w:val="dapus"/>
        <w:spacing w:line="240" w:lineRule="auto"/>
      </w:pPr>
      <w:r w:rsidRPr="004502A2">
        <w:t xml:space="preserve">I Ketut Oka Setiawan, </w:t>
      </w:r>
      <w:r w:rsidRPr="004502A2">
        <w:rPr>
          <w:i/>
        </w:rPr>
        <w:t>Hukum Perikatan</w:t>
      </w:r>
      <w:r w:rsidRPr="004502A2">
        <w:t>, Sinar Grafika, Jakarta, 2015.</w:t>
      </w:r>
    </w:p>
    <w:p w:rsidR="004502A2" w:rsidRPr="004502A2" w:rsidRDefault="004502A2" w:rsidP="004502A2">
      <w:pPr>
        <w:spacing w:after="0" w:line="240" w:lineRule="auto"/>
        <w:ind w:left="720" w:hanging="720"/>
        <w:jc w:val="both"/>
        <w:rPr>
          <w:rFonts w:ascii="Times New Roman" w:hAnsi="Times New Roman" w:cs="Times New Roman"/>
          <w:color w:val="333333"/>
          <w:sz w:val="24"/>
          <w:szCs w:val="24"/>
          <w:shd w:val="clear" w:color="auto" w:fill="FFFFFF"/>
        </w:rPr>
      </w:pPr>
      <w:r w:rsidRPr="004502A2">
        <w:rPr>
          <w:rFonts w:ascii="Times New Roman" w:hAnsi="Times New Roman" w:cs="Times New Roman"/>
          <w:color w:val="333333"/>
          <w:sz w:val="24"/>
          <w:szCs w:val="24"/>
          <w:shd w:val="clear" w:color="auto" w:fill="FFFFFF"/>
        </w:rPr>
        <w:t xml:space="preserve">Jonathan Herring, </w:t>
      </w:r>
      <w:r w:rsidRPr="004502A2">
        <w:rPr>
          <w:rFonts w:ascii="Times New Roman" w:hAnsi="Times New Roman" w:cs="Times New Roman"/>
          <w:i/>
          <w:color w:val="333333"/>
          <w:sz w:val="24"/>
          <w:szCs w:val="24"/>
          <w:shd w:val="clear" w:color="auto" w:fill="FFFFFF"/>
        </w:rPr>
        <w:t>Medical Law and Ethics 6th ed</w:t>
      </w:r>
      <w:r w:rsidRPr="004502A2">
        <w:rPr>
          <w:rFonts w:ascii="Times New Roman" w:hAnsi="Times New Roman" w:cs="Times New Roman"/>
          <w:color w:val="333333"/>
          <w:sz w:val="24"/>
          <w:szCs w:val="24"/>
          <w:shd w:val="clear" w:color="auto" w:fill="FFFFFF"/>
        </w:rPr>
        <w:t>., Oxford University Press, Oxford, 2016</w:t>
      </w:r>
    </w:p>
    <w:p w:rsidR="00BD099A" w:rsidRPr="004502A2" w:rsidRDefault="00BD099A" w:rsidP="004502A2">
      <w:pPr>
        <w:pStyle w:val="dapus"/>
        <w:spacing w:line="240" w:lineRule="auto"/>
      </w:pPr>
      <w:r w:rsidRPr="004502A2">
        <w:t xml:space="preserve">Jo Samanta, Ash Samanta, </w:t>
      </w:r>
      <w:r w:rsidRPr="004502A2">
        <w:rPr>
          <w:i/>
        </w:rPr>
        <w:t>Concentrate Medical Law</w:t>
      </w:r>
      <w:r w:rsidRPr="004502A2">
        <w:t>, Oxford University Press, New York, 2014</w:t>
      </w:r>
    </w:p>
    <w:p w:rsidR="00BD099A" w:rsidRPr="004502A2" w:rsidRDefault="00BD099A" w:rsidP="004502A2">
      <w:pPr>
        <w:spacing w:after="0" w:line="240" w:lineRule="auto"/>
        <w:ind w:left="720" w:hanging="720"/>
        <w:jc w:val="both"/>
        <w:rPr>
          <w:rFonts w:ascii="Times New Roman" w:hAnsi="Times New Roman" w:cs="Times New Roman"/>
          <w:sz w:val="24"/>
          <w:szCs w:val="24"/>
        </w:rPr>
      </w:pPr>
      <w:r w:rsidRPr="004502A2">
        <w:rPr>
          <w:rFonts w:ascii="Times New Roman" w:hAnsi="Times New Roman" w:cs="Times New Roman"/>
          <w:sz w:val="24"/>
          <w:szCs w:val="24"/>
        </w:rPr>
        <w:t xml:space="preserve">Juariah, </w:t>
      </w:r>
      <w:r w:rsidRPr="004502A2">
        <w:rPr>
          <w:rFonts w:ascii="Times New Roman" w:hAnsi="Times New Roman" w:cs="Times New Roman"/>
          <w:i/>
          <w:sz w:val="24"/>
          <w:szCs w:val="24"/>
        </w:rPr>
        <w:t>Pemenuhan Hak Konsumen di Institusi Kesehatan</w:t>
      </w:r>
      <w:r w:rsidRPr="004502A2">
        <w:rPr>
          <w:rFonts w:ascii="Times New Roman" w:hAnsi="Times New Roman" w:cs="Times New Roman"/>
          <w:sz w:val="24"/>
          <w:szCs w:val="24"/>
        </w:rPr>
        <w:t>, Jurnal Kesehatan Masyarakat Nasional, Vol. 3, No.6, Tahun 2009.</w:t>
      </w:r>
    </w:p>
    <w:p w:rsidR="00BD099A" w:rsidRPr="004502A2" w:rsidRDefault="00BD099A" w:rsidP="004502A2">
      <w:pPr>
        <w:pStyle w:val="dapus"/>
        <w:spacing w:line="240" w:lineRule="auto"/>
      </w:pPr>
      <w:r w:rsidRPr="004502A2">
        <w:t xml:space="preserve">Konsil Kedokteran Indonesia, </w:t>
      </w:r>
      <w:r w:rsidRPr="004502A2">
        <w:rPr>
          <w:i/>
        </w:rPr>
        <w:t>Manual Persetujuan Tindakan Kedokteran</w:t>
      </w:r>
      <w:r w:rsidRPr="004502A2">
        <w:t>, Jakarta, Konsil Kedokteran Indonesia, 2006.</w:t>
      </w:r>
    </w:p>
    <w:p w:rsidR="00BD099A" w:rsidRPr="004502A2" w:rsidRDefault="00BD099A" w:rsidP="004502A2">
      <w:pPr>
        <w:pStyle w:val="dapus"/>
        <w:spacing w:line="240" w:lineRule="auto"/>
      </w:pPr>
      <w:r w:rsidRPr="004502A2">
        <w:t xml:space="preserve">Lili Rasjidi, Liza Sonia Rasjidi, </w:t>
      </w:r>
      <w:r w:rsidRPr="004502A2">
        <w:rPr>
          <w:i/>
        </w:rPr>
        <w:t>Monograf : Filsafat Ilmu, Metode Penelitian, dan Karya Tulis Ilmiah Hukum</w:t>
      </w:r>
      <w:r w:rsidRPr="004502A2">
        <w:t>, t.p., t.k., t.th.</w:t>
      </w:r>
    </w:p>
    <w:p w:rsidR="00BD099A" w:rsidRPr="004502A2" w:rsidRDefault="00BD099A" w:rsidP="004502A2">
      <w:pPr>
        <w:pStyle w:val="dapus"/>
        <w:spacing w:line="240" w:lineRule="auto"/>
      </w:pPr>
      <w:r w:rsidRPr="004502A2">
        <w:t xml:space="preserve">Lili Rasjidi, </w:t>
      </w:r>
      <w:r w:rsidRPr="004502A2">
        <w:rPr>
          <w:i/>
        </w:rPr>
        <w:t>Menggnakan Teori/Konsep Dalam Analisis Di Bidang Ilmu Hukum</w:t>
      </w:r>
      <w:r w:rsidRPr="004502A2">
        <w:t>, t.p.,t.k.,2007.</w:t>
      </w:r>
    </w:p>
    <w:p w:rsidR="00BD099A" w:rsidRPr="004502A2" w:rsidRDefault="00BD099A" w:rsidP="004502A2">
      <w:pPr>
        <w:spacing w:after="0" w:line="240" w:lineRule="auto"/>
        <w:ind w:left="720" w:hanging="720"/>
        <w:jc w:val="both"/>
        <w:rPr>
          <w:rFonts w:ascii="Times New Roman" w:hAnsi="Times New Roman" w:cs="Times New Roman"/>
          <w:iCs/>
          <w:sz w:val="24"/>
          <w:szCs w:val="24"/>
        </w:rPr>
      </w:pPr>
      <w:r w:rsidRPr="004502A2">
        <w:rPr>
          <w:rFonts w:ascii="Times New Roman" w:hAnsi="Times New Roman" w:cs="Times New Roman"/>
          <w:sz w:val="24"/>
          <w:szCs w:val="24"/>
        </w:rPr>
        <w:t xml:space="preserve">Murray Earle, </w:t>
      </w:r>
      <w:r w:rsidRPr="004502A2">
        <w:rPr>
          <w:rFonts w:ascii="Times New Roman" w:hAnsi="Times New Roman" w:cs="Times New Roman"/>
          <w:bCs/>
          <w:i/>
          <w:sz w:val="24"/>
          <w:szCs w:val="24"/>
        </w:rPr>
        <w:t xml:space="preserve">The Future of Informed Consent in British Common Law, </w:t>
      </w:r>
      <w:r w:rsidRPr="004502A2">
        <w:rPr>
          <w:rFonts w:ascii="Times New Roman" w:hAnsi="Times New Roman" w:cs="Times New Roman"/>
          <w:i/>
          <w:iCs/>
          <w:sz w:val="24"/>
          <w:szCs w:val="24"/>
        </w:rPr>
        <w:t xml:space="preserve">European Journal of Health Law, </w:t>
      </w:r>
      <w:r w:rsidRPr="004502A2">
        <w:rPr>
          <w:rFonts w:ascii="Times New Roman" w:hAnsi="Times New Roman" w:cs="Times New Roman"/>
          <w:iCs/>
          <w:sz w:val="24"/>
          <w:szCs w:val="24"/>
        </w:rPr>
        <w:t>Volume 6, Tahun 1999</w:t>
      </w:r>
    </w:p>
    <w:p w:rsidR="00BD099A" w:rsidRPr="004502A2" w:rsidRDefault="00BD099A" w:rsidP="004502A2">
      <w:pPr>
        <w:pStyle w:val="dapus"/>
        <w:spacing w:line="240" w:lineRule="auto"/>
      </w:pPr>
      <w:r w:rsidRPr="004502A2">
        <w:t xml:space="preserve">R. Soeroso, </w:t>
      </w:r>
      <w:r w:rsidRPr="004502A2">
        <w:rPr>
          <w:i/>
        </w:rPr>
        <w:t>Perbandingan Hukum Perdata,</w:t>
      </w:r>
      <w:r w:rsidRPr="004502A2">
        <w:t>. Sinar Grafika, Jakarta , 2014.</w:t>
      </w:r>
    </w:p>
    <w:p w:rsidR="00BD099A" w:rsidRPr="004502A2" w:rsidRDefault="00BD099A" w:rsidP="004502A2">
      <w:pPr>
        <w:spacing w:after="0" w:line="240" w:lineRule="auto"/>
        <w:ind w:left="720" w:hanging="720"/>
        <w:jc w:val="both"/>
        <w:rPr>
          <w:rFonts w:ascii="Times New Roman" w:hAnsi="Times New Roman" w:cs="Times New Roman"/>
          <w:sz w:val="24"/>
          <w:szCs w:val="24"/>
        </w:rPr>
      </w:pPr>
      <w:r w:rsidRPr="004502A2">
        <w:rPr>
          <w:rFonts w:ascii="Times New Roman" w:hAnsi="Times New Roman" w:cs="Times New Roman"/>
          <w:sz w:val="24"/>
          <w:szCs w:val="24"/>
        </w:rPr>
        <w:t xml:space="preserve">Salim HS, Erlies Septiana Nurbani, </w:t>
      </w:r>
      <w:r w:rsidRPr="004502A2">
        <w:rPr>
          <w:rFonts w:ascii="Times New Roman" w:hAnsi="Times New Roman" w:cs="Times New Roman"/>
          <w:i/>
          <w:sz w:val="24"/>
          <w:szCs w:val="24"/>
        </w:rPr>
        <w:t>Penerapan Teori Hukum Pada Tesis dan Disertasi Buku Kesatu</w:t>
      </w:r>
      <w:r w:rsidRPr="004502A2">
        <w:rPr>
          <w:rFonts w:ascii="Times New Roman" w:hAnsi="Times New Roman" w:cs="Times New Roman"/>
          <w:sz w:val="24"/>
          <w:szCs w:val="24"/>
        </w:rPr>
        <w:t>, RajaGrafindo Persada, Jakarta, 2013.</w:t>
      </w:r>
    </w:p>
    <w:p w:rsidR="00BD099A" w:rsidRPr="004502A2" w:rsidRDefault="00BD099A" w:rsidP="004502A2">
      <w:pPr>
        <w:pStyle w:val="dapus"/>
        <w:spacing w:line="240" w:lineRule="auto"/>
      </w:pPr>
      <w:r w:rsidRPr="004502A2">
        <w:t xml:space="preserve">Soerjono Soekanto, </w:t>
      </w:r>
      <w:r w:rsidRPr="004502A2">
        <w:rPr>
          <w:i/>
        </w:rPr>
        <w:t>Pengantar Penelitian Hukum</w:t>
      </w:r>
      <w:r w:rsidRPr="004502A2">
        <w:t xml:space="preserve">, Penerbit Universitas Indonesia (UI-Press), Jakarta, 2006. </w:t>
      </w:r>
    </w:p>
    <w:p w:rsidR="00BD099A" w:rsidRPr="004502A2" w:rsidRDefault="00BD099A" w:rsidP="004502A2">
      <w:pPr>
        <w:spacing w:after="0" w:line="240" w:lineRule="auto"/>
        <w:ind w:left="720" w:hanging="720"/>
        <w:jc w:val="both"/>
        <w:rPr>
          <w:rFonts w:ascii="Times New Roman" w:hAnsi="Times New Roman" w:cs="Times New Roman"/>
          <w:sz w:val="24"/>
          <w:szCs w:val="24"/>
        </w:rPr>
      </w:pPr>
      <w:r w:rsidRPr="004502A2">
        <w:rPr>
          <w:rFonts w:ascii="Times New Roman" w:hAnsi="Times New Roman" w:cs="Times New Roman"/>
          <w:sz w:val="24"/>
          <w:szCs w:val="24"/>
        </w:rPr>
        <w:t xml:space="preserve">Sunaryati Hartono, </w:t>
      </w:r>
      <w:r w:rsidRPr="004502A2">
        <w:rPr>
          <w:rFonts w:ascii="Times New Roman" w:hAnsi="Times New Roman" w:cs="Times New Roman"/>
          <w:i/>
          <w:sz w:val="24"/>
          <w:szCs w:val="24"/>
        </w:rPr>
        <w:t>Kapita Selekta Perbandingan Hukum</w:t>
      </w:r>
      <w:r w:rsidRPr="004502A2">
        <w:rPr>
          <w:rFonts w:ascii="Times New Roman" w:hAnsi="Times New Roman" w:cs="Times New Roman"/>
          <w:sz w:val="24"/>
          <w:szCs w:val="24"/>
        </w:rPr>
        <w:t>, Citra Aditya Bakti, Bandung, 1991</w:t>
      </w:r>
    </w:p>
    <w:p w:rsidR="00BD099A" w:rsidRPr="004502A2" w:rsidRDefault="00BD099A" w:rsidP="004502A2">
      <w:pPr>
        <w:spacing w:after="0" w:line="240" w:lineRule="auto"/>
        <w:ind w:left="720" w:hanging="720"/>
        <w:jc w:val="both"/>
        <w:rPr>
          <w:rFonts w:ascii="Times New Roman" w:hAnsi="Times New Roman" w:cs="Times New Roman"/>
          <w:sz w:val="24"/>
          <w:szCs w:val="24"/>
        </w:rPr>
      </w:pPr>
      <w:r w:rsidRPr="004502A2">
        <w:rPr>
          <w:rFonts w:ascii="Times New Roman" w:hAnsi="Times New Roman" w:cs="Times New Roman"/>
          <w:sz w:val="24"/>
          <w:szCs w:val="24"/>
        </w:rPr>
        <w:t xml:space="preserve">Titiek Soelistyowatie,  </w:t>
      </w:r>
      <w:r w:rsidRPr="004502A2">
        <w:rPr>
          <w:rFonts w:ascii="Times New Roman" w:hAnsi="Times New Roman" w:cs="Times New Roman"/>
          <w:i/>
          <w:sz w:val="24"/>
          <w:szCs w:val="24"/>
        </w:rPr>
        <w:t>Penerapan Hukum informed Consent Terhadap Pelayanan Keluarga Berencana di RS. Tugurejo Semarang</w:t>
      </w:r>
      <w:r w:rsidRPr="004502A2">
        <w:rPr>
          <w:rFonts w:ascii="Times New Roman" w:hAnsi="Times New Roman" w:cs="Times New Roman"/>
          <w:sz w:val="24"/>
          <w:szCs w:val="24"/>
        </w:rPr>
        <w:t>, Jurnal Dinamika Kebidanan, Volume 1, No.1, Tahun 2011</w:t>
      </w:r>
    </w:p>
    <w:p w:rsidR="00BD099A" w:rsidRPr="004502A2" w:rsidRDefault="00BD099A" w:rsidP="004502A2">
      <w:pPr>
        <w:spacing w:after="0" w:line="240" w:lineRule="auto"/>
        <w:ind w:left="720" w:hanging="720"/>
        <w:jc w:val="both"/>
        <w:rPr>
          <w:rFonts w:ascii="Times New Roman" w:hAnsi="Times New Roman" w:cs="Times New Roman"/>
          <w:sz w:val="24"/>
          <w:szCs w:val="24"/>
        </w:rPr>
      </w:pPr>
      <w:r w:rsidRPr="004502A2">
        <w:rPr>
          <w:rFonts w:ascii="Times New Roman" w:hAnsi="Times New Roman" w:cs="Times New Roman"/>
          <w:sz w:val="24"/>
          <w:szCs w:val="24"/>
        </w:rPr>
        <w:t xml:space="preserve">Wirjono Prodjodikoro, </w:t>
      </w:r>
      <w:r w:rsidRPr="004502A2">
        <w:rPr>
          <w:rFonts w:ascii="Times New Roman" w:hAnsi="Times New Roman" w:cs="Times New Roman"/>
          <w:i/>
          <w:sz w:val="24"/>
          <w:szCs w:val="24"/>
        </w:rPr>
        <w:t>Azas-Azas Hukum Perjanjian</w:t>
      </w:r>
      <w:r w:rsidRPr="004502A2">
        <w:rPr>
          <w:rFonts w:ascii="Times New Roman" w:hAnsi="Times New Roman" w:cs="Times New Roman"/>
          <w:sz w:val="24"/>
          <w:szCs w:val="24"/>
        </w:rPr>
        <w:t>, Mandar Maju, Bandung, 2011</w:t>
      </w:r>
    </w:p>
    <w:p w:rsidR="00BD099A" w:rsidRPr="004502A2" w:rsidRDefault="00BD099A" w:rsidP="004502A2">
      <w:pPr>
        <w:spacing w:after="0" w:line="240" w:lineRule="auto"/>
        <w:ind w:left="720" w:hanging="720"/>
        <w:jc w:val="both"/>
        <w:rPr>
          <w:rFonts w:ascii="Times New Roman" w:hAnsi="Times New Roman" w:cs="Times New Roman"/>
          <w:sz w:val="24"/>
          <w:szCs w:val="24"/>
        </w:rPr>
      </w:pPr>
    </w:p>
    <w:p w:rsidR="00BD099A" w:rsidRPr="004502A2" w:rsidRDefault="00BD099A" w:rsidP="004502A2">
      <w:pPr>
        <w:spacing w:after="0" w:line="240" w:lineRule="auto"/>
        <w:ind w:left="720" w:hanging="720"/>
        <w:jc w:val="both"/>
        <w:rPr>
          <w:rFonts w:ascii="Times New Roman" w:hAnsi="Times New Roman" w:cs="Times New Roman"/>
          <w:b/>
          <w:sz w:val="24"/>
          <w:szCs w:val="24"/>
        </w:rPr>
      </w:pPr>
      <w:r w:rsidRPr="004502A2">
        <w:rPr>
          <w:rFonts w:ascii="Times New Roman" w:hAnsi="Times New Roman" w:cs="Times New Roman"/>
          <w:b/>
          <w:sz w:val="24"/>
          <w:szCs w:val="24"/>
        </w:rPr>
        <w:t>Peraturan perundang-undangan</w:t>
      </w:r>
    </w:p>
    <w:p w:rsidR="00BD099A" w:rsidRPr="004502A2" w:rsidRDefault="00BD099A" w:rsidP="004502A2">
      <w:pPr>
        <w:spacing w:after="0" w:line="240" w:lineRule="auto"/>
        <w:ind w:left="720" w:hanging="720"/>
        <w:jc w:val="both"/>
        <w:rPr>
          <w:rFonts w:ascii="Times New Roman" w:hAnsi="Times New Roman" w:cs="Times New Roman"/>
          <w:sz w:val="24"/>
          <w:szCs w:val="24"/>
        </w:rPr>
      </w:pPr>
      <w:r w:rsidRPr="004502A2">
        <w:rPr>
          <w:rFonts w:ascii="Times New Roman" w:hAnsi="Times New Roman" w:cs="Times New Roman"/>
          <w:sz w:val="24"/>
          <w:szCs w:val="24"/>
        </w:rPr>
        <w:t xml:space="preserve">Undang-Undang Nomor 29 Tahun 2004 tentang </w:t>
      </w:r>
      <w:r w:rsidRPr="004502A2">
        <w:rPr>
          <w:rFonts w:ascii="Times New Roman" w:hAnsi="Times New Roman" w:cs="Times New Roman"/>
          <w:i/>
          <w:sz w:val="24"/>
          <w:szCs w:val="24"/>
        </w:rPr>
        <w:t>Praktik Kedokteran</w:t>
      </w:r>
      <w:r w:rsidRPr="004502A2">
        <w:rPr>
          <w:rFonts w:ascii="Times New Roman" w:hAnsi="Times New Roman" w:cs="Times New Roman"/>
          <w:sz w:val="24"/>
          <w:szCs w:val="24"/>
        </w:rPr>
        <w:t>, Dunia Cerdas, Jakarta, 2013.</w:t>
      </w:r>
    </w:p>
    <w:p w:rsidR="00BD099A" w:rsidRPr="004502A2" w:rsidRDefault="00BD099A" w:rsidP="004502A2">
      <w:pPr>
        <w:spacing w:after="0" w:line="240" w:lineRule="auto"/>
        <w:ind w:left="720" w:hanging="720"/>
        <w:jc w:val="both"/>
        <w:rPr>
          <w:rFonts w:ascii="Times New Roman" w:hAnsi="Times New Roman" w:cs="Times New Roman"/>
          <w:sz w:val="24"/>
          <w:szCs w:val="24"/>
        </w:rPr>
      </w:pPr>
      <w:r w:rsidRPr="004502A2">
        <w:rPr>
          <w:rFonts w:ascii="Times New Roman" w:hAnsi="Times New Roman" w:cs="Times New Roman"/>
          <w:sz w:val="24"/>
          <w:szCs w:val="24"/>
        </w:rPr>
        <w:t xml:space="preserve">Undang-Undang Nomor 36 Tahun 2009 tentang </w:t>
      </w:r>
      <w:r w:rsidRPr="004502A2">
        <w:rPr>
          <w:rFonts w:ascii="Times New Roman" w:hAnsi="Times New Roman" w:cs="Times New Roman"/>
          <w:i/>
          <w:sz w:val="24"/>
          <w:szCs w:val="24"/>
        </w:rPr>
        <w:t>Kesehatan</w:t>
      </w:r>
      <w:r w:rsidRPr="004502A2">
        <w:rPr>
          <w:rFonts w:ascii="Times New Roman" w:hAnsi="Times New Roman" w:cs="Times New Roman"/>
          <w:sz w:val="24"/>
          <w:szCs w:val="24"/>
        </w:rPr>
        <w:t>, Citra Umbara, Bandung, 2012</w:t>
      </w:r>
    </w:p>
    <w:p w:rsidR="00BD099A" w:rsidRPr="004502A2" w:rsidRDefault="00BD099A" w:rsidP="004502A2">
      <w:pPr>
        <w:tabs>
          <w:tab w:val="left" w:pos="413"/>
          <w:tab w:val="left" w:pos="450"/>
        </w:tabs>
        <w:spacing w:after="0" w:line="240" w:lineRule="auto"/>
        <w:ind w:left="450" w:right="20" w:hanging="450"/>
        <w:jc w:val="both"/>
        <w:rPr>
          <w:rFonts w:ascii="Times New Roman" w:eastAsia="Times New Roman" w:hAnsi="Times New Roman" w:cs="Times New Roman"/>
          <w:sz w:val="24"/>
          <w:szCs w:val="24"/>
          <w:lang w:val="id-ID" w:eastAsia="id-ID"/>
        </w:rPr>
      </w:pPr>
      <w:r w:rsidRPr="004502A2">
        <w:rPr>
          <w:rFonts w:ascii="Times New Roman" w:eastAsia="Times New Roman" w:hAnsi="Times New Roman" w:cs="Times New Roman"/>
          <w:sz w:val="24"/>
          <w:szCs w:val="24"/>
          <w:lang w:val="id-ID" w:eastAsia="id-ID"/>
        </w:rPr>
        <w:t xml:space="preserve">Peraturan Menteri Kesehatan Republik Indonesia Nomor 290/MENKES/PER/IX/2008 tentang </w:t>
      </w:r>
      <w:r w:rsidRPr="004502A2">
        <w:rPr>
          <w:rFonts w:ascii="Times New Roman" w:eastAsia="Times New Roman" w:hAnsi="Times New Roman" w:cs="Times New Roman"/>
          <w:i/>
          <w:sz w:val="24"/>
          <w:szCs w:val="24"/>
          <w:lang w:val="id-ID" w:eastAsia="id-ID"/>
        </w:rPr>
        <w:t>Persetujuan Tindakan Kedokteran</w:t>
      </w:r>
      <w:r w:rsidRPr="004502A2">
        <w:rPr>
          <w:rFonts w:ascii="Times New Roman" w:eastAsia="Times New Roman" w:hAnsi="Times New Roman" w:cs="Times New Roman"/>
          <w:sz w:val="24"/>
          <w:szCs w:val="24"/>
          <w:lang w:val="id-ID" w:eastAsia="id-ID"/>
        </w:rPr>
        <w:t>.</w:t>
      </w:r>
    </w:p>
    <w:p w:rsidR="00BD099A" w:rsidRPr="004502A2" w:rsidRDefault="00BD099A" w:rsidP="004502A2">
      <w:pPr>
        <w:spacing w:after="0" w:line="240" w:lineRule="auto"/>
        <w:jc w:val="both"/>
        <w:rPr>
          <w:rFonts w:ascii="Times New Roman" w:hAnsi="Times New Roman" w:cs="Times New Roman"/>
          <w:sz w:val="24"/>
          <w:szCs w:val="24"/>
        </w:rPr>
      </w:pPr>
    </w:p>
    <w:p w:rsidR="00BD099A" w:rsidRPr="004502A2" w:rsidRDefault="00BD099A" w:rsidP="004502A2">
      <w:pPr>
        <w:spacing w:after="0" w:line="240" w:lineRule="auto"/>
        <w:jc w:val="both"/>
        <w:rPr>
          <w:rFonts w:ascii="Times New Roman" w:hAnsi="Times New Roman" w:cs="Times New Roman"/>
          <w:b/>
          <w:sz w:val="24"/>
          <w:szCs w:val="24"/>
        </w:rPr>
      </w:pPr>
      <w:r w:rsidRPr="004502A2">
        <w:rPr>
          <w:rFonts w:ascii="Times New Roman" w:hAnsi="Times New Roman" w:cs="Times New Roman"/>
          <w:b/>
          <w:sz w:val="24"/>
          <w:szCs w:val="24"/>
        </w:rPr>
        <w:t>Sumber lain</w:t>
      </w:r>
    </w:p>
    <w:p w:rsidR="00BD099A" w:rsidRDefault="00BD099A" w:rsidP="004502A2">
      <w:pPr>
        <w:spacing w:after="0" w:line="240" w:lineRule="auto"/>
        <w:ind w:left="720" w:hanging="720"/>
        <w:jc w:val="both"/>
        <w:rPr>
          <w:rFonts w:ascii="Times New Roman" w:hAnsi="Times New Roman" w:cs="Times New Roman"/>
          <w:sz w:val="24"/>
          <w:szCs w:val="24"/>
        </w:rPr>
      </w:pPr>
      <w:r w:rsidRPr="004502A2">
        <w:rPr>
          <w:rFonts w:ascii="Times New Roman" w:hAnsi="Times New Roman" w:cs="Times New Roman"/>
          <w:i/>
          <w:sz w:val="24"/>
          <w:szCs w:val="24"/>
        </w:rPr>
        <w:t>Ministry of Ethic United Kingdom, Main Principle of Consent</w:t>
      </w:r>
      <w:r w:rsidRPr="004502A2">
        <w:rPr>
          <w:rFonts w:ascii="Times New Roman" w:hAnsi="Times New Roman" w:cs="Times New Roman"/>
          <w:sz w:val="24"/>
          <w:szCs w:val="24"/>
        </w:rPr>
        <w:t xml:space="preserve">, &lt; </w:t>
      </w:r>
      <w:hyperlink r:id="rId8" w:history="1">
        <w:r w:rsidRPr="004502A2">
          <w:rPr>
            <w:rStyle w:val="Hyperlink"/>
          </w:rPr>
          <w:t>http://ministryofethics.co.uk/?p=6</w:t>
        </w:r>
      </w:hyperlink>
      <w:r w:rsidRPr="004502A2">
        <w:rPr>
          <w:rFonts w:ascii="Times New Roman" w:hAnsi="Times New Roman" w:cs="Times New Roman"/>
          <w:sz w:val="24"/>
          <w:szCs w:val="24"/>
        </w:rPr>
        <w:t xml:space="preserve"> &gt;, diakses bulan Oktober 2016</w:t>
      </w:r>
    </w:p>
    <w:sectPr w:rsidR="00BD099A" w:rsidSect="00BD099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7E7" w:rsidRDefault="007A77E7" w:rsidP="007A77E7">
      <w:pPr>
        <w:spacing w:after="0" w:line="240" w:lineRule="auto"/>
      </w:pPr>
      <w:r>
        <w:separator/>
      </w:r>
    </w:p>
  </w:endnote>
  <w:endnote w:type="continuationSeparator" w:id="0">
    <w:p w:rsidR="007A77E7" w:rsidRDefault="007A77E7" w:rsidP="007A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7E7" w:rsidRDefault="007A77E7" w:rsidP="007A77E7">
      <w:pPr>
        <w:spacing w:after="0" w:line="240" w:lineRule="auto"/>
      </w:pPr>
      <w:r>
        <w:separator/>
      </w:r>
    </w:p>
  </w:footnote>
  <w:footnote w:type="continuationSeparator" w:id="0">
    <w:p w:rsidR="007A77E7" w:rsidRDefault="007A77E7" w:rsidP="007A77E7">
      <w:pPr>
        <w:spacing w:after="0" w:line="240" w:lineRule="auto"/>
      </w:pPr>
      <w:r>
        <w:continuationSeparator/>
      </w:r>
    </w:p>
  </w:footnote>
  <w:footnote w:id="1">
    <w:p w:rsidR="007A77E7" w:rsidRPr="002B47E0" w:rsidRDefault="007A77E7" w:rsidP="007A77E7">
      <w:pPr>
        <w:pStyle w:val="footnote"/>
      </w:pPr>
      <w:r w:rsidRPr="002B47E0">
        <w:rPr>
          <w:rStyle w:val="FootnoteReference"/>
        </w:rPr>
        <w:footnoteRef/>
      </w:r>
      <w:r>
        <w:t xml:space="preserve"> Undang-Undang Nomor</w:t>
      </w:r>
      <w:r w:rsidRPr="002B47E0">
        <w:t xml:space="preserve"> 29 tahun 2004 tentang </w:t>
      </w:r>
      <w:r w:rsidRPr="002B47E0">
        <w:rPr>
          <w:i/>
        </w:rPr>
        <w:t>Praktik Kedokteran</w:t>
      </w:r>
      <w:r>
        <w:t>, Penjelasan Pasal</w:t>
      </w:r>
      <w:r w:rsidRPr="002B47E0">
        <w:t xml:space="preserve"> 45 ayat (1)</w:t>
      </w:r>
      <w:r>
        <w:t xml:space="preserve">, </w:t>
      </w:r>
      <w:r w:rsidRPr="000A5F9B">
        <w:t>Dunia Cerdas, Jakarta, 2013</w:t>
      </w:r>
      <w:r>
        <w:t>.</w:t>
      </w:r>
    </w:p>
  </w:footnote>
  <w:footnote w:id="2">
    <w:p w:rsidR="007A77E7" w:rsidRPr="002B47E0" w:rsidRDefault="007A77E7" w:rsidP="007A77E7">
      <w:pPr>
        <w:pStyle w:val="footnote"/>
      </w:pPr>
      <w:r w:rsidRPr="002B47E0">
        <w:rPr>
          <w:rStyle w:val="FootnoteReference"/>
        </w:rPr>
        <w:footnoteRef/>
      </w:r>
      <w:r w:rsidRPr="002B47E0">
        <w:t xml:space="preserve"> Juariah, </w:t>
      </w:r>
      <w:r w:rsidRPr="002B47E0">
        <w:rPr>
          <w:i/>
        </w:rPr>
        <w:t>Pemenuhan Hak Konsumen di Institusi Kesehatan</w:t>
      </w:r>
      <w:r w:rsidRPr="002B47E0">
        <w:t xml:space="preserve">, Jurnal Kesehatan Masyarakat Nasional, Volume 3, No.6, Tahun 2009, </w:t>
      </w:r>
      <w:r>
        <w:t>hlm</w:t>
      </w:r>
      <w:r w:rsidRPr="002B47E0">
        <w:t>. 284</w:t>
      </w:r>
      <w:r>
        <w:t>.</w:t>
      </w:r>
    </w:p>
  </w:footnote>
  <w:footnote w:id="3">
    <w:p w:rsidR="007A77E7" w:rsidRPr="00F4539C" w:rsidRDefault="007A77E7" w:rsidP="007A77E7">
      <w:pPr>
        <w:pStyle w:val="footnote"/>
      </w:pPr>
      <w:r w:rsidRPr="00F4539C">
        <w:rPr>
          <w:rStyle w:val="FootnoteReference"/>
        </w:rPr>
        <w:footnoteRef/>
      </w:r>
      <w:r>
        <w:t xml:space="preserve"> Titiek Soelistyowatie,</w:t>
      </w:r>
      <w:r w:rsidRPr="00F4539C">
        <w:t xml:space="preserve"> </w:t>
      </w:r>
      <w:r w:rsidRPr="00FE5C70">
        <w:rPr>
          <w:i/>
        </w:rPr>
        <w:t>Penerapan Hukum informed Consent Terhadap Pelayanan Keluarga Berencana di RS. Tugurejo Semarang,</w:t>
      </w:r>
      <w:r w:rsidRPr="00F4539C">
        <w:t xml:space="preserve"> </w:t>
      </w:r>
      <w:r>
        <w:t>Jurnal Dinamika Kebidanan, Volume</w:t>
      </w:r>
      <w:r w:rsidRPr="00F4539C">
        <w:t xml:space="preserve"> 1, No.1</w:t>
      </w:r>
      <w:r>
        <w:t>, Tahun 2011.</w:t>
      </w:r>
    </w:p>
  </w:footnote>
  <w:footnote w:id="4">
    <w:p w:rsidR="007A77E7" w:rsidRPr="00F4539C" w:rsidRDefault="007A77E7" w:rsidP="007A77E7">
      <w:pPr>
        <w:pStyle w:val="footnote"/>
      </w:pPr>
      <w:r w:rsidRPr="00F4539C">
        <w:rPr>
          <w:rStyle w:val="FootnoteReference"/>
        </w:rPr>
        <w:footnoteRef/>
      </w:r>
      <w:r w:rsidRPr="00F4539C">
        <w:t xml:space="preserve"> Gloria Gomgom Yosephine, </w:t>
      </w:r>
      <w:r w:rsidRPr="00FE5C70">
        <w:rPr>
          <w:i/>
        </w:rPr>
        <w:t>Pelaksanaan Persetujuan Tindakan Kedokteran di RSUP Dr. M. Djamil Padang</w:t>
      </w:r>
      <w:r w:rsidRPr="00F4539C">
        <w:t xml:space="preserve">, Fakultas Hukum Universitas Andalas, Padang, 2011, </w:t>
      </w:r>
      <w:r>
        <w:t>hlm</w:t>
      </w:r>
      <w:r w:rsidRPr="00F4539C">
        <w:t>. 1</w:t>
      </w:r>
      <w:r>
        <w:t>.</w:t>
      </w:r>
    </w:p>
  </w:footnote>
  <w:footnote w:id="5">
    <w:p w:rsidR="00563FBA" w:rsidRPr="00125978" w:rsidRDefault="00563FBA" w:rsidP="00563FBA">
      <w:pPr>
        <w:pStyle w:val="footnote"/>
      </w:pPr>
      <w:r w:rsidRPr="00125978">
        <w:rPr>
          <w:rStyle w:val="FootnoteReference"/>
        </w:rPr>
        <w:footnoteRef/>
      </w:r>
      <w:r w:rsidRPr="00125978">
        <w:t xml:space="preserve"> Sunaryati Hartono, </w:t>
      </w:r>
      <w:r w:rsidRPr="00BE686C">
        <w:rPr>
          <w:i/>
        </w:rPr>
        <w:t>Kapita Selekta Perbandingan Hukum</w:t>
      </w:r>
      <w:r w:rsidRPr="00125978">
        <w:t>, C</w:t>
      </w:r>
      <w:r>
        <w:t>itra Aditya Bakti, Bandung, 1991, hlm. 26-27</w:t>
      </w:r>
      <w:r w:rsidRPr="00125978">
        <w:t>.</w:t>
      </w:r>
    </w:p>
  </w:footnote>
  <w:footnote w:id="6">
    <w:p w:rsidR="00563FBA" w:rsidRDefault="00563FBA" w:rsidP="00563FBA">
      <w:pPr>
        <w:pStyle w:val="footnote"/>
      </w:pPr>
      <w:r>
        <w:rPr>
          <w:rStyle w:val="FootnoteReference"/>
        </w:rPr>
        <w:footnoteRef/>
      </w:r>
      <w:r>
        <w:t xml:space="preserve"> Soerjono Soekanto, </w:t>
      </w:r>
      <w:r w:rsidRPr="009E0502">
        <w:rPr>
          <w:i/>
        </w:rPr>
        <w:t>Pengantar Penelitian Hukum</w:t>
      </w:r>
      <w:r>
        <w:t>, Penerbit Universitas Indonesia (UI-Press), Jakarta, 2006, hlm. 21-22.</w:t>
      </w:r>
    </w:p>
  </w:footnote>
  <w:footnote w:id="7">
    <w:p w:rsidR="00563FBA" w:rsidRDefault="00563FBA" w:rsidP="00563FBA">
      <w:pPr>
        <w:pStyle w:val="footnote"/>
      </w:pPr>
      <w:r>
        <w:rPr>
          <w:rStyle w:val="FootnoteReference"/>
        </w:rPr>
        <w:footnoteRef/>
      </w:r>
      <w:r>
        <w:t xml:space="preserve"> A</w:t>
      </w:r>
      <w:r w:rsidR="004502A2">
        <w:t xml:space="preserve">miruddin, Zainal Asakin, </w:t>
      </w:r>
      <w:r w:rsidR="004502A2" w:rsidRPr="004502A2">
        <w:rPr>
          <w:i/>
        </w:rPr>
        <w:t>Pengantar Metode Penelitian Hukum</w:t>
      </w:r>
      <w:r w:rsidR="004502A2" w:rsidRPr="004502A2">
        <w:t>, Rajagrafindo Persada, Jakarta, 2016.</w:t>
      </w:r>
      <w:r>
        <w:t>, hlm. 84.</w:t>
      </w:r>
    </w:p>
  </w:footnote>
  <w:footnote w:id="8">
    <w:p w:rsidR="00563FBA" w:rsidRDefault="00563FBA" w:rsidP="00563FBA">
      <w:pPr>
        <w:pStyle w:val="footnote"/>
      </w:pPr>
      <w:r>
        <w:rPr>
          <w:rStyle w:val="FootnoteReference"/>
        </w:rPr>
        <w:footnoteRef/>
      </w:r>
      <w:r>
        <w:t xml:space="preserve"> Lili Rasjidi, Liza Sonia Rasjidi, </w:t>
      </w:r>
      <w:r w:rsidRPr="0015618A">
        <w:rPr>
          <w:i/>
        </w:rPr>
        <w:t>Monograf : Filsafat Ilmu, Metode Penelitian, dan Karya Tulis Ilmiah Hukum</w:t>
      </w:r>
      <w:r>
        <w:t xml:space="preserve">, t.p., t.k., t.th, hlm. 25. </w:t>
      </w:r>
    </w:p>
  </w:footnote>
  <w:footnote w:id="9">
    <w:p w:rsidR="00563FBA" w:rsidRDefault="00563FBA" w:rsidP="00563FBA">
      <w:pPr>
        <w:pStyle w:val="footnote"/>
      </w:pPr>
      <w:r>
        <w:rPr>
          <w:rStyle w:val="FootnoteReference"/>
        </w:rPr>
        <w:footnoteRef/>
      </w:r>
      <w:r>
        <w:t xml:space="preserve"> Lili Rasjidi, </w:t>
      </w:r>
      <w:r w:rsidRPr="0015618A">
        <w:rPr>
          <w:i/>
        </w:rPr>
        <w:t>Menggnakan Teori/Konsep Dalam Analisis Di Bidang Ilmu Hukum</w:t>
      </w:r>
      <w:r>
        <w:t xml:space="preserve">, t.p.,t.k.,2007, hlm. 7. </w:t>
      </w:r>
    </w:p>
  </w:footnote>
  <w:footnote w:id="10">
    <w:p w:rsidR="00563FBA" w:rsidRDefault="00563FBA" w:rsidP="00563FBA">
      <w:pPr>
        <w:pStyle w:val="footnote"/>
      </w:pPr>
      <w:r>
        <w:rPr>
          <w:rStyle w:val="FootnoteReference"/>
        </w:rPr>
        <w:footnoteRef/>
      </w:r>
      <w:r>
        <w:t xml:space="preserve"> </w:t>
      </w:r>
      <w:r w:rsidRPr="00AB77FD">
        <w:t xml:space="preserve">Murray Earle, </w:t>
      </w:r>
      <w:r w:rsidR="004502A2" w:rsidRPr="004502A2">
        <w:rPr>
          <w:i/>
        </w:rPr>
        <w:t>The Future of Informed Consent in British Common Law</w:t>
      </w:r>
      <w:r w:rsidR="004502A2" w:rsidRPr="004502A2">
        <w:t>, European Journal of Health Law, Volume 6, Tahun 1999</w:t>
      </w:r>
      <w:r>
        <w:rPr>
          <w:rFonts w:cs="Times New Roman"/>
          <w:bCs/>
          <w:i/>
        </w:rPr>
        <w:t>.</w:t>
      </w:r>
      <w:r w:rsidRPr="00AB77FD">
        <w:rPr>
          <w:rFonts w:cs="Times New Roman"/>
          <w:iCs/>
        </w:rPr>
        <w:t xml:space="preserve">, </w:t>
      </w:r>
      <w:r>
        <w:rPr>
          <w:rFonts w:cs="Times New Roman"/>
          <w:iCs/>
        </w:rPr>
        <w:t>hlm.</w:t>
      </w:r>
      <w:r w:rsidRPr="00AB77FD">
        <w:rPr>
          <w:rFonts w:cs="Times New Roman"/>
          <w:iCs/>
        </w:rPr>
        <w:t xml:space="preserve"> 235-236</w:t>
      </w:r>
      <w:r>
        <w:rPr>
          <w:rFonts w:cs="Times New Roman"/>
          <w:iCs/>
        </w:rPr>
        <w:t xml:space="preserve">. Terjemahan bebas. </w:t>
      </w:r>
    </w:p>
  </w:footnote>
  <w:footnote w:id="11">
    <w:p w:rsidR="00563FBA" w:rsidRDefault="00563FBA" w:rsidP="00563FBA">
      <w:pPr>
        <w:pStyle w:val="footnote"/>
      </w:pPr>
      <w:r>
        <w:rPr>
          <w:rStyle w:val="FootnoteReference"/>
        </w:rPr>
        <w:footnoteRef/>
      </w:r>
      <w:r>
        <w:t xml:space="preserve"> Pasal 45 Ayat (3) UU No. 29 Tahun 2004 Tentang </w:t>
      </w:r>
      <w:r w:rsidRPr="00501C58">
        <w:rPr>
          <w:i/>
        </w:rPr>
        <w:t>Praktik Kedokteran</w:t>
      </w:r>
      <w:r>
        <w:t>.</w:t>
      </w:r>
    </w:p>
  </w:footnote>
  <w:footnote w:id="12">
    <w:p w:rsidR="00563FBA" w:rsidRDefault="00563FBA" w:rsidP="00563FBA">
      <w:pPr>
        <w:pStyle w:val="footnote"/>
      </w:pPr>
      <w:r>
        <w:rPr>
          <w:rStyle w:val="FootnoteReference"/>
        </w:rPr>
        <w:footnoteRef/>
      </w:r>
      <w:r>
        <w:t xml:space="preserve"> Pasal 7 PMK No. 290 Tahun 2008 Tentang </w:t>
      </w:r>
      <w:r w:rsidRPr="00501C58">
        <w:rPr>
          <w:i/>
        </w:rPr>
        <w:t>Persetujuan Tindakan Medik</w:t>
      </w:r>
      <w:r>
        <w:t xml:space="preserve">. </w:t>
      </w:r>
    </w:p>
  </w:footnote>
  <w:footnote w:id="13">
    <w:p w:rsidR="00563FBA" w:rsidRDefault="00563FBA" w:rsidP="00563FBA">
      <w:pPr>
        <w:pStyle w:val="footnote"/>
      </w:pPr>
      <w:r>
        <w:rPr>
          <w:rStyle w:val="FootnoteReference"/>
        </w:rPr>
        <w:footnoteRef/>
      </w:r>
      <w:r>
        <w:t xml:space="preserve"> Claudia Carr, </w:t>
      </w:r>
      <w:r w:rsidR="004502A2" w:rsidRPr="004502A2">
        <w:rPr>
          <w:i/>
        </w:rPr>
        <w:t>Unlocking Medical Law and Ethics,Routledge</w:t>
      </w:r>
      <w:r w:rsidR="004502A2" w:rsidRPr="004502A2">
        <w:t>,New York, 2015</w:t>
      </w:r>
      <w:r>
        <w:rPr>
          <w:i/>
        </w:rPr>
        <w:t>.</w:t>
      </w:r>
      <w:r>
        <w:t xml:space="preserve">, hlm. 162. </w:t>
      </w:r>
    </w:p>
  </w:footnote>
  <w:footnote w:id="14">
    <w:p w:rsidR="00563FBA" w:rsidRDefault="00563FBA" w:rsidP="00563FBA">
      <w:pPr>
        <w:pStyle w:val="footnote"/>
      </w:pPr>
      <w:r>
        <w:rPr>
          <w:rStyle w:val="FootnoteReference"/>
        </w:rPr>
        <w:footnoteRef/>
      </w:r>
      <w:r>
        <w:t xml:space="preserve"> Pasal 45 Ayat (1) Pasal 45 UU No. 29 Tahun 2004 Tentang Praktik Kedokteran.</w:t>
      </w:r>
    </w:p>
  </w:footnote>
  <w:footnote w:id="15">
    <w:p w:rsidR="00563FBA" w:rsidRDefault="00563FBA" w:rsidP="00563FBA">
      <w:pPr>
        <w:pStyle w:val="footnote"/>
      </w:pPr>
      <w:r>
        <w:rPr>
          <w:rStyle w:val="FootnoteReference"/>
        </w:rPr>
        <w:footnoteRef/>
      </w:r>
      <w:r>
        <w:t xml:space="preserve"> Penjelasan Pasal 45 UU No. 29 Tahun 2004 Tentang Praktik Kedokteran.</w:t>
      </w:r>
    </w:p>
  </w:footnote>
  <w:footnote w:id="16">
    <w:p w:rsidR="00563FBA" w:rsidRPr="004502A2" w:rsidRDefault="00563FBA" w:rsidP="00563FBA">
      <w:pPr>
        <w:pStyle w:val="footnote"/>
      </w:pPr>
      <w:r>
        <w:rPr>
          <w:rStyle w:val="FootnoteReference"/>
        </w:rPr>
        <w:footnoteRef/>
      </w:r>
      <w:r>
        <w:t xml:space="preserve"> </w:t>
      </w:r>
      <w:r w:rsidRPr="004F5DC0">
        <w:rPr>
          <w:i/>
        </w:rPr>
        <w:t>Ministry o</w:t>
      </w:r>
      <w:r w:rsidR="004502A2">
        <w:rPr>
          <w:i/>
        </w:rPr>
        <w:t>f Ethic United Kingdom,</w:t>
      </w:r>
      <w:r w:rsidR="004502A2" w:rsidRPr="004502A2">
        <w:t xml:space="preserve"> </w:t>
      </w:r>
      <w:r w:rsidR="004502A2" w:rsidRPr="004502A2">
        <w:rPr>
          <w:i/>
        </w:rPr>
        <w:t xml:space="preserve">Main Principle of Consent, &lt; http://ministryofethics.co.uk/?p=6 &gt;, </w:t>
      </w:r>
      <w:r w:rsidR="004502A2" w:rsidRPr="004502A2">
        <w:t>diakses bulan Oktober 2016</w:t>
      </w:r>
      <w:r w:rsidRPr="004502A2">
        <w:t xml:space="preserve">. </w:t>
      </w:r>
    </w:p>
  </w:footnote>
  <w:footnote w:id="17">
    <w:p w:rsidR="00563FBA" w:rsidRDefault="00563FBA" w:rsidP="00563FBA">
      <w:pPr>
        <w:pStyle w:val="footnote"/>
      </w:pPr>
      <w:r>
        <w:rPr>
          <w:rStyle w:val="FootnoteReference"/>
        </w:rPr>
        <w:footnoteRef/>
      </w:r>
      <w:r>
        <w:t xml:space="preserve"> Chrisdiono M. Achadiat,</w:t>
      </w:r>
      <w:r w:rsidR="004502A2" w:rsidRPr="004502A2">
        <w:t xml:space="preserve"> </w:t>
      </w:r>
      <w:r w:rsidR="004502A2" w:rsidRPr="004502A2">
        <w:rPr>
          <w:i/>
        </w:rPr>
        <w:t>Dinamika Etika dan Hukum Kedokteran</w:t>
      </w:r>
      <w:r w:rsidR="004502A2" w:rsidRPr="004502A2">
        <w:t>, Penerbit Buku Kedokteran EGC, Jakarta, 2004</w:t>
      </w:r>
      <w:r>
        <w:t xml:space="preserve"> </w:t>
      </w:r>
      <w:r w:rsidRPr="004F5DC0">
        <w:rPr>
          <w:i/>
        </w:rPr>
        <w:t>,</w:t>
      </w:r>
      <w:r>
        <w:t xml:space="preserve"> hlm. 45-46.</w:t>
      </w:r>
    </w:p>
  </w:footnote>
  <w:footnote w:id="18">
    <w:p w:rsidR="00605B4D" w:rsidRDefault="00605B4D" w:rsidP="00605B4D">
      <w:pPr>
        <w:pStyle w:val="footnote"/>
      </w:pPr>
      <w:r>
        <w:rPr>
          <w:rStyle w:val="FootnoteReference"/>
        </w:rPr>
        <w:footnoteRef/>
      </w:r>
      <w:r>
        <w:t xml:space="preserve"> C.B. Kusmaryanto, </w:t>
      </w:r>
      <w:r w:rsidR="004502A2" w:rsidRPr="004502A2">
        <w:rPr>
          <w:i/>
        </w:rPr>
        <w:t>Bioetika</w:t>
      </w:r>
      <w:r w:rsidR="004502A2" w:rsidRPr="004502A2">
        <w:t>, Penerbit Buku Kompas, Jakarta, 2015.</w:t>
      </w:r>
      <w:r>
        <w:t>,hlm. 134-135.</w:t>
      </w:r>
    </w:p>
  </w:footnote>
  <w:footnote w:id="19">
    <w:p w:rsidR="00605B4D" w:rsidRDefault="00605B4D" w:rsidP="00605B4D">
      <w:pPr>
        <w:pStyle w:val="footnote"/>
      </w:pPr>
      <w:r>
        <w:rPr>
          <w:rStyle w:val="FootnoteReference"/>
        </w:rPr>
        <w:footnoteRef/>
      </w:r>
      <w:r>
        <w:t xml:space="preserve"> Mario Alvarado, Nathan A. Ferron, Nour Karyem, </w:t>
      </w:r>
      <w:r w:rsidRPr="00B2648A">
        <w:rPr>
          <w:i/>
        </w:rPr>
        <w:t>Cultural Differences and The Understanding of Informed Consent,</w:t>
      </w:r>
      <w:r>
        <w:t xml:space="preserve"> Worcester Polytechnic Institute, Worcester, 2015, hlm. 32.</w:t>
      </w:r>
    </w:p>
  </w:footnote>
  <w:footnote w:id="20">
    <w:p w:rsidR="00605B4D" w:rsidRDefault="00605B4D" w:rsidP="00605B4D">
      <w:pPr>
        <w:pStyle w:val="footnote"/>
      </w:pPr>
      <w:r>
        <w:rPr>
          <w:rStyle w:val="FootnoteReference"/>
        </w:rPr>
        <w:footnoteRef/>
      </w:r>
      <w:r>
        <w:t xml:space="preserve"> </w:t>
      </w:r>
      <w:r>
        <w:rPr>
          <w:shd w:val="clear" w:color="auto" w:fill="FFFFFF"/>
        </w:rPr>
        <w:t xml:space="preserve">Hanssen, </w:t>
      </w:r>
      <w:r w:rsidRPr="00B2648A">
        <w:rPr>
          <w:i/>
          <w:shd w:val="clear" w:color="auto" w:fill="FFFFFF"/>
        </w:rPr>
        <w:t>An intercultural nursing perspective on autonomy</w:t>
      </w:r>
      <w:r>
        <w:rPr>
          <w:shd w:val="clear" w:color="auto" w:fill="FFFFFF"/>
        </w:rPr>
        <w:t>, Journal Nursing Ethics, Volume. 11(1), Tahun 2004, hlm. 28-41.</w:t>
      </w:r>
    </w:p>
  </w:footnote>
  <w:footnote w:id="21">
    <w:p w:rsidR="00605B4D" w:rsidRDefault="00605B4D" w:rsidP="00605B4D">
      <w:pPr>
        <w:pStyle w:val="footnote"/>
      </w:pPr>
      <w:r>
        <w:rPr>
          <w:rStyle w:val="FootnoteReference"/>
        </w:rPr>
        <w:footnoteRef/>
      </w:r>
      <w:r>
        <w:t xml:space="preserve"> Hartini M.C. Inge, </w:t>
      </w:r>
      <w:r w:rsidRPr="004502A2">
        <w:rPr>
          <w:i/>
        </w:rPr>
        <w:t>Membangun Model Informed Consent Berdasarkan Budaya Hukum Indonesia</w:t>
      </w:r>
      <w:r>
        <w:t xml:space="preserve">, Universitas Diponegoro, Tesis, 2007. </w:t>
      </w:r>
    </w:p>
  </w:footnote>
  <w:footnote w:id="22">
    <w:p w:rsidR="00605B4D" w:rsidRDefault="00605B4D" w:rsidP="00605B4D">
      <w:pPr>
        <w:pStyle w:val="footnote"/>
      </w:pPr>
      <w:r>
        <w:rPr>
          <w:rStyle w:val="FootnoteReference"/>
        </w:rPr>
        <w:footnoteRef/>
      </w:r>
      <w:r>
        <w:t xml:space="preserve"> R. Soeroso</w:t>
      </w:r>
      <w:r w:rsidR="004502A2" w:rsidRPr="004502A2">
        <w:t xml:space="preserve"> </w:t>
      </w:r>
      <w:r w:rsidR="004502A2" w:rsidRPr="004502A2">
        <w:rPr>
          <w:i/>
        </w:rPr>
        <w:t>Perbandingan Hukum Perdata</w:t>
      </w:r>
      <w:r w:rsidR="004502A2" w:rsidRPr="004502A2">
        <w:t>,. Sinar Grafika, Jakarta , 2014.</w:t>
      </w:r>
      <w:r>
        <w:t xml:space="preserve">, </w:t>
      </w:r>
      <w:r>
        <w:rPr>
          <w:i/>
        </w:rPr>
        <w:t xml:space="preserve">, </w:t>
      </w:r>
      <w:r>
        <w:t>hlm. 45.</w:t>
      </w:r>
    </w:p>
  </w:footnote>
  <w:footnote w:id="23">
    <w:p w:rsidR="00605B4D" w:rsidRPr="009B146E" w:rsidRDefault="00605B4D" w:rsidP="00605B4D">
      <w:pPr>
        <w:pStyle w:val="footnote"/>
      </w:pPr>
      <w:r w:rsidRPr="00CA5D9A">
        <w:rPr>
          <w:rStyle w:val="FootnoteReference"/>
        </w:rPr>
        <w:footnoteRef/>
      </w:r>
      <w:r w:rsidRPr="00CA5D9A">
        <w:t xml:space="preserve"> Wirjono Prodjodikoro,</w:t>
      </w:r>
      <w:r w:rsidR="004502A2" w:rsidRPr="004502A2">
        <w:t xml:space="preserve"> </w:t>
      </w:r>
      <w:r w:rsidR="004502A2" w:rsidRPr="004502A2">
        <w:rPr>
          <w:i/>
        </w:rPr>
        <w:t>Azas-Azas Hukum Perjanjian</w:t>
      </w:r>
      <w:r w:rsidR="004502A2" w:rsidRPr="004502A2">
        <w:t>, Mandar Maju, Bandung, 2011</w:t>
      </w:r>
      <w:r w:rsidR="004502A2">
        <w:rPr>
          <w:i/>
        </w:rPr>
        <w:t>,</w:t>
      </w:r>
      <w:r>
        <w:rPr>
          <w:i/>
        </w:rPr>
        <w:t xml:space="preserve"> </w:t>
      </w:r>
      <w:r w:rsidRPr="009B146E">
        <w:t>hlm. 13</w:t>
      </w:r>
      <w:r>
        <w:t>.</w:t>
      </w:r>
    </w:p>
  </w:footnote>
  <w:footnote w:id="24">
    <w:p w:rsidR="00605B4D" w:rsidRPr="00CA5D9A" w:rsidRDefault="00605B4D" w:rsidP="00605B4D">
      <w:pPr>
        <w:pStyle w:val="footnote"/>
      </w:pPr>
      <w:r w:rsidRPr="00CA5D9A">
        <w:rPr>
          <w:rStyle w:val="FootnoteReference"/>
        </w:rPr>
        <w:footnoteRef/>
      </w:r>
      <w:r w:rsidRPr="00CA5D9A">
        <w:t xml:space="preserve"> I Ketut Oka Setiawan,</w:t>
      </w:r>
      <w:r w:rsidR="004502A2" w:rsidRPr="004502A2">
        <w:t xml:space="preserve"> </w:t>
      </w:r>
      <w:r w:rsidR="004502A2" w:rsidRPr="004502A2">
        <w:rPr>
          <w:i/>
        </w:rPr>
        <w:t>Hukum Perikatan</w:t>
      </w:r>
      <w:r w:rsidR="004502A2">
        <w:t>, Sinar Grafika, Jakarta, 2015,</w:t>
      </w:r>
      <w:r w:rsidRPr="00CA5D9A">
        <w:t xml:space="preserve">  </w:t>
      </w:r>
      <w:r>
        <w:t>hlm</w:t>
      </w:r>
      <w:r w:rsidRPr="00CA5D9A">
        <w:t xml:space="preserve"> 63-64</w:t>
      </w:r>
    </w:p>
  </w:footnote>
  <w:footnote w:id="25">
    <w:p w:rsidR="00605B4D" w:rsidRPr="00CA5D9A" w:rsidRDefault="00605B4D" w:rsidP="00605B4D">
      <w:pPr>
        <w:pStyle w:val="footnote"/>
      </w:pPr>
      <w:r w:rsidRPr="00CA5D9A">
        <w:rPr>
          <w:rStyle w:val="FootnoteReference"/>
        </w:rPr>
        <w:footnoteRef/>
      </w:r>
      <w:r w:rsidRPr="00CA5D9A">
        <w:t xml:space="preserve"> I Ketut Oka Setiawan, </w:t>
      </w:r>
      <w:r w:rsidRPr="00CA5D9A">
        <w:rPr>
          <w:i/>
        </w:rPr>
        <w:t>Loc. cit.</w:t>
      </w:r>
    </w:p>
  </w:footnote>
  <w:footnote w:id="26">
    <w:p w:rsidR="00605B4D" w:rsidRPr="00CA5D9A" w:rsidRDefault="00605B4D" w:rsidP="00605B4D">
      <w:pPr>
        <w:pStyle w:val="footnote"/>
      </w:pPr>
      <w:r w:rsidRPr="00CA5D9A">
        <w:rPr>
          <w:rStyle w:val="FootnoteReference"/>
        </w:rPr>
        <w:footnoteRef/>
      </w:r>
      <w:r w:rsidRPr="00CA5D9A">
        <w:t xml:space="preserve"> Wirjono Prodjodikoro, </w:t>
      </w:r>
      <w:r w:rsidRPr="00C422B1">
        <w:rPr>
          <w:i/>
        </w:rPr>
        <w:t>Op.cit</w:t>
      </w:r>
      <w:r w:rsidRPr="00CA5D9A">
        <w:t xml:space="preserve">., </w:t>
      </w:r>
      <w:r>
        <w:t>hlm.</w:t>
      </w:r>
      <w:r w:rsidRPr="00CA5D9A">
        <w:t xml:space="preserve"> 15</w:t>
      </w:r>
      <w:r>
        <w:t>.</w:t>
      </w:r>
    </w:p>
  </w:footnote>
  <w:footnote w:id="27">
    <w:p w:rsidR="00605B4D" w:rsidRPr="00CA5D9A" w:rsidRDefault="00605B4D" w:rsidP="00605B4D">
      <w:pPr>
        <w:pStyle w:val="footnote"/>
      </w:pPr>
      <w:r w:rsidRPr="00CA5D9A">
        <w:rPr>
          <w:rStyle w:val="FootnoteReference"/>
        </w:rPr>
        <w:footnoteRef/>
      </w:r>
      <w:r w:rsidRPr="00CA5D9A">
        <w:t xml:space="preserve"> I Ketut Oka Setiawan, </w:t>
      </w:r>
      <w:r>
        <w:rPr>
          <w:i/>
        </w:rPr>
        <w:t xml:space="preserve">Op. cit, </w:t>
      </w:r>
      <w:r w:rsidRPr="00E111C0">
        <w:t>hlm. 63-64.</w:t>
      </w:r>
    </w:p>
  </w:footnote>
  <w:footnote w:id="28">
    <w:p w:rsidR="00605B4D" w:rsidRDefault="00605B4D" w:rsidP="00605B4D">
      <w:pPr>
        <w:pStyle w:val="footnote"/>
      </w:pPr>
      <w:r>
        <w:rPr>
          <w:rStyle w:val="FootnoteReference"/>
        </w:rPr>
        <w:footnoteRef/>
      </w:r>
      <w:r>
        <w:t xml:space="preserve"> Konsil Kedokteran Indonesia, </w:t>
      </w:r>
      <w:r w:rsidR="004502A2" w:rsidRPr="004502A2">
        <w:rPr>
          <w:i/>
        </w:rPr>
        <w:t>Manual Persetujuan Tindakan Kedokteran</w:t>
      </w:r>
      <w:r w:rsidR="004502A2" w:rsidRPr="004502A2">
        <w:t>, Jakarta, Konsil Kedokteran Indonesia, 2006.</w:t>
      </w:r>
      <w:r>
        <w:t xml:space="preserve">, hlm. 7. </w:t>
      </w:r>
    </w:p>
  </w:footnote>
  <w:footnote w:id="29">
    <w:p w:rsidR="00605B4D" w:rsidRDefault="00605B4D" w:rsidP="00605B4D">
      <w:pPr>
        <w:pStyle w:val="footnote"/>
      </w:pPr>
      <w:r>
        <w:rPr>
          <w:rStyle w:val="FootnoteReference"/>
        </w:rPr>
        <w:footnoteRef/>
      </w:r>
      <w:r>
        <w:t xml:space="preserve"> Salim HS, Erlies Septiana Nurbaini, </w:t>
      </w:r>
      <w:r w:rsidR="004502A2" w:rsidRPr="004502A2">
        <w:rPr>
          <w:i/>
        </w:rPr>
        <w:t>Penerapan Teori Hukum Pada Tesis dan Disertasi Buku Kesatu, RajaGrafindo Persada, Jaka</w:t>
      </w:r>
      <w:r w:rsidR="004502A2">
        <w:rPr>
          <w:i/>
        </w:rPr>
        <w:t>rta, 2013</w:t>
      </w:r>
      <w:r>
        <w:t>, hlm. 78.</w:t>
      </w:r>
    </w:p>
  </w:footnote>
  <w:footnote w:id="30">
    <w:p w:rsidR="00605B4D" w:rsidRDefault="00605B4D" w:rsidP="00605B4D">
      <w:pPr>
        <w:pStyle w:val="footnote"/>
      </w:pPr>
      <w:r>
        <w:rPr>
          <w:rStyle w:val="FootnoteReference"/>
        </w:rPr>
        <w:footnoteRef/>
      </w:r>
      <w:r>
        <w:t xml:space="preserve"> Claudia Carr, </w:t>
      </w:r>
      <w:r>
        <w:rPr>
          <w:i/>
        </w:rPr>
        <w:t xml:space="preserve">Op. Cit, </w:t>
      </w:r>
      <w:r>
        <w:t xml:space="preserve"> hlm. 142.</w:t>
      </w:r>
    </w:p>
  </w:footnote>
  <w:footnote w:id="31">
    <w:p w:rsidR="00605B4D" w:rsidRDefault="00605B4D" w:rsidP="00605B4D">
      <w:pPr>
        <w:pStyle w:val="footnote"/>
      </w:pPr>
      <w:r>
        <w:rPr>
          <w:rStyle w:val="FootnoteReference"/>
        </w:rPr>
        <w:footnoteRef/>
      </w:r>
      <w:r>
        <w:t xml:space="preserve"> </w:t>
      </w:r>
      <w:r w:rsidRPr="004608C4">
        <w:rPr>
          <w:i/>
        </w:rPr>
        <w:t>Ibid</w:t>
      </w:r>
      <w:r>
        <w:t xml:space="preserve">, hlm. 144. </w:t>
      </w:r>
    </w:p>
  </w:footnote>
  <w:footnote w:id="32">
    <w:p w:rsidR="00605B4D" w:rsidRDefault="00605B4D" w:rsidP="00605B4D">
      <w:pPr>
        <w:pStyle w:val="footnote"/>
      </w:pPr>
      <w:r>
        <w:rPr>
          <w:rStyle w:val="FootnoteReference"/>
        </w:rPr>
        <w:footnoteRef/>
      </w:r>
      <w:r w:rsidRPr="00D9637F">
        <w:rPr>
          <w:i/>
        </w:rPr>
        <w:t xml:space="preserve"> Ibid</w:t>
      </w:r>
      <w:r>
        <w:t>,hlm.177.</w:t>
      </w:r>
    </w:p>
  </w:footnote>
  <w:footnote w:id="33">
    <w:p w:rsidR="00605B4D" w:rsidRDefault="00605B4D" w:rsidP="00605B4D">
      <w:pPr>
        <w:pStyle w:val="footnote"/>
      </w:pPr>
      <w:r>
        <w:rPr>
          <w:rStyle w:val="FootnoteReference"/>
        </w:rPr>
        <w:footnoteRef/>
      </w:r>
      <w:r w:rsidRPr="00010F72">
        <w:rPr>
          <w:i/>
        </w:rPr>
        <w:t xml:space="preserve"> </w:t>
      </w:r>
      <w:r>
        <w:t xml:space="preserve">Jonathan Herring, </w:t>
      </w:r>
      <w:r w:rsidR="004502A2" w:rsidRPr="004502A2">
        <w:rPr>
          <w:i/>
        </w:rPr>
        <w:t xml:space="preserve">Medical Law and Ethics 6th ed., </w:t>
      </w:r>
      <w:r w:rsidR="004502A2" w:rsidRPr="004502A2">
        <w:t>Oxford University Press, Oxford, 2016</w:t>
      </w:r>
      <w:r>
        <w:rPr>
          <w:i/>
        </w:rPr>
        <w:t>.</w:t>
      </w:r>
      <w:r>
        <w:t>, hlm. 162</w:t>
      </w:r>
    </w:p>
  </w:footnote>
  <w:footnote w:id="34">
    <w:p w:rsidR="00605B4D" w:rsidRDefault="00605B4D" w:rsidP="00605B4D">
      <w:pPr>
        <w:pStyle w:val="footnote"/>
      </w:pPr>
      <w:r>
        <w:rPr>
          <w:rStyle w:val="FootnoteReference"/>
        </w:rPr>
        <w:footnoteRef/>
      </w:r>
      <w:r>
        <w:t xml:space="preserve"> Jonathan Herring, </w:t>
      </w:r>
      <w:r w:rsidRPr="00010F72">
        <w:rPr>
          <w:i/>
        </w:rPr>
        <w:t>Loc. cit.</w:t>
      </w:r>
      <w:r>
        <w:t xml:space="preserve">  </w:t>
      </w:r>
    </w:p>
  </w:footnote>
  <w:footnote w:id="35">
    <w:p w:rsidR="00605B4D" w:rsidRDefault="00605B4D" w:rsidP="00605B4D">
      <w:pPr>
        <w:pStyle w:val="footnote"/>
      </w:pPr>
      <w:r>
        <w:rPr>
          <w:rStyle w:val="FootnoteReference"/>
        </w:rPr>
        <w:footnoteRef/>
      </w:r>
      <w:r>
        <w:t xml:space="preserve"> Jo Samanta, Ash Samanta, </w:t>
      </w:r>
      <w:r w:rsidR="004502A2" w:rsidRPr="004502A2">
        <w:rPr>
          <w:i/>
        </w:rPr>
        <w:t>Concentrate Medical Law, Oxford University Press</w:t>
      </w:r>
      <w:r w:rsidR="004502A2" w:rsidRPr="004502A2">
        <w:t>, New York, 2014</w:t>
      </w:r>
      <w:r w:rsidR="004502A2">
        <w:rPr>
          <w:i/>
        </w:rPr>
        <w:t xml:space="preserve">, </w:t>
      </w:r>
      <w:r>
        <w:t>hlm. 46.</w:t>
      </w:r>
    </w:p>
  </w:footnote>
  <w:footnote w:id="36">
    <w:p w:rsidR="00605B4D" w:rsidRDefault="00605B4D" w:rsidP="00605B4D">
      <w:pPr>
        <w:pStyle w:val="footnote"/>
      </w:pPr>
      <w:r>
        <w:rPr>
          <w:rStyle w:val="FootnoteReference"/>
        </w:rPr>
        <w:footnoteRef/>
      </w:r>
      <w:r>
        <w:t xml:space="preserve"> Konsil Kedokteran Indonesia</w:t>
      </w:r>
      <w:r w:rsidRPr="00571ECA">
        <w:rPr>
          <w:i/>
        </w:rPr>
        <w:t>, Op. cit</w:t>
      </w:r>
      <w:r>
        <w:t>., hlm. 1.</w:t>
      </w:r>
    </w:p>
  </w:footnote>
  <w:footnote w:id="37">
    <w:p w:rsidR="00605B4D" w:rsidRDefault="00605B4D" w:rsidP="00605B4D">
      <w:pPr>
        <w:pStyle w:val="footnote"/>
      </w:pPr>
      <w:r>
        <w:rPr>
          <w:rStyle w:val="FootnoteReference"/>
        </w:rPr>
        <w:footnoteRef/>
      </w:r>
      <w:r>
        <w:t xml:space="preserve"> </w:t>
      </w:r>
      <w:r w:rsidRPr="00571ECA">
        <w:rPr>
          <w:i/>
        </w:rPr>
        <w:t>Ibid</w:t>
      </w:r>
      <w:r>
        <w:t>, hlm. 10.</w:t>
      </w:r>
    </w:p>
  </w:footnote>
  <w:footnote w:id="38">
    <w:p w:rsidR="00605B4D" w:rsidRDefault="00605B4D" w:rsidP="00605B4D">
      <w:pPr>
        <w:pStyle w:val="footnote"/>
      </w:pPr>
      <w:r>
        <w:rPr>
          <w:rStyle w:val="FootnoteReference"/>
        </w:rPr>
        <w:footnoteRef/>
      </w:r>
      <w:r w:rsidRPr="00571ECA">
        <w:rPr>
          <w:i/>
        </w:rPr>
        <w:t xml:space="preserve"> Ibid</w:t>
      </w:r>
      <w:r>
        <w:t>, hlm. 11.</w:t>
      </w:r>
    </w:p>
  </w:footnote>
  <w:footnote w:id="39">
    <w:p w:rsidR="00605B4D" w:rsidRDefault="00605B4D" w:rsidP="00605B4D">
      <w:pPr>
        <w:pStyle w:val="footnote"/>
      </w:pPr>
      <w:r>
        <w:rPr>
          <w:rStyle w:val="FootnoteReference"/>
        </w:rPr>
        <w:footnoteRef/>
      </w:r>
      <w:r>
        <w:t xml:space="preserve"> Jo Samantha, Ash Samantha, </w:t>
      </w:r>
      <w:r>
        <w:rPr>
          <w:i/>
        </w:rPr>
        <w:t>Op. cit.</w:t>
      </w:r>
      <w:r>
        <w:t>, hlm. 54-55.</w:t>
      </w:r>
    </w:p>
  </w:footnote>
  <w:footnote w:id="40">
    <w:p w:rsidR="00605B4D" w:rsidRDefault="00605B4D" w:rsidP="00605B4D">
      <w:pPr>
        <w:pStyle w:val="footnote"/>
      </w:pPr>
      <w:r>
        <w:rPr>
          <w:rStyle w:val="FootnoteReference"/>
        </w:rPr>
        <w:footnoteRef/>
      </w:r>
      <w:r>
        <w:t xml:space="preserve"> Jonathan Herring</w:t>
      </w:r>
      <w:r w:rsidRPr="002B246A">
        <w:rPr>
          <w:i/>
        </w:rPr>
        <w:t>, Op. cit</w:t>
      </w:r>
      <w:r>
        <w:t>., hlm. 183.</w:t>
      </w:r>
    </w:p>
  </w:footnote>
  <w:footnote w:id="41">
    <w:p w:rsidR="00605B4D" w:rsidRDefault="00605B4D" w:rsidP="00605B4D">
      <w:pPr>
        <w:pStyle w:val="footnote"/>
      </w:pPr>
      <w:r>
        <w:rPr>
          <w:rStyle w:val="FootnoteReference"/>
        </w:rPr>
        <w:footnoteRef/>
      </w:r>
      <w:r>
        <w:t xml:space="preserve"> </w:t>
      </w:r>
      <w:r w:rsidRPr="002B246A">
        <w:rPr>
          <w:i/>
        </w:rPr>
        <w:t>Ibid</w:t>
      </w:r>
      <w:r>
        <w:t xml:space="preserve">, hlm. 168. </w:t>
      </w:r>
    </w:p>
  </w:footnote>
  <w:footnote w:id="42">
    <w:p w:rsidR="00605B4D" w:rsidRDefault="00605B4D" w:rsidP="00605B4D">
      <w:pPr>
        <w:pStyle w:val="footnote"/>
      </w:pPr>
      <w:r>
        <w:rPr>
          <w:rStyle w:val="FootnoteReference"/>
        </w:rPr>
        <w:footnoteRef/>
      </w:r>
      <w:r w:rsidRPr="002B246A">
        <w:rPr>
          <w:i/>
        </w:rPr>
        <w:t xml:space="preserve"> Ibid</w:t>
      </w:r>
      <w:r>
        <w:t>, 185-186.</w:t>
      </w:r>
    </w:p>
  </w:footnote>
  <w:footnote w:id="43">
    <w:p w:rsidR="00605B4D" w:rsidRDefault="00605B4D" w:rsidP="00605B4D">
      <w:pPr>
        <w:pStyle w:val="footnote"/>
      </w:pPr>
      <w:r>
        <w:rPr>
          <w:rStyle w:val="FootnoteReference"/>
        </w:rPr>
        <w:footnoteRef/>
      </w:r>
      <w:r>
        <w:t xml:space="preserve"> Jonathan Herring, </w:t>
      </w:r>
      <w:r w:rsidRPr="008F13BA">
        <w:rPr>
          <w:i/>
        </w:rPr>
        <w:t>Loc. cit.</w:t>
      </w:r>
    </w:p>
  </w:footnote>
  <w:footnote w:id="44">
    <w:p w:rsidR="00605B4D" w:rsidRDefault="00605B4D" w:rsidP="00605B4D">
      <w:pPr>
        <w:pStyle w:val="footnote"/>
      </w:pPr>
      <w:r>
        <w:rPr>
          <w:rStyle w:val="FootnoteReference"/>
        </w:rPr>
        <w:footnoteRef/>
      </w:r>
      <w:r>
        <w:t xml:space="preserve"> </w:t>
      </w:r>
      <w:r w:rsidRPr="002B246A">
        <w:rPr>
          <w:i/>
        </w:rPr>
        <w:t>Ibid</w:t>
      </w:r>
      <w:r>
        <w:t xml:space="preserve">, hlm. 187. </w:t>
      </w:r>
    </w:p>
  </w:footnote>
  <w:footnote w:id="45">
    <w:p w:rsidR="00605B4D" w:rsidRDefault="00605B4D" w:rsidP="00605B4D">
      <w:pPr>
        <w:pStyle w:val="footnote"/>
      </w:pPr>
      <w:r>
        <w:rPr>
          <w:rStyle w:val="FootnoteReference"/>
        </w:rPr>
        <w:footnoteRef/>
      </w:r>
      <w:r>
        <w:t xml:space="preserve"> </w:t>
      </w:r>
      <w:r w:rsidRPr="00424386">
        <w:rPr>
          <w:i/>
        </w:rPr>
        <w:t>Ibid</w:t>
      </w:r>
      <w:r>
        <w:t>, hlm. 191-192.</w:t>
      </w:r>
    </w:p>
  </w:footnote>
  <w:footnote w:id="46">
    <w:p w:rsidR="00605B4D" w:rsidRDefault="00605B4D" w:rsidP="00605B4D">
      <w:pPr>
        <w:pStyle w:val="footnote"/>
      </w:pPr>
      <w:r>
        <w:rPr>
          <w:rStyle w:val="FootnoteReference"/>
        </w:rPr>
        <w:footnoteRef/>
      </w:r>
      <w:r>
        <w:t xml:space="preserve"> </w:t>
      </w:r>
      <w:r w:rsidRPr="00424386">
        <w:rPr>
          <w:i/>
        </w:rPr>
        <w:t>Ibid</w:t>
      </w:r>
      <w:r>
        <w:t>, hlm. 198-199.</w:t>
      </w:r>
    </w:p>
  </w:footnote>
  <w:footnote w:id="47">
    <w:p w:rsidR="00605B4D" w:rsidRDefault="00605B4D" w:rsidP="00605B4D">
      <w:pPr>
        <w:pStyle w:val="footnote"/>
      </w:pPr>
      <w:r>
        <w:rPr>
          <w:rStyle w:val="FootnoteReference"/>
        </w:rPr>
        <w:footnoteRef/>
      </w:r>
      <w:r w:rsidRPr="00424386">
        <w:rPr>
          <w:i/>
        </w:rPr>
        <w:t xml:space="preserve"> Ibid</w:t>
      </w:r>
      <w:r>
        <w:t xml:space="preserve">, hlm. 199. </w:t>
      </w:r>
    </w:p>
  </w:footnote>
  <w:footnote w:id="48">
    <w:p w:rsidR="00605B4D" w:rsidRDefault="00605B4D" w:rsidP="00605B4D">
      <w:pPr>
        <w:pStyle w:val="footnote"/>
      </w:pPr>
      <w:r>
        <w:rPr>
          <w:rStyle w:val="FootnoteReference"/>
        </w:rPr>
        <w:footnoteRef/>
      </w:r>
      <w:r>
        <w:t xml:space="preserve"> Jonathan Herring, </w:t>
      </w:r>
      <w:r>
        <w:rPr>
          <w:i/>
        </w:rPr>
        <w:t>Op. cit.</w:t>
      </w:r>
      <w:r>
        <w:t>, hlm. 56.</w:t>
      </w:r>
    </w:p>
  </w:footnote>
  <w:footnote w:id="49">
    <w:p w:rsidR="00EE64F9" w:rsidRDefault="00EE64F9" w:rsidP="00EE64F9">
      <w:pPr>
        <w:pStyle w:val="footnote"/>
      </w:pPr>
      <w:r>
        <w:rPr>
          <w:rStyle w:val="FootnoteReference"/>
        </w:rPr>
        <w:footnoteRef/>
      </w:r>
      <w:r>
        <w:t xml:space="preserve"> Department of Constitutional Affairs, </w:t>
      </w:r>
      <w:r w:rsidRPr="00054152">
        <w:rPr>
          <w:i/>
        </w:rPr>
        <w:t>Mental Capacity Act 2005 Code of Practice</w:t>
      </w:r>
      <w:r>
        <w:t xml:space="preserve">, The Stationary Office, London, 2007, hlm. 216.  </w:t>
      </w:r>
    </w:p>
  </w:footnote>
  <w:footnote w:id="50">
    <w:p w:rsidR="00EE64F9" w:rsidRDefault="00EE64F9" w:rsidP="00EE64F9">
      <w:pPr>
        <w:pStyle w:val="footnote"/>
        <w:tabs>
          <w:tab w:val="left" w:pos="4990"/>
        </w:tabs>
      </w:pPr>
      <w:r>
        <w:rPr>
          <w:rStyle w:val="FootnoteReference"/>
        </w:rPr>
        <w:footnoteRef/>
      </w:r>
      <w:r>
        <w:t xml:space="preserve"> Jonathan Herring, </w:t>
      </w:r>
      <w:r w:rsidRPr="002B246A">
        <w:rPr>
          <w:i/>
        </w:rPr>
        <w:t>Op. cit</w:t>
      </w:r>
      <w:r>
        <w:t>., hlm. 199.</w:t>
      </w:r>
    </w:p>
  </w:footnote>
  <w:footnote w:id="51">
    <w:p w:rsidR="00EE64F9" w:rsidRDefault="00EE64F9" w:rsidP="00EE64F9">
      <w:pPr>
        <w:pStyle w:val="footnote"/>
      </w:pPr>
      <w:r>
        <w:rPr>
          <w:rStyle w:val="FootnoteReference"/>
        </w:rPr>
        <w:footnoteRef/>
      </w:r>
      <w:r>
        <w:t xml:space="preserve"> Jo Samanta, Ash Samanta, </w:t>
      </w:r>
      <w:r>
        <w:rPr>
          <w:i/>
        </w:rPr>
        <w:t>Op. cit.,</w:t>
      </w:r>
      <w:r>
        <w:t xml:space="preserve"> hlm. 44-45.</w:t>
      </w:r>
    </w:p>
  </w:footnote>
  <w:footnote w:id="52">
    <w:p w:rsidR="00EE64F9" w:rsidRPr="007E2193" w:rsidRDefault="00EE64F9" w:rsidP="00EE64F9">
      <w:pPr>
        <w:pStyle w:val="footnote"/>
      </w:pPr>
      <w:r w:rsidRPr="007E2193">
        <w:rPr>
          <w:rStyle w:val="FootnoteReference"/>
        </w:rPr>
        <w:footnoteRef/>
      </w:r>
      <w:r>
        <w:t xml:space="preserve"> Jo Samanta, Ash Samanta, </w:t>
      </w:r>
      <w:r w:rsidRPr="007E2193">
        <w:rPr>
          <w:i/>
        </w:rPr>
        <w:t>Loc. cit.</w:t>
      </w:r>
    </w:p>
  </w:footnote>
  <w:footnote w:id="53">
    <w:p w:rsidR="00EE64F9" w:rsidRPr="007E2193" w:rsidRDefault="00EE64F9" w:rsidP="00EE64F9">
      <w:pPr>
        <w:pStyle w:val="footnote"/>
      </w:pPr>
      <w:r w:rsidRPr="007E2193">
        <w:rPr>
          <w:rStyle w:val="FootnoteReference"/>
        </w:rPr>
        <w:footnoteRef/>
      </w:r>
      <w:r w:rsidRPr="007E2193">
        <w:t xml:space="preserve"> Jonathan Herring, </w:t>
      </w:r>
      <w:r>
        <w:rPr>
          <w:i/>
        </w:rPr>
        <w:t>Op. cit.</w:t>
      </w:r>
      <w:r w:rsidRPr="007E2193">
        <w:t>, hlm. 167.</w:t>
      </w:r>
    </w:p>
  </w:footnote>
  <w:footnote w:id="54">
    <w:p w:rsidR="00EE64F9" w:rsidRPr="007E2193" w:rsidRDefault="00EE64F9" w:rsidP="00EE64F9">
      <w:pPr>
        <w:pStyle w:val="footnote"/>
      </w:pPr>
      <w:r w:rsidRPr="007E2193">
        <w:rPr>
          <w:rStyle w:val="FootnoteReference"/>
        </w:rPr>
        <w:footnoteRef/>
      </w:r>
      <w:r w:rsidRPr="007E2193">
        <w:t xml:space="preserve"> </w:t>
      </w:r>
      <w:r w:rsidRPr="00693B29">
        <w:rPr>
          <w:i/>
        </w:rPr>
        <w:t>Ibid</w:t>
      </w:r>
      <w:r w:rsidRPr="007E2193">
        <w:t>,  hlm. 161</w:t>
      </w:r>
    </w:p>
  </w:footnote>
  <w:footnote w:id="55">
    <w:p w:rsidR="00EE64F9" w:rsidRDefault="00EE64F9" w:rsidP="00EE64F9">
      <w:pPr>
        <w:pStyle w:val="footnote"/>
      </w:pPr>
      <w:r>
        <w:rPr>
          <w:rStyle w:val="FootnoteReference"/>
        </w:rPr>
        <w:footnoteRef/>
      </w:r>
      <w:r w:rsidRPr="00010F72">
        <w:rPr>
          <w:i/>
        </w:rPr>
        <w:t xml:space="preserve"> Ibid</w:t>
      </w:r>
      <w:r>
        <w:t>, hlm. 162</w:t>
      </w:r>
    </w:p>
  </w:footnote>
  <w:footnote w:id="56">
    <w:p w:rsidR="00EE64F9" w:rsidRDefault="00EE64F9" w:rsidP="00EE64F9">
      <w:pPr>
        <w:pStyle w:val="footnote"/>
      </w:pPr>
      <w:r>
        <w:rPr>
          <w:rStyle w:val="FootnoteReference"/>
        </w:rPr>
        <w:footnoteRef/>
      </w:r>
      <w:r>
        <w:t xml:space="preserve"> Jo Samanta, Ash Samanta, </w:t>
      </w:r>
      <w:r w:rsidRPr="00464812">
        <w:rPr>
          <w:i/>
        </w:rPr>
        <w:t>Ibid</w:t>
      </w:r>
      <w:r>
        <w:t>, hlm.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B5CBB0"/>
    <w:multiLevelType w:val="hybridMultilevel"/>
    <w:tmpl w:val="04B203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86E7A"/>
    <w:multiLevelType w:val="hybridMultilevel"/>
    <w:tmpl w:val="5C6C95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174A82"/>
    <w:multiLevelType w:val="hybridMultilevel"/>
    <w:tmpl w:val="230245B8"/>
    <w:lvl w:ilvl="0" w:tplc="2EF00A5A">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246C5"/>
    <w:multiLevelType w:val="hybridMultilevel"/>
    <w:tmpl w:val="6140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C3459"/>
    <w:multiLevelType w:val="multilevel"/>
    <w:tmpl w:val="4124679C"/>
    <w:lvl w:ilvl="0">
      <w:start w:val="1"/>
      <w:numFmt w:val="lowerLetter"/>
      <w:lvlText w:val="%1"/>
      <w:lvlJc w:val="left"/>
      <w:pPr>
        <w:ind w:left="720" w:hanging="360"/>
      </w:pPr>
      <w:rPr>
        <w:rFonts w:ascii="Arial" w:eastAsia="Arial" w:hAnsi="Arial" w:cs="Arial" w:hint="default"/>
        <w:b w:val="0"/>
        <w:i w:val="0"/>
        <w:strike w:val="0"/>
        <w:dstrike w:val="0"/>
        <w:color w:val="1F1917"/>
        <w:sz w:val="18"/>
        <w:szCs w:val="18"/>
        <w:u w:val="none" w:color="000000"/>
        <w:bdr w:val="none" w:sz="0" w:space="0" w:color="auto"/>
        <w:shd w:val="clear" w:color="auto" w:fill="auto"/>
        <w:vertAlign w:val="baseli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0C61AB"/>
    <w:multiLevelType w:val="hybridMultilevel"/>
    <w:tmpl w:val="09741FDC"/>
    <w:lvl w:ilvl="0" w:tplc="E308250E">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56D0D"/>
    <w:multiLevelType w:val="hybridMultilevel"/>
    <w:tmpl w:val="38E29A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22575"/>
    <w:multiLevelType w:val="hybridMultilevel"/>
    <w:tmpl w:val="461AB6C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8F3F8A"/>
    <w:multiLevelType w:val="multilevel"/>
    <w:tmpl w:val="54304F7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112DF"/>
    <w:multiLevelType w:val="hybridMultilevel"/>
    <w:tmpl w:val="7A1C1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B30CC"/>
    <w:multiLevelType w:val="hybridMultilevel"/>
    <w:tmpl w:val="D590AA08"/>
    <w:lvl w:ilvl="0" w:tplc="FE28DE0A">
      <w:start w:val="1"/>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D65FA"/>
    <w:multiLevelType w:val="hybridMultilevel"/>
    <w:tmpl w:val="027A4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AD44A1"/>
    <w:multiLevelType w:val="hybridMultilevel"/>
    <w:tmpl w:val="38E29A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A7240"/>
    <w:multiLevelType w:val="hybridMultilevel"/>
    <w:tmpl w:val="38F0BB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B8F2570"/>
    <w:multiLevelType w:val="hybridMultilevel"/>
    <w:tmpl w:val="0A1E6360"/>
    <w:lvl w:ilvl="0" w:tplc="D4D0CC48">
      <w:start w:val="1"/>
      <w:numFmt w:val="decimal"/>
      <w:lvlText w:val="%1."/>
      <w:lvlJc w:val="left"/>
      <w:pPr>
        <w:ind w:left="335"/>
      </w:pPr>
      <w:rPr>
        <w:rFonts w:ascii="Arial" w:eastAsia="Arial" w:hAnsi="Arial" w:cs="Arial"/>
        <w:b w:val="0"/>
        <w:i w:val="0"/>
        <w:strike w:val="0"/>
        <w:dstrike w:val="0"/>
        <w:color w:val="1F1917"/>
        <w:sz w:val="18"/>
        <w:szCs w:val="18"/>
        <w:u w:val="none" w:color="000000"/>
        <w:bdr w:val="none" w:sz="0" w:space="0" w:color="auto"/>
        <w:shd w:val="clear" w:color="auto" w:fill="auto"/>
        <w:vertAlign w:val="baseline"/>
      </w:rPr>
    </w:lvl>
    <w:lvl w:ilvl="1" w:tplc="8A50B058">
      <w:start w:val="1"/>
      <w:numFmt w:val="lowerLetter"/>
      <w:lvlText w:val="%2"/>
      <w:lvlJc w:val="left"/>
      <w:pPr>
        <w:ind w:left="1080"/>
      </w:pPr>
      <w:rPr>
        <w:rFonts w:ascii="Arial" w:eastAsia="Arial" w:hAnsi="Arial" w:cs="Arial"/>
        <w:b w:val="0"/>
        <w:i w:val="0"/>
        <w:strike w:val="0"/>
        <w:dstrike w:val="0"/>
        <w:color w:val="1F1917"/>
        <w:sz w:val="18"/>
        <w:szCs w:val="18"/>
        <w:u w:val="none" w:color="000000"/>
        <w:bdr w:val="none" w:sz="0" w:space="0" w:color="auto"/>
        <w:shd w:val="clear" w:color="auto" w:fill="auto"/>
        <w:vertAlign w:val="baseline"/>
      </w:rPr>
    </w:lvl>
    <w:lvl w:ilvl="2" w:tplc="A9BC31FC">
      <w:start w:val="1"/>
      <w:numFmt w:val="lowerRoman"/>
      <w:lvlText w:val="%3"/>
      <w:lvlJc w:val="left"/>
      <w:pPr>
        <w:ind w:left="1800"/>
      </w:pPr>
      <w:rPr>
        <w:rFonts w:ascii="Arial" w:eastAsia="Arial" w:hAnsi="Arial" w:cs="Arial"/>
        <w:b w:val="0"/>
        <w:i w:val="0"/>
        <w:strike w:val="0"/>
        <w:dstrike w:val="0"/>
        <w:color w:val="1F1917"/>
        <w:sz w:val="18"/>
        <w:szCs w:val="18"/>
        <w:u w:val="none" w:color="000000"/>
        <w:bdr w:val="none" w:sz="0" w:space="0" w:color="auto"/>
        <w:shd w:val="clear" w:color="auto" w:fill="auto"/>
        <w:vertAlign w:val="baseline"/>
      </w:rPr>
    </w:lvl>
    <w:lvl w:ilvl="3" w:tplc="0C2C670E">
      <w:start w:val="1"/>
      <w:numFmt w:val="decimal"/>
      <w:lvlText w:val="%4"/>
      <w:lvlJc w:val="left"/>
      <w:pPr>
        <w:ind w:left="2520"/>
      </w:pPr>
      <w:rPr>
        <w:rFonts w:ascii="Arial" w:eastAsia="Arial" w:hAnsi="Arial" w:cs="Arial"/>
        <w:b w:val="0"/>
        <w:i w:val="0"/>
        <w:strike w:val="0"/>
        <w:dstrike w:val="0"/>
        <w:color w:val="1F1917"/>
        <w:sz w:val="18"/>
        <w:szCs w:val="18"/>
        <w:u w:val="none" w:color="000000"/>
        <w:bdr w:val="none" w:sz="0" w:space="0" w:color="auto"/>
        <w:shd w:val="clear" w:color="auto" w:fill="auto"/>
        <w:vertAlign w:val="baseline"/>
      </w:rPr>
    </w:lvl>
    <w:lvl w:ilvl="4" w:tplc="F27C4920">
      <w:start w:val="1"/>
      <w:numFmt w:val="lowerLetter"/>
      <w:lvlText w:val="%5"/>
      <w:lvlJc w:val="left"/>
      <w:pPr>
        <w:ind w:left="3240"/>
      </w:pPr>
      <w:rPr>
        <w:rFonts w:ascii="Arial" w:eastAsia="Arial" w:hAnsi="Arial" w:cs="Arial"/>
        <w:b w:val="0"/>
        <w:i w:val="0"/>
        <w:strike w:val="0"/>
        <w:dstrike w:val="0"/>
        <w:color w:val="1F1917"/>
        <w:sz w:val="18"/>
        <w:szCs w:val="18"/>
        <w:u w:val="none" w:color="000000"/>
        <w:bdr w:val="none" w:sz="0" w:space="0" w:color="auto"/>
        <w:shd w:val="clear" w:color="auto" w:fill="auto"/>
        <w:vertAlign w:val="baseline"/>
      </w:rPr>
    </w:lvl>
    <w:lvl w:ilvl="5" w:tplc="B7920062">
      <w:start w:val="1"/>
      <w:numFmt w:val="lowerRoman"/>
      <w:lvlText w:val="%6"/>
      <w:lvlJc w:val="left"/>
      <w:pPr>
        <w:ind w:left="3960"/>
      </w:pPr>
      <w:rPr>
        <w:rFonts w:ascii="Arial" w:eastAsia="Arial" w:hAnsi="Arial" w:cs="Arial"/>
        <w:b w:val="0"/>
        <w:i w:val="0"/>
        <w:strike w:val="0"/>
        <w:dstrike w:val="0"/>
        <w:color w:val="1F1917"/>
        <w:sz w:val="18"/>
        <w:szCs w:val="18"/>
        <w:u w:val="none" w:color="000000"/>
        <w:bdr w:val="none" w:sz="0" w:space="0" w:color="auto"/>
        <w:shd w:val="clear" w:color="auto" w:fill="auto"/>
        <w:vertAlign w:val="baseline"/>
      </w:rPr>
    </w:lvl>
    <w:lvl w:ilvl="6" w:tplc="1C2E92F2">
      <w:start w:val="1"/>
      <w:numFmt w:val="decimal"/>
      <w:lvlText w:val="%7"/>
      <w:lvlJc w:val="left"/>
      <w:pPr>
        <w:ind w:left="4680"/>
      </w:pPr>
      <w:rPr>
        <w:rFonts w:ascii="Arial" w:eastAsia="Arial" w:hAnsi="Arial" w:cs="Arial"/>
        <w:b w:val="0"/>
        <w:i w:val="0"/>
        <w:strike w:val="0"/>
        <w:dstrike w:val="0"/>
        <w:color w:val="1F1917"/>
        <w:sz w:val="18"/>
        <w:szCs w:val="18"/>
        <w:u w:val="none" w:color="000000"/>
        <w:bdr w:val="none" w:sz="0" w:space="0" w:color="auto"/>
        <w:shd w:val="clear" w:color="auto" w:fill="auto"/>
        <w:vertAlign w:val="baseline"/>
      </w:rPr>
    </w:lvl>
    <w:lvl w:ilvl="7" w:tplc="C038C32E">
      <w:start w:val="1"/>
      <w:numFmt w:val="lowerLetter"/>
      <w:lvlText w:val="%8"/>
      <w:lvlJc w:val="left"/>
      <w:pPr>
        <w:ind w:left="5400"/>
      </w:pPr>
      <w:rPr>
        <w:rFonts w:ascii="Arial" w:eastAsia="Arial" w:hAnsi="Arial" w:cs="Arial"/>
        <w:b w:val="0"/>
        <w:i w:val="0"/>
        <w:strike w:val="0"/>
        <w:dstrike w:val="0"/>
        <w:color w:val="1F1917"/>
        <w:sz w:val="18"/>
        <w:szCs w:val="18"/>
        <w:u w:val="none" w:color="000000"/>
        <w:bdr w:val="none" w:sz="0" w:space="0" w:color="auto"/>
        <w:shd w:val="clear" w:color="auto" w:fill="auto"/>
        <w:vertAlign w:val="baseline"/>
      </w:rPr>
    </w:lvl>
    <w:lvl w:ilvl="8" w:tplc="3FECA9A8">
      <w:start w:val="1"/>
      <w:numFmt w:val="lowerRoman"/>
      <w:lvlText w:val="%9"/>
      <w:lvlJc w:val="left"/>
      <w:pPr>
        <w:ind w:left="6120"/>
      </w:pPr>
      <w:rPr>
        <w:rFonts w:ascii="Arial" w:eastAsia="Arial" w:hAnsi="Arial" w:cs="Arial"/>
        <w:b w:val="0"/>
        <w:i w:val="0"/>
        <w:strike w:val="0"/>
        <w:dstrike w:val="0"/>
        <w:color w:val="1F1917"/>
        <w:sz w:val="18"/>
        <w:szCs w:val="18"/>
        <w:u w:val="none" w:color="000000"/>
        <w:bdr w:val="none" w:sz="0" w:space="0" w:color="auto"/>
        <w:shd w:val="clear" w:color="auto" w:fill="auto"/>
        <w:vertAlign w:val="baseline"/>
      </w:rPr>
    </w:lvl>
  </w:abstractNum>
  <w:abstractNum w:abstractNumId="15" w15:restartNumberingAfterBreak="0">
    <w:nsid w:val="3E2A15B9"/>
    <w:multiLevelType w:val="hybridMultilevel"/>
    <w:tmpl w:val="59D49820"/>
    <w:lvl w:ilvl="0" w:tplc="D9345110">
      <w:start w:val="1"/>
      <w:numFmt w:val="decimal"/>
      <w:lvlText w:val="%1."/>
      <w:lvlJc w:val="left"/>
      <w:pPr>
        <w:tabs>
          <w:tab w:val="num" w:pos="374"/>
        </w:tabs>
        <w:ind w:left="374" w:hanging="360"/>
      </w:pPr>
      <w:rPr>
        <w:rFonts w:hint="default"/>
      </w:rPr>
    </w:lvl>
    <w:lvl w:ilvl="1" w:tplc="04090019">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6" w15:restartNumberingAfterBreak="0">
    <w:nsid w:val="41035BBE"/>
    <w:multiLevelType w:val="hybridMultilevel"/>
    <w:tmpl w:val="5972C8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A3C1E"/>
    <w:multiLevelType w:val="hybridMultilevel"/>
    <w:tmpl w:val="F514C2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A4F7CA7"/>
    <w:multiLevelType w:val="hybridMultilevel"/>
    <w:tmpl w:val="E4122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CA5EF1"/>
    <w:multiLevelType w:val="hybridMultilevel"/>
    <w:tmpl w:val="39CCACDC"/>
    <w:lvl w:ilvl="0" w:tplc="261EC444">
      <w:start w:val="1"/>
      <w:numFmt w:val="decimal"/>
      <w:lvlText w:val="(%1)"/>
      <w:lvlJc w:val="left"/>
      <w:pPr>
        <w:tabs>
          <w:tab w:val="num" w:pos="720"/>
        </w:tabs>
        <w:ind w:left="720" w:hanging="360"/>
      </w:pPr>
    </w:lvl>
    <w:lvl w:ilvl="1" w:tplc="08E48608" w:tentative="1">
      <w:start w:val="1"/>
      <w:numFmt w:val="decimal"/>
      <w:lvlText w:val="(%2)"/>
      <w:lvlJc w:val="left"/>
      <w:pPr>
        <w:tabs>
          <w:tab w:val="num" w:pos="1440"/>
        </w:tabs>
        <w:ind w:left="1440" w:hanging="360"/>
      </w:pPr>
    </w:lvl>
    <w:lvl w:ilvl="2" w:tplc="62D2AA0C" w:tentative="1">
      <w:start w:val="1"/>
      <w:numFmt w:val="decimal"/>
      <w:lvlText w:val="(%3)"/>
      <w:lvlJc w:val="left"/>
      <w:pPr>
        <w:tabs>
          <w:tab w:val="num" w:pos="2160"/>
        </w:tabs>
        <w:ind w:left="2160" w:hanging="360"/>
      </w:pPr>
    </w:lvl>
    <w:lvl w:ilvl="3" w:tplc="063EC6E8" w:tentative="1">
      <w:start w:val="1"/>
      <w:numFmt w:val="decimal"/>
      <w:lvlText w:val="(%4)"/>
      <w:lvlJc w:val="left"/>
      <w:pPr>
        <w:tabs>
          <w:tab w:val="num" w:pos="2880"/>
        </w:tabs>
        <w:ind w:left="2880" w:hanging="360"/>
      </w:pPr>
    </w:lvl>
    <w:lvl w:ilvl="4" w:tplc="568C9E3A" w:tentative="1">
      <w:start w:val="1"/>
      <w:numFmt w:val="decimal"/>
      <w:lvlText w:val="(%5)"/>
      <w:lvlJc w:val="left"/>
      <w:pPr>
        <w:tabs>
          <w:tab w:val="num" w:pos="3600"/>
        </w:tabs>
        <w:ind w:left="3600" w:hanging="360"/>
      </w:pPr>
    </w:lvl>
    <w:lvl w:ilvl="5" w:tplc="B6FEC140" w:tentative="1">
      <w:start w:val="1"/>
      <w:numFmt w:val="decimal"/>
      <w:lvlText w:val="(%6)"/>
      <w:lvlJc w:val="left"/>
      <w:pPr>
        <w:tabs>
          <w:tab w:val="num" w:pos="4320"/>
        </w:tabs>
        <w:ind w:left="4320" w:hanging="360"/>
      </w:pPr>
    </w:lvl>
    <w:lvl w:ilvl="6" w:tplc="271CC25A" w:tentative="1">
      <w:start w:val="1"/>
      <w:numFmt w:val="decimal"/>
      <w:lvlText w:val="(%7)"/>
      <w:lvlJc w:val="left"/>
      <w:pPr>
        <w:tabs>
          <w:tab w:val="num" w:pos="5040"/>
        </w:tabs>
        <w:ind w:left="5040" w:hanging="360"/>
      </w:pPr>
    </w:lvl>
    <w:lvl w:ilvl="7" w:tplc="82321BD4" w:tentative="1">
      <w:start w:val="1"/>
      <w:numFmt w:val="decimal"/>
      <w:lvlText w:val="(%8)"/>
      <w:lvlJc w:val="left"/>
      <w:pPr>
        <w:tabs>
          <w:tab w:val="num" w:pos="5760"/>
        </w:tabs>
        <w:ind w:left="5760" w:hanging="360"/>
      </w:pPr>
    </w:lvl>
    <w:lvl w:ilvl="8" w:tplc="1F2053C0" w:tentative="1">
      <w:start w:val="1"/>
      <w:numFmt w:val="decimal"/>
      <w:lvlText w:val="(%9)"/>
      <w:lvlJc w:val="left"/>
      <w:pPr>
        <w:tabs>
          <w:tab w:val="num" w:pos="6480"/>
        </w:tabs>
        <w:ind w:left="6480" w:hanging="360"/>
      </w:pPr>
    </w:lvl>
  </w:abstractNum>
  <w:abstractNum w:abstractNumId="20" w15:restartNumberingAfterBreak="0">
    <w:nsid w:val="4DDF3181"/>
    <w:multiLevelType w:val="hybridMultilevel"/>
    <w:tmpl w:val="002038F6"/>
    <w:lvl w:ilvl="0" w:tplc="B46411E0">
      <w:start w:val="1"/>
      <w:numFmt w:val="bullet"/>
      <w:lvlText w:val=""/>
      <w:lvlJc w:val="left"/>
      <w:pPr>
        <w:tabs>
          <w:tab w:val="num" w:pos="720"/>
        </w:tabs>
        <w:ind w:left="720" w:hanging="360"/>
      </w:pPr>
      <w:rPr>
        <w:rFonts w:ascii="Wingdings" w:hAnsi="Wingdings" w:hint="default"/>
      </w:rPr>
    </w:lvl>
    <w:lvl w:ilvl="1" w:tplc="E308250E">
      <w:numFmt w:val="bullet"/>
      <w:lvlText w:val=""/>
      <w:lvlJc w:val="left"/>
      <w:pPr>
        <w:tabs>
          <w:tab w:val="num" w:pos="1440"/>
        </w:tabs>
        <w:ind w:left="1440" w:hanging="360"/>
      </w:pPr>
      <w:rPr>
        <w:rFonts w:ascii="Symbol" w:eastAsia="Times New Roman" w:hAnsi="Symbol" w:cs="Arial" w:hint="default"/>
      </w:rPr>
    </w:lvl>
    <w:lvl w:ilvl="2" w:tplc="F7449FEA" w:tentative="1">
      <w:start w:val="1"/>
      <w:numFmt w:val="bullet"/>
      <w:lvlText w:val=""/>
      <w:lvlJc w:val="left"/>
      <w:pPr>
        <w:tabs>
          <w:tab w:val="num" w:pos="2160"/>
        </w:tabs>
        <w:ind w:left="2160" w:hanging="360"/>
      </w:pPr>
      <w:rPr>
        <w:rFonts w:ascii="Wingdings" w:hAnsi="Wingdings" w:hint="default"/>
      </w:rPr>
    </w:lvl>
    <w:lvl w:ilvl="3" w:tplc="5754B32C" w:tentative="1">
      <w:start w:val="1"/>
      <w:numFmt w:val="bullet"/>
      <w:lvlText w:val=""/>
      <w:lvlJc w:val="left"/>
      <w:pPr>
        <w:tabs>
          <w:tab w:val="num" w:pos="2880"/>
        </w:tabs>
        <w:ind w:left="2880" w:hanging="360"/>
      </w:pPr>
      <w:rPr>
        <w:rFonts w:ascii="Wingdings" w:hAnsi="Wingdings" w:hint="default"/>
      </w:rPr>
    </w:lvl>
    <w:lvl w:ilvl="4" w:tplc="2F428220" w:tentative="1">
      <w:start w:val="1"/>
      <w:numFmt w:val="bullet"/>
      <w:lvlText w:val=""/>
      <w:lvlJc w:val="left"/>
      <w:pPr>
        <w:tabs>
          <w:tab w:val="num" w:pos="3600"/>
        </w:tabs>
        <w:ind w:left="3600" w:hanging="360"/>
      </w:pPr>
      <w:rPr>
        <w:rFonts w:ascii="Wingdings" w:hAnsi="Wingdings" w:hint="default"/>
      </w:rPr>
    </w:lvl>
    <w:lvl w:ilvl="5" w:tplc="89562F6E" w:tentative="1">
      <w:start w:val="1"/>
      <w:numFmt w:val="bullet"/>
      <w:lvlText w:val=""/>
      <w:lvlJc w:val="left"/>
      <w:pPr>
        <w:tabs>
          <w:tab w:val="num" w:pos="4320"/>
        </w:tabs>
        <w:ind w:left="4320" w:hanging="360"/>
      </w:pPr>
      <w:rPr>
        <w:rFonts w:ascii="Wingdings" w:hAnsi="Wingdings" w:hint="default"/>
      </w:rPr>
    </w:lvl>
    <w:lvl w:ilvl="6" w:tplc="D856ED4E" w:tentative="1">
      <w:start w:val="1"/>
      <w:numFmt w:val="bullet"/>
      <w:lvlText w:val=""/>
      <w:lvlJc w:val="left"/>
      <w:pPr>
        <w:tabs>
          <w:tab w:val="num" w:pos="5040"/>
        </w:tabs>
        <w:ind w:left="5040" w:hanging="360"/>
      </w:pPr>
      <w:rPr>
        <w:rFonts w:ascii="Wingdings" w:hAnsi="Wingdings" w:hint="default"/>
      </w:rPr>
    </w:lvl>
    <w:lvl w:ilvl="7" w:tplc="86BC4A32" w:tentative="1">
      <w:start w:val="1"/>
      <w:numFmt w:val="bullet"/>
      <w:lvlText w:val=""/>
      <w:lvlJc w:val="left"/>
      <w:pPr>
        <w:tabs>
          <w:tab w:val="num" w:pos="5760"/>
        </w:tabs>
        <w:ind w:left="5760" w:hanging="360"/>
      </w:pPr>
      <w:rPr>
        <w:rFonts w:ascii="Wingdings" w:hAnsi="Wingdings" w:hint="default"/>
      </w:rPr>
    </w:lvl>
    <w:lvl w:ilvl="8" w:tplc="BE9E4C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9328D5"/>
    <w:multiLevelType w:val="hybridMultilevel"/>
    <w:tmpl w:val="4D4A9A4E"/>
    <w:lvl w:ilvl="0" w:tplc="26C48E22">
      <w:start w:val="1"/>
      <w:numFmt w:val="decimal"/>
      <w:lvlText w:val="(%1)"/>
      <w:lvlJc w:val="left"/>
      <w:pPr>
        <w:tabs>
          <w:tab w:val="num" w:pos="720"/>
        </w:tabs>
        <w:ind w:left="720" w:hanging="360"/>
      </w:pPr>
    </w:lvl>
    <w:lvl w:ilvl="1" w:tplc="49BE5E8C" w:tentative="1">
      <w:start w:val="1"/>
      <w:numFmt w:val="decimal"/>
      <w:lvlText w:val="(%2)"/>
      <w:lvlJc w:val="left"/>
      <w:pPr>
        <w:tabs>
          <w:tab w:val="num" w:pos="1440"/>
        </w:tabs>
        <w:ind w:left="1440" w:hanging="360"/>
      </w:pPr>
    </w:lvl>
    <w:lvl w:ilvl="2" w:tplc="740EA742" w:tentative="1">
      <w:start w:val="1"/>
      <w:numFmt w:val="decimal"/>
      <w:lvlText w:val="(%3)"/>
      <w:lvlJc w:val="left"/>
      <w:pPr>
        <w:tabs>
          <w:tab w:val="num" w:pos="2160"/>
        </w:tabs>
        <w:ind w:left="2160" w:hanging="360"/>
      </w:pPr>
    </w:lvl>
    <w:lvl w:ilvl="3" w:tplc="05222260" w:tentative="1">
      <w:start w:val="1"/>
      <w:numFmt w:val="decimal"/>
      <w:lvlText w:val="(%4)"/>
      <w:lvlJc w:val="left"/>
      <w:pPr>
        <w:tabs>
          <w:tab w:val="num" w:pos="2880"/>
        </w:tabs>
        <w:ind w:left="2880" w:hanging="360"/>
      </w:pPr>
    </w:lvl>
    <w:lvl w:ilvl="4" w:tplc="35102804" w:tentative="1">
      <w:start w:val="1"/>
      <w:numFmt w:val="decimal"/>
      <w:lvlText w:val="(%5)"/>
      <w:lvlJc w:val="left"/>
      <w:pPr>
        <w:tabs>
          <w:tab w:val="num" w:pos="3600"/>
        </w:tabs>
        <w:ind w:left="3600" w:hanging="360"/>
      </w:pPr>
    </w:lvl>
    <w:lvl w:ilvl="5" w:tplc="7004BE6C" w:tentative="1">
      <w:start w:val="1"/>
      <w:numFmt w:val="decimal"/>
      <w:lvlText w:val="(%6)"/>
      <w:lvlJc w:val="left"/>
      <w:pPr>
        <w:tabs>
          <w:tab w:val="num" w:pos="4320"/>
        </w:tabs>
        <w:ind w:left="4320" w:hanging="360"/>
      </w:pPr>
    </w:lvl>
    <w:lvl w:ilvl="6" w:tplc="DD0A6F8E" w:tentative="1">
      <w:start w:val="1"/>
      <w:numFmt w:val="decimal"/>
      <w:lvlText w:val="(%7)"/>
      <w:lvlJc w:val="left"/>
      <w:pPr>
        <w:tabs>
          <w:tab w:val="num" w:pos="5040"/>
        </w:tabs>
        <w:ind w:left="5040" w:hanging="360"/>
      </w:pPr>
    </w:lvl>
    <w:lvl w:ilvl="7" w:tplc="2250D464" w:tentative="1">
      <w:start w:val="1"/>
      <w:numFmt w:val="decimal"/>
      <w:lvlText w:val="(%8)"/>
      <w:lvlJc w:val="left"/>
      <w:pPr>
        <w:tabs>
          <w:tab w:val="num" w:pos="5760"/>
        </w:tabs>
        <w:ind w:left="5760" w:hanging="360"/>
      </w:pPr>
    </w:lvl>
    <w:lvl w:ilvl="8" w:tplc="AE36EEA6" w:tentative="1">
      <w:start w:val="1"/>
      <w:numFmt w:val="decimal"/>
      <w:lvlText w:val="(%9)"/>
      <w:lvlJc w:val="left"/>
      <w:pPr>
        <w:tabs>
          <w:tab w:val="num" w:pos="6480"/>
        </w:tabs>
        <w:ind w:left="6480" w:hanging="360"/>
      </w:pPr>
    </w:lvl>
  </w:abstractNum>
  <w:abstractNum w:abstractNumId="22" w15:restartNumberingAfterBreak="0">
    <w:nsid w:val="5F3961EF"/>
    <w:multiLevelType w:val="hybridMultilevel"/>
    <w:tmpl w:val="F036E8D6"/>
    <w:lvl w:ilvl="0" w:tplc="8DC2CF88">
      <w:start w:val="1"/>
      <w:numFmt w:val="upperLetter"/>
      <w:pStyle w:val="SUBBABA"/>
      <w:lvlText w:val="%1."/>
      <w:lvlJc w:val="left"/>
      <w:pPr>
        <w:ind w:left="720" w:hanging="360"/>
      </w:pPr>
      <w:rPr>
        <w:rFonts w:hint="default"/>
      </w:rPr>
    </w:lvl>
    <w:lvl w:ilvl="1" w:tplc="04090015">
      <w:start w:val="1"/>
      <w:numFmt w:val="upperLetter"/>
      <w:lvlText w:val="%2."/>
      <w:lvlJc w:val="left"/>
      <w:pPr>
        <w:ind w:left="1440" w:hanging="360"/>
      </w:pPr>
    </w:lvl>
    <w:lvl w:ilvl="2" w:tplc="2EF00A5A">
      <w:start w:val="1"/>
      <w:numFmt w:val="decimal"/>
      <w:lvlText w:val="%3."/>
      <w:lvlJc w:val="left"/>
      <w:pPr>
        <w:ind w:left="2340" w:hanging="360"/>
      </w:pPr>
      <w:rPr>
        <w:rFonts w:hint="default"/>
      </w:r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FE28DE0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26B54"/>
    <w:multiLevelType w:val="hybridMultilevel"/>
    <w:tmpl w:val="B6346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B1E6A"/>
    <w:multiLevelType w:val="hybridMultilevel"/>
    <w:tmpl w:val="E1725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DD3394"/>
    <w:multiLevelType w:val="multilevel"/>
    <w:tmpl w:val="D824903E"/>
    <w:lvl w:ilvl="0">
      <w:start w:val="1"/>
      <w:numFmt w:val="decimal"/>
      <w:lvlText w:val="%1."/>
      <w:lvlJc w:val="left"/>
      <w:pPr>
        <w:ind w:left="720" w:hanging="360"/>
      </w:pPr>
      <w:rPr>
        <w:rFonts w:hint="default"/>
      </w:rPr>
    </w:lvl>
    <w:lvl w:ilvl="1">
      <w:start w:val="1"/>
      <w:numFmt w:val="decimal"/>
      <w:lvlText w:val="4. %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8F736D"/>
    <w:multiLevelType w:val="hybridMultilevel"/>
    <w:tmpl w:val="5FAA5EB0"/>
    <w:lvl w:ilvl="0" w:tplc="B858BC8C">
      <w:start w:val="1"/>
      <w:numFmt w:val="decimal"/>
      <w:pStyle w:val="SUBSUBBAB1"/>
      <w:lvlText w:val="%1."/>
      <w:lvlJc w:val="left"/>
      <w:pPr>
        <w:ind w:left="81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9247E4"/>
    <w:multiLevelType w:val="multilevel"/>
    <w:tmpl w:val="3CC83F2A"/>
    <w:lvl w:ilvl="0">
      <w:start w:val="1"/>
      <w:numFmt w:val="decimal"/>
      <w:lvlText w:val="%1)"/>
      <w:lvlJc w:val="left"/>
    </w:lvl>
    <w:lvl w:ilvl="1">
      <w:start w:val="1"/>
      <w:numFmt w:val="decimal"/>
      <w:lvlText w:val="%2."/>
      <w:lvlJc w:val="left"/>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3."/>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4">
      <w:start w:val="1"/>
      <w:numFmt w:val="decimal"/>
      <w:lvlText w:val="%3."/>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5">
      <w:start w:val="1"/>
      <w:numFmt w:val="decimal"/>
      <w:lvlText w:val="%3."/>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6">
      <w:start w:val="1"/>
      <w:numFmt w:val="decimal"/>
      <w:lvlText w:val="%3."/>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7">
      <w:start w:val="1"/>
      <w:numFmt w:val="decimal"/>
      <w:lvlText w:val="%3."/>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8">
      <w:start w:val="1"/>
      <w:numFmt w:val="decimal"/>
      <w:lvlText w:val="%3."/>
      <w:lvlJc w:val="left"/>
      <w:rPr>
        <w:rFonts w:ascii="Palatino Linotype" w:hAnsi="Palatino Linotype" w:cs="Palatino Linotype"/>
        <w:b w:val="0"/>
        <w:bCs w:val="0"/>
        <w:i w:val="0"/>
        <w:iCs w:val="0"/>
        <w:smallCaps w:val="0"/>
        <w:strike w:val="0"/>
        <w:color w:val="000000"/>
        <w:spacing w:val="0"/>
        <w:w w:val="100"/>
        <w:position w:val="0"/>
        <w:sz w:val="20"/>
        <w:szCs w:val="20"/>
        <w:u w:val="none"/>
      </w:rPr>
    </w:lvl>
  </w:abstractNum>
  <w:num w:numId="1">
    <w:abstractNumId w:val="14"/>
  </w:num>
  <w:num w:numId="2">
    <w:abstractNumId w:val="4"/>
  </w:num>
  <w:num w:numId="3">
    <w:abstractNumId w:val="5"/>
  </w:num>
  <w:num w:numId="4">
    <w:abstractNumId w:val="20"/>
  </w:num>
  <w:num w:numId="5">
    <w:abstractNumId w:val="18"/>
  </w:num>
  <w:num w:numId="6">
    <w:abstractNumId w:val="24"/>
  </w:num>
  <w:num w:numId="7">
    <w:abstractNumId w:val="11"/>
  </w:num>
  <w:num w:numId="8">
    <w:abstractNumId w:val="25"/>
  </w:num>
  <w:num w:numId="9">
    <w:abstractNumId w:val="15"/>
  </w:num>
  <w:num w:numId="10">
    <w:abstractNumId w:val="9"/>
  </w:num>
  <w:num w:numId="11">
    <w:abstractNumId w:val="1"/>
  </w:num>
  <w:num w:numId="12">
    <w:abstractNumId w:val="13"/>
  </w:num>
  <w:num w:numId="13">
    <w:abstractNumId w:val="0"/>
  </w:num>
  <w:num w:numId="14">
    <w:abstractNumId w:val="16"/>
  </w:num>
  <w:num w:numId="15">
    <w:abstractNumId w:val="23"/>
  </w:num>
  <w:num w:numId="16">
    <w:abstractNumId w:val="3"/>
  </w:num>
  <w:num w:numId="17">
    <w:abstractNumId w:val="22"/>
  </w:num>
  <w:num w:numId="18">
    <w:abstractNumId w:val="26"/>
  </w:num>
  <w:num w:numId="19">
    <w:abstractNumId w:val="26"/>
  </w:num>
  <w:num w:numId="20">
    <w:abstractNumId w:val="22"/>
    <w:lvlOverride w:ilvl="0">
      <w:startOverride w:val="1"/>
    </w:lvlOverride>
  </w:num>
  <w:num w:numId="21">
    <w:abstractNumId w:val="6"/>
  </w:num>
  <w:num w:numId="22">
    <w:abstractNumId w:val="8"/>
  </w:num>
  <w:num w:numId="23">
    <w:abstractNumId w:val="17"/>
  </w:num>
  <w:num w:numId="24">
    <w:abstractNumId w:val="27"/>
  </w:num>
  <w:num w:numId="25">
    <w:abstractNumId w:val="7"/>
  </w:num>
  <w:num w:numId="26">
    <w:abstractNumId w:val="10"/>
  </w:num>
  <w:num w:numId="27">
    <w:abstractNumId w:val="12"/>
  </w:num>
  <w:num w:numId="28">
    <w:abstractNumId w:val="2"/>
  </w:num>
  <w:num w:numId="29">
    <w:abstractNumId w:val="26"/>
    <w:lvlOverride w:ilvl="0">
      <w:startOverride w:val="1"/>
    </w:lvlOverride>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28"/>
    <w:rsid w:val="001132C3"/>
    <w:rsid w:val="001710B7"/>
    <w:rsid w:val="001A54E5"/>
    <w:rsid w:val="0028349E"/>
    <w:rsid w:val="002F183C"/>
    <w:rsid w:val="004502A2"/>
    <w:rsid w:val="00470D59"/>
    <w:rsid w:val="004B0389"/>
    <w:rsid w:val="00547C13"/>
    <w:rsid w:val="00563FBA"/>
    <w:rsid w:val="00594660"/>
    <w:rsid w:val="005C5EEF"/>
    <w:rsid w:val="00605B4D"/>
    <w:rsid w:val="00635DE1"/>
    <w:rsid w:val="006B1380"/>
    <w:rsid w:val="006B6D5F"/>
    <w:rsid w:val="006F40B9"/>
    <w:rsid w:val="007125D2"/>
    <w:rsid w:val="007622D5"/>
    <w:rsid w:val="007A77E7"/>
    <w:rsid w:val="007B0748"/>
    <w:rsid w:val="007B4ADF"/>
    <w:rsid w:val="008558EB"/>
    <w:rsid w:val="00985F57"/>
    <w:rsid w:val="00A57A27"/>
    <w:rsid w:val="00A76DFF"/>
    <w:rsid w:val="00A8360C"/>
    <w:rsid w:val="00AE2C34"/>
    <w:rsid w:val="00AF4E62"/>
    <w:rsid w:val="00B11206"/>
    <w:rsid w:val="00B253B5"/>
    <w:rsid w:val="00BD099A"/>
    <w:rsid w:val="00C424F2"/>
    <w:rsid w:val="00CB5514"/>
    <w:rsid w:val="00CF6FE6"/>
    <w:rsid w:val="00DF3828"/>
    <w:rsid w:val="00E74162"/>
    <w:rsid w:val="00EE64F9"/>
    <w:rsid w:val="00F63E80"/>
    <w:rsid w:val="00F73234"/>
    <w:rsid w:val="00F77B44"/>
    <w:rsid w:val="00FA1797"/>
    <w:rsid w:val="00FD2430"/>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2B81B-691B-4772-95AC-796B5BDB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38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ambar">
    <w:name w:val="gambar"/>
    <w:basedOn w:val="ListParagraph"/>
    <w:link w:val="gambarChar"/>
    <w:qFormat/>
    <w:rsid w:val="00DF3828"/>
    <w:pPr>
      <w:autoSpaceDE w:val="0"/>
      <w:autoSpaceDN w:val="0"/>
      <w:adjustRightInd w:val="0"/>
      <w:spacing w:after="0" w:line="480" w:lineRule="auto"/>
      <w:ind w:left="0"/>
      <w:jc w:val="center"/>
    </w:pPr>
    <w:rPr>
      <w:rFonts w:ascii="Times New Roman" w:hAnsi="Times New Roman" w:cs="Times New Roman"/>
      <w:b/>
      <w:bCs/>
      <w:noProof/>
      <w:sz w:val="24"/>
      <w:szCs w:val="24"/>
    </w:rPr>
  </w:style>
  <w:style w:type="paragraph" w:customStyle="1" w:styleId="Tabel">
    <w:name w:val="Tabel"/>
    <w:basedOn w:val="ListParagraph"/>
    <w:link w:val="TabelChar"/>
    <w:qFormat/>
    <w:rsid w:val="00DF3828"/>
    <w:pPr>
      <w:autoSpaceDE w:val="0"/>
      <w:autoSpaceDN w:val="0"/>
      <w:adjustRightInd w:val="0"/>
      <w:spacing w:after="0" w:line="480" w:lineRule="auto"/>
      <w:ind w:left="0"/>
      <w:jc w:val="center"/>
    </w:pPr>
    <w:rPr>
      <w:rFonts w:ascii="Times New Roman" w:hAnsi="Times New Roman" w:cs="Times New Roman"/>
      <w:b/>
      <w:bCs/>
      <w:sz w:val="24"/>
      <w:szCs w:val="24"/>
    </w:rPr>
  </w:style>
  <w:style w:type="character" w:customStyle="1" w:styleId="gambarChar">
    <w:name w:val="gambar Char"/>
    <w:basedOn w:val="DefaultParagraphFont"/>
    <w:link w:val="gambar"/>
    <w:rsid w:val="00DF3828"/>
    <w:rPr>
      <w:rFonts w:ascii="Times New Roman" w:hAnsi="Times New Roman" w:cs="Times New Roman"/>
      <w:b/>
      <w:bCs/>
      <w:noProof/>
      <w:sz w:val="24"/>
      <w:szCs w:val="24"/>
    </w:rPr>
  </w:style>
  <w:style w:type="character" w:customStyle="1" w:styleId="TabelChar">
    <w:name w:val="Tabel Char"/>
    <w:basedOn w:val="DefaultParagraphFont"/>
    <w:link w:val="Tabel"/>
    <w:rsid w:val="00DF3828"/>
    <w:rPr>
      <w:rFonts w:ascii="Times New Roman" w:hAnsi="Times New Roman" w:cs="Times New Roman"/>
      <w:b/>
      <w:bCs/>
      <w:sz w:val="24"/>
      <w:szCs w:val="24"/>
    </w:rPr>
  </w:style>
  <w:style w:type="paragraph" w:styleId="ListParagraph">
    <w:name w:val="List Paragraph"/>
    <w:basedOn w:val="Normal"/>
    <w:link w:val="ListParagraphChar"/>
    <w:uiPriority w:val="34"/>
    <w:qFormat/>
    <w:rsid w:val="00DF3828"/>
    <w:pPr>
      <w:ind w:left="720"/>
      <w:contextualSpacing/>
    </w:pPr>
  </w:style>
  <w:style w:type="paragraph" w:customStyle="1" w:styleId="isi">
    <w:name w:val="isi"/>
    <w:basedOn w:val="Normal"/>
    <w:rsid w:val="008558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udul">
    <w:name w:val="Sub judul"/>
    <w:basedOn w:val="ListParagraph"/>
    <w:link w:val="SubjudulChar"/>
    <w:qFormat/>
    <w:rsid w:val="008558EB"/>
    <w:pPr>
      <w:autoSpaceDE w:val="0"/>
      <w:autoSpaceDN w:val="0"/>
      <w:adjustRightInd w:val="0"/>
      <w:spacing w:after="0" w:line="480" w:lineRule="auto"/>
      <w:ind w:left="0"/>
    </w:pPr>
    <w:rPr>
      <w:rFonts w:ascii="Times New Roman" w:hAnsi="Times New Roman" w:cs="Times New Roman"/>
      <w:b/>
      <w:bCs/>
      <w:sz w:val="24"/>
      <w:szCs w:val="24"/>
    </w:rPr>
  </w:style>
  <w:style w:type="character" w:customStyle="1" w:styleId="ListParagraphChar">
    <w:name w:val="List Paragraph Char"/>
    <w:basedOn w:val="DefaultParagraphFont"/>
    <w:link w:val="ListParagraph"/>
    <w:uiPriority w:val="34"/>
    <w:rsid w:val="008558EB"/>
  </w:style>
  <w:style w:type="character" w:customStyle="1" w:styleId="SubjudulChar">
    <w:name w:val="Sub judul Char"/>
    <w:basedOn w:val="ListParagraphChar"/>
    <w:link w:val="Subjudul"/>
    <w:rsid w:val="008558EB"/>
    <w:rPr>
      <w:rFonts w:ascii="Times New Roman" w:hAnsi="Times New Roman" w:cs="Times New Roman"/>
      <w:b/>
      <w:bCs/>
      <w:sz w:val="24"/>
      <w:szCs w:val="24"/>
    </w:rPr>
  </w:style>
  <w:style w:type="table" w:styleId="TableGrid">
    <w:name w:val="Table Grid"/>
    <w:basedOn w:val="TableNormal"/>
    <w:uiPriority w:val="39"/>
    <w:rsid w:val="00A5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35DE1"/>
  </w:style>
  <w:style w:type="character" w:styleId="Emphasis">
    <w:name w:val="Emphasis"/>
    <w:basedOn w:val="DefaultParagraphFont"/>
    <w:uiPriority w:val="20"/>
    <w:qFormat/>
    <w:rsid w:val="00635DE1"/>
    <w:rPr>
      <w:i/>
      <w:iCs/>
    </w:rPr>
  </w:style>
  <w:style w:type="character" w:styleId="FootnoteReference">
    <w:name w:val="footnote reference"/>
    <w:basedOn w:val="DefaultParagraphFont"/>
    <w:uiPriority w:val="99"/>
    <w:semiHidden/>
    <w:unhideWhenUsed/>
    <w:rsid w:val="007A77E7"/>
    <w:rPr>
      <w:vertAlign w:val="superscript"/>
    </w:rPr>
  </w:style>
  <w:style w:type="paragraph" w:customStyle="1" w:styleId="footnote">
    <w:name w:val="footnote"/>
    <w:basedOn w:val="FootnoteText"/>
    <w:link w:val="footnoteChar"/>
    <w:qFormat/>
    <w:rsid w:val="007A77E7"/>
    <w:rPr>
      <w:rFonts w:ascii="Times New Roman" w:hAnsi="Times New Roman"/>
    </w:rPr>
  </w:style>
  <w:style w:type="character" w:customStyle="1" w:styleId="footnoteChar">
    <w:name w:val="footnote Char"/>
    <w:basedOn w:val="FootnoteTextChar"/>
    <w:link w:val="footnote"/>
    <w:rsid w:val="007A77E7"/>
    <w:rPr>
      <w:rFonts w:ascii="Times New Roman" w:hAnsi="Times New Roman"/>
      <w:sz w:val="20"/>
      <w:szCs w:val="20"/>
    </w:rPr>
  </w:style>
  <w:style w:type="paragraph" w:styleId="FootnoteText">
    <w:name w:val="footnote text"/>
    <w:basedOn w:val="Normal"/>
    <w:link w:val="FootnoteTextChar"/>
    <w:uiPriority w:val="99"/>
    <w:unhideWhenUsed/>
    <w:rsid w:val="007A77E7"/>
    <w:pPr>
      <w:spacing w:after="0" w:line="240" w:lineRule="auto"/>
    </w:pPr>
    <w:rPr>
      <w:sz w:val="20"/>
      <w:szCs w:val="20"/>
    </w:rPr>
  </w:style>
  <w:style w:type="character" w:customStyle="1" w:styleId="FootnoteTextChar">
    <w:name w:val="Footnote Text Char"/>
    <w:basedOn w:val="DefaultParagraphFont"/>
    <w:link w:val="FootnoteText"/>
    <w:uiPriority w:val="99"/>
    <w:rsid w:val="007A77E7"/>
    <w:rPr>
      <w:sz w:val="20"/>
      <w:szCs w:val="20"/>
    </w:rPr>
  </w:style>
  <w:style w:type="paragraph" w:customStyle="1" w:styleId="SUBBABA">
    <w:name w:val="SUB BAB A"/>
    <w:basedOn w:val="ListParagraph"/>
    <w:link w:val="SUBBABAChar"/>
    <w:qFormat/>
    <w:rsid w:val="00563FBA"/>
    <w:pPr>
      <w:numPr>
        <w:numId w:val="17"/>
      </w:numPr>
      <w:spacing w:after="0" w:line="480" w:lineRule="auto"/>
      <w:jc w:val="both"/>
    </w:pPr>
    <w:rPr>
      <w:rFonts w:ascii="Times New Roman" w:hAnsi="Times New Roman" w:cs="Times New Roman"/>
      <w:b/>
      <w:sz w:val="28"/>
      <w:szCs w:val="28"/>
    </w:rPr>
  </w:style>
  <w:style w:type="paragraph" w:customStyle="1" w:styleId="SUBSUBBAB1">
    <w:name w:val="SUB SUB BAB 1."/>
    <w:basedOn w:val="ListParagraph"/>
    <w:link w:val="SUBSUBBAB1Char"/>
    <w:qFormat/>
    <w:rsid w:val="00563FBA"/>
    <w:pPr>
      <w:numPr>
        <w:numId w:val="19"/>
      </w:numPr>
      <w:spacing w:after="0" w:line="480" w:lineRule="auto"/>
      <w:jc w:val="both"/>
    </w:pPr>
    <w:rPr>
      <w:rFonts w:ascii="Times New Roman" w:hAnsi="Times New Roman" w:cs="Times New Roman"/>
      <w:b/>
      <w:sz w:val="24"/>
      <w:szCs w:val="24"/>
    </w:rPr>
  </w:style>
  <w:style w:type="character" w:customStyle="1" w:styleId="SUBBABAChar">
    <w:name w:val="SUB BAB A Char"/>
    <w:basedOn w:val="ListParagraphChar"/>
    <w:link w:val="SUBBABA"/>
    <w:rsid w:val="00563FBA"/>
    <w:rPr>
      <w:rFonts w:ascii="Times New Roman" w:hAnsi="Times New Roman" w:cs="Times New Roman"/>
      <w:b/>
      <w:sz w:val="28"/>
      <w:szCs w:val="28"/>
    </w:rPr>
  </w:style>
  <w:style w:type="character" w:customStyle="1" w:styleId="SUBSUBBAB1Char">
    <w:name w:val="SUB SUB BAB 1. Char"/>
    <w:basedOn w:val="ListParagraphChar"/>
    <w:link w:val="SUBSUBBAB1"/>
    <w:rsid w:val="00563FBA"/>
    <w:rPr>
      <w:rFonts w:ascii="Times New Roman" w:hAnsi="Times New Roman" w:cs="Times New Roman"/>
      <w:b/>
      <w:sz w:val="24"/>
      <w:szCs w:val="24"/>
    </w:rPr>
  </w:style>
  <w:style w:type="paragraph" w:customStyle="1" w:styleId="biasa">
    <w:name w:val="biasa"/>
    <w:basedOn w:val="SUBBABA"/>
    <w:link w:val="biasaChar"/>
    <w:qFormat/>
    <w:rsid w:val="00563FBA"/>
    <w:pPr>
      <w:numPr>
        <w:numId w:val="0"/>
      </w:numPr>
      <w:tabs>
        <w:tab w:val="left" w:pos="720"/>
      </w:tabs>
    </w:pPr>
    <w:rPr>
      <w:b w:val="0"/>
      <w:sz w:val="24"/>
    </w:rPr>
  </w:style>
  <w:style w:type="character" w:customStyle="1" w:styleId="biasaChar">
    <w:name w:val="biasa Char"/>
    <w:basedOn w:val="SUBBABAChar"/>
    <w:link w:val="biasa"/>
    <w:rsid w:val="00563FBA"/>
    <w:rPr>
      <w:rFonts w:ascii="Times New Roman" w:hAnsi="Times New Roman" w:cs="Times New Roman"/>
      <w:b w:val="0"/>
      <w:sz w:val="24"/>
      <w:szCs w:val="28"/>
    </w:rPr>
  </w:style>
  <w:style w:type="paragraph" w:styleId="NormalWeb">
    <w:name w:val="Normal (Web)"/>
    <w:basedOn w:val="Normal"/>
    <w:uiPriority w:val="99"/>
    <w:semiHidden/>
    <w:unhideWhenUsed/>
    <w:rsid w:val="00FE7E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099A"/>
    <w:rPr>
      <w:color w:val="0563C1" w:themeColor="hyperlink"/>
      <w:u w:val="single"/>
    </w:rPr>
  </w:style>
  <w:style w:type="paragraph" w:customStyle="1" w:styleId="dapus">
    <w:name w:val="dapus"/>
    <w:basedOn w:val="Normal"/>
    <w:link w:val="dapusChar"/>
    <w:qFormat/>
    <w:rsid w:val="00BD099A"/>
    <w:pPr>
      <w:spacing w:after="0" w:line="480" w:lineRule="auto"/>
      <w:ind w:left="720" w:hanging="720"/>
      <w:jc w:val="both"/>
    </w:pPr>
    <w:rPr>
      <w:rFonts w:ascii="Times New Roman" w:hAnsi="Times New Roman" w:cs="Times New Roman"/>
      <w:sz w:val="24"/>
      <w:szCs w:val="24"/>
    </w:rPr>
  </w:style>
  <w:style w:type="character" w:customStyle="1" w:styleId="dapusChar">
    <w:name w:val="dapus Char"/>
    <w:basedOn w:val="DefaultParagraphFont"/>
    <w:link w:val="dapus"/>
    <w:rsid w:val="00BD09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510">
      <w:bodyDiv w:val="1"/>
      <w:marLeft w:val="0"/>
      <w:marRight w:val="0"/>
      <w:marTop w:val="0"/>
      <w:marBottom w:val="0"/>
      <w:divBdr>
        <w:top w:val="none" w:sz="0" w:space="0" w:color="auto"/>
        <w:left w:val="none" w:sz="0" w:space="0" w:color="auto"/>
        <w:bottom w:val="none" w:sz="0" w:space="0" w:color="auto"/>
        <w:right w:val="none" w:sz="0" w:space="0" w:color="auto"/>
      </w:divBdr>
    </w:div>
    <w:div w:id="190071773">
      <w:bodyDiv w:val="1"/>
      <w:marLeft w:val="0"/>
      <w:marRight w:val="0"/>
      <w:marTop w:val="0"/>
      <w:marBottom w:val="0"/>
      <w:divBdr>
        <w:top w:val="none" w:sz="0" w:space="0" w:color="auto"/>
        <w:left w:val="none" w:sz="0" w:space="0" w:color="auto"/>
        <w:bottom w:val="none" w:sz="0" w:space="0" w:color="auto"/>
        <w:right w:val="none" w:sz="0" w:space="0" w:color="auto"/>
      </w:divBdr>
      <w:divsChild>
        <w:div w:id="792865660">
          <w:marLeft w:val="547"/>
          <w:marRight w:val="0"/>
          <w:marTop w:val="0"/>
          <w:marBottom w:val="0"/>
          <w:divBdr>
            <w:top w:val="none" w:sz="0" w:space="0" w:color="auto"/>
            <w:left w:val="none" w:sz="0" w:space="0" w:color="auto"/>
            <w:bottom w:val="none" w:sz="0" w:space="0" w:color="auto"/>
            <w:right w:val="none" w:sz="0" w:space="0" w:color="auto"/>
          </w:divBdr>
        </w:div>
        <w:div w:id="171074012">
          <w:marLeft w:val="547"/>
          <w:marRight w:val="0"/>
          <w:marTop w:val="0"/>
          <w:marBottom w:val="0"/>
          <w:divBdr>
            <w:top w:val="none" w:sz="0" w:space="0" w:color="auto"/>
            <w:left w:val="none" w:sz="0" w:space="0" w:color="auto"/>
            <w:bottom w:val="none" w:sz="0" w:space="0" w:color="auto"/>
            <w:right w:val="none" w:sz="0" w:space="0" w:color="auto"/>
          </w:divBdr>
        </w:div>
        <w:div w:id="1872842537">
          <w:marLeft w:val="547"/>
          <w:marRight w:val="0"/>
          <w:marTop w:val="0"/>
          <w:marBottom w:val="0"/>
          <w:divBdr>
            <w:top w:val="none" w:sz="0" w:space="0" w:color="auto"/>
            <w:left w:val="none" w:sz="0" w:space="0" w:color="auto"/>
            <w:bottom w:val="none" w:sz="0" w:space="0" w:color="auto"/>
            <w:right w:val="none" w:sz="0" w:space="0" w:color="auto"/>
          </w:divBdr>
        </w:div>
        <w:div w:id="2144693762">
          <w:marLeft w:val="547"/>
          <w:marRight w:val="0"/>
          <w:marTop w:val="0"/>
          <w:marBottom w:val="0"/>
          <w:divBdr>
            <w:top w:val="none" w:sz="0" w:space="0" w:color="auto"/>
            <w:left w:val="none" w:sz="0" w:space="0" w:color="auto"/>
            <w:bottom w:val="none" w:sz="0" w:space="0" w:color="auto"/>
            <w:right w:val="none" w:sz="0" w:space="0" w:color="auto"/>
          </w:divBdr>
        </w:div>
        <w:div w:id="1624846032">
          <w:marLeft w:val="547"/>
          <w:marRight w:val="0"/>
          <w:marTop w:val="0"/>
          <w:marBottom w:val="0"/>
          <w:divBdr>
            <w:top w:val="none" w:sz="0" w:space="0" w:color="auto"/>
            <w:left w:val="none" w:sz="0" w:space="0" w:color="auto"/>
            <w:bottom w:val="none" w:sz="0" w:space="0" w:color="auto"/>
            <w:right w:val="none" w:sz="0" w:space="0" w:color="auto"/>
          </w:divBdr>
        </w:div>
      </w:divsChild>
    </w:div>
    <w:div w:id="873158379">
      <w:bodyDiv w:val="1"/>
      <w:marLeft w:val="0"/>
      <w:marRight w:val="0"/>
      <w:marTop w:val="0"/>
      <w:marBottom w:val="0"/>
      <w:divBdr>
        <w:top w:val="none" w:sz="0" w:space="0" w:color="auto"/>
        <w:left w:val="none" w:sz="0" w:space="0" w:color="auto"/>
        <w:bottom w:val="none" w:sz="0" w:space="0" w:color="auto"/>
        <w:right w:val="none" w:sz="0" w:space="0" w:color="auto"/>
      </w:divBdr>
    </w:div>
    <w:div w:id="1006902036">
      <w:bodyDiv w:val="1"/>
      <w:marLeft w:val="0"/>
      <w:marRight w:val="0"/>
      <w:marTop w:val="0"/>
      <w:marBottom w:val="0"/>
      <w:divBdr>
        <w:top w:val="none" w:sz="0" w:space="0" w:color="auto"/>
        <w:left w:val="none" w:sz="0" w:space="0" w:color="auto"/>
        <w:bottom w:val="none" w:sz="0" w:space="0" w:color="auto"/>
        <w:right w:val="none" w:sz="0" w:space="0" w:color="auto"/>
      </w:divBdr>
      <w:divsChild>
        <w:div w:id="581373254">
          <w:marLeft w:val="547"/>
          <w:marRight w:val="0"/>
          <w:marTop w:val="0"/>
          <w:marBottom w:val="0"/>
          <w:divBdr>
            <w:top w:val="none" w:sz="0" w:space="0" w:color="auto"/>
            <w:left w:val="none" w:sz="0" w:space="0" w:color="auto"/>
            <w:bottom w:val="none" w:sz="0" w:space="0" w:color="auto"/>
            <w:right w:val="none" w:sz="0" w:space="0" w:color="auto"/>
          </w:divBdr>
        </w:div>
        <w:div w:id="32655155">
          <w:marLeft w:val="547"/>
          <w:marRight w:val="0"/>
          <w:marTop w:val="0"/>
          <w:marBottom w:val="0"/>
          <w:divBdr>
            <w:top w:val="none" w:sz="0" w:space="0" w:color="auto"/>
            <w:left w:val="none" w:sz="0" w:space="0" w:color="auto"/>
            <w:bottom w:val="none" w:sz="0" w:space="0" w:color="auto"/>
            <w:right w:val="none" w:sz="0" w:space="0" w:color="auto"/>
          </w:divBdr>
        </w:div>
      </w:divsChild>
    </w:div>
    <w:div w:id="1290939075">
      <w:bodyDiv w:val="1"/>
      <w:marLeft w:val="0"/>
      <w:marRight w:val="0"/>
      <w:marTop w:val="0"/>
      <w:marBottom w:val="0"/>
      <w:divBdr>
        <w:top w:val="none" w:sz="0" w:space="0" w:color="auto"/>
        <w:left w:val="none" w:sz="0" w:space="0" w:color="auto"/>
        <w:bottom w:val="none" w:sz="0" w:space="0" w:color="auto"/>
        <w:right w:val="none" w:sz="0" w:space="0" w:color="auto"/>
      </w:divBdr>
    </w:div>
    <w:div w:id="1748066541">
      <w:bodyDiv w:val="1"/>
      <w:marLeft w:val="0"/>
      <w:marRight w:val="0"/>
      <w:marTop w:val="0"/>
      <w:marBottom w:val="0"/>
      <w:divBdr>
        <w:top w:val="none" w:sz="0" w:space="0" w:color="auto"/>
        <w:left w:val="none" w:sz="0" w:space="0" w:color="auto"/>
        <w:bottom w:val="none" w:sz="0" w:space="0" w:color="auto"/>
        <w:right w:val="none" w:sz="0" w:space="0" w:color="auto"/>
      </w:divBdr>
    </w:div>
    <w:div w:id="1803186395">
      <w:bodyDiv w:val="1"/>
      <w:marLeft w:val="0"/>
      <w:marRight w:val="0"/>
      <w:marTop w:val="0"/>
      <w:marBottom w:val="0"/>
      <w:divBdr>
        <w:top w:val="none" w:sz="0" w:space="0" w:color="auto"/>
        <w:left w:val="none" w:sz="0" w:space="0" w:color="auto"/>
        <w:bottom w:val="none" w:sz="0" w:space="0" w:color="auto"/>
        <w:right w:val="none" w:sz="0" w:space="0" w:color="auto"/>
      </w:divBdr>
    </w:div>
    <w:div w:id="18566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istryofethics.co.uk/?p=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11F52-C7B3-474A-AFE9-F7034794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22</Pages>
  <Words>9750</Words>
  <Characters>55576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dcterms:created xsi:type="dcterms:W3CDTF">2017-03-04T05:19:00Z</dcterms:created>
  <dcterms:modified xsi:type="dcterms:W3CDTF">2017-03-04T07:12:00Z</dcterms:modified>
</cp:coreProperties>
</file>