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9" w:rsidRPr="006E779C" w:rsidRDefault="00D90639" w:rsidP="00833997">
      <w:pPr>
        <w:widowControl w:val="0"/>
        <w:autoSpaceDE w:val="0"/>
        <w:autoSpaceDN w:val="0"/>
        <w:adjustRightInd w:val="0"/>
        <w:spacing w:before="190"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n-US"/>
        </w:rPr>
      </w:pPr>
      <w:r w:rsidRPr="006E779C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en-US"/>
        </w:rPr>
        <w:t>ABSTRAK</w:t>
      </w:r>
    </w:p>
    <w:p w:rsidR="006E779C" w:rsidRDefault="006E779C" w:rsidP="00833997">
      <w:pPr>
        <w:widowControl w:val="0"/>
        <w:autoSpaceDE w:val="0"/>
        <w:autoSpaceDN w:val="0"/>
        <w:adjustRightInd w:val="0"/>
        <w:spacing w:before="190" w:after="0" w:line="240" w:lineRule="auto"/>
        <w:jc w:val="center"/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</w:pPr>
    </w:p>
    <w:p w:rsidR="00D90639" w:rsidRDefault="00D90639" w:rsidP="008339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1B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Kegiatan </w:t>
      </w:r>
      <w:r w:rsidRPr="00E841B7">
        <w:rPr>
          <w:rFonts w:ascii="Times New Roman" w:hAnsi="Times New Roman" w:cs="Times New Roman"/>
          <w:sz w:val="24"/>
          <w:szCs w:val="24"/>
        </w:rPr>
        <w:t>PT Pegadaian (Persero)</w:t>
      </w:r>
      <w:r w:rsidRPr="00E841B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meminjamkan uang kepada masyarakat </w:t>
      </w:r>
      <w:r w:rsidRPr="00E841B7">
        <w:rPr>
          <w:rFonts w:ascii="Times New Roman" w:hAnsi="Times New Roman" w:cs="Times New Roman"/>
          <w:color w:val="000000"/>
          <w:sz w:val="24"/>
          <w:szCs w:val="24"/>
        </w:rPr>
        <w:t xml:space="preserve">tersebut  menjalankan  fungsinya  sebagai  lembaga  keuangan, </w:t>
      </w:r>
      <w:r w:rsidRPr="00E841B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tetapi bukan bank karena pelaksanaan penyaluran dana ke masyarakat ini </w:t>
      </w:r>
      <w:r w:rsidRPr="00E841B7">
        <w:rPr>
          <w:rFonts w:ascii="Times New Roman" w:hAnsi="Times New Roman" w:cs="Times New Roman"/>
          <w:color w:val="000000"/>
          <w:sz w:val="24"/>
          <w:szCs w:val="24"/>
        </w:rPr>
        <w:t>dari dana</w:t>
      </w:r>
      <w:r w:rsidRPr="00D90639">
        <w:rPr>
          <w:rFonts w:ascii="Times New Roman" w:hAnsi="Times New Roman" w:cs="Times New Roman"/>
          <w:color w:val="000000"/>
          <w:sz w:val="24"/>
          <w:szCs w:val="24"/>
        </w:rPr>
        <w:t xml:space="preserve"> yang bukan dihimpun dari masyarakat</w:t>
      </w:r>
      <w:r w:rsidRPr="00D9063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D906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06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Salah satu bidang usaha baru yang ditawarkan pegadaian dan cukup banyak  diminati  adalah  kredit  angsuran   sistem   fidusia  (KREASI)  yaitu  </w:t>
      </w:r>
      <w:r w:rsidRPr="00D906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pinjaman </w:t>
      </w:r>
      <w:r w:rsidRPr="00D90639">
        <w:rPr>
          <w:rFonts w:ascii="Times New Roman" w:hAnsi="Times New Roman" w:cs="Times New Roman"/>
          <w:color w:val="000000"/>
          <w:sz w:val="24"/>
          <w:szCs w:val="24"/>
        </w:rPr>
        <w:t>(kredit) dalam jangka waktu  tertentu,  dengan  menggunakan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90639">
        <w:rPr>
          <w:rFonts w:ascii="Times New Roman" w:hAnsi="Times New Roman" w:cs="Times New Roman"/>
          <w:color w:val="000000"/>
          <w:w w:val="102"/>
          <w:sz w:val="24"/>
          <w:szCs w:val="24"/>
        </w:rPr>
        <w:t>kontruksi penjaminan kredit secara Jaminan Fidusia</w:t>
      </w:r>
      <w:r w:rsidR="00ED3F7C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.</w:t>
      </w:r>
      <w:r w:rsidRPr="00D9063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D90639">
        <w:rPr>
          <w:rFonts w:ascii="Times New Roman" w:hAnsi="Times New Roman" w:cs="Times New Roman"/>
          <w:color w:val="000000"/>
          <w:sz w:val="24"/>
          <w:szCs w:val="24"/>
        </w:rPr>
        <w:t xml:space="preserve">Permasalahan  hukum  yang  timbul  akibat  penyaluran  kredit  pada </w:t>
      </w:r>
      <w:r w:rsidR="006E779C">
        <w:rPr>
          <w:rFonts w:ascii="Times New Roman" w:hAnsi="Times New Roman" w:cs="Times New Roman"/>
          <w:sz w:val="24"/>
          <w:szCs w:val="24"/>
        </w:rPr>
        <w:t>PT</w:t>
      </w:r>
      <w:r w:rsidR="006E7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0639">
        <w:rPr>
          <w:rFonts w:ascii="Times New Roman" w:hAnsi="Times New Roman" w:cs="Times New Roman"/>
          <w:sz w:val="24"/>
          <w:szCs w:val="24"/>
        </w:rPr>
        <w:t>Pegadaian (Persero)</w:t>
      </w:r>
      <w:r w:rsidRPr="00D90639">
        <w:rPr>
          <w:rFonts w:ascii="Times New Roman" w:hAnsi="Times New Roman" w:cs="Times New Roman"/>
          <w:sz w:val="24"/>
          <w:szCs w:val="24"/>
          <w:lang w:val="en-US"/>
        </w:rPr>
        <w:t xml:space="preserve"> adalah</w:t>
      </w:r>
      <w:r w:rsidRPr="00D90639">
        <w:rPr>
          <w:rFonts w:ascii="Times New Roman" w:hAnsi="Times New Roman" w:cs="Times New Roman"/>
          <w:sz w:val="24"/>
          <w:szCs w:val="24"/>
        </w:rPr>
        <w:t xml:space="preserve"> Bagaimana praktik  penjaminan  fidusia  di </w:t>
      </w:r>
      <w:r w:rsidRPr="00D906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PT Pegadaian (Persero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dan </w:t>
      </w:r>
      <w:r w:rsidR="00ED3F7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</w:t>
      </w:r>
      <w:r w:rsidRPr="00D90639">
        <w:rPr>
          <w:rFonts w:ascii="Times New Roman" w:hAnsi="Times New Roman" w:cs="Times New Roman"/>
          <w:sz w:val="24"/>
          <w:szCs w:val="24"/>
        </w:rPr>
        <w:t xml:space="preserve">spek-aspek hukum apa saja yang timbul,  apabila  akta fidusia  dibuat  secara  Notariil  tetapi  tidak didaftarkan  </w:t>
      </w:r>
      <w:r w:rsidR="00ED3F7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90639">
        <w:rPr>
          <w:rFonts w:ascii="Times New Roman" w:hAnsi="Times New Roman" w:cs="Times New Roman"/>
          <w:sz w:val="24"/>
          <w:szCs w:val="24"/>
        </w:rPr>
        <w:t xml:space="preserve">e  Kantor Pendaftaran Fidusia  (KPF) dihubungkan dengan Undang-Undang No 42 Tahun 1999 tentang Jaminan  Fidusia </w:t>
      </w:r>
      <w:r w:rsidRPr="00D906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PT Pegadaian (Persero)</w:t>
      </w:r>
      <w:r w:rsidRPr="00D90639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serta</w:t>
      </w:r>
      <w:r w:rsidRPr="00D9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F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0639">
        <w:rPr>
          <w:rFonts w:ascii="Times New Roman" w:hAnsi="Times New Roman" w:cs="Times New Roman"/>
          <w:sz w:val="24"/>
          <w:szCs w:val="24"/>
        </w:rPr>
        <w:t>engapa Akta Fidusia (Notariil) tidak didaftarkan ke Kantor Pendaftaran Fidusia dan apa pengaruh hukumnya terhadap debitor dan kreditor</w:t>
      </w:r>
      <w:r w:rsidRPr="00D9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997" w:rsidRDefault="00D90639" w:rsidP="008339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10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DA1708">
        <w:rPr>
          <w:rFonts w:ascii="Times New Roman" w:hAnsi="Times New Roman" w:cs="Times New Roman"/>
          <w:spacing w:val="-1"/>
          <w:sz w:val="24"/>
          <w:szCs w:val="24"/>
        </w:rPr>
        <w:t xml:space="preserve">enelitian dalam tesis ini adalah termasuk penelitian </w:t>
      </w:r>
      <w:r w:rsidRPr="00DA1708">
        <w:rPr>
          <w:rFonts w:ascii="Times New Roman" w:hAnsi="Times New Roman" w:cs="Times New Roman"/>
          <w:sz w:val="24"/>
          <w:szCs w:val="24"/>
        </w:rPr>
        <w:t xml:space="preserve">yang  bersifat  </w:t>
      </w:r>
      <w:r w:rsidRPr="00DA1708">
        <w:rPr>
          <w:rFonts w:ascii="Times New Roman" w:hAnsi="Times New Roman" w:cs="Times New Roman"/>
          <w:i/>
          <w:sz w:val="24"/>
          <w:szCs w:val="24"/>
        </w:rPr>
        <w:t>deskriptif  analitis</w:t>
      </w:r>
      <w:r w:rsidRPr="00DA1708">
        <w:rPr>
          <w:rFonts w:ascii="Times New Roman" w:hAnsi="Times New Roman" w:cs="Times New Roman"/>
          <w:sz w:val="24"/>
          <w:szCs w:val="24"/>
        </w:rPr>
        <w:t>, yang artinya menggambarkan fakta-fakta berupa data sekunder (data yang sudah ada) yang terdiri dari bahan hukum primer (perundang-undangan), bahan hukum sekunder (doktrin), dan bahan tersier, kamus,</w:t>
      </w:r>
      <w:r w:rsidRPr="00DA1708">
        <w:rPr>
          <w:rFonts w:ascii="Times New Roman" w:hAnsi="Times New Roman" w:cs="Times New Roman"/>
          <w:w w:val="103"/>
          <w:sz w:val="24"/>
          <w:szCs w:val="24"/>
        </w:rPr>
        <w:t xml:space="preserve"> ensiklopedia, bibliografi,</w:t>
      </w:r>
      <w:r w:rsidRPr="00DA1708">
        <w:rPr>
          <w:rFonts w:ascii="Times New Roman" w:hAnsi="Times New Roman" w:cs="Times New Roman"/>
          <w:i/>
          <w:w w:val="103"/>
          <w:sz w:val="24"/>
          <w:szCs w:val="24"/>
        </w:rPr>
        <w:t xml:space="preserve"> Black’s Law, dictionary</w:t>
      </w:r>
      <w:r>
        <w:rPr>
          <w:rFonts w:ascii="Times New Roman" w:hAnsi="Times New Roman" w:cs="Times New Roman"/>
          <w:i/>
          <w:w w:val="103"/>
          <w:sz w:val="24"/>
          <w:szCs w:val="24"/>
          <w:lang w:val="en-US"/>
        </w:rPr>
        <w:t xml:space="preserve">, </w:t>
      </w:r>
      <w:r w:rsidRPr="00D9063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dan </w:t>
      </w:r>
      <w:r w:rsidRPr="00D906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D3F7C" w:rsidRPr="00ED3F7C">
        <w:rPr>
          <w:rFonts w:ascii="Times New Roman" w:hAnsi="Times New Roman" w:cs="Times New Roman"/>
          <w:spacing w:val="-3"/>
          <w:sz w:val="24"/>
          <w:szCs w:val="24"/>
          <w:lang w:val="en-US"/>
        </w:rPr>
        <w:t>p</w:t>
      </w:r>
      <w:r w:rsidRPr="00ED3F7C">
        <w:rPr>
          <w:rFonts w:ascii="Times New Roman" w:hAnsi="Times New Roman" w:cs="Times New Roman"/>
          <w:w w:val="102"/>
          <w:sz w:val="24"/>
          <w:szCs w:val="24"/>
        </w:rPr>
        <w:t>en</w:t>
      </w:r>
      <w:r w:rsidRPr="00DA1708">
        <w:rPr>
          <w:rFonts w:ascii="Times New Roman" w:hAnsi="Times New Roman" w:cs="Times New Roman"/>
          <w:w w:val="102"/>
          <w:sz w:val="24"/>
          <w:szCs w:val="24"/>
        </w:rPr>
        <w:t>elitian</w:t>
      </w:r>
      <w:r w:rsidRPr="00DA1708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DA1708">
        <w:rPr>
          <w:rFonts w:ascii="Times New Roman" w:hAnsi="Times New Roman" w:cs="Times New Roman"/>
          <w:w w:val="102"/>
          <w:sz w:val="24"/>
          <w:szCs w:val="24"/>
        </w:rPr>
        <w:t xml:space="preserve">ini menggunakan </w:t>
      </w:r>
      <w:r w:rsidRPr="00DA1708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DA1708">
        <w:rPr>
          <w:rFonts w:ascii="Times New Roman" w:hAnsi="Times New Roman" w:cs="Times New Roman"/>
          <w:i/>
          <w:sz w:val="24"/>
          <w:szCs w:val="24"/>
        </w:rPr>
        <w:t>yuridis</w:t>
      </w:r>
      <w:r w:rsidRPr="00DA17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1708">
        <w:rPr>
          <w:rFonts w:ascii="Times New Roman" w:hAnsi="Times New Roman" w:cs="Times New Roman"/>
          <w:i/>
          <w:sz w:val="24"/>
          <w:szCs w:val="24"/>
        </w:rPr>
        <w:t>normatif</w:t>
      </w:r>
      <w:r w:rsidRPr="00DA1708">
        <w:rPr>
          <w:rFonts w:ascii="Times New Roman" w:hAnsi="Times New Roman" w:cs="Times New Roman"/>
          <w:sz w:val="24"/>
          <w:szCs w:val="24"/>
        </w:rPr>
        <w:t>, yaitu metode yang menggunakan sumber-</w:t>
      </w:r>
      <w:r w:rsidRPr="00DA1708">
        <w:rPr>
          <w:rFonts w:ascii="Times New Roman" w:hAnsi="Times New Roman" w:cs="Times New Roman"/>
          <w:w w:val="102"/>
          <w:sz w:val="24"/>
          <w:szCs w:val="24"/>
        </w:rPr>
        <w:t xml:space="preserve">sumber data sekunder, yaitu peraturan perundang-undangan, teori-teori </w:t>
      </w:r>
      <w:r w:rsidRPr="00DA1708">
        <w:rPr>
          <w:rFonts w:ascii="Times New Roman" w:hAnsi="Times New Roman" w:cs="Times New Roman"/>
          <w:sz w:val="24"/>
          <w:szCs w:val="24"/>
        </w:rPr>
        <w:t xml:space="preserve">hukum dan  pendapat-pendapat  para  sarjana,  yang kemudian  dianalisis </w:t>
      </w:r>
      <w:r w:rsidRPr="00DA1708">
        <w:rPr>
          <w:rFonts w:ascii="Times New Roman" w:hAnsi="Times New Roman" w:cs="Times New Roman"/>
          <w:w w:val="102"/>
          <w:sz w:val="24"/>
          <w:szCs w:val="24"/>
        </w:rPr>
        <w:t xml:space="preserve">serta  menarik  kesimpulan dari masalah yang akan digunakan untuk </w:t>
      </w:r>
      <w:r w:rsidRPr="00DA1708">
        <w:rPr>
          <w:rFonts w:ascii="Times New Roman" w:hAnsi="Times New Roman" w:cs="Times New Roman"/>
          <w:w w:val="103"/>
          <w:sz w:val="24"/>
          <w:szCs w:val="24"/>
        </w:rPr>
        <w:t>mengkaji dan menganalis data sekunder tersebut.</w:t>
      </w:r>
      <w:r w:rsidRPr="00DA1708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</w:t>
      </w:r>
    </w:p>
    <w:p w:rsidR="00833997" w:rsidRPr="00833997" w:rsidRDefault="00D90639" w:rsidP="008339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103"/>
          <w:sz w:val="24"/>
          <w:szCs w:val="24"/>
          <w:lang w:val="en-US"/>
        </w:rPr>
      </w:pPr>
      <w:r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Hasil penelitian </w:t>
      </w:r>
      <w:r w:rsidR="00833997">
        <w:rPr>
          <w:rFonts w:ascii="Times New Roman" w:hAnsi="Times New Roman" w:cs="Times New Roman"/>
          <w:w w:val="103"/>
          <w:sz w:val="24"/>
          <w:szCs w:val="24"/>
          <w:lang w:val="en-US"/>
        </w:rPr>
        <w:t>menunjukkan bahwa</w:t>
      </w:r>
      <w:r w:rsidR="00833997" w:rsidRPr="008477BD">
        <w:rPr>
          <w:rFonts w:ascii="Times New Roman" w:hAnsi="Times New Roman"/>
          <w:sz w:val="24"/>
          <w:szCs w:val="24"/>
        </w:rPr>
        <w:t xml:space="preserve"> penjaminan fidusia di </w:t>
      </w:r>
      <w:r w:rsidR="00833997">
        <w:rPr>
          <w:rFonts w:ascii="Times New Roman" w:hAnsi="Times New Roman"/>
          <w:sz w:val="24"/>
          <w:szCs w:val="24"/>
        </w:rPr>
        <w:t>PT Pegadaian (Persero)</w:t>
      </w:r>
      <w:r w:rsidR="008339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997">
        <w:rPr>
          <w:rFonts w:ascii="Times New Roman" w:hAnsi="Times New Roman"/>
          <w:sz w:val="24"/>
          <w:szCs w:val="24"/>
        </w:rPr>
        <w:t>dilakukan bersamaan dengan pengikatan kredit yang dilaksanakan dihadapan Notaris yang ditunjuk oleh</w:t>
      </w:r>
      <w:r w:rsidR="00833997" w:rsidRPr="00DF5C45">
        <w:rPr>
          <w:rFonts w:ascii="Times New Roman" w:hAnsi="Times New Roman"/>
          <w:sz w:val="24"/>
          <w:szCs w:val="24"/>
        </w:rPr>
        <w:t xml:space="preserve"> </w:t>
      </w:r>
      <w:r w:rsidR="00833997">
        <w:rPr>
          <w:rFonts w:ascii="Times New Roman" w:hAnsi="Times New Roman"/>
          <w:sz w:val="24"/>
          <w:szCs w:val="24"/>
        </w:rPr>
        <w:t>PT Pegadaian (Persero)</w:t>
      </w:r>
      <w:r w:rsidR="008339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997">
        <w:rPr>
          <w:rFonts w:ascii="Times New Roman" w:hAnsi="Times New Roman"/>
          <w:sz w:val="24"/>
          <w:szCs w:val="24"/>
        </w:rPr>
        <w:t>(bersifat notariil). Pada kenyataannya setelah perjanjian kredit dilakukan ternyata jaminan fidusianya tidak serta merta didaftarkan kepada Kantor Pendaftaran Fidusia</w:t>
      </w:r>
      <w:r w:rsidR="00833997">
        <w:rPr>
          <w:rFonts w:ascii="Times New Roman" w:hAnsi="Times New Roman"/>
          <w:sz w:val="24"/>
          <w:szCs w:val="24"/>
          <w:lang w:val="en-US"/>
        </w:rPr>
        <w:t xml:space="preserve"> dan Aspek</w:t>
      </w:r>
      <w:r w:rsidR="00833997" w:rsidRPr="008477BD">
        <w:rPr>
          <w:rFonts w:ascii="Times New Roman" w:hAnsi="Times New Roman"/>
          <w:sz w:val="24"/>
          <w:szCs w:val="24"/>
        </w:rPr>
        <w:t xml:space="preserve"> hukum bagi penerima </w:t>
      </w:r>
      <w:r w:rsidR="00833997">
        <w:rPr>
          <w:rFonts w:ascii="Times New Roman" w:hAnsi="Times New Roman"/>
          <w:sz w:val="24"/>
          <w:szCs w:val="24"/>
        </w:rPr>
        <w:t xml:space="preserve">jaminan </w:t>
      </w:r>
      <w:r w:rsidR="00833997" w:rsidRPr="008477BD">
        <w:rPr>
          <w:rFonts w:ascii="Times New Roman" w:hAnsi="Times New Roman"/>
          <w:sz w:val="24"/>
          <w:szCs w:val="24"/>
        </w:rPr>
        <w:t>fidusia</w:t>
      </w:r>
      <w:r w:rsidR="008339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997">
        <w:rPr>
          <w:rFonts w:ascii="Times New Roman" w:hAnsi="Times New Roman"/>
          <w:sz w:val="24"/>
          <w:szCs w:val="24"/>
        </w:rPr>
        <w:t xml:space="preserve">/ </w:t>
      </w:r>
      <w:r w:rsidR="00833997">
        <w:rPr>
          <w:rFonts w:ascii="Times New Roman" w:hAnsi="Times New Roman"/>
          <w:sz w:val="24"/>
          <w:szCs w:val="24"/>
          <w:lang w:val="en-US"/>
        </w:rPr>
        <w:t>PT Pegadaian (Persero)</w:t>
      </w:r>
      <w:r w:rsidR="00833997">
        <w:rPr>
          <w:rFonts w:ascii="Times New Roman" w:hAnsi="Times New Roman"/>
          <w:sz w:val="24"/>
          <w:szCs w:val="24"/>
        </w:rPr>
        <w:t xml:space="preserve"> sebenarnya sangat lemah apabila tidak didaftarkan, sekalipun perjanjian dibuat secara Notaril, sebab hak jaminan fidusia menurut Undang-Undang No. 42 Tahun 1999 melekat pada Sertifikat Jaminan Fidusia dan Srtifikat Jaminan Fidusia hanya dapat diperoleh apabila jaminan </w:t>
      </w:r>
      <w:r w:rsidR="00833997" w:rsidRPr="008477BD">
        <w:rPr>
          <w:rFonts w:ascii="Times New Roman" w:hAnsi="Times New Roman"/>
          <w:sz w:val="24"/>
          <w:szCs w:val="24"/>
        </w:rPr>
        <w:t>fidusia</w:t>
      </w:r>
      <w:r w:rsidR="00833997">
        <w:rPr>
          <w:rFonts w:ascii="Times New Roman" w:hAnsi="Times New Roman"/>
          <w:sz w:val="24"/>
          <w:szCs w:val="24"/>
        </w:rPr>
        <w:t xml:space="preserve">nya didaftarkan di Kantor Pendaftaran Jaminan Fidusia, sehingga memperoleh hak yang sempurna dilakukan </w:t>
      </w:r>
      <w:r w:rsidR="00833997">
        <w:rPr>
          <w:rFonts w:ascii="Times New Roman" w:hAnsi="Times New Roman"/>
          <w:sz w:val="24"/>
          <w:szCs w:val="24"/>
          <w:lang w:val="en-US"/>
        </w:rPr>
        <w:t xml:space="preserve">serta </w:t>
      </w:r>
      <w:r w:rsidR="00833997">
        <w:rPr>
          <w:rFonts w:ascii="Times New Roman" w:eastAsia="Times New Roman" w:hAnsi="Times New Roman" w:cs="Times New Roman"/>
          <w:sz w:val="24"/>
          <w:szCs w:val="24"/>
        </w:rPr>
        <w:t>Apabila penerima jaminan fidusia/</w:t>
      </w:r>
      <w:r w:rsidR="00833997" w:rsidRPr="005B6E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997">
        <w:rPr>
          <w:rFonts w:ascii="Times New Roman" w:hAnsi="Times New Roman"/>
          <w:sz w:val="24"/>
          <w:szCs w:val="24"/>
          <w:lang w:val="en-US"/>
        </w:rPr>
        <w:t>PT Pegadaian (Persero)</w:t>
      </w:r>
      <w:r w:rsidR="00833997">
        <w:rPr>
          <w:rFonts w:ascii="Times New Roman" w:hAnsi="Times New Roman"/>
          <w:sz w:val="24"/>
          <w:szCs w:val="24"/>
        </w:rPr>
        <w:t xml:space="preserve"> </w:t>
      </w:r>
      <w:r w:rsidR="00833997">
        <w:rPr>
          <w:rFonts w:ascii="Times New Roman" w:eastAsia="Times New Roman" w:hAnsi="Times New Roman" w:cs="Times New Roman"/>
          <w:sz w:val="24"/>
          <w:szCs w:val="24"/>
        </w:rPr>
        <w:t>tidak mendaftarkan pada Kantor Pendaftaran Fidusia, maka penerima fidusia</w:t>
      </w:r>
      <w:r w:rsidR="00833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9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33997" w:rsidRPr="005B6E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3997">
        <w:rPr>
          <w:rFonts w:ascii="Times New Roman" w:hAnsi="Times New Roman"/>
          <w:sz w:val="24"/>
          <w:szCs w:val="24"/>
          <w:lang w:val="en-US"/>
        </w:rPr>
        <w:t>PT Pegadaian (Persero)</w:t>
      </w:r>
      <w:r w:rsidR="00833997">
        <w:rPr>
          <w:rFonts w:ascii="Times New Roman" w:hAnsi="Times New Roman"/>
          <w:sz w:val="24"/>
          <w:szCs w:val="24"/>
        </w:rPr>
        <w:t xml:space="preserve"> </w:t>
      </w:r>
      <w:r w:rsidR="00833997">
        <w:rPr>
          <w:rFonts w:ascii="Times New Roman" w:eastAsia="Times New Roman" w:hAnsi="Times New Roman" w:cs="Times New Roman"/>
          <w:sz w:val="24"/>
          <w:szCs w:val="24"/>
        </w:rPr>
        <w:t xml:space="preserve">kehilangan haknya untuk mendaftarkan sita jaminan atas benda jaminan. Apabila kreditor beritikad tidak baik, lain daripada itu </w:t>
      </w:r>
      <w:r w:rsidR="00833997">
        <w:rPr>
          <w:rFonts w:ascii="Times New Roman" w:hAnsi="Times New Roman"/>
          <w:sz w:val="24"/>
          <w:szCs w:val="24"/>
          <w:lang w:val="en-US"/>
        </w:rPr>
        <w:t>PT Pegadaian (Persero)</w:t>
      </w:r>
      <w:r w:rsidR="00833997">
        <w:rPr>
          <w:rFonts w:ascii="Times New Roman" w:hAnsi="Times New Roman"/>
          <w:sz w:val="24"/>
          <w:szCs w:val="24"/>
        </w:rPr>
        <w:t xml:space="preserve"> </w:t>
      </w:r>
      <w:r w:rsidR="00833997">
        <w:rPr>
          <w:rFonts w:ascii="Times New Roman" w:eastAsia="Times New Roman" w:hAnsi="Times New Roman" w:cs="Times New Roman"/>
          <w:sz w:val="24"/>
          <w:szCs w:val="24"/>
        </w:rPr>
        <w:t>dapat dikategorikan telah melakukan pelanggaran terhadap Undang-Undang No. 42 Tahun 1999</w:t>
      </w:r>
      <w:r w:rsidR="005D6A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tentang Jaminan Fidusia .</w:t>
      </w:r>
      <w:r w:rsidR="008339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3997" w:rsidRDefault="00833997" w:rsidP="00833997">
      <w:pPr>
        <w:widowControl w:val="0"/>
        <w:autoSpaceDE w:val="0"/>
        <w:autoSpaceDN w:val="0"/>
        <w:adjustRightInd w:val="0"/>
        <w:spacing w:before="190" w:line="240" w:lineRule="auto"/>
        <w:rPr>
          <w:rFonts w:ascii="time new roman" w:hAnsi="time new roman" w:cs="Book Antiqua Bold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Kata Kunci :</w:t>
      </w:r>
      <w:r w:rsidRPr="00833997">
        <w:rPr>
          <w:rFonts w:ascii="time new roman" w:hAnsi="time new roman" w:cs="Book Antiqua Bold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 new roman" w:hAnsi="time new roman" w:cs="Book Antiqua Bold"/>
          <w:b/>
          <w:color w:val="000000"/>
          <w:spacing w:val="-3"/>
          <w:sz w:val="24"/>
          <w:szCs w:val="24"/>
        </w:rPr>
        <w:t>Kreditor</w:t>
      </w:r>
      <w:r w:rsidR="00676B98">
        <w:rPr>
          <w:rFonts w:ascii="time new roman" w:hAnsi="time new roman" w:cs="Book Antiqua Bold"/>
          <w:b/>
          <w:color w:val="000000"/>
          <w:spacing w:val="-3"/>
          <w:sz w:val="24"/>
          <w:szCs w:val="24"/>
        </w:rPr>
        <w:t>,</w:t>
      </w:r>
      <w:r>
        <w:rPr>
          <w:rFonts w:ascii="time new roman" w:hAnsi="time new roman" w:cs="Book Antiqua Bold"/>
          <w:b/>
          <w:color w:val="000000"/>
          <w:spacing w:val="-3"/>
          <w:sz w:val="24"/>
          <w:szCs w:val="24"/>
        </w:rPr>
        <w:t xml:space="preserve"> Jaminan Fidusia</w:t>
      </w:r>
      <w:r w:rsidR="00676B98">
        <w:rPr>
          <w:rFonts w:ascii="time new roman" w:hAnsi="time new roman" w:cs="Book Antiqua Bold"/>
          <w:b/>
          <w:color w:val="000000"/>
          <w:spacing w:val="-3"/>
          <w:sz w:val="24"/>
          <w:szCs w:val="24"/>
        </w:rPr>
        <w:t>,</w:t>
      </w:r>
      <w:r>
        <w:rPr>
          <w:rFonts w:ascii="time new roman" w:hAnsi="time new roman" w:cs="Book Antiqua Bold"/>
          <w:b/>
          <w:color w:val="000000"/>
          <w:spacing w:val="-3"/>
          <w:sz w:val="24"/>
          <w:szCs w:val="24"/>
        </w:rPr>
        <w:t xml:space="preserve"> Wanprestasi </w:t>
      </w:r>
    </w:p>
    <w:sectPr w:rsidR="00833997" w:rsidSect="006E779C">
      <w:pgSz w:w="11906" w:h="16838"/>
      <w:pgMar w:top="1702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00" w:rsidRDefault="00386E00" w:rsidP="00D90639">
      <w:pPr>
        <w:spacing w:after="0" w:line="240" w:lineRule="auto"/>
      </w:pPr>
      <w:r>
        <w:separator/>
      </w:r>
    </w:p>
  </w:endnote>
  <w:endnote w:type="continuationSeparator" w:id="1">
    <w:p w:rsidR="00386E00" w:rsidRDefault="00386E00" w:rsidP="00D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00" w:rsidRDefault="00386E00" w:rsidP="00D90639">
      <w:pPr>
        <w:spacing w:after="0" w:line="240" w:lineRule="auto"/>
      </w:pPr>
      <w:r>
        <w:separator/>
      </w:r>
    </w:p>
  </w:footnote>
  <w:footnote w:type="continuationSeparator" w:id="1">
    <w:p w:rsidR="00386E00" w:rsidRDefault="00386E00" w:rsidP="00D9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FAF"/>
    <w:multiLevelType w:val="hybridMultilevel"/>
    <w:tmpl w:val="A2B6CFCE"/>
    <w:lvl w:ilvl="0" w:tplc="8C181756">
      <w:start w:val="1"/>
      <w:numFmt w:val="decimal"/>
      <w:lvlText w:val="%1."/>
      <w:lvlJc w:val="left"/>
      <w:pPr>
        <w:ind w:left="2062" w:hanging="360"/>
      </w:pPr>
      <w:rPr>
        <w:rFonts w:hint="default"/>
        <w:vertAlign w:val="baselin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F2D15"/>
    <w:multiLevelType w:val="hybridMultilevel"/>
    <w:tmpl w:val="87D2013A"/>
    <w:lvl w:ilvl="0" w:tplc="5E6E07A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39"/>
    <w:rsid w:val="00226297"/>
    <w:rsid w:val="00337129"/>
    <w:rsid w:val="00345A6F"/>
    <w:rsid w:val="00386E00"/>
    <w:rsid w:val="005452B2"/>
    <w:rsid w:val="005662FE"/>
    <w:rsid w:val="005C54EB"/>
    <w:rsid w:val="005D6A69"/>
    <w:rsid w:val="00676B98"/>
    <w:rsid w:val="006E779C"/>
    <w:rsid w:val="00804894"/>
    <w:rsid w:val="00833997"/>
    <w:rsid w:val="00D90639"/>
    <w:rsid w:val="00E841B7"/>
    <w:rsid w:val="00EB3F56"/>
    <w:rsid w:val="00ED3F7C"/>
    <w:rsid w:val="00EE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518" w:lineRule="exac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39"/>
    <w:pPr>
      <w:spacing w:after="200" w:line="276" w:lineRule="auto"/>
      <w:ind w:left="0" w:firstLine="0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3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9063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Tiro</dc:creator>
  <cp:keywords/>
  <dc:description/>
  <cp:lastModifiedBy>Acer</cp:lastModifiedBy>
  <cp:revision>6</cp:revision>
  <dcterms:created xsi:type="dcterms:W3CDTF">2015-10-04T09:54:00Z</dcterms:created>
  <dcterms:modified xsi:type="dcterms:W3CDTF">2016-03-31T16:08:00Z</dcterms:modified>
</cp:coreProperties>
</file>