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E7" w:rsidRDefault="003E5470" w:rsidP="003E54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7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E5470" w:rsidRDefault="003E5470" w:rsidP="000D3BB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D5A4A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="005D5A4A">
        <w:rPr>
          <w:rFonts w:ascii="Times New Roman" w:hAnsi="Times New Roman" w:cs="Times New Roman"/>
          <w:sz w:val="24"/>
          <w:szCs w:val="24"/>
        </w:rPr>
        <w:t xml:space="preserve"> </w:t>
      </w:r>
      <w:r w:rsidR="005D5A4A">
        <w:rPr>
          <w:rFonts w:ascii="Times New Roman" w:hAnsi="Times New Roman" w:cs="Times New Roman"/>
          <w:i/>
          <w:sz w:val="24"/>
          <w:szCs w:val="24"/>
        </w:rPr>
        <w:t xml:space="preserve">Sales Growth, Operating Capacity, </w:t>
      </w:r>
      <w:proofErr w:type="spellStart"/>
      <w:r w:rsidR="005D5A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4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5D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4A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="005D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4A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5D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D5A4A">
        <w:rPr>
          <w:rFonts w:ascii="Times New Roman" w:hAnsi="Times New Roman" w:cs="Times New Roman"/>
          <w:sz w:val="24"/>
          <w:szCs w:val="24"/>
        </w:rPr>
        <w:t xml:space="preserve"> </w:t>
      </w:r>
      <w:r w:rsidR="005D5A4A">
        <w:rPr>
          <w:rFonts w:ascii="Times New Roman" w:hAnsi="Times New Roman" w:cs="Times New Roman"/>
          <w:i/>
          <w:sz w:val="24"/>
          <w:szCs w:val="24"/>
        </w:rPr>
        <w:t>Financial Distress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A4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5D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5F91">
        <w:rPr>
          <w:rFonts w:ascii="Times New Roman" w:hAnsi="Times New Roman" w:cs="Times New Roman"/>
          <w:sz w:val="24"/>
          <w:szCs w:val="24"/>
        </w:rPr>
        <w:t>erdaftar</w:t>
      </w:r>
      <w:proofErr w:type="spellEnd"/>
      <w:r w:rsidR="000F5F91">
        <w:rPr>
          <w:rFonts w:ascii="Times New Roman" w:hAnsi="Times New Roman" w:cs="Times New Roman"/>
          <w:sz w:val="24"/>
          <w:szCs w:val="24"/>
        </w:rPr>
        <w:t xml:space="preserve"> di B</w:t>
      </w:r>
      <w:r w:rsidR="005D5A4A">
        <w:rPr>
          <w:rFonts w:ascii="Times New Roman" w:hAnsi="Times New Roman" w:cs="Times New Roman"/>
          <w:sz w:val="24"/>
          <w:szCs w:val="24"/>
        </w:rPr>
        <w:t xml:space="preserve">ursa </w:t>
      </w:r>
      <w:proofErr w:type="spellStart"/>
      <w:r w:rsidR="000F5F91">
        <w:rPr>
          <w:rFonts w:ascii="Times New Roman" w:hAnsi="Times New Roman" w:cs="Times New Roman"/>
          <w:sz w:val="24"/>
          <w:szCs w:val="24"/>
        </w:rPr>
        <w:t>E</w:t>
      </w:r>
      <w:r w:rsidR="005D5A4A">
        <w:rPr>
          <w:rFonts w:ascii="Times New Roman" w:hAnsi="Times New Roman" w:cs="Times New Roman"/>
          <w:sz w:val="24"/>
          <w:szCs w:val="24"/>
        </w:rPr>
        <w:t>fek</w:t>
      </w:r>
      <w:proofErr w:type="spellEnd"/>
      <w:r w:rsidR="005D5A4A">
        <w:rPr>
          <w:rFonts w:ascii="Times New Roman" w:hAnsi="Times New Roman" w:cs="Times New Roman"/>
          <w:sz w:val="24"/>
          <w:szCs w:val="24"/>
        </w:rPr>
        <w:t xml:space="preserve"> </w:t>
      </w:r>
      <w:r w:rsidR="000F5F91">
        <w:rPr>
          <w:rFonts w:ascii="Times New Roman" w:hAnsi="Times New Roman" w:cs="Times New Roman"/>
          <w:sz w:val="24"/>
          <w:szCs w:val="24"/>
        </w:rPr>
        <w:t>I</w:t>
      </w:r>
      <w:r w:rsidR="005D5A4A">
        <w:rPr>
          <w:rFonts w:ascii="Times New Roman" w:hAnsi="Times New Roman" w:cs="Times New Roman"/>
          <w:sz w:val="24"/>
          <w:szCs w:val="24"/>
        </w:rPr>
        <w:t>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– 2015).</w:t>
      </w:r>
    </w:p>
    <w:p w:rsidR="003E5470" w:rsidRPr="00D41B60" w:rsidRDefault="003E5470" w:rsidP="00D41B60">
      <w:pPr>
        <w:spacing w:before="240" w:line="48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41B60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D41B60">
        <w:rPr>
          <w:rFonts w:ascii="Times New Roman" w:hAnsi="Times New Roman" w:cs="Times New Roman"/>
          <w:sz w:val="24"/>
          <w:szCs w:val="24"/>
        </w:rPr>
        <w:t xml:space="preserve"> sampling yang </w:t>
      </w:r>
      <w:proofErr w:type="spellStart"/>
      <w:r w:rsidRPr="00D41B6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41B60">
        <w:rPr>
          <w:rFonts w:ascii="Times New Roman" w:hAnsi="Times New Roman" w:cs="Times New Roman"/>
          <w:sz w:val="24"/>
          <w:szCs w:val="24"/>
        </w:rPr>
        <w:t xml:space="preserve"> dalam penelitian ini adalah purposive sampling </w:t>
      </w:r>
      <w:r w:rsidR="00D41B60" w:rsidRPr="00D41B60">
        <w:rPr>
          <w:rFonts w:ascii="Times New Roman" w:hAnsi="Times New Roman" w:cs="Times New Roman"/>
          <w:sz w:val="24"/>
          <w:szCs w:val="24"/>
        </w:rPr>
        <w:t xml:space="preserve">dengan kriteria: (1) Perusahaan tersebut listing di Bursa Efek Indonesia pada periode 2012-2015 </w:t>
      </w:r>
      <w:r w:rsidRPr="00D41B60">
        <w:rPr>
          <w:rFonts w:ascii="Times New Roman" w:hAnsi="Times New Roman" w:cs="Times New Roman"/>
          <w:sz w:val="24"/>
          <w:szCs w:val="24"/>
        </w:rPr>
        <w:t>(2)</w:t>
      </w:r>
      <w:r w:rsidR="00D41B60" w:rsidRPr="00D4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60" w:rsidRPr="00D41B60">
        <w:rPr>
          <w:rFonts w:ascii="Times New Roman" w:eastAsiaTheme="minorEastAsia" w:hAnsi="Times New Roman"/>
          <w:sz w:val="24"/>
          <w:szCs w:val="24"/>
        </w:rPr>
        <w:t>Tidak</w:t>
      </w:r>
      <w:proofErr w:type="spellEnd"/>
      <w:r w:rsidR="00D41B60" w:rsidRPr="00D41B60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D41B60" w:rsidRPr="00D41B60">
        <w:rPr>
          <w:rFonts w:ascii="Times New Roman" w:eastAsiaTheme="minorEastAsia" w:hAnsi="Times New Roman"/>
          <w:sz w:val="24"/>
          <w:szCs w:val="24"/>
        </w:rPr>
        <w:t>melibatkan</w:t>
      </w:r>
      <w:proofErr w:type="spellEnd"/>
      <w:r w:rsidR="00D41B60" w:rsidRPr="00D41B60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D41B60" w:rsidRPr="00D41B60">
        <w:rPr>
          <w:rFonts w:ascii="Times New Roman" w:eastAsiaTheme="minorEastAsia" w:hAnsi="Times New Roman"/>
          <w:sz w:val="24"/>
          <w:szCs w:val="24"/>
        </w:rPr>
        <w:t>perusahaan</w:t>
      </w:r>
      <w:proofErr w:type="spellEnd"/>
      <w:r w:rsidR="00D41B60" w:rsidRPr="00D41B60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="00D41B60" w:rsidRPr="00D41B60">
        <w:rPr>
          <w:rFonts w:ascii="Times New Roman" w:eastAsiaTheme="minorEastAsia" w:hAnsi="Times New Roman"/>
          <w:sz w:val="24"/>
          <w:szCs w:val="24"/>
        </w:rPr>
        <w:t>menggunakan</w:t>
      </w:r>
      <w:proofErr w:type="spellEnd"/>
      <w:r w:rsidR="00D41B60" w:rsidRPr="00D41B60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D41B60" w:rsidRPr="00D41B60">
        <w:rPr>
          <w:rFonts w:ascii="Times New Roman" w:eastAsiaTheme="minorEastAsia" w:hAnsi="Times New Roman"/>
          <w:sz w:val="24"/>
          <w:szCs w:val="24"/>
        </w:rPr>
        <w:t>mata</w:t>
      </w:r>
      <w:proofErr w:type="spellEnd"/>
      <w:r w:rsidR="00D41B60" w:rsidRPr="00D41B60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D41B60" w:rsidRPr="00D41B60">
        <w:rPr>
          <w:rFonts w:ascii="Times New Roman" w:eastAsiaTheme="minorEastAsia" w:hAnsi="Times New Roman"/>
          <w:sz w:val="24"/>
          <w:szCs w:val="24"/>
        </w:rPr>
        <w:t>uang</w:t>
      </w:r>
      <w:proofErr w:type="spellEnd"/>
      <w:r w:rsidR="00D41B60" w:rsidRPr="00D41B60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D41B60" w:rsidRPr="00D41B60">
        <w:rPr>
          <w:rFonts w:ascii="Times New Roman" w:eastAsiaTheme="minorEastAsia" w:hAnsi="Times New Roman"/>
          <w:sz w:val="24"/>
          <w:szCs w:val="24"/>
        </w:rPr>
        <w:t>asing</w:t>
      </w:r>
      <w:proofErr w:type="spellEnd"/>
      <w:r w:rsidR="00D41B60" w:rsidRPr="00D41B60">
        <w:rPr>
          <w:rFonts w:ascii="Times New Roman" w:eastAsiaTheme="minorEastAsia" w:hAnsi="Times New Roman"/>
          <w:sz w:val="24"/>
          <w:szCs w:val="24"/>
        </w:rPr>
        <w:t>.</w:t>
      </w:r>
      <w:r w:rsidR="00D41B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70">
        <w:rPr>
          <w:rFonts w:ascii="Times New Roman" w:hAnsi="Times New Roman" w:cs="Times New Roman"/>
          <w:i/>
          <w:sz w:val="24"/>
          <w:szCs w:val="24"/>
        </w:rPr>
        <w:t>Indonesia Stock Exchange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(IDX),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</w:t>
      </w:r>
      <w:r w:rsidR="00536363">
        <w:rPr>
          <w:rFonts w:ascii="Times New Roman" w:hAnsi="Times New Roman" w:cs="Times New Roman"/>
          <w:sz w:val="24"/>
          <w:szCs w:val="24"/>
        </w:rPr>
        <w:t>mok</w:t>
      </w:r>
      <w:proofErr w:type="spellEnd"/>
      <w:r w:rsidR="00536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36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3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6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3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6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3636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5470" w:rsidRPr="000D3BB4" w:rsidRDefault="003E5470" w:rsidP="003E5470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3BB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3BB4">
        <w:rPr>
          <w:rFonts w:ascii="Times New Roman" w:hAnsi="Times New Roman" w:cs="Times New Roman"/>
          <w:sz w:val="24"/>
          <w:szCs w:val="24"/>
        </w:rPr>
        <w:t>diguna</w:t>
      </w:r>
      <w:r w:rsidR="00536363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53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k</w:t>
      </w:r>
      <w:r w:rsidR="00776F18">
        <w:rPr>
          <w:rFonts w:ascii="Times New Roman" w:hAnsi="Times New Roman" w:cs="Times New Roman"/>
          <w:sz w:val="24"/>
          <w:szCs w:val="24"/>
        </w:rPr>
        <w:t>orelasi</w:t>
      </w:r>
      <w:proofErr w:type="spellEnd"/>
      <w:r w:rsidR="0077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F1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77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1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3B4" w:rsidRPr="000D3B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03B4" w:rsidRPr="000D3BB4">
        <w:rPr>
          <w:rFonts w:ascii="Times New Roman" w:hAnsi="Times New Roman" w:cs="Times New Roman"/>
          <w:sz w:val="24"/>
          <w:szCs w:val="24"/>
        </w:rPr>
        <w:t xml:space="preserve"> program </w:t>
      </w:r>
      <w:r w:rsidR="002503B4" w:rsidRPr="000D3BB4">
        <w:rPr>
          <w:rFonts w:ascii="Times New Roman" w:hAnsi="Times New Roman" w:cs="Times New Roman"/>
          <w:i/>
          <w:sz w:val="24"/>
          <w:szCs w:val="24"/>
        </w:rPr>
        <w:t>software SPSS v.2</w:t>
      </w:r>
      <w:r w:rsidR="00CE7E9A">
        <w:rPr>
          <w:rFonts w:ascii="Times New Roman" w:hAnsi="Times New Roman" w:cs="Times New Roman"/>
          <w:i/>
          <w:sz w:val="24"/>
          <w:szCs w:val="24"/>
        </w:rPr>
        <w:t>1</w:t>
      </w:r>
      <w:r w:rsidR="002503B4" w:rsidRPr="000D3BB4">
        <w:rPr>
          <w:rFonts w:ascii="Times New Roman" w:hAnsi="Times New Roman" w:cs="Times New Roman"/>
          <w:i/>
          <w:sz w:val="24"/>
          <w:szCs w:val="24"/>
        </w:rPr>
        <w:t>.</w:t>
      </w:r>
    </w:p>
    <w:p w:rsidR="000D3BB4" w:rsidRPr="000D3BB4" w:rsidRDefault="00416289" w:rsidP="007415F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0D3BB4">
        <w:rPr>
          <w:rFonts w:ascii="Times New Roman" w:hAnsi="Times New Roman" w:cs="Times New Roman"/>
        </w:rPr>
        <w:t>Berdasarkan</w:t>
      </w:r>
      <w:proofErr w:type="spellEnd"/>
      <w:r w:rsidRPr="000D3BB4">
        <w:rPr>
          <w:rFonts w:ascii="Times New Roman" w:hAnsi="Times New Roman" w:cs="Times New Roman"/>
        </w:rPr>
        <w:t xml:space="preserve"> </w:t>
      </w:r>
      <w:proofErr w:type="spellStart"/>
      <w:r w:rsidRPr="000D3BB4">
        <w:rPr>
          <w:rFonts w:ascii="Times New Roman" w:hAnsi="Times New Roman" w:cs="Times New Roman"/>
        </w:rPr>
        <w:t>hasil</w:t>
      </w:r>
      <w:proofErr w:type="spellEnd"/>
      <w:r w:rsidRPr="000D3BB4">
        <w:rPr>
          <w:rFonts w:ascii="Times New Roman" w:hAnsi="Times New Roman" w:cs="Times New Roman"/>
        </w:rPr>
        <w:t xml:space="preserve"> </w:t>
      </w:r>
      <w:proofErr w:type="spellStart"/>
      <w:r w:rsidRPr="000D3BB4">
        <w:rPr>
          <w:rFonts w:ascii="Times New Roman" w:hAnsi="Times New Roman" w:cs="Times New Roman"/>
        </w:rPr>
        <w:t>penelitian</w:t>
      </w:r>
      <w:proofErr w:type="spellEnd"/>
      <w:r w:rsidRPr="000D3BB4">
        <w:rPr>
          <w:rFonts w:ascii="Times New Roman" w:hAnsi="Times New Roman" w:cs="Times New Roman"/>
        </w:rPr>
        <w:t xml:space="preserve"> </w:t>
      </w:r>
      <w:proofErr w:type="spellStart"/>
      <w:r w:rsidRPr="000D3BB4">
        <w:rPr>
          <w:rFonts w:ascii="Times New Roman" w:hAnsi="Times New Roman" w:cs="Times New Roman"/>
        </w:rPr>
        <w:t>pada</w:t>
      </w:r>
      <w:proofErr w:type="spellEnd"/>
      <w:r w:rsidRPr="000D3BB4">
        <w:rPr>
          <w:rFonts w:ascii="Times New Roman" w:hAnsi="Times New Roman" w:cs="Times New Roman"/>
        </w:rPr>
        <w:t xml:space="preserve"> </w:t>
      </w:r>
      <w:proofErr w:type="spellStart"/>
      <w:r w:rsidRPr="000D3BB4">
        <w:rPr>
          <w:rFonts w:ascii="Times New Roman" w:hAnsi="Times New Roman" w:cs="Times New Roman"/>
        </w:rPr>
        <w:t>perusahaan</w:t>
      </w:r>
      <w:proofErr w:type="spellEnd"/>
      <w:r w:rsidRPr="000D3BB4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industri</w:t>
      </w:r>
      <w:proofErr w:type="spellEnd"/>
      <w:r w:rsidRPr="000D3BB4">
        <w:rPr>
          <w:rFonts w:ascii="Times New Roman" w:hAnsi="Times New Roman" w:cs="Times New Roman"/>
        </w:rPr>
        <w:t xml:space="preserve"> yang </w:t>
      </w:r>
      <w:proofErr w:type="spellStart"/>
      <w:r w:rsidRPr="000D3BB4">
        <w:rPr>
          <w:rFonts w:ascii="Times New Roman" w:hAnsi="Times New Roman" w:cs="Times New Roman"/>
        </w:rPr>
        <w:t>terdaftar</w:t>
      </w:r>
      <w:proofErr w:type="spellEnd"/>
      <w:r w:rsidRPr="000D3BB4">
        <w:rPr>
          <w:rFonts w:ascii="Times New Roman" w:hAnsi="Times New Roman" w:cs="Times New Roman"/>
        </w:rPr>
        <w:t xml:space="preserve"> di Bursa Efek Indonesia (BEI) periode 2012 – 2015, </w:t>
      </w:r>
      <w:r w:rsidR="00776F18" w:rsidRPr="00776F18">
        <w:rPr>
          <w:rFonts w:ascii="Times New Roman" w:hAnsi="Times New Roman" w:cs="Times New Roman"/>
          <w:i/>
        </w:rPr>
        <w:t>Sales Growth</w:t>
      </w:r>
      <w:r w:rsidR="00776F18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tidak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proofErr w:type="spellStart"/>
      <w:r w:rsidRPr="000D3BB4">
        <w:rPr>
          <w:rFonts w:ascii="Times New Roman" w:hAnsi="Times New Roman" w:cs="Times New Roman"/>
        </w:rPr>
        <w:t>berpengaruh</w:t>
      </w:r>
      <w:proofErr w:type="spellEnd"/>
      <w:r w:rsidRPr="000D3BB4">
        <w:rPr>
          <w:rFonts w:ascii="Times New Roman" w:hAnsi="Times New Roman" w:cs="Times New Roman"/>
        </w:rPr>
        <w:t xml:space="preserve"> </w:t>
      </w:r>
      <w:proofErr w:type="spellStart"/>
      <w:r w:rsidRPr="000D3BB4">
        <w:rPr>
          <w:rFonts w:ascii="Times New Roman" w:hAnsi="Times New Roman" w:cs="Times New Roman"/>
        </w:rPr>
        <w:t>sig</w:t>
      </w:r>
      <w:r w:rsidR="00776F18">
        <w:rPr>
          <w:rFonts w:ascii="Times New Roman" w:hAnsi="Times New Roman" w:cs="Times New Roman"/>
        </w:rPr>
        <w:t>nifikan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terhadap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r w:rsidR="00776F18" w:rsidRPr="00776F18">
        <w:rPr>
          <w:rFonts w:ascii="Times New Roman" w:hAnsi="Times New Roman" w:cs="Times New Roman"/>
          <w:i/>
        </w:rPr>
        <w:t>Financial Distress</w:t>
      </w:r>
      <w:r w:rsidRPr="000D3BB4">
        <w:rPr>
          <w:rFonts w:ascii="Times New Roman" w:hAnsi="Times New Roman" w:cs="Times New Roman"/>
        </w:rPr>
        <w:t xml:space="preserve"> </w:t>
      </w:r>
      <w:proofErr w:type="spellStart"/>
      <w:r w:rsidRPr="000D3BB4">
        <w:rPr>
          <w:rFonts w:ascii="Times New Roman" w:hAnsi="Times New Roman" w:cs="Times New Roman"/>
        </w:rPr>
        <w:t>dengan</w:t>
      </w:r>
      <w:proofErr w:type="spellEnd"/>
      <w:r w:rsidRPr="000D3BB4">
        <w:rPr>
          <w:rFonts w:ascii="Times New Roman" w:hAnsi="Times New Roman" w:cs="Times New Roman"/>
        </w:rPr>
        <w:t xml:space="preserve"> </w:t>
      </w:r>
      <w:proofErr w:type="spellStart"/>
      <w:r w:rsidRPr="000D3BB4">
        <w:rPr>
          <w:rFonts w:ascii="Times New Roman" w:hAnsi="Times New Roman" w:cs="Times New Roman"/>
        </w:rPr>
        <w:t>kontri</w:t>
      </w:r>
      <w:r w:rsidR="00776F18">
        <w:rPr>
          <w:rFonts w:ascii="Times New Roman" w:hAnsi="Times New Roman" w:cs="Times New Roman"/>
        </w:rPr>
        <w:t>busi</w:t>
      </w:r>
      <w:proofErr w:type="spellEnd"/>
      <w:r w:rsidR="00776F18">
        <w:rPr>
          <w:rFonts w:ascii="Times New Roman" w:hAnsi="Times New Roman" w:cs="Times New Roman"/>
        </w:rPr>
        <w:t xml:space="preserve"> yang </w:t>
      </w:r>
      <w:proofErr w:type="spellStart"/>
      <w:r w:rsidR="00776F18">
        <w:rPr>
          <w:rFonts w:ascii="Times New Roman" w:hAnsi="Times New Roman" w:cs="Times New Roman"/>
        </w:rPr>
        <w:t>diberikan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sebesar</w:t>
      </w:r>
      <w:proofErr w:type="spellEnd"/>
      <w:r w:rsidR="00776F18">
        <w:rPr>
          <w:rFonts w:ascii="Times New Roman" w:hAnsi="Times New Roman" w:cs="Times New Roman"/>
        </w:rPr>
        <w:t xml:space="preserve"> 1,03</w:t>
      </w:r>
      <w:r w:rsidRPr="000D3BB4">
        <w:rPr>
          <w:rFonts w:ascii="Times New Roman" w:hAnsi="Times New Roman" w:cs="Times New Roman"/>
        </w:rPr>
        <w:t xml:space="preserve">%. </w:t>
      </w:r>
      <w:r w:rsidR="00776F18" w:rsidRPr="00776F18">
        <w:rPr>
          <w:rFonts w:ascii="Times New Roman" w:hAnsi="Times New Roman" w:cs="Times New Roman"/>
          <w:i/>
        </w:rPr>
        <w:t>Operating Capacity</w:t>
      </w:r>
      <w:r w:rsidR="000D3BB4" w:rsidRPr="000D3BB4">
        <w:rPr>
          <w:rFonts w:ascii="Times New Roman" w:hAnsi="Times New Roman" w:cs="Times New Roman"/>
        </w:rPr>
        <w:t xml:space="preserve"> </w:t>
      </w:r>
      <w:proofErr w:type="spellStart"/>
      <w:r w:rsidR="000D3BB4" w:rsidRPr="000D3BB4">
        <w:rPr>
          <w:rFonts w:ascii="Times New Roman" w:hAnsi="Times New Roman" w:cs="Times New Roman"/>
        </w:rPr>
        <w:t>berpengaruh</w:t>
      </w:r>
      <w:proofErr w:type="spellEnd"/>
      <w:r w:rsidR="000D3BB4" w:rsidRPr="000D3BB4">
        <w:rPr>
          <w:rFonts w:ascii="Times New Roman" w:hAnsi="Times New Roman" w:cs="Times New Roman"/>
        </w:rPr>
        <w:t xml:space="preserve"> </w:t>
      </w:r>
      <w:proofErr w:type="spellStart"/>
      <w:r w:rsidR="000D3BB4" w:rsidRPr="000D3BB4">
        <w:rPr>
          <w:rFonts w:ascii="Times New Roman" w:hAnsi="Times New Roman" w:cs="Times New Roman"/>
        </w:rPr>
        <w:t>signifikan</w:t>
      </w:r>
      <w:proofErr w:type="spellEnd"/>
      <w:r w:rsidR="000D3BB4" w:rsidRPr="000D3BB4">
        <w:rPr>
          <w:rFonts w:ascii="Times New Roman" w:hAnsi="Times New Roman" w:cs="Times New Roman"/>
        </w:rPr>
        <w:t xml:space="preserve"> </w:t>
      </w:r>
      <w:proofErr w:type="spellStart"/>
      <w:r w:rsidR="000D3BB4" w:rsidRPr="000D3BB4">
        <w:rPr>
          <w:rFonts w:ascii="Times New Roman" w:hAnsi="Times New Roman" w:cs="Times New Roman"/>
        </w:rPr>
        <w:t>terhadap</w:t>
      </w:r>
      <w:proofErr w:type="spellEnd"/>
      <w:r w:rsidR="000D3BB4" w:rsidRPr="000D3BB4">
        <w:rPr>
          <w:rFonts w:ascii="Times New Roman" w:hAnsi="Times New Roman" w:cs="Times New Roman"/>
        </w:rPr>
        <w:t xml:space="preserve"> </w:t>
      </w:r>
      <w:r w:rsidR="00776F18" w:rsidRPr="00776F18">
        <w:rPr>
          <w:rFonts w:ascii="Times New Roman" w:hAnsi="Times New Roman" w:cs="Times New Roman"/>
          <w:i/>
        </w:rPr>
        <w:t>Financial Distress</w:t>
      </w:r>
      <w:r w:rsidR="000D3BB4" w:rsidRPr="000D3BB4">
        <w:rPr>
          <w:rFonts w:ascii="Times New Roman" w:hAnsi="Times New Roman" w:cs="Times New Roman"/>
        </w:rPr>
        <w:t xml:space="preserve"> </w:t>
      </w:r>
      <w:proofErr w:type="spellStart"/>
      <w:r w:rsidR="000D3BB4" w:rsidRPr="000D3BB4">
        <w:rPr>
          <w:rFonts w:ascii="Times New Roman" w:hAnsi="Times New Roman" w:cs="Times New Roman"/>
        </w:rPr>
        <w:t>dengan</w:t>
      </w:r>
      <w:proofErr w:type="spellEnd"/>
      <w:r w:rsidR="000D3BB4" w:rsidRPr="000D3BB4">
        <w:rPr>
          <w:rFonts w:ascii="Times New Roman" w:hAnsi="Times New Roman" w:cs="Times New Roman"/>
        </w:rPr>
        <w:t xml:space="preserve"> </w:t>
      </w:r>
      <w:proofErr w:type="spellStart"/>
      <w:r w:rsidR="000D3BB4" w:rsidRPr="000D3BB4">
        <w:rPr>
          <w:rFonts w:ascii="Times New Roman" w:hAnsi="Times New Roman" w:cs="Times New Roman"/>
        </w:rPr>
        <w:t>kontribu</w:t>
      </w:r>
      <w:r w:rsidR="00776F18">
        <w:rPr>
          <w:rFonts w:ascii="Times New Roman" w:hAnsi="Times New Roman" w:cs="Times New Roman"/>
        </w:rPr>
        <w:t>si</w:t>
      </w:r>
      <w:proofErr w:type="spellEnd"/>
      <w:r w:rsidR="00776F18">
        <w:rPr>
          <w:rFonts w:ascii="Times New Roman" w:hAnsi="Times New Roman" w:cs="Times New Roman"/>
        </w:rPr>
        <w:t xml:space="preserve"> yang </w:t>
      </w:r>
      <w:proofErr w:type="spellStart"/>
      <w:r w:rsidR="00776F18">
        <w:rPr>
          <w:rFonts w:ascii="Times New Roman" w:hAnsi="Times New Roman" w:cs="Times New Roman"/>
        </w:rPr>
        <w:t>diberikan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sebesar</w:t>
      </w:r>
      <w:proofErr w:type="spellEnd"/>
      <w:r w:rsidR="00776F18">
        <w:rPr>
          <w:rFonts w:ascii="Times New Roman" w:hAnsi="Times New Roman" w:cs="Times New Roman"/>
        </w:rPr>
        <w:t xml:space="preserve"> 55</w:t>
      </w:r>
      <w:proofErr w:type="gramStart"/>
      <w:r w:rsidR="00776F18">
        <w:rPr>
          <w:rFonts w:ascii="Times New Roman" w:hAnsi="Times New Roman" w:cs="Times New Roman"/>
        </w:rPr>
        <w:t>,14</w:t>
      </w:r>
      <w:proofErr w:type="gramEnd"/>
      <w:r w:rsidR="00776F18">
        <w:rPr>
          <w:rFonts w:ascii="Times New Roman" w:hAnsi="Times New Roman" w:cs="Times New Roman"/>
        </w:rPr>
        <w:t xml:space="preserve">%. </w:t>
      </w:r>
      <w:proofErr w:type="spellStart"/>
      <w:r w:rsidR="00776F18">
        <w:rPr>
          <w:rFonts w:ascii="Times New Roman" w:hAnsi="Times New Roman" w:cs="Times New Roman"/>
        </w:rPr>
        <w:t>Biaya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Agensi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Manajerial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berpengaruh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signifikan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terhadap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r w:rsidR="00776F18">
        <w:rPr>
          <w:rFonts w:ascii="Times New Roman" w:hAnsi="Times New Roman" w:cs="Times New Roman"/>
          <w:i/>
        </w:rPr>
        <w:t xml:space="preserve">Financial Distress </w:t>
      </w:r>
      <w:proofErr w:type="spellStart"/>
      <w:r w:rsidR="00776F18">
        <w:rPr>
          <w:rFonts w:ascii="Times New Roman" w:hAnsi="Times New Roman" w:cs="Times New Roman"/>
        </w:rPr>
        <w:t>dengan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proofErr w:type="spellStart"/>
      <w:r w:rsidR="00776F18">
        <w:rPr>
          <w:rFonts w:ascii="Times New Roman" w:hAnsi="Times New Roman" w:cs="Times New Roman"/>
        </w:rPr>
        <w:t>kontribusi</w:t>
      </w:r>
      <w:proofErr w:type="spellEnd"/>
      <w:r w:rsidR="00776F18">
        <w:rPr>
          <w:rFonts w:ascii="Times New Roman" w:hAnsi="Times New Roman" w:cs="Times New Roman"/>
        </w:rPr>
        <w:t xml:space="preserve"> </w:t>
      </w:r>
      <w:r w:rsidR="00AE0A25">
        <w:rPr>
          <w:rFonts w:ascii="Times New Roman" w:hAnsi="Times New Roman" w:cs="Times New Roman"/>
        </w:rPr>
        <w:t>-2</w:t>
      </w:r>
      <w:proofErr w:type="gramStart"/>
      <w:r w:rsidR="00AE0A25">
        <w:rPr>
          <w:rFonts w:ascii="Times New Roman" w:hAnsi="Times New Roman" w:cs="Times New Roman"/>
        </w:rPr>
        <w:t>,78</w:t>
      </w:r>
      <w:proofErr w:type="gramEnd"/>
      <w:r w:rsidR="00AE0A25">
        <w:rPr>
          <w:rFonts w:ascii="Times New Roman" w:hAnsi="Times New Roman" w:cs="Times New Roman"/>
        </w:rPr>
        <w:t>%.</w:t>
      </w:r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Sedangkan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secara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simultan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r w:rsidR="00536363">
        <w:rPr>
          <w:rFonts w:ascii="Times New Roman" w:hAnsi="Times New Roman" w:cs="Times New Roman"/>
          <w:i/>
        </w:rPr>
        <w:t xml:space="preserve">Sales Growth, Operating Capacity, </w:t>
      </w:r>
      <w:proofErr w:type="spellStart"/>
      <w:r w:rsidR="00536363">
        <w:rPr>
          <w:rFonts w:ascii="Times New Roman" w:hAnsi="Times New Roman" w:cs="Times New Roman"/>
        </w:rPr>
        <w:t>dan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Biaya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Agensi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Manajerial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berpengaruh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signifikan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terhadap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r w:rsidR="00536363">
        <w:rPr>
          <w:rFonts w:ascii="Times New Roman" w:hAnsi="Times New Roman" w:cs="Times New Roman"/>
          <w:i/>
        </w:rPr>
        <w:t xml:space="preserve">Financial Distress </w:t>
      </w:r>
      <w:proofErr w:type="spellStart"/>
      <w:r w:rsidR="00536363">
        <w:rPr>
          <w:rFonts w:ascii="Times New Roman" w:hAnsi="Times New Roman" w:cs="Times New Roman"/>
        </w:rPr>
        <w:t>dengan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kontribusi</w:t>
      </w:r>
      <w:proofErr w:type="spellEnd"/>
      <w:r w:rsidR="00536363">
        <w:rPr>
          <w:rFonts w:ascii="Times New Roman" w:hAnsi="Times New Roman" w:cs="Times New Roman"/>
        </w:rPr>
        <w:t xml:space="preserve"> yang </w:t>
      </w:r>
      <w:proofErr w:type="spellStart"/>
      <w:r w:rsidR="00536363">
        <w:rPr>
          <w:rFonts w:ascii="Times New Roman" w:hAnsi="Times New Roman" w:cs="Times New Roman"/>
        </w:rPr>
        <w:t>diberikan</w:t>
      </w:r>
      <w:proofErr w:type="spellEnd"/>
      <w:r w:rsidR="00536363">
        <w:rPr>
          <w:rFonts w:ascii="Times New Roman" w:hAnsi="Times New Roman" w:cs="Times New Roman"/>
        </w:rPr>
        <w:t xml:space="preserve"> </w:t>
      </w:r>
      <w:proofErr w:type="spellStart"/>
      <w:r w:rsidR="00536363">
        <w:rPr>
          <w:rFonts w:ascii="Times New Roman" w:hAnsi="Times New Roman" w:cs="Times New Roman"/>
        </w:rPr>
        <w:t>sebesar</w:t>
      </w:r>
      <w:proofErr w:type="spellEnd"/>
      <w:r w:rsidR="00536363">
        <w:rPr>
          <w:rFonts w:ascii="Times New Roman" w:hAnsi="Times New Roman" w:cs="Times New Roman"/>
        </w:rPr>
        <w:t xml:space="preserve"> 53,4%. </w:t>
      </w:r>
    </w:p>
    <w:p w:rsidR="003E5470" w:rsidRDefault="000D3BB4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B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Kata </w:t>
      </w:r>
      <w:proofErr w:type="spellStart"/>
      <w:proofErr w:type="gramStart"/>
      <w:r w:rsidRPr="000D3BB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D3B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6F18">
        <w:rPr>
          <w:rFonts w:ascii="Times New Roman" w:hAnsi="Times New Roman" w:cs="Times New Roman"/>
          <w:sz w:val="24"/>
          <w:szCs w:val="24"/>
        </w:rPr>
        <w:t xml:space="preserve"> </w:t>
      </w:r>
      <w:r w:rsidR="00776F18" w:rsidRPr="00776F18">
        <w:rPr>
          <w:rFonts w:ascii="Times New Roman" w:hAnsi="Times New Roman" w:cs="Times New Roman"/>
          <w:i/>
          <w:sz w:val="24"/>
          <w:szCs w:val="24"/>
        </w:rPr>
        <w:t>Sales Growth</w:t>
      </w:r>
      <w:r w:rsidR="00776F18">
        <w:rPr>
          <w:rFonts w:ascii="Times New Roman" w:hAnsi="Times New Roman" w:cs="Times New Roman"/>
          <w:sz w:val="24"/>
          <w:szCs w:val="24"/>
        </w:rPr>
        <w:t xml:space="preserve">, </w:t>
      </w:r>
      <w:r w:rsidR="00776F18" w:rsidRPr="00776F18">
        <w:rPr>
          <w:rFonts w:ascii="Times New Roman" w:hAnsi="Times New Roman" w:cs="Times New Roman"/>
          <w:i/>
          <w:sz w:val="24"/>
          <w:szCs w:val="24"/>
        </w:rPr>
        <w:t>Operating Capacity</w:t>
      </w:r>
      <w:r w:rsidR="0077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F1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7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18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="0077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18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77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F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6F18" w:rsidRPr="00776F18">
        <w:rPr>
          <w:rFonts w:ascii="Times New Roman" w:hAnsi="Times New Roman" w:cs="Times New Roman"/>
          <w:i/>
          <w:sz w:val="24"/>
          <w:szCs w:val="24"/>
        </w:rPr>
        <w:t>Financial Distress</w:t>
      </w: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B60" w:rsidRPr="003E5470" w:rsidRDefault="00D41B60" w:rsidP="00776F18">
      <w:pPr>
        <w:spacing w:after="0" w:line="480" w:lineRule="auto"/>
        <w:ind w:left="1560" w:hanging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470" w:rsidRDefault="000D3BB4" w:rsidP="00D41B60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BB4">
        <w:rPr>
          <w:rFonts w:ascii="Times New Roman" w:hAnsi="Times New Roman" w:cs="Times New Roman"/>
          <w:i/>
          <w:sz w:val="24"/>
          <w:szCs w:val="24"/>
        </w:rPr>
        <w:lastRenderedPageBreak/>
        <w:t>ABSTRACT</w:t>
      </w:r>
    </w:p>
    <w:p w:rsidR="00D41B60" w:rsidRDefault="007415FD" w:rsidP="00D41B60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5FD">
        <w:rPr>
          <w:rFonts w:ascii="Times New Roman" w:hAnsi="Times New Roman" w:cs="Times New Roman"/>
          <w:i/>
          <w:sz w:val="24"/>
          <w:szCs w:val="24"/>
        </w:rPr>
        <w:t xml:space="preserve">This research aims to analyze the influence of Sales Growth, Operating Capacity,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Agency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Cost to Financial Distress (Study</w:t>
      </w:r>
      <w:r w:rsidRPr="007415FD">
        <w:rPr>
          <w:rFonts w:ascii="Times New Roman" w:hAnsi="Times New Roman" w:cs="Times New Roman"/>
          <w:i/>
          <w:sz w:val="24"/>
          <w:szCs w:val="24"/>
        </w:rPr>
        <w:t xml:space="preserve"> on industrial companies </w:t>
      </w:r>
      <w:r>
        <w:rPr>
          <w:rFonts w:ascii="Times New Roman" w:hAnsi="Times New Roman" w:cs="Times New Roman"/>
          <w:i/>
          <w:sz w:val="24"/>
          <w:szCs w:val="24"/>
        </w:rPr>
        <w:t>which listed on the Indonesia Stock Exchange period 2012</w:t>
      </w:r>
      <w:r w:rsidRPr="007415FD">
        <w:rPr>
          <w:rFonts w:ascii="Times New Roman" w:hAnsi="Times New Roman" w:cs="Times New Roman"/>
          <w:i/>
          <w:sz w:val="24"/>
          <w:szCs w:val="24"/>
        </w:rPr>
        <w:t xml:space="preserve"> – 2015).</w:t>
      </w:r>
    </w:p>
    <w:p w:rsidR="007415FD" w:rsidRPr="007415FD" w:rsidRDefault="007415FD" w:rsidP="007415FD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7415FD">
        <w:rPr>
          <w:rFonts w:ascii="Times New Roman" w:hAnsi="Times New Roman" w:cs="Times New Roman"/>
          <w:i/>
          <w:sz w:val="24"/>
          <w:szCs w:val="24"/>
        </w:rPr>
        <w:t>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 technique</w:t>
      </w:r>
      <w:r w:rsidRPr="007415FD">
        <w:rPr>
          <w:rFonts w:ascii="Times New Roman" w:hAnsi="Times New Roman" w:cs="Times New Roman"/>
          <w:i/>
          <w:sz w:val="24"/>
          <w:szCs w:val="24"/>
        </w:rPr>
        <w:t xml:space="preserve"> used in this research is purposive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 with</w:t>
      </w:r>
      <w:r w:rsidRPr="007415FD">
        <w:rPr>
          <w:rFonts w:ascii="Times New Roman" w:hAnsi="Times New Roman" w:cs="Times New Roman"/>
          <w:i/>
          <w:sz w:val="24"/>
          <w:szCs w:val="24"/>
        </w:rPr>
        <w:t xml:space="preserve"> cr</w:t>
      </w:r>
      <w:r>
        <w:rPr>
          <w:rFonts w:ascii="Times New Roman" w:hAnsi="Times New Roman" w:cs="Times New Roman"/>
          <w:i/>
          <w:sz w:val="24"/>
          <w:szCs w:val="24"/>
        </w:rPr>
        <w:t>iteria: (1) the company listing on the Indonesia Stock E</w:t>
      </w:r>
      <w:r w:rsidRPr="007415FD">
        <w:rPr>
          <w:rFonts w:ascii="Times New Roman" w:hAnsi="Times New Roman" w:cs="Times New Roman"/>
          <w:i/>
          <w:sz w:val="24"/>
          <w:szCs w:val="24"/>
        </w:rPr>
        <w:t>xchange in the period 2012-2015 (2) does not involve compa</w:t>
      </w:r>
      <w:r>
        <w:rPr>
          <w:rFonts w:ascii="Times New Roman" w:hAnsi="Times New Roman" w:cs="Times New Roman"/>
          <w:i/>
          <w:sz w:val="24"/>
          <w:szCs w:val="24"/>
        </w:rPr>
        <w:t>nies that use foreign currency</w:t>
      </w:r>
      <w:r w:rsidRPr="007415FD">
        <w:rPr>
          <w:rFonts w:ascii="Times New Roman" w:hAnsi="Times New Roman" w:cs="Times New Roman"/>
          <w:i/>
          <w:sz w:val="24"/>
          <w:szCs w:val="24"/>
        </w:rPr>
        <w:t xml:space="preserve">. Data obtained from the publication of the Indonesia Stock Exchange (IDX), and </w:t>
      </w:r>
      <w:proofErr w:type="spellStart"/>
      <w:r w:rsidRPr="007415FD">
        <w:rPr>
          <w:rFonts w:ascii="Times New Roman" w:hAnsi="Times New Roman" w:cs="Times New Roman"/>
          <w:i/>
          <w:sz w:val="24"/>
          <w:szCs w:val="24"/>
        </w:rPr>
        <w:t>Sahamok</w:t>
      </w:r>
      <w:proofErr w:type="spellEnd"/>
      <w:r w:rsidRPr="007415FD">
        <w:rPr>
          <w:rFonts w:ascii="Times New Roman" w:hAnsi="Times New Roman" w:cs="Times New Roman"/>
          <w:i/>
          <w:sz w:val="24"/>
          <w:szCs w:val="24"/>
        </w:rPr>
        <w:t>. The number of samples obtained 19 companies.</w:t>
      </w:r>
    </w:p>
    <w:p w:rsidR="007415FD" w:rsidRPr="007415FD" w:rsidRDefault="007415FD" w:rsidP="007415FD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5FD">
        <w:rPr>
          <w:rFonts w:ascii="Times New Roman" w:hAnsi="Times New Roman" w:cs="Times New Roman"/>
          <w:i/>
          <w:sz w:val="24"/>
          <w:szCs w:val="24"/>
        </w:rPr>
        <w:t xml:space="preserve">The research approach used in this study is a descriptive analysis and </w:t>
      </w:r>
      <w:proofErr w:type="spellStart"/>
      <w:r w:rsidRPr="007415FD">
        <w:rPr>
          <w:rFonts w:ascii="Times New Roman" w:hAnsi="Times New Roman" w:cs="Times New Roman"/>
          <w:i/>
          <w:sz w:val="24"/>
          <w:szCs w:val="24"/>
        </w:rPr>
        <w:t>verifikatif</w:t>
      </w:r>
      <w:proofErr w:type="spellEnd"/>
      <w:r w:rsidRPr="007415FD">
        <w:rPr>
          <w:rFonts w:ascii="Times New Roman" w:hAnsi="Times New Roman" w:cs="Times New Roman"/>
          <w:i/>
          <w:sz w:val="24"/>
          <w:szCs w:val="24"/>
        </w:rPr>
        <w:t>. Statistical analysis used in this study is a classic assumption test, hypothesis testing using correlation analysis, t-test, the coefficient of determination, and f</w:t>
      </w:r>
      <w:r>
        <w:rPr>
          <w:rFonts w:ascii="Times New Roman" w:hAnsi="Times New Roman" w:cs="Times New Roman"/>
          <w:i/>
          <w:sz w:val="24"/>
          <w:szCs w:val="24"/>
        </w:rPr>
        <w:t xml:space="preserve">-test. Data processing with </w:t>
      </w:r>
      <w:r w:rsidRPr="007415FD">
        <w:rPr>
          <w:rFonts w:ascii="Times New Roman" w:hAnsi="Times New Roman" w:cs="Times New Roman"/>
          <w:i/>
          <w:sz w:val="24"/>
          <w:szCs w:val="24"/>
        </w:rPr>
        <w:t>software SPSS v. 21.</w:t>
      </w:r>
    </w:p>
    <w:p w:rsidR="007415FD" w:rsidRDefault="007415FD" w:rsidP="007415FD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5FD">
        <w:rPr>
          <w:rFonts w:ascii="Times New Roman" w:hAnsi="Times New Roman" w:cs="Times New Roman"/>
          <w:i/>
          <w:sz w:val="24"/>
          <w:szCs w:val="24"/>
        </w:rPr>
        <w:t>Based on the results of the research on industrial com</w:t>
      </w:r>
      <w:r>
        <w:rPr>
          <w:rFonts w:ascii="Times New Roman" w:hAnsi="Times New Roman" w:cs="Times New Roman"/>
          <w:i/>
          <w:sz w:val="24"/>
          <w:szCs w:val="24"/>
        </w:rPr>
        <w:t>panies listed on the Indonesia Stock E</w:t>
      </w:r>
      <w:r w:rsidRPr="007415FD">
        <w:rPr>
          <w:rFonts w:ascii="Times New Roman" w:hAnsi="Times New Roman" w:cs="Times New Roman"/>
          <w:i/>
          <w:sz w:val="24"/>
          <w:szCs w:val="24"/>
        </w:rPr>
        <w:t>xchange (</w:t>
      </w:r>
      <w:proofErr w:type="spellStart"/>
      <w:r w:rsidRPr="007415FD">
        <w:rPr>
          <w:rFonts w:ascii="Times New Roman" w:hAnsi="Times New Roman" w:cs="Times New Roman"/>
          <w:i/>
          <w:sz w:val="24"/>
          <w:szCs w:val="24"/>
        </w:rPr>
        <w:t>idx</w:t>
      </w:r>
      <w:proofErr w:type="spellEnd"/>
      <w:r w:rsidRPr="007415FD">
        <w:rPr>
          <w:rFonts w:ascii="Times New Roman" w:hAnsi="Times New Roman" w:cs="Times New Roman"/>
          <w:i/>
          <w:sz w:val="24"/>
          <w:szCs w:val="24"/>
        </w:rPr>
        <w:t xml:space="preserve">) of the period 2011 – 2015, Sales Growth has no effect significantly to Financial Distress with the given contribution amounting to 1.03%. Operating Capacity </w:t>
      </w:r>
      <w:r w:rsidR="008B6A40">
        <w:rPr>
          <w:rFonts w:ascii="Times New Roman" w:hAnsi="Times New Roman" w:cs="Times New Roman"/>
          <w:i/>
          <w:sz w:val="24"/>
          <w:szCs w:val="24"/>
        </w:rPr>
        <w:t xml:space="preserve">has an </w:t>
      </w:r>
      <w:r w:rsidRPr="007415FD">
        <w:rPr>
          <w:rFonts w:ascii="Times New Roman" w:hAnsi="Times New Roman" w:cs="Times New Roman"/>
          <w:i/>
          <w:sz w:val="24"/>
          <w:szCs w:val="24"/>
        </w:rPr>
        <w:t>effect significantly to Financial Distress with the given contributi</w:t>
      </w:r>
      <w:r w:rsidR="008B6A40">
        <w:rPr>
          <w:rFonts w:ascii="Times New Roman" w:hAnsi="Times New Roman" w:cs="Times New Roman"/>
          <w:i/>
          <w:sz w:val="24"/>
          <w:szCs w:val="24"/>
        </w:rPr>
        <w:t>on amounting to 55</w:t>
      </w:r>
      <w:proofErr w:type="gramStart"/>
      <w:r w:rsidR="008B6A40">
        <w:rPr>
          <w:rFonts w:ascii="Times New Roman" w:hAnsi="Times New Roman" w:cs="Times New Roman"/>
          <w:i/>
          <w:sz w:val="24"/>
          <w:szCs w:val="24"/>
        </w:rPr>
        <w:t>,14</w:t>
      </w:r>
      <w:proofErr w:type="gramEnd"/>
      <w:r w:rsidR="008B6A40">
        <w:rPr>
          <w:rFonts w:ascii="Times New Roman" w:hAnsi="Times New Roman" w:cs="Times New Roman"/>
          <w:i/>
          <w:sz w:val="24"/>
          <w:szCs w:val="24"/>
        </w:rPr>
        <w:t>%. Agency C</w:t>
      </w:r>
      <w:r w:rsidRPr="007415FD">
        <w:rPr>
          <w:rFonts w:ascii="Times New Roman" w:hAnsi="Times New Roman" w:cs="Times New Roman"/>
          <w:i/>
          <w:sz w:val="24"/>
          <w:szCs w:val="24"/>
        </w:rPr>
        <w:t>osts</w:t>
      </w:r>
      <w:r w:rsidR="008B6A40">
        <w:rPr>
          <w:rFonts w:ascii="Times New Roman" w:hAnsi="Times New Roman" w:cs="Times New Roman"/>
          <w:i/>
          <w:sz w:val="24"/>
          <w:szCs w:val="24"/>
        </w:rPr>
        <w:t xml:space="preserve"> has an</w:t>
      </w:r>
      <w:r w:rsidRPr="007415FD">
        <w:rPr>
          <w:rFonts w:ascii="Times New Roman" w:hAnsi="Times New Roman" w:cs="Times New Roman"/>
          <w:i/>
          <w:sz w:val="24"/>
          <w:szCs w:val="24"/>
        </w:rPr>
        <w:t xml:space="preserve"> effect significantly to Financial Distress with contributions-2.78%. While the simultaneous Sales Growth, </w:t>
      </w:r>
      <w:r w:rsidR="008B6A4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Operating Capacity, Agency Costs has an effect </w:t>
      </w:r>
      <w:r w:rsidRPr="007415FD">
        <w:rPr>
          <w:rFonts w:ascii="Times New Roman" w:hAnsi="Times New Roman" w:cs="Times New Roman"/>
          <w:i/>
          <w:sz w:val="24"/>
          <w:szCs w:val="24"/>
        </w:rPr>
        <w:t>significantly to Financial Distress with the given contribution amounting to 53.4%.</w:t>
      </w:r>
      <w:bookmarkStart w:id="0" w:name="_GoBack"/>
      <w:bookmarkEnd w:id="0"/>
    </w:p>
    <w:p w:rsidR="007415FD" w:rsidRPr="00D41B60" w:rsidRDefault="007415FD" w:rsidP="007415F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Keywords: Sales Growth, Operating Capacity, Agency Cost, and Financial Distress</w:t>
      </w:r>
    </w:p>
    <w:sectPr w:rsidR="007415FD" w:rsidRPr="00D41B60" w:rsidSect="00CE7E9A">
      <w:footerReference w:type="default" r:id="rId7"/>
      <w:pgSz w:w="12240" w:h="15840"/>
      <w:pgMar w:top="2275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20" w:rsidRDefault="00966620" w:rsidP="00CE7E9A">
      <w:pPr>
        <w:spacing w:after="0" w:line="240" w:lineRule="auto"/>
      </w:pPr>
      <w:r>
        <w:separator/>
      </w:r>
    </w:p>
  </w:endnote>
  <w:endnote w:type="continuationSeparator" w:id="0">
    <w:p w:rsidR="00966620" w:rsidRDefault="00966620" w:rsidP="00CE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932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E9A" w:rsidRDefault="00CE7E9A">
        <w:pPr>
          <w:pStyle w:val="Footer"/>
          <w:jc w:val="center"/>
        </w:pPr>
        <w:r w:rsidRPr="00CE7E9A">
          <w:rPr>
            <w:rFonts w:ascii="Times New Roman" w:hAnsi="Times New Roman" w:cs="Times New Roman"/>
          </w:rPr>
          <w:fldChar w:fldCharType="begin"/>
        </w:r>
        <w:r w:rsidRPr="00CE7E9A">
          <w:rPr>
            <w:rFonts w:ascii="Times New Roman" w:hAnsi="Times New Roman" w:cs="Times New Roman"/>
          </w:rPr>
          <w:instrText xml:space="preserve"> PAGE   \* MERGEFORMAT </w:instrText>
        </w:r>
        <w:r w:rsidRPr="00CE7E9A">
          <w:rPr>
            <w:rFonts w:ascii="Times New Roman" w:hAnsi="Times New Roman" w:cs="Times New Roman"/>
          </w:rPr>
          <w:fldChar w:fldCharType="separate"/>
        </w:r>
        <w:r w:rsidR="008B6A40">
          <w:rPr>
            <w:rFonts w:ascii="Times New Roman" w:hAnsi="Times New Roman" w:cs="Times New Roman"/>
            <w:noProof/>
          </w:rPr>
          <w:t>iii</w:t>
        </w:r>
        <w:r w:rsidRPr="00CE7E9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E7E9A" w:rsidRDefault="00CE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20" w:rsidRDefault="00966620" w:rsidP="00CE7E9A">
      <w:pPr>
        <w:spacing w:after="0" w:line="240" w:lineRule="auto"/>
      </w:pPr>
      <w:r>
        <w:separator/>
      </w:r>
    </w:p>
  </w:footnote>
  <w:footnote w:type="continuationSeparator" w:id="0">
    <w:p w:rsidR="00966620" w:rsidRDefault="00966620" w:rsidP="00CE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6A61"/>
    <w:multiLevelType w:val="multilevel"/>
    <w:tmpl w:val="57B67E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380" w:hanging="660"/>
      </w:pPr>
      <w:rPr>
        <w:rFonts w:cs="Times New Roman"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3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</w:rPr>
    </w:lvl>
  </w:abstractNum>
  <w:abstractNum w:abstractNumId="1">
    <w:nsid w:val="35C911C3"/>
    <w:multiLevelType w:val="hybridMultilevel"/>
    <w:tmpl w:val="CA60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0E74"/>
    <w:multiLevelType w:val="hybridMultilevel"/>
    <w:tmpl w:val="72EA0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70"/>
    <w:rsid w:val="000D3BB4"/>
    <w:rsid w:val="000E202B"/>
    <w:rsid w:val="000F5F91"/>
    <w:rsid w:val="002503B4"/>
    <w:rsid w:val="003E5470"/>
    <w:rsid w:val="00416289"/>
    <w:rsid w:val="00536363"/>
    <w:rsid w:val="005D5A4A"/>
    <w:rsid w:val="007415FD"/>
    <w:rsid w:val="00776F18"/>
    <w:rsid w:val="00866EE7"/>
    <w:rsid w:val="008B6A40"/>
    <w:rsid w:val="00966620"/>
    <w:rsid w:val="00AE0A25"/>
    <w:rsid w:val="00CE7E9A"/>
    <w:rsid w:val="00D41B60"/>
    <w:rsid w:val="00F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3642C-0192-45C8-88E3-3080CA6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List Paragraph1,Body of text"/>
    <w:basedOn w:val="Normal"/>
    <w:link w:val="ListParagraphChar"/>
    <w:uiPriority w:val="34"/>
    <w:qFormat/>
    <w:rsid w:val="003E5470"/>
    <w:pPr>
      <w:ind w:left="720"/>
    </w:pPr>
    <w:rPr>
      <w:rFonts w:ascii="Calibri" w:eastAsia="Calibri" w:hAnsi="Calibri" w:cs="Calibri"/>
      <w:lang w:val="id-ID"/>
    </w:rPr>
  </w:style>
  <w:style w:type="character" w:customStyle="1" w:styleId="ListParagraphChar">
    <w:name w:val="List Paragraph Char"/>
    <w:aliases w:val="skripsi Char,spasi 2 taiiii Char,Body Text Char1 Char,Char Char2 Char,List Paragraph2 Char,List Paragraph1 Char,Body of text Char"/>
    <w:basedOn w:val="DefaultParagraphFont"/>
    <w:link w:val="ListParagraph"/>
    <w:uiPriority w:val="34"/>
    <w:locked/>
    <w:rsid w:val="003E5470"/>
    <w:rPr>
      <w:rFonts w:ascii="Calibri" w:eastAsia="Calibri" w:hAnsi="Calibri" w:cs="Calibri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F9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9A"/>
  </w:style>
  <w:style w:type="paragraph" w:styleId="Footer">
    <w:name w:val="footer"/>
    <w:basedOn w:val="Normal"/>
    <w:link w:val="FooterChar"/>
    <w:uiPriority w:val="99"/>
    <w:unhideWhenUsed/>
    <w:rsid w:val="00CE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9A"/>
  </w:style>
  <w:style w:type="character" w:customStyle="1" w:styleId="apple-converted-space">
    <w:name w:val="apple-converted-space"/>
    <w:basedOn w:val="DefaultParagraphFont"/>
    <w:rsid w:val="00D41B60"/>
  </w:style>
  <w:style w:type="character" w:customStyle="1" w:styleId="highlighted">
    <w:name w:val="highlighted"/>
    <w:basedOn w:val="DefaultParagraphFont"/>
    <w:rsid w:val="00D41B60"/>
  </w:style>
  <w:style w:type="paragraph" w:styleId="NoSpacing">
    <w:name w:val="No Spacing"/>
    <w:uiPriority w:val="1"/>
    <w:qFormat/>
    <w:rsid w:val="00D41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Incrusio</cp:lastModifiedBy>
  <cp:revision>6</cp:revision>
  <dcterms:created xsi:type="dcterms:W3CDTF">2016-09-08T03:22:00Z</dcterms:created>
  <dcterms:modified xsi:type="dcterms:W3CDTF">2016-09-20T18:39:00Z</dcterms:modified>
</cp:coreProperties>
</file>