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B2" w:rsidRDefault="000500A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ABSTRAK</w:t>
      </w:r>
    </w:p>
    <w:p w:rsidR="00A023B2" w:rsidRDefault="00A023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23B2" w:rsidRDefault="000500AB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Kepemilikan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Dampaknya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Dividen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23B2" w:rsidRDefault="000500AB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verifikatif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BUMN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terdaftar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eastAsia="Times New Roman" w:hAnsi="Times New Roman" w:cs="Times New Roman"/>
          <w:sz w:val="24"/>
        </w:rPr>
        <w:t>Efek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2010-2014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purpo</w:t>
      </w:r>
      <w:r>
        <w:rPr>
          <w:rFonts w:ascii="Times New Roman" w:eastAsia="Times New Roman" w:hAnsi="Times New Roman" w:cs="Times New Roman"/>
          <w:i/>
          <w:sz w:val="24"/>
        </w:rPr>
        <w:t xml:space="preserve">sive sampling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total 4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asumsi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klasik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jalur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path analysis</w:t>
      </w:r>
      <w:r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A023B2" w:rsidRDefault="000500AB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menunjukan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dividen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peru</w:t>
      </w:r>
      <w:r>
        <w:rPr>
          <w:rFonts w:ascii="Times New Roman" w:eastAsia="Times New Roman" w:hAnsi="Times New Roman" w:cs="Times New Roman"/>
          <w:sz w:val="24"/>
        </w:rPr>
        <w:t>sahaan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BUMN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terdaftar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eastAsia="Times New Roman" w:hAnsi="Times New Roman" w:cs="Times New Roman"/>
          <w:sz w:val="24"/>
        </w:rPr>
        <w:t>Efek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Indinesia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2010-2014 rata-rata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25%.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jalur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</w:t>
      </w:r>
      <w:proofErr w:type="gramStart"/>
      <w:r>
        <w:rPr>
          <w:rFonts w:ascii="Times New Roman" w:eastAsia="Times New Roman" w:hAnsi="Times New Roman" w:cs="Times New Roman"/>
          <w:sz w:val="24"/>
        </w:rPr>
        <w:t>,88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%,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48,701%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Kepemi</w:t>
      </w:r>
      <w:r>
        <w:rPr>
          <w:rFonts w:ascii="Times New Roman" w:eastAsia="Times New Roman" w:hAnsi="Times New Roman" w:cs="Times New Roman"/>
          <w:sz w:val="24"/>
        </w:rPr>
        <w:t>likan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4"/>
        </w:rPr>
        <w:t>,89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%,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17,04%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</w:rPr>
        <w:t>,2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%,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10,83%.</w:t>
      </w:r>
    </w:p>
    <w:p w:rsidR="00A023B2" w:rsidRDefault="000500AB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simultan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Dividen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Kepemilikan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Leverage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Dividen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Leverage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Dividen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023B2" w:rsidRDefault="00A023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23B2" w:rsidRDefault="000500AB">
      <w:pPr>
        <w:spacing w:after="16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sz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Kepemilikan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eastAsia="Times New Roman" w:hAnsi="Times New Roman" w:cs="Times New Roman"/>
          <w:sz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Dividen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sectPr w:rsidR="00A0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23B2"/>
    <w:rsid w:val="000500AB"/>
    <w:rsid w:val="00A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2016-08-25T07:56:00Z</cp:lastPrinted>
  <dcterms:created xsi:type="dcterms:W3CDTF">2016-08-25T07:56:00Z</dcterms:created>
  <dcterms:modified xsi:type="dcterms:W3CDTF">2016-08-25T07:56:00Z</dcterms:modified>
</cp:coreProperties>
</file>