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F0" w:rsidRDefault="005477F0" w:rsidP="005477F0">
      <w:pPr>
        <w:widowControl w:val="0"/>
        <w:autoSpaceDE w:val="0"/>
        <w:autoSpaceDN w:val="0"/>
        <w:spacing w:after="0"/>
        <w:ind w:left="12" w:hangingChars="5" w:hanging="12"/>
        <w:jc w:val="center"/>
        <w:rPr>
          <w:rFonts w:ascii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/>
          <w:b/>
          <w:bCs/>
          <w:color w:val="000000"/>
          <w:sz w:val="24"/>
          <w:szCs w:val="24"/>
        </w:rPr>
        <w:t xml:space="preserve">DAFTAR PUSTAKA </w:t>
      </w:r>
    </w:p>
    <w:p w:rsidR="005477F0" w:rsidRDefault="005477F0" w:rsidP="005477F0">
      <w:pPr>
        <w:widowControl w:val="0"/>
        <w:autoSpaceDE w:val="0"/>
        <w:autoSpaceDN w:val="0"/>
        <w:spacing w:after="0"/>
        <w:ind w:left="12" w:hangingChars="5" w:hanging="12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5477F0" w:rsidRDefault="005477F0" w:rsidP="005477F0">
      <w:pPr>
        <w:widowControl w:val="0"/>
        <w:autoSpaceDE w:val="0"/>
        <w:autoSpaceDN w:val="0"/>
        <w:spacing w:after="0"/>
        <w:ind w:left="12" w:hangingChars="5" w:hanging="12"/>
        <w:jc w:val="both"/>
        <w:rPr>
          <w:rFonts w:asci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/>
          <w:color w:val="000000"/>
          <w:sz w:val="24"/>
          <w:szCs w:val="24"/>
        </w:rPr>
        <w:t>Ardinal</w:t>
      </w:r>
      <w:proofErr w:type="spellEnd"/>
      <w:r>
        <w:rPr>
          <w:rFonts w:ascii="Times New Roman" w:eastAsia="Times New Roman"/>
          <w:color w:val="000000"/>
          <w:sz w:val="24"/>
          <w:szCs w:val="24"/>
        </w:rPr>
        <w:t>, 2010.</w:t>
      </w:r>
      <w:proofErr w:type="gramEnd"/>
      <w:r>
        <w:rPr>
          <w:rFonts w:ascii="Times New Roman"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i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/>
          <w:i/>
          <w:color w:val="000000"/>
          <w:sz w:val="24"/>
          <w:szCs w:val="24"/>
        </w:rPr>
        <w:t>Politik</w:t>
      </w:r>
      <w:proofErr w:type="spellEnd"/>
      <w:r>
        <w:rPr>
          <w:rFonts w:ascii="Times New Roman" w:eastAsia="Times New Roman"/>
          <w:color w:val="000000"/>
          <w:sz w:val="24"/>
          <w:szCs w:val="24"/>
        </w:rPr>
        <w:t>. Jakarta: PT. INDEKS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Lopez, George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Michael S. </w:t>
      </w:r>
      <w:proofErr w:type="spellStart"/>
      <w:r>
        <w:rPr>
          <w:sz w:val="24"/>
          <w:szCs w:val="24"/>
        </w:rPr>
        <w:t>Stohl</w:t>
      </w:r>
      <w:proofErr w:type="spellEnd"/>
      <w:r>
        <w:rPr>
          <w:sz w:val="24"/>
          <w:szCs w:val="24"/>
        </w:rPr>
        <w:t xml:space="preserve">. 1989. </w:t>
      </w:r>
      <w:r>
        <w:rPr>
          <w:i/>
          <w:iCs/>
          <w:sz w:val="24"/>
          <w:szCs w:val="24"/>
        </w:rPr>
        <w:t>International Relations: Contemporary Theory and Practice</w:t>
      </w:r>
      <w:r>
        <w:rPr>
          <w:sz w:val="24"/>
          <w:szCs w:val="24"/>
        </w:rPr>
        <w:t>. Washington D.C.: Congressional Quarterly Press.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Buzan</w:t>
      </w:r>
      <w:proofErr w:type="spellEnd"/>
      <w:r>
        <w:rPr>
          <w:sz w:val="24"/>
          <w:szCs w:val="24"/>
        </w:rPr>
        <w:t>, Barry.1991.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People, States and Fear.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Harvester Wheatsheaf, Hertfordshire; Hal 21-23. 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Banyu </w:t>
      </w:r>
      <w:proofErr w:type="spellStart"/>
      <w:r>
        <w:rPr>
          <w:sz w:val="24"/>
          <w:szCs w:val="24"/>
        </w:rPr>
        <w:t>Perwita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Mochamad</w:t>
      </w:r>
      <w:proofErr w:type="spellEnd"/>
      <w:r>
        <w:rPr>
          <w:sz w:val="24"/>
          <w:szCs w:val="24"/>
        </w:rPr>
        <w:t xml:space="preserve"> Y. </w:t>
      </w:r>
      <w:proofErr w:type="spellStart"/>
      <w:r>
        <w:rPr>
          <w:sz w:val="24"/>
          <w:szCs w:val="24"/>
        </w:rPr>
        <w:t>Yanyan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2005</w:t>
      </w:r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Pengantar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Ilmu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Hubungan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PT </w:t>
      </w:r>
      <w:proofErr w:type="spellStart"/>
      <w:r>
        <w:rPr>
          <w:sz w:val="24"/>
          <w:szCs w:val="24"/>
        </w:rPr>
        <w:t>Remaja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  <w:r>
        <w:rPr>
          <w:sz w:val="24"/>
          <w:szCs w:val="24"/>
        </w:rPr>
        <w:t>; Bandung, Hal 154.</w:t>
      </w:r>
      <w:proofErr w:type="gramEnd"/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Holsti</w:t>
      </w:r>
      <w:proofErr w:type="spellEnd"/>
      <w:r>
        <w:rPr>
          <w:sz w:val="24"/>
          <w:szCs w:val="24"/>
        </w:rPr>
        <w:t xml:space="preserve">, K.J. 1992. </w:t>
      </w:r>
      <w:proofErr w:type="spellStart"/>
      <w:r>
        <w:rPr>
          <w:i/>
          <w:iCs/>
          <w:sz w:val="24"/>
          <w:szCs w:val="24"/>
        </w:rPr>
        <w:t>Politik</w:t>
      </w:r>
      <w:proofErr w:type="spellEnd"/>
      <w:r>
        <w:rPr>
          <w:i/>
          <w:iCs/>
          <w:sz w:val="24"/>
          <w:szCs w:val="24"/>
        </w:rPr>
        <w:t xml:space="preserve"> International: </w:t>
      </w:r>
      <w:proofErr w:type="spellStart"/>
      <w:r>
        <w:rPr>
          <w:i/>
          <w:iCs/>
          <w:sz w:val="24"/>
          <w:szCs w:val="24"/>
        </w:rPr>
        <w:t>Suatu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Kerangka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. Bina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, Bandung: Hal 26-27.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Mohtar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Mas’oed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”</w:t>
      </w:r>
      <w:proofErr w:type="spellStart"/>
      <w:proofErr w:type="gramEnd"/>
      <w:r>
        <w:rPr>
          <w:i/>
          <w:iCs/>
          <w:sz w:val="24"/>
          <w:szCs w:val="24"/>
        </w:rPr>
        <w:t>Ilmu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Hubungan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Internasional</w:t>
      </w:r>
      <w:proofErr w:type="spellEnd"/>
      <w:r>
        <w:rPr>
          <w:i/>
          <w:iCs/>
          <w:sz w:val="24"/>
          <w:szCs w:val="24"/>
        </w:rPr>
        <w:t xml:space="preserve"> : </w:t>
      </w:r>
      <w:proofErr w:type="spellStart"/>
      <w:r>
        <w:rPr>
          <w:i/>
          <w:iCs/>
          <w:sz w:val="24"/>
          <w:szCs w:val="24"/>
        </w:rPr>
        <w:t>Displin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Metodologi</w:t>
      </w:r>
      <w:proofErr w:type="spellEnd"/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>, LP3ES, Jakarta, 1990, Hlm.208-209 (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maret</w:t>
      </w:r>
      <w:proofErr w:type="spellEnd"/>
      <w:r>
        <w:rPr>
          <w:sz w:val="24"/>
          <w:szCs w:val="24"/>
        </w:rPr>
        <w:t xml:space="preserve"> 2015).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Malik, Dedy </w:t>
      </w:r>
      <w:proofErr w:type="spellStart"/>
      <w:r>
        <w:rPr>
          <w:sz w:val="24"/>
          <w:szCs w:val="24"/>
        </w:rPr>
        <w:t>Djamaluddin</w:t>
      </w:r>
      <w:proofErr w:type="spellEnd"/>
      <w:r>
        <w:rPr>
          <w:sz w:val="24"/>
          <w:szCs w:val="24"/>
        </w:rPr>
        <w:t xml:space="preserve">. 1993.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 xml:space="preserve">. Bandung: </w:t>
      </w:r>
      <w:proofErr w:type="spellStart"/>
      <w:r>
        <w:rPr>
          <w:sz w:val="24"/>
          <w:szCs w:val="24"/>
        </w:rPr>
        <w:t>Rosdakarya</w:t>
      </w:r>
      <w:proofErr w:type="spellEnd"/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Pandit</w:t>
      </w:r>
      <w:proofErr w:type="spellEnd"/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Nyoman</w:t>
      </w:r>
      <w:proofErr w:type="spellEnd"/>
      <w:r>
        <w:rPr>
          <w:sz w:val="24"/>
          <w:szCs w:val="24"/>
        </w:rPr>
        <w:t xml:space="preserve">, 1999, </w:t>
      </w:r>
      <w:proofErr w:type="spellStart"/>
      <w:r>
        <w:rPr>
          <w:i/>
          <w:iCs/>
          <w:sz w:val="24"/>
          <w:szCs w:val="24"/>
        </w:rPr>
        <w:t>Ilmu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Pariwisata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Sebauh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Pangantar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Perdana</w:t>
      </w:r>
      <w:proofErr w:type="spellEnd"/>
      <w:r>
        <w:rPr>
          <w:sz w:val="24"/>
          <w:szCs w:val="24"/>
        </w:rPr>
        <w:t xml:space="preserve">, Jakarta, </w:t>
      </w:r>
      <w:proofErr w:type="spellStart"/>
      <w:r>
        <w:rPr>
          <w:sz w:val="24"/>
          <w:szCs w:val="24"/>
        </w:rPr>
        <w:t>Pradnya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Paramita</w:t>
      </w:r>
      <w:proofErr w:type="spellEnd"/>
      <w:r>
        <w:rPr>
          <w:sz w:val="24"/>
          <w:szCs w:val="24"/>
        </w:rPr>
        <w:t>.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Robert Jackson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Georg Sorensen, </w:t>
      </w:r>
      <w:proofErr w:type="spellStart"/>
      <w:r>
        <w:rPr>
          <w:i/>
          <w:iCs/>
          <w:sz w:val="24"/>
          <w:szCs w:val="24"/>
        </w:rPr>
        <w:t>Pengantar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Studi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Hubungan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Yogyakarta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, 1999). </w:t>
      </w:r>
      <w:proofErr w:type="gramStart"/>
      <w:r>
        <w:rPr>
          <w:sz w:val="24"/>
          <w:szCs w:val="24"/>
        </w:rPr>
        <w:t>Hal 31.</w:t>
      </w:r>
      <w:proofErr w:type="gramEnd"/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Rudy, T. May. 2005. </w:t>
      </w:r>
      <w:proofErr w:type="spellStart"/>
      <w:r>
        <w:rPr>
          <w:i/>
          <w:iCs/>
          <w:sz w:val="24"/>
          <w:szCs w:val="24"/>
        </w:rPr>
        <w:t>Komunikasi</w:t>
      </w:r>
      <w:proofErr w:type="spellEnd"/>
      <w:r>
        <w:rPr>
          <w:i/>
          <w:iCs/>
          <w:sz w:val="24"/>
          <w:szCs w:val="24"/>
        </w:rPr>
        <w:t xml:space="preserve"> &amp; </w:t>
      </w:r>
      <w:proofErr w:type="spellStart"/>
      <w:r>
        <w:rPr>
          <w:i/>
          <w:iCs/>
          <w:sz w:val="24"/>
          <w:szCs w:val="24"/>
        </w:rPr>
        <w:t>Hubungan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Masyarakat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Internasional</w:t>
      </w:r>
      <w:proofErr w:type="spellEnd"/>
      <w:r>
        <w:rPr>
          <w:sz w:val="24"/>
          <w:szCs w:val="24"/>
        </w:rPr>
        <w:t xml:space="preserve">, Bandung: </w:t>
      </w:r>
      <w:proofErr w:type="spellStart"/>
      <w:r>
        <w:rPr>
          <w:sz w:val="24"/>
          <w:szCs w:val="24"/>
        </w:rPr>
        <w:t>Refika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Aditama</w:t>
      </w:r>
      <w:proofErr w:type="spellEnd"/>
      <w:r>
        <w:rPr>
          <w:sz w:val="24"/>
          <w:szCs w:val="24"/>
        </w:rPr>
        <w:t>.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Robert O. </w:t>
      </w:r>
      <w:proofErr w:type="spellStart"/>
      <w:r>
        <w:rPr>
          <w:sz w:val="24"/>
          <w:szCs w:val="24"/>
        </w:rPr>
        <w:t>Keohane</w:t>
      </w:r>
      <w:proofErr w:type="spellEnd"/>
      <w:r>
        <w:rPr>
          <w:sz w:val="24"/>
          <w:szCs w:val="24"/>
        </w:rPr>
        <w:t xml:space="preserve"> and Joseph S. Nye, 1972, </w:t>
      </w:r>
      <w:r>
        <w:rPr>
          <w:i/>
          <w:iCs/>
          <w:sz w:val="24"/>
          <w:szCs w:val="24"/>
        </w:rPr>
        <w:t>“Transnational Relations and World.</w:t>
      </w:r>
      <w:proofErr w:type="gramEnd"/>
      <w:r>
        <w:rPr>
          <w:i/>
          <w:iCs/>
          <w:sz w:val="24"/>
          <w:szCs w:val="24"/>
        </w:rPr>
        <w:t xml:space="preserve"> Politics”</w:t>
      </w:r>
      <w:r>
        <w:rPr>
          <w:sz w:val="24"/>
          <w:szCs w:val="24"/>
        </w:rPr>
        <w:t>, Cambridge: Harvard University Press. Hal 22-26.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Keohane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Robert.,</w:t>
      </w:r>
      <w:proofErr w:type="gramEnd"/>
      <w:r>
        <w:rPr>
          <w:sz w:val="24"/>
          <w:szCs w:val="24"/>
        </w:rPr>
        <w:t xml:space="preserve"> Nye, Joseph S, 1972, </w:t>
      </w:r>
      <w:proofErr w:type="spellStart"/>
      <w:r>
        <w:rPr>
          <w:i/>
          <w:iCs/>
          <w:sz w:val="24"/>
          <w:szCs w:val="24"/>
        </w:rPr>
        <w:t>Transnasional</w:t>
      </w:r>
      <w:proofErr w:type="spellEnd"/>
      <w:r>
        <w:rPr>
          <w:i/>
          <w:iCs/>
          <w:sz w:val="24"/>
          <w:szCs w:val="24"/>
        </w:rPr>
        <w:t xml:space="preserve"> Relations &amp; World </w:t>
      </w:r>
      <w:proofErr w:type="spellStart"/>
      <w:r>
        <w:rPr>
          <w:i/>
          <w:iCs/>
          <w:sz w:val="24"/>
          <w:szCs w:val="24"/>
        </w:rPr>
        <w:t>Politic’s</w:t>
      </w:r>
      <w:proofErr w:type="spellEnd"/>
      <w:r>
        <w:rPr>
          <w:i/>
          <w:iCs/>
          <w:sz w:val="24"/>
          <w:szCs w:val="24"/>
        </w:rPr>
        <w:t>: an Introduction Cambridge</w:t>
      </w:r>
      <w:r>
        <w:rPr>
          <w:sz w:val="24"/>
          <w:szCs w:val="24"/>
        </w:rPr>
        <w:t xml:space="preserve">, Harvard University Press. 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Suriasumantri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Jujun</w:t>
      </w:r>
      <w:proofErr w:type="spellEnd"/>
      <w:r>
        <w:rPr>
          <w:sz w:val="24"/>
          <w:szCs w:val="24"/>
        </w:rPr>
        <w:t xml:space="preserve"> S., 2010. </w:t>
      </w:r>
      <w:proofErr w:type="spellStart"/>
      <w:r>
        <w:rPr>
          <w:i/>
          <w:iCs/>
          <w:sz w:val="24"/>
          <w:szCs w:val="24"/>
        </w:rPr>
        <w:t>Filsafat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Ilmu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Sebuah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Pengantar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Populer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Jakarta 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>, 309.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Trygve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Mathisen</w:t>
      </w:r>
      <w:proofErr w:type="spellEnd"/>
      <w:proofErr w:type="gramEnd"/>
      <w:r>
        <w:rPr>
          <w:sz w:val="24"/>
          <w:szCs w:val="24"/>
        </w:rPr>
        <w:t xml:space="preserve">, 1984. </w:t>
      </w:r>
      <w:proofErr w:type="gramStart"/>
      <w:r>
        <w:rPr>
          <w:i/>
          <w:iCs/>
          <w:sz w:val="24"/>
          <w:szCs w:val="24"/>
        </w:rPr>
        <w:t>Methodology in the Study of International Relations</w:t>
      </w:r>
      <w:r>
        <w:rPr>
          <w:sz w:val="24"/>
          <w:szCs w:val="24"/>
        </w:rPr>
        <w:t>, Oslo, Oslo University Press.</w:t>
      </w:r>
      <w:proofErr w:type="gramEnd"/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Howard H. </w:t>
      </w:r>
      <w:proofErr w:type="spellStart"/>
      <w:r>
        <w:rPr>
          <w:i/>
          <w:sz w:val="24"/>
          <w:szCs w:val="24"/>
        </w:rPr>
        <w:t>Lentner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Foreign Policy An- </w:t>
      </w:r>
      <w:proofErr w:type="spellStart"/>
      <w:r>
        <w:rPr>
          <w:i/>
          <w:iCs/>
          <w:sz w:val="24"/>
          <w:szCs w:val="24"/>
        </w:rPr>
        <w:t>alysis</w:t>
      </w:r>
      <w:proofErr w:type="spellEnd"/>
      <w:r>
        <w:rPr>
          <w:i/>
          <w:iCs/>
          <w:sz w:val="24"/>
          <w:szCs w:val="24"/>
        </w:rPr>
        <w:t xml:space="preserve">: A Comparative and Conceptual. </w:t>
      </w:r>
      <w:proofErr w:type="gramStart"/>
      <w:r>
        <w:rPr>
          <w:i/>
          <w:iCs/>
          <w:sz w:val="24"/>
          <w:szCs w:val="24"/>
        </w:rPr>
        <w:t>Approach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Columbus, Ohio: Charles E. Merrill Publishing Company, </w:t>
      </w:r>
      <w:r>
        <w:rPr>
          <w:i/>
          <w:sz w:val="24"/>
          <w:szCs w:val="24"/>
        </w:rPr>
        <w:t>1974</w:t>
      </w:r>
      <w:r>
        <w:rPr>
          <w:sz w:val="24"/>
          <w:szCs w:val="24"/>
        </w:rPr>
        <w:t>, pp. vii</w:t>
      </w:r>
      <w:proofErr w:type="gramStart"/>
      <w:r>
        <w:rPr>
          <w:sz w:val="24"/>
          <w:szCs w:val="24"/>
        </w:rPr>
        <w:t>,.</w:t>
      </w:r>
      <w:proofErr w:type="gramEnd"/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Tehranian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Global Communication and World Politics: Domination, Development, and Discourse</w:t>
      </w:r>
      <w:r>
        <w:rPr>
          <w:sz w:val="24"/>
          <w:szCs w:val="24"/>
        </w:rPr>
        <w:t xml:space="preserve">. Boulder: Lynne </w:t>
      </w:r>
      <w:proofErr w:type="spellStart"/>
      <w:r>
        <w:rPr>
          <w:sz w:val="24"/>
          <w:szCs w:val="24"/>
        </w:rPr>
        <w:t>Rienner</w:t>
      </w:r>
      <w:proofErr w:type="spellEnd"/>
      <w:r>
        <w:rPr>
          <w:sz w:val="24"/>
          <w:szCs w:val="24"/>
        </w:rPr>
        <w:t xml:space="preserve">, 1999,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28. 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Nye, Joseph, </w:t>
      </w:r>
      <w:r>
        <w:rPr>
          <w:i/>
          <w:iCs/>
          <w:sz w:val="24"/>
          <w:szCs w:val="24"/>
        </w:rPr>
        <w:t>“Soft Power: The Means to Success in World Politics”</w:t>
      </w:r>
      <w:r>
        <w:rPr>
          <w:sz w:val="24"/>
          <w:szCs w:val="24"/>
        </w:rPr>
        <w:t>, New York: Public Affairs, 2004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Newcomb, Horace. </w:t>
      </w:r>
      <w:r>
        <w:rPr>
          <w:i/>
          <w:iCs/>
          <w:sz w:val="24"/>
          <w:szCs w:val="24"/>
        </w:rPr>
        <w:t>“Magnum: The Champagne of TV.</w:t>
      </w:r>
      <w:r>
        <w:rPr>
          <w:sz w:val="24"/>
          <w:szCs w:val="24"/>
        </w:rPr>
        <w:t>” Channels of Communication 5, no. 1 (1985): 23–26.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Rubenstein, Harvey M. 1992. </w:t>
      </w:r>
      <w:proofErr w:type="gramStart"/>
      <w:r>
        <w:rPr>
          <w:i/>
          <w:iCs/>
          <w:sz w:val="24"/>
          <w:szCs w:val="24"/>
        </w:rPr>
        <w:t xml:space="preserve">Pedestrian Malls, </w:t>
      </w:r>
      <w:proofErr w:type="spellStart"/>
      <w:r>
        <w:rPr>
          <w:i/>
          <w:iCs/>
          <w:sz w:val="24"/>
          <w:szCs w:val="24"/>
        </w:rPr>
        <w:t>Streetcapes</w:t>
      </w:r>
      <w:proofErr w:type="spellEnd"/>
      <w:r>
        <w:rPr>
          <w:i/>
          <w:iCs/>
          <w:sz w:val="24"/>
          <w:szCs w:val="24"/>
        </w:rPr>
        <w:t>, and Urban Spaces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John </w:t>
      </w:r>
      <w:proofErr w:type="spellStart"/>
      <w:r>
        <w:rPr>
          <w:sz w:val="24"/>
          <w:szCs w:val="24"/>
        </w:rPr>
        <w:t>Wiiley</w:t>
      </w:r>
      <w:proofErr w:type="spellEnd"/>
      <w:r>
        <w:rPr>
          <w:sz w:val="24"/>
          <w:szCs w:val="24"/>
        </w:rPr>
        <w:t xml:space="preserve"> and Sons: USA</w:t>
      </w:r>
    </w:p>
    <w:p w:rsidR="005477F0" w:rsidRDefault="005477F0" w:rsidP="005477F0">
      <w:pPr>
        <w:pStyle w:val="FootnoteText"/>
        <w:numPr>
          <w:ilvl w:val="5"/>
          <w:numId w:val="0"/>
        </w:numPr>
        <w:snapToGrid w:val="0"/>
        <w:ind w:left="641" w:hangingChars="267" w:hanging="64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Sutopo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Yasamihardja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“</w:t>
      </w:r>
      <w:proofErr w:type="spellStart"/>
      <w:r>
        <w:rPr>
          <w:i/>
          <w:iCs/>
          <w:sz w:val="24"/>
          <w:szCs w:val="24"/>
        </w:rPr>
        <w:t>Membina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Pariwisata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Harus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dengan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Pendekatan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Ekonomi</w:t>
      </w:r>
      <w:proofErr w:type="spellEnd"/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.Indonesia Tourism News Syndicate: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No.1/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 :</w:t>
      </w:r>
      <w:proofErr w:type="gramEnd"/>
      <w:r>
        <w:rPr>
          <w:sz w:val="24"/>
          <w:szCs w:val="24"/>
        </w:rPr>
        <w:t xml:space="preserve"> 1-30 April 2004, </w:t>
      </w:r>
      <w:proofErr w:type="spellStart"/>
      <w:r>
        <w:rPr>
          <w:sz w:val="24"/>
          <w:szCs w:val="24"/>
        </w:rPr>
        <w:t>disahkan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Tinggi </w:t>
      </w:r>
      <w:proofErr w:type="spellStart"/>
      <w:r>
        <w:rPr>
          <w:sz w:val="24"/>
          <w:szCs w:val="24"/>
        </w:rPr>
        <w:t>Pariwisata</w:t>
      </w:r>
      <w:proofErr w:type="spellEnd"/>
      <w:r>
        <w:rPr>
          <w:sz w:val="24"/>
          <w:szCs w:val="24"/>
        </w:rPr>
        <w:t xml:space="preserve"> Bandung. </w:t>
      </w:r>
      <w:hyperlink r:id="rId5" w:history="1">
        <w:proofErr w:type="gramStart"/>
        <w:r>
          <w:rPr>
            <w:sz w:val="24"/>
            <w:szCs w:val="24"/>
          </w:rPr>
          <w:t>www.tourisindo.tripod.com.</w:t>
        </w:r>
      </w:hyperlink>
      <w:r>
        <w:rPr>
          <w:sz w:val="24"/>
          <w:szCs w:val="24"/>
        </w:rPr>
        <w:t xml:space="preserve">Diakses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Pebruari</w:t>
      </w:r>
      <w:proofErr w:type="spellEnd"/>
      <w:r>
        <w:rPr>
          <w:sz w:val="24"/>
          <w:szCs w:val="24"/>
        </w:rPr>
        <w:t xml:space="preserve"> 2015.</w:t>
      </w:r>
      <w:proofErr w:type="gramEnd"/>
    </w:p>
    <w:p w:rsidR="005477F0" w:rsidRDefault="005477F0" w:rsidP="005477F0">
      <w:pPr>
        <w:pStyle w:val="FootnoteText"/>
        <w:snapToGrid w:val="0"/>
        <w:ind w:left="12" w:hangingChars="5" w:hanging="12"/>
        <w:jc w:val="both"/>
        <w:rPr>
          <w:sz w:val="24"/>
          <w:szCs w:val="24"/>
        </w:rPr>
      </w:pPr>
    </w:p>
    <w:p w:rsidR="005F0629" w:rsidRDefault="005F0629">
      <w:bookmarkStart w:id="0" w:name="_GoBack"/>
      <w:bookmarkEnd w:id="0"/>
    </w:p>
    <w:sectPr w:rsidR="005F0629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F0"/>
    <w:rsid w:val="005477F0"/>
    <w:rsid w:val="005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F0"/>
    <w:rPr>
      <w:rFonts w:ascii="Calibri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477F0"/>
    <w:pPr>
      <w:spacing w:after="0" w:line="240" w:lineRule="auto"/>
    </w:pPr>
    <w:rPr>
      <w:rFonts w:ascii="Times New Roman"/>
    </w:rPr>
  </w:style>
  <w:style w:type="character" w:customStyle="1" w:styleId="FootnoteTextChar">
    <w:name w:val="Footnote Text Char"/>
    <w:basedOn w:val="DefaultParagraphFont"/>
    <w:link w:val="FootnoteText"/>
    <w:rsid w:val="005477F0"/>
    <w:rPr>
      <w:rFonts w:ascii="Times New Roman" w:eastAsia="SimSu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F0"/>
    <w:rPr>
      <w:rFonts w:ascii="Calibri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477F0"/>
    <w:pPr>
      <w:spacing w:after="0" w:line="240" w:lineRule="auto"/>
    </w:pPr>
    <w:rPr>
      <w:rFonts w:ascii="Times New Roman"/>
    </w:rPr>
  </w:style>
  <w:style w:type="character" w:customStyle="1" w:styleId="FootnoteTextChar">
    <w:name w:val="Footnote Text Char"/>
    <w:basedOn w:val="DefaultParagraphFont"/>
    <w:link w:val="FootnoteText"/>
    <w:rsid w:val="005477F0"/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urisindo.tripo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2016-09-15T04:23:00Z</dcterms:created>
  <dcterms:modified xsi:type="dcterms:W3CDTF">2016-09-15T04:23:00Z</dcterms:modified>
</cp:coreProperties>
</file>