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67" w:rsidRPr="00386EA7" w:rsidRDefault="00A03267" w:rsidP="00A03267">
      <w:pPr>
        <w:spacing w:line="360" w:lineRule="auto"/>
        <w:jc w:val="center"/>
        <w:rPr>
          <w:rFonts w:ascii="Times New Roman" w:hAnsi="Times New Roman" w:cs="Times New Roman"/>
          <w:b/>
          <w:sz w:val="28"/>
          <w:szCs w:val="28"/>
        </w:rPr>
      </w:pPr>
      <w:r w:rsidRPr="00386EA7">
        <w:rPr>
          <w:rFonts w:ascii="Times New Roman" w:hAnsi="Times New Roman" w:cs="Times New Roman"/>
          <w:b/>
          <w:sz w:val="28"/>
          <w:szCs w:val="28"/>
        </w:rPr>
        <w:t>BAB II</w:t>
      </w:r>
    </w:p>
    <w:p w:rsidR="00A03267" w:rsidRPr="00386EA7" w:rsidRDefault="00A03267" w:rsidP="00A03267">
      <w:pPr>
        <w:spacing w:line="480" w:lineRule="auto"/>
        <w:jc w:val="center"/>
        <w:rPr>
          <w:rFonts w:ascii="Times New Roman" w:hAnsi="Times New Roman" w:cs="Times New Roman"/>
          <w:b/>
          <w:sz w:val="28"/>
          <w:szCs w:val="28"/>
        </w:rPr>
      </w:pPr>
      <w:r w:rsidRPr="00386EA7">
        <w:rPr>
          <w:rFonts w:ascii="Times New Roman" w:hAnsi="Times New Roman" w:cs="Times New Roman"/>
          <w:b/>
          <w:sz w:val="28"/>
          <w:szCs w:val="28"/>
        </w:rPr>
        <w:t>KERJASAMA PARIWISATA INDONESIA-CINA</w:t>
      </w:r>
    </w:p>
    <w:p w:rsidR="00A03267" w:rsidRPr="00386EA7" w:rsidRDefault="00A03267" w:rsidP="00A03267">
      <w:pPr>
        <w:pStyle w:val="ListParagraph"/>
        <w:numPr>
          <w:ilvl w:val="0"/>
          <w:numId w:val="1"/>
        </w:numPr>
        <w:spacing w:line="480" w:lineRule="auto"/>
        <w:ind w:left="360"/>
        <w:rPr>
          <w:rFonts w:ascii="Times New Roman" w:hAnsi="Times New Roman" w:cs="Times New Roman"/>
          <w:b/>
          <w:sz w:val="24"/>
          <w:szCs w:val="24"/>
        </w:rPr>
      </w:pPr>
      <w:r w:rsidRPr="00386EA7">
        <w:rPr>
          <w:rFonts w:ascii="Times New Roman" w:hAnsi="Times New Roman" w:cs="Times New Roman"/>
          <w:b/>
          <w:sz w:val="24"/>
          <w:szCs w:val="24"/>
        </w:rPr>
        <w:t>Hubungan Diplomatik Indonesia-China</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386EA7">
        <w:rPr>
          <w:rFonts w:ascii="Times New Roman" w:hAnsi="Times New Roman" w:cs="Times New Roman"/>
          <w:sz w:val="24"/>
          <w:szCs w:val="24"/>
        </w:rPr>
        <w:t>China dan Indonesia menjalin hubungan diplomatik pada tanggal 13 April 1950, yang telah dihentikan pada 30 Oktober 1967 karena terjadinya "peristiwa 30 November" ta</w:t>
      </w:r>
      <w:r>
        <w:rPr>
          <w:rFonts w:ascii="Times New Roman" w:hAnsi="Times New Roman" w:cs="Times New Roman"/>
          <w:sz w:val="24"/>
          <w:szCs w:val="24"/>
        </w:rPr>
        <w:t xml:space="preserve">hun 1965. </w:t>
      </w:r>
      <w:r w:rsidRPr="00386EA7">
        <w:rPr>
          <w:rFonts w:ascii="Times New Roman" w:hAnsi="Times New Roman" w:cs="Times New Roman"/>
          <w:sz w:val="24"/>
          <w:szCs w:val="24"/>
        </w:rPr>
        <w:t>Menteri Luar Negeri Cina Qian Qichen masing-masing bertemu dengan Presiden Soharto dan Menteri Negara Moerdiono di Indonesia pada tahun 1989 untuk mendiskusikan pembukaan kembali hubungan diplomatik kedua negara.</w:t>
      </w:r>
      <w:r w:rsidRPr="00386EA7">
        <w:rPr>
          <w:rStyle w:val="google-src-text"/>
          <w:rFonts w:ascii="Times New Roman" w:hAnsi="Times New Roman" w:cs="Times New Roman"/>
          <w:sz w:val="24"/>
          <w:szCs w:val="24"/>
        </w:rPr>
        <w:t xml:space="preserve"> </w:t>
      </w:r>
      <w:r w:rsidRPr="00386EA7">
        <w:rPr>
          <w:rFonts w:ascii="Times New Roman" w:hAnsi="Times New Roman" w:cs="Times New Roman"/>
          <w:sz w:val="24"/>
          <w:szCs w:val="24"/>
        </w:rPr>
        <w:t>Pada bulan Desember 1989, kedua pihak mengadakan pembicaraan mengenai masalah-masalah teknis mengenai normalisasi hubungan bilateral dan menandatangani Berita Acara. Menteri Luar Negeri Ali Alatas dari Indonesia mengunjungi Cina pada undangan pada bulan Juli 1990 dan kedua belah pihak mengeluarkan Perjanjian Penyelesaian Kewajiban Hutang Indonesia ke Cina dan Komunike pada Penerusan Hubungan Diplomatik antara kedua negara. Kedua negara mengeluarkan "K</w:t>
      </w:r>
      <w:r>
        <w:rPr>
          <w:rFonts w:ascii="Times New Roman" w:hAnsi="Times New Roman" w:cs="Times New Roman"/>
          <w:sz w:val="24"/>
          <w:szCs w:val="24"/>
        </w:rPr>
        <w:t>omunike pada Pemulihan Hubungan</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386EA7">
        <w:rPr>
          <w:rFonts w:ascii="Times New Roman" w:hAnsi="Times New Roman" w:cs="Times New Roman"/>
          <w:sz w:val="24"/>
          <w:szCs w:val="24"/>
        </w:rPr>
        <w:t>D</w:t>
      </w:r>
      <w:r>
        <w:rPr>
          <w:rFonts w:ascii="Times New Roman" w:hAnsi="Times New Roman" w:cs="Times New Roman"/>
          <w:sz w:val="24"/>
          <w:szCs w:val="24"/>
        </w:rPr>
        <w:t xml:space="preserve">iplomatik antara Negara Dua". </w:t>
      </w:r>
      <w:r w:rsidRPr="00386EA7">
        <w:rPr>
          <w:rFonts w:ascii="Times New Roman" w:hAnsi="Times New Roman" w:cs="Times New Roman"/>
          <w:sz w:val="24"/>
          <w:szCs w:val="24"/>
        </w:rPr>
        <w:t xml:space="preserve">Perdana Menteri Li Peng berkunjung ke Indonesia pada undangan pada 6 Agustus 1990. Dalam pembicaraan dengan Presiden Soharto, kedua pihak menyatakan kesediaan mereka untuk meningkatkan dan mengembangkan hubungan persahabatan dan kerjasama antara kedua negara dalam semangat melihat ke depan dan atas dasar Lima Prinsip Damai Co-Keberadaan dan Sepuluh Prinsip Konferensi Bandung. Pada tanggal 8 Agustus, </w:t>
      </w:r>
      <w:r w:rsidRPr="00386EA7">
        <w:rPr>
          <w:rFonts w:ascii="Times New Roman" w:hAnsi="Times New Roman" w:cs="Times New Roman"/>
          <w:sz w:val="24"/>
          <w:szCs w:val="24"/>
        </w:rPr>
        <w:lastRenderedPageBreak/>
        <w:t>Menteri Luar Negeri Cina dan Indonesia atas nama pemerintah masing-masing, menandatangani Nota Kesepahaman pada Penerusan Hubungan Diplomatik. Kedua belah pihak menyatakan kembalinya formal dari hubungan diplomatik antara China</w:t>
      </w:r>
      <w:r>
        <w:rPr>
          <w:rFonts w:ascii="Times New Roman" w:hAnsi="Times New Roman" w:cs="Times New Roman"/>
          <w:sz w:val="24"/>
          <w:szCs w:val="24"/>
        </w:rPr>
        <w:t xml:space="preserve"> dan Indonesia pada hari itu. </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386EA7">
        <w:rPr>
          <w:rFonts w:ascii="Times New Roman" w:hAnsi="Times New Roman" w:cs="Times New Roman"/>
          <w:sz w:val="24"/>
          <w:szCs w:val="24"/>
        </w:rPr>
        <w:t>Hubungan bilateral berkembang secara stabil sejak dimulainya kembali hubungan diplomatik kedua negara.</w:t>
      </w:r>
      <w:r w:rsidRPr="00386EA7">
        <w:rPr>
          <w:rStyle w:val="google-src-text"/>
          <w:rFonts w:ascii="Times New Roman" w:hAnsi="Times New Roman" w:cs="Times New Roman"/>
          <w:sz w:val="24"/>
          <w:szCs w:val="24"/>
        </w:rPr>
        <w:t>.</w:t>
      </w:r>
      <w:r w:rsidRPr="00386EA7">
        <w:rPr>
          <w:rFonts w:ascii="Times New Roman" w:hAnsi="Times New Roman" w:cs="Times New Roman"/>
          <w:sz w:val="24"/>
          <w:szCs w:val="24"/>
        </w:rPr>
        <w:t xml:space="preserve"> Para pemimpin dari kedua belah pihak telah mempertahankan pertukaran kunjungan dan kontak. Menghasilkan, saling pengertian dan kepercayaan telah meningkat, meletakkan dasar untuk perkembangan yang sehat dan mantap hubungan bilateral. Kedua Kementerian Luar Negeri mendirikan sebuah mekanisme konsultatif dan telah menyelenggarakan 5 putaran konsultasi pada tahun 1999. Tahun-tahun belakangan ini telah menyaksikan konstan pendalaman dan perdagangan kerjasama ekonomi dan peningkatan volume perdagangan tahun ke tahun. Bursa dan kerjasama di bidang lain sedang berlangsung. Cina dan Indonesia sudah baik dipertahankan koordinasi dan kerja sama internasional dan regional dalam urusan Beberapa masalah antara kedua negara tersisa o</w:t>
      </w:r>
      <w:r>
        <w:rPr>
          <w:rFonts w:ascii="Times New Roman" w:hAnsi="Times New Roman" w:cs="Times New Roman"/>
          <w:sz w:val="24"/>
          <w:szCs w:val="24"/>
        </w:rPr>
        <w:t xml:space="preserve">leh sejarah mulai dipecahkan. </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386EA7">
        <w:rPr>
          <w:rFonts w:ascii="Times New Roman" w:hAnsi="Times New Roman" w:cs="Times New Roman"/>
          <w:sz w:val="24"/>
          <w:szCs w:val="24"/>
        </w:rPr>
        <w:t xml:space="preserve">Sejak dimulainya kembali hubungan diplomatik antara kedua negara, Presiden Yang Shangkun (tahun 1991), Ketua Komite Tetap NPC Qiao Shi (tahun 1993) dan Wakil Perdana Menteri Zhu Rongji (tahun 1996), Wakil Presiden Hu Jintao (tahun 2000) dari Cina berkunjung ke Indonesia. Ketua Parlemen Suhud (tahun 1991), Wakil Presiden Sudarmono (tahun 1992) dan Ketua Dewan Pertimbangan Agung Sudomo (tahun 1997) mengunjungi China. Presiden Jiang </w:t>
      </w:r>
      <w:r w:rsidRPr="00386EA7">
        <w:rPr>
          <w:rFonts w:ascii="Times New Roman" w:hAnsi="Times New Roman" w:cs="Times New Roman"/>
          <w:sz w:val="24"/>
          <w:szCs w:val="24"/>
        </w:rPr>
        <w:lastRenderedPageBreak/>
        <w:t>Zemin dari Cina kunjungan balasan kenegaraan ke Indonesia pada bulan November 1994 setelah ia menghadiri APEC Pemimpin Rapat Informal kedua. Pada bulan Desember 1999, Presiden KH Abdurrahman Wahid dari Indonesia membayar kunjungan kenegaraan ke China, di mana kedua negara mengeluarkan komunike pers bersama. Pada bulan Juli 2000, Wakil Presiden Hu Jintao berkunjung ke Indonesia atas unda</w:t>
      </w:r>
      <w:r>
        <w:rPr>
          <w:rFonts w:ascii="Times New Roman" w:hAnsi="Times New Roman" w:cs="Times New Roman"/>
          <w:sz w:val="24"/>
          <w:szCs w:val="24"/>
        </w:rPr>
        <w:t xml:space="preserve">ngan Wakil Presiden Megawati. </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386EA7">
        <w:rPr>
          <w:rFonts w:ascii="Times New Roman" w:hAnsi="Times New Roman" w:cs="Times New Roman"/>
          <w:sz w:val="24"/>
          <w:szCs w:val="24"/>
        </w:rPr>
        <w:t>Pada bulan November 2001, Perdana Menteri Zhu Rongji berkunjung ke Indonesia. Pada bulan Maret 2002, Presiden Indonesia Megawati Sukarnoputri membayar kunjungan kenegaraan ke Cina. Pada bulan April, Presiden Abdurrahman Wahid Rakyat Indonesia MPR mengunjungi China. Pada bulan September, Ketua Li Peng dari NPC melakukan kunjun</w:t>
      </w:r>
      <w:r>
        <w:rPr>
          <w:rFonts w:ascii="Times New Roman" w:hAnsi="Times New Roman" w:cs="Times New Roman"/>
          <w:sz w:val="24"/>
          <w:szCs w:val="24"/>
        </w:rPr>
        <w:t xml:space="preserve">gan resmi ke Indonesia ramah. </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386EA7">
        <w:rPr>
          <w:rFonts w:ascii="Times New Roman" w:hAnsi="Times New Roman" w:cs="Times New Roman"/>
          <w:sz w:val="24"/>
          <w:szCs w:val="24"/>
        </w:rPr>
        <w:t xml:space="preserve">Mulai dari tahun 1991, kementerian luar negeri kedua negara membentuk mekanisme konsultasi dan sampai sekarang telah diadakan enam kali konsultasi. Pada bulan Maret 2002, kedua negara bertukar catatan sehubungan dengan setup konsulat Indonesia umum di Guangzhou dan Shanghai Indonesia memiliki Konsulat </w:t>
      </w:r>
      <w:r>
        <w:rPr>
          <w:rFonts w:ascii="Times New Roman" w:hAnsi="Times New Roman" w:cs="Times New Roman"/>
          <w:sz w:val="24"/>
          <w:szCs w:val="24"/>
        </w:rPr>
        <w:t>Jenderal nya di Hong Kong</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A03267" w:rsidRDefault="00A03267" w:rsidP="00A03267">
      <w:pPr>
        <w:pStyle w:val="ListParagraph"/>
        <w:spacing w:line="480" w:lineRule="auto"/>
        <w:ind w:left="360" w:firstLine="900"/>
        <w:jc w:val="both"/>
        <w:rPr>
          <w:rFonts w:ascii="Times New Roman" w:hAnsi="Times New Roman" w:cs="Times New Roman"/>
          <w:sz w:val="24"/>
          <w:szCs w:val="24"/>
        </w:rPr>
      </w:pPr>
    </w:p>
    <w:p w:rsidR="00A03267" w:rsidRPr="00386EA7" w:rsidRDefault="00A03267" w:rsidP="00A03267">
      <w:pPr>
        <w:pStyle w:val="ListParagraph"/>
        <w:spacing w:line="480" w:lineRule="auto"/>
        <w:ind w:left="360" w:firstLine="900"/>
        <w:jc w:val="both"/>
        <w:rPr>
          <w:rFonts w:ascii="Times New Roman" w:hAnsi="Times New Roman" w:cs="Times New Roman"/>
          <w:sz w:val="24"/>
          <w:szCs w:val="24"/>
        </w:rPr>
      </w:pPr>
    </w:p>
    <w:p w:rsidR="00A03267" w:rsidRPr="00386EA7" w:rsidRDefault="00A03267" w:rsidP="00A03267">
      <w:pPr>
        <w:pStyle w:val="ListParagraph"/>
        <w:numPr>
          <w:ilvl w:val="0"/>
          <w:numId w:val="1"/>
        </w:numPr>
        <w:spacing w:line="480" w:lineRule="auto"/>
        <w:ind w:left="360"/>
        <w:rPr>
          <w:rFonts w:ascii="Times New Roman" w:hAnsi="Times New Roman" w:cs="Times New Roman"/>
          <w:b/>
          <w:sz w:val="24"/>
          <w:szCs w:val="24"/>
        </w:rPr>
      </w:pPr>
      <w:r w:rsidRPr="00386EA7">
        <w:rPr>
          <w:rFonts w:ascii="Times New Roman" w:hAnsi="Times New Roman" w:cs="Times New Roman"/>
          <w:b/>
          <w:sz w:val="24"/>
          <w:szCs w:val="24"/>
        </w:rPr>
        <w:lastRenderedPageBreak/>
        <w:t>Kerjasama Bilateral Indonesia-China</w:t>
      </w:r>
    </w:p>
    <w:p w:rsidR="00A03267" w:rsidRDefault="00A03267" w:rsidP="00A03267">
      <w:pPr>
        <w:pStyle w:val="ListParagraph"/>
        <w:spacing w:line="480" w:lineRule="auto"/>
        <w:ind w:left="360" w:firstLine="900"/>
        <w:jc w:val="both"/>
        <w:rPr>
          <w:rFonts w:ascii="Times New Roman" w:eastAsia="Times New Roman" w:hAnsi="Times New Roman" w:cs="Times New Roman"/>
          <w:sz w:val="24"/>
          <w:szCs w:val="24"/>
        </w:rPr>
      </w:pPr>
      <w:r w:rsidRPr="00BE1CC1">
        <w:rPr>
          <w:rFonts w:ascii="Times New Roman" w:eastAsia="Times New Roman" w:hAnsi="Times New Roman" w:cs="Times New Roman"/>
          <w:sz w:val="24"/>
          <w:szCs w:val="24"/>
        </w:rPr>
        <w:t>Pemerintah Indonesia dan China sepakat memperingati 60 tahun hubungan diplomatik kedua negara pada 2010 dan menyebut masa itu sebagai “Tahun</w:t>
      </w:r>
      <w:r>
        <w:rPr>
          <w:rFonts w:ascii="Times New Roman" w:eastAsia="Times New Roman" w:hAnsi="Times New Roman" w:cs="Times New Roman"/>
          <w:sz w:val="24"/>
          <w:szCs w:val="24"/>
        </w:rPr>
        <w:t xml:space="preserve"> Persahabatan Indonesia-China.”</w:t>
      </w:r>
      <w:r w:rsidRPr="00386E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Pada </w:t>
      </w:r>
      <w:r w:rsidRPr="00BE1CC1">
        <w:rPr>
          <w:rFonts w:ascii="Times New Roman" w:eastAsia="Times New Roman" w:hAnsi="Times New Roman" w:cs="Times New Roman"/>
          <w:sz w:val="24"/>
          <w:szCs w:val="24"/>
        </w:rPr>
        <w:t>tanggal 13 April 2010 mendatang, Indonesia dan China akan merayakan ulang tahun hubungan diplomatiknya dengan berbagai kegiatan yang menunjukkan k</w:t>
      </w:r>
      <w:r>
        <w:rPr>
          <w:rFonts w:ascii="Times New Roman" w:eastAsia="Times New Roman" w:hAnsi="Times New Roman" w:cs="Times New Roman"/>
          <w:sz w:val="24"/>
          <w:szCs w:val="24"/>
        </w:rPr>
        <w:t xml:space="preserve">edekatan hubungan kedua negara. </w:t>
      </w:r>
      <w:r w:rsidRPr="00BE1CC1">
        <w:rPr>
          <w:rFonts w:ascii="Times New Roman" w:eastAsia="Times New Roman" w:hAnsi="Times New Roman" w:cs="Times New Roman"/>
          <w:sz w:val="24"/>
          <w:szCs w:val="24"/>
        </w:rPr>
        <w:t>Hubungan baik Indonesia-China ditandai dengan disepakatinya Kemitraan</w:t>
      </w:r>
      <w:r>
        <w:rPr>
          <w:rFonts w:ascii="Times New Roman" w:eastAsia="Times New Roman" w:hAnsi="Times New Roman" w:cs="Times New Roman"/>
          <w:sz w:val="24"/>
          <w:szCs w:val="24"/>
        </w:rPr>
        <w:t xml:space="preserve"> Strategis antara kedua negara. </w:t>
      </w:r>
    </w:p>
    <w:p w:rsidR="00A03267" w:rsidRDefault="00A03267" w:rsidP="00A03267">
      <w:pPr>
        <w:pStyle w:val="ListParagraph"/>
        <w:spacing w:line="480" w:lineRule="auto"/>
        <w:ind w:left="360" w:firstLine="900"/>
        <w:jc w:val="both"/>
        <w:rPr>
          <w:rFonts w:ascii="Times New Roman" w:eastAsia="Times New Roman" w:hAnsi="Times New Roman" w:cs="Times New Roman"/>
          <w:sz w:val="24"/>
          <w:szCs w:val="24"/>
        </w:rPr>
      </w:pPr>
      <w:r w:rsidRPr="00BE1CC1">
        <w:rPr>
          <w:rFonts w:ascii="Times New Roman" w:eastAsia="Times New Roman" w:hAnsi="Times New Roman" w:cs="Times New Roman"/>
          <w:sz w:val="24"/>
          <w:szCs w:val="24"/>
        </w:rPr>
        <w:t>Pemerintah China juga berharap Indonesia dapat memainkan peranan yang lebih besar di kancah internasional dan pemerintah China bersedia terus menggalakkan kemitraan strategis yang sudah diminta</w:t>
      </w:r>
      <w:r>
        <w:rPr>
          <w:rFonts w:ascii="Times New Roman" w:eastAsia="Times New Roman" w:hAnsi="Times New Roman" w:cs="Times New Roman"/>
          <w:sz w:val="24"/>
          <w:szCs w:val="24"/>
        </w:rPr>
        <w:t xml:space="preserve"> Yudhoyono beberapa tahun lalu. </w:t>
      </w:r>
      <w:r w:rsidRPr="00BE1CC1">
        <w:rPr>
          <w:rFonts w:ascii="Times New Roman" w:eastAsia="Times New Roman" w:hAnsi="Times New Roman" w:cs="Times New Roman"/>
          <w:sz w:val="24"/>
          <w:szCs w:val="24"/>
        </w:rPr>
        <w:t>Presiden Susilo Bambang Yudhoyono melakukan pertemuan dwipihak dengan Presiden China Hu Jintao selama lebih kurang 30 menit menjelang pertemuan puncak Forum Kerja sama Ekonomi Asia Pasifik (APEC) di Singapura, 14-1</w:t>
      </w:r>
      <w:r>
        <w:rPr>
          <w:rFonts w:ascii="Times New Roman" w:eastAsia="Times New Roman" w:hAnsi="Times New Roman" w:cs="Times New Roman"/>
          <w:sz w:val="24"/>
          <w:szCs w:val="24"/>
        </w:rPr>
        <w:t>5 November 2009</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5E4C69">
        <w:rPr>
          <w:rFonts w:ascii="Times New Roman" w:hAnsi="Times New Roman" w:cs="Times New Roman"/>
          <w:sz w:val="24"/>
          <w:szCs w:val="24"/>
        </w:rPr>
        <w:t xml:space="preserve">Pada awal tahun, </w:t>
      </w:r>
      <w:r>
        <w:rPr>
          <w:rFonts w:ascii="Times New Roman" w:hAnsi="Times New Roman" w:cs="Times New Roman"/>
          <w:sz w:val="24"/>
          <w:szCs w:val="24"/>
        </w:rPr>
        <w:t xml:space="preserve">2010 Indonesia-Cina </w:t>
      </w:r>
      <w:r w:rsidRPr="005E4C69">
        <w:rPr>
          <w:rFonts w:ascii="Times New Roman" w:hAnsi="Times New Roman" w:cs="Times New Roman"/>
          <w:sz w:val="24"/>
          <w:szCs w:val="24"/>
        </w:rPr>
        <w:t xml:space="preserve"> menandatangani sebuah rencana aksi untuk kemitraan strategis, sementara kerjasama dalam sektor ekonomi dan dagang, budaya dan pendidikan telah menyaksikan pembangunan mulus. Kedua belah pihak juga mencapai konsensus penting untuk memperdalam kerjasama </w:t>
      </w:r>
      <w:r w:rsidRPr="005E4C69">
        <w:rPr>
          <w:rFonts w:ascii="Times New Roman" w:hAnsi="Times New Roman" w:cs="Times New Roman"/>
          <w:sz w:val="24"/>
          <w:szCs w:val="24"/>
        </w:rPr>
        <w:lastRenderedPageBreak/>
        <w:t>pertahanan dan koordinasi yang baik dipelihara</w:t>
      </w:r>
      <w:r>
        <w:rPr>
          <w:rFonts w:ascii="Times New Roman" w:hAnsi="Times New Roman" w:cs="Times New Roman"/>
          <w:sz w:val="24"/>
          <w:szCs w:val="24"/>
        </w:rPr>
        <w:t>an k</w:t>
      </w:r>
      <w:r w:rsidRPr="005E4C69">
        <w:rPr>
          <w:rFonts w:ascii="Times New Roman" w:hAnsi="Times New Roman" w:cs="Times New Roman"/>
          <w:sz w:val="24"/>
          <w:szCs w:val="24"/>
        </w:rPr>
        <w:t>erjasama internasional dan regional dalam kerangka Perserikatan Bangsa-Bangsa dan G20</w:t>
      </w:r>
      <w:r w:rsidRPr="005E4C69">
        <w:rPr>
          <w:rStyle w:val="google-src-text"/>
          <w:rFonts w:ascii="Times New Roman" w:hAnsi="Times New Roman" w:cs="Times New Roman"/>
          <w:sz w:val="24"/>
          <w:szCs w:val="24"/>
        </w:rPr>
        <w:t>.</w:t>
      </w:r>
      <w:r w:rsidRPr="005E4C69">
        <w:rPr>
          <w:rFonts w:ascii="Times New Roman" w:hAnsi="Times New Roman" w:cs="Times New Roman"/>
          <w:sz w:val="24"/>
          <w:szCs w:val="24"/>
        </w:rPr>
        <w:t xml:space="preserve"> </w:t>
      </w:r>
      <w:r>
        <w:rPr>
          <w:rFonts w:ascii="Times New Roman" w:hAnsi="Times New Roman" w:cs="Times New Roman"/>
          <w:sz w:val="24"/>
          <w:szCs w:val="24"/>
        </w:rPr>
        <w:t xml:space="preserve">Presiden </w:t>
      </w:r>
      <w:r w:rsidRPr="005E4C69">
        <w:rPr>
          <w:rFonts w:ascii="Times New Roman" w:hAnsi="Times New Roman" w:cs="Times New Roman"/>
          <w:sz w:val="24"/>
          <w:szCs w:val="24"/>
        </w:rPr>
        <w:t xml:space="preserve">Hu mengatakan Cina memiliki kepentingan  untuk meningkatkan kemitraan strategis dengan Indonesia. Disamping itu  Cina mengusulkan kedua belah pihak menjaga pertukaran tingkat tinggi, menyambut </w:t>
      </w:r>
      <w:r>
        <w:rPr>
          <w:rFonts w:ascii="Times New Roman" w:hAnsi="Times New Roman" w:cs="Times New Roman"/>
          <w:sz w:val="24"/>
          <w:szCs w:val="24"/>
        </w:rPr>
        <w:t xml:space="preserve">Presiden </w:t>
      </w:r>
      <w:r w:rsidRPr="005E4C69">
        <w:rPr>
          <w:rFonts w:ascii="Times New Roman" w:hAnsi="Times New Roman" w:cs="Times New Roman"/>
          <w:sz w:val="24"/>
          <w:szCs w:val="24"/>
        </w:rPr>
        <w:t xml:space="preserve">Susilo </w:t>
      </w:r>
      <w:r>
        <w:rPr>
          <w:rFonts w:ascii="Times New Roman" w:hAnsi="Times New Roman" w:cs="Times New Roman"/>
          <w:sz w:val="24"/>
          <w:szCs w:val="24"/>
        </w:rPr>
        <w:t xml:space="preserve">Bambang Yudhoyono </w:t>
      </w:r>
      <w:r w:rsidRPr="005E4C69">
        <w:rPr>
          <w:rFonts w:ascii="Times New Roman" w:hAnsi="Times New Roman" w:cs="Times New Roman"/>
          <w:sz w:val="24"/>
          <w:szCs w:val="24"/>
        </w:rPr>
        <w:t xml:space="preserve">untuk mengunjungi China untuk menghadiri </w:t>
      </w:r>
      <w:hyperlink r:id="rId7" w:tgtFrame="_blank" w:tooltip="http://www.shanghai.gov.cn/shanghai/node17256/index.html" w:history="1">
        <w:r w:rsidRPr="004E1D9B">
          <w:rPr>
            <w:rStyle w:val="Hyperlink"/>
            <w:rFonts w:ascii="Times New Roman" w:hAnsi="Times New Roman" w:cs="Times New Roman"/>
            <w:i/>
            <w:color w:val="auto"/>
            <w:sz w:val="24"/>
            <w:szCs w:val="24"/>
            <w:u w:val="none"/>
          </w:rPr>
          <w:t>Shanghai</w:t>
        </w:r>
      </w:hyperlink>
      <w:r w:rsidRPr="004E1D9B">
        <w:rPr>
          <w:rFonts w:ascii="Times New Roman" w:hAnsi="Times New Roman" w:cs="Times New Roman"/>
          <w:i/>
          <w:sz w:val="24"/>
          <w:szCs w:val="24"/>
        </w:rPr>
        <w:t xml:space="preserve"> World Expo</w:t>
      </w:r>
      <w:r w:rsidRPr="005E4C69">
        <w:rPr>
          <w:rFonts w:ascii="Times New Roman" w:hAnsi="Times New Roman" w:cs="Times New Roman"/>
          <w:sz w:val="24"/>
          <w:szCs w:val="24"/>
        </w:rPr>
        <w:t xml:space="preserve"> dan pameran antara Cina dan Perhimpunan Bangsa Asia Tenggara (ASEAN)</w:t>
      </w:r>
      <w:r>
        <w:rPr>
          <w:rFonts w:ascii="Times New Roman" w:hAnsi="Times New Roman" w:cs="Times New Roman"/>
          <w:sz w:val="24"/>
          <w:szCs w:val="24"/>
        </w:rPr>
        <w:t>.</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5E4C69">
        <w:rPr>
          <w:rFonts w:ascii="Times New Roman" w:hAnsi="Times New Roman" w:cs="Times New Roman"/>
          <w:sz w:val="24"/>
          <w:szCs w:val="24"/>
        </w:rPr>
        <w:t>Cina juga bersedia untuk memperbesar investasi di Indonesia dan didukung perusahaan Cina untuk ambil bagian dalam proyek-proyek besar pembangunan infrastruktur di Indonesia</w:t>
      </w:r>
      <w:r>
        <w:rPr>
          <w:rFonts w:ascii="Times New Roman" w:hAnsi="Times New Roman" w:cs="Times New Roman"/>
          <w:sz w:val="24"/>
          <w:szCs w:val="24"/>
        </w:rPr>
        <w:t>.</w:t>
      </w:r>
      <w:r>
        <w:t xml:space="preserve"> </w:t>
      </w:r>
      <w:r w:rsidRPr="005E4C69">
        <w:rPr>
          <w:rFonts w:ascii="Times New Roman" w:hAnsi="Times New Roman" w:cs="Times New Roman"/>
          <w:sz w:val="24"/>
          <w:szCs w:val="24"/>
        </w:rPr>
        <w:t>Kedua belah pihak akan bekerja sama untuk menyelenggarakan kegiatan menandai tahun ramah Cina-Indonesia untuk memperkuat persahabatan tradisional antara kedua bangsa</w:t>
      </w:r>
      <w:r>
        <w:rPr>
          <w:rFonts w:ascii="Times New Roman" w:hAnsi="Times New Roman" w:cs="Times New Roman"/>
          <w:sz w:val="24"/>
          <w:szCs w:val="24"/>
        </w:rPr>
        <w:t>.</w:t>
      </w:r>
      <w:r>
        <w:t xml:space="preserve"> </w:t>
      </w:r>
      <w:r w:rsidRPr="005E4C69">
        <w:rPr>
          <w:rFonts w:ascii="Times New Roman" w:hAnsi="Times New Roman" w:cs="Times New Roman"/>
          <w:sz w:val="24"/>
          <w:szCs w:val="24"/>
        </w:rPr>
        <w:t xml:space="preserve">Presiden Hu mengatakan kedua negara juga harus meningkatkan koordinasi dan kerjasama dalam urusan internasional dan regional dalam upaya untuk mendirikan keadilan lebih dan wajar pesanan politik dan ekonomi internasional. </w:t>
      </w:r>
    </w:p>
    <w:p w:rsidR="00A03267" w:rsidRDefault="00A03267" w:rsidP="00A03267">
      <w:pPr>
        <w:pStyle w:val="ListParagraph"/>
        <w:spacing w:line="480" w:lineRule="auto"/>
        <w:ind w:left="360" w:firstLine="900"/>
        <w:jc w:val="both"/>
        <w:rPr>
          <w:rFonts w:ascii="Times New Roman" w:hAnsi="Times New Roman" w:cs="Times New Roman"/>
          <w:sz w:val="24"/>
          <w:szCs w:val="24"/>
        </w:rPr>
      </w:pPr>
      <w:r w:rsidRPr="005E4C69">
        <w:rPr>
          <w:rFonts w:ascii="Times New Roman" w:hAnsi="Times New Roman" w:cs="Times New Roman"/>
          <w:sz w:val="24"/>
          <w:szCs w:val="24"/>
        </w:rPr>
        <w:t xml:space="preserve">Pada hubungan Cina dengan ASEAN, Cina </w:t>
      </w:r>
      <w:r>
        <w:rPr>
          <w:rFonts w:ascii="Times New Roman" w:hAnsi="Times New Roman" w:cs="Times New Roman"/>
          <w:sz w:val="24"/>
          <w:szCs w:val="24"/>
        </w:rPr>
        <w:t xml:space="preserve">menyatakan </w:t>
      </w:r>
      <w:r w:rsidRPr="005E4C69">
        <w:rPr>
          <w:rFonts w:ascii="Times New Roman" w:hAnsi="Times New Roman" w:cs="Times New Roman"/>
          <w:sz w:val="24"/>
          <w:szCs w:val="24"/>
        </w:rPr>
        <w:t xml:space="preserve">siap untuk melihat lebih bersatu, stabil dan makmur dan ASEAN akan melanjutkan untuk mendukung upaya ke arah integrasi dan peran utama dalam kerjasama Asia Timur. China akan bergabung tangan dengan ASEAN dalam mempertahankan dan membangun </w:t>
      </w:r>
      <w:r w:rsidRPr="004E1D9B">
        <w:rPr>
          <w:rFonts w:ascii="Times New Roman" w:hAnsi="Times New Roman" w:cs="Times New Roman"/>
          <w:i/>
          <w:sz w:val="24"/>
          <w:szCs w:val="24"/>
        </w:rPr>
        <w:t>China-ASEAN Free Trade Area</w:t>
      </w:r>
      <w:r w:rsidRPr="005E4C69">
        <w:rPr>
          <w:rFonts w:ascii="Times New Roman" w:hAnsi="Times New Roman" w:cs="Times New Roman"/>
          <w:sz w:val="24"/>
          <w:szCs w:val="24"/>
        </w:rPr>
        <w:t xml:space="preserve"> (CAFTA), meningkatkan kerja sama Cina-ASEAN dalam infrastruktur dan bidang keuangan dan memperluas pertukaran kemanusiaan</w:t>
      </w:r>
      <w:r>
        <w:rPr>
          <w:rFonts w:ascii="Times New Roman" w:hAnsi="Times New Roman" w:cs="Times New Roman"/>
          <w:sz w:val="24"/>
          <w:szCs w:val="24"/>
        </w:rPr>
        <w:t>.</w:t>
      </w:r>
    </w:p>
    <w:p w:rsidR="00A03267" w:rsidRPr="005E4C69" w:rsidRDefault="00A03267" w:rsidP="00A03267">
      <w:pPr>
        <w:pStyle w:val="ListParagraph"/>
        <w:spacing w:line="480" w:lineRule="auto"/>
        <w:ind w:left="360" w:firstLine="900"/>
        <w:jc w:val="both"/>
        <w:rPr>
          <w:rFonts w:ascii="Times New Roman" w:eastAsia="Times New Roman" w:hAnsi="Times New Roman" w:cs="Times New Roman"/>
          <w:sz w:val="24"/>
          <w:szCs w:val="24"/>
        </w:rPr>
      </w:pPr>
      <w:r w:rsidRPr="005E4C69">
        <w:rPr>
          <w:rFonts w:ascii="Times New Roman" w:hAnsi="Times New Roman" w:cs="Times New Roman"/>
          <w:sz w:val="24"/>
          <w:szCs w:val="24"/>
        </w:rPr>
        <w:lastRenderedPageBreak/>
        <w:t xml:space="preserve">Presiden Susilo mengatakan, kemitraan strategis Cina-Indonesia sudah berkembang dengan baik dengan lebih dekat politik, ekonomi dan kerjasama keamanan. </w:t>
      </w:r>
      <w:r>
        <w:rPr>
          <w:rFonts w:ascii="Times New Roman" w:hAnsi="Times New Roman" w:cs="Times New Roman"/>
          <w:sz w:val="24"/>
          <w:szCs w:val="24"/>
        </w:rPr>
        <w:t xml:space="preserve"> </w:t>
      </w:r>
      <w:r w:rsidRPr="005E4C69">
        <w:rPr>
          <w:rFonts w:ascii="Times New Roman" w:hAnsi="Times New Roman" w:cs="Times New Roman"/>
          <w:sz w:val="24"/>
          <w:szCs w:val="24"/>
        </w:rPr>
        <w:t>Indonesia benar-benar berharap untuk memperkuat kerjasama dengan Cina untuk meningkatkan hubungan bilateral dan melindungi kepentingan umum dari negar</w:t>
      </w:r>
      <w:r>
        <w:rPr>
          <w:rFonts w:ascii="Times New Roman" w:hAnsi="Times New Roman" w:cs="Times New Roman"/>
          <w:sz w:val="24"/>
          <w:szCs w:val="24"/>
        </w:rPr>
        <w:t xml:space="preserve">a-negara berkembang, dan </w:t>
      </w:r>
      <w:r w:rsidRPr="005E4C69">
        <w:rPr>
          <w:rFonts w:ascii="Times New Roman" w:hAnsi="Times New Roman" w:cs="Times New Roman"/>
          <w:sz w:val="24"/>
          <w:szCs w:val="24"/>
        </w:rPr>
        <w:t>Indonesia bersedia untuk mempertahankan tingkat tinggi kontak dan menyambut perusahaan Cina untuk berinvestasi di bidang infrastruktur dan pariwisata</w:t>
      </w:r>
      <w:r>
        <w:rPr>
          <w:rFonts w:ascii="Times New Roman" w:hAnsi="Times New Roman" w:cs="Times New Roman"/>
          <w:sz w:val="24"/>
          <w:szCs w:val="24"/>
        </w:rPr>
        <w:t>.</w:t>
      </w:r>
      <w:r w:rsidRPr="005E4C69">
        <w:rPr>
          <w:rFonts w:ascii="Times New Roman" w:hAnsi="Times New Roman" w:cs="Times New Roman"/>
          <w:sz w:val="24"/>
          <w:szCs w:val="24"/>
        </w:rPr>
        <w:t xml:space="preserve"> </w:t>
      </w:r>
    </w:p>
    <w:p w:rsidR="00A03267" w:rsidRPr="005E4C69" w:rsidRDefault="00A03267" w:rsidP="00A03267">
      <w:pPr>
        <w:pStyle w:val="ListParagraph"/>
        <w:spacing w:line="480" w:lineRule="auto"/>
        <w:ind w:left="360" w:firstLine="900"/>
        <w:jc w:val="both"/>
        <w:rPr>
          <w:rFonts w:ascii="Times New Roman" w:hAnsi="Times New Roman" w:cs="Times New Roman"/>
          <w:sz w:val="24"/>
          <w:szCs w:val="24"/>
        </w:rPr>
      </w:pPr>
      <w:r w:rsidRPr="005E4C69">
        <w:rPr>
          <w:rFonts w:ascii="Times New Roman" w:hAnsi="Times New Roman" w:cs="Times New Roman"/>
          <w:sz w:val="24"/>
          <w:szCs w:val="24"/>
        </w:rPr>
        <w:t>Baik Cina dan ASEAN harus menjamin pelaksanaan CAFTA</w:t>
      </w:r>
      <w:r>
        <w:rPr>
          <w:rFonts w:ascii="Times New Roman" w:hAnsi="Times New Roman" w:cs="Times New Roman"/>
          <w:sz w:val="24"/>
          <w:szCs w:val="24"/>
        </w:rPr>
        <w:t xml:space="preserve"> dan </w:t>
      </w:r>
      <w:r w:rsidRPr="005E4C69">
        <w:rPr>
          <w:rFonts w:ascii="Times New Roman" w:hAnsi="Times New Roman" w:cs="Times New Roman"/>
          <w:sz w:val="24"/>
          <w:szCs w:val="24"/>
        </w:rPr>
        <w:t>Indonesia berharap Cina dapat menjaga peranan penting dalam G20 untuk memberikan kontribusi terhadap pertumbuhan ekonomi Asia dan global</w:t>
      </w:r>
      <w:r>
        <w:rPr>
          <w:rStyle w:val="FootnoteReference"/>
          <w:rFonts w:ascii="Times New Roman" w:hAnsi="Times New Roman" w:cs="Times New Roman"/>
          <w:sz w:val="24"/>
          <w:szCs w:val="24"/>
        </w:rPr>
        <w:footnoteReference w:id="4"/>
      </w:r>
      <w:r w:rsidRPr="005E4C69">
        <w:rPr>
          <w:rFonts w:ascii="Times New Roman" w:hAnsi="Times New Roman" w:cs="Times New Roman"/>
          <w:sz w:val="24"/>
          <w:szCs w:val="24"/>
        </w:rPr>
        <w:t>.</w:t>
      </w:r>
    </w:p>
    <w:p w:rsidR="00A03267" w:rsidRDefault="00A03267" w:rsidP="00A03267">
      <w:pPr>
        <w:pStyle w:val="ListParagraph"/>
      </w:pPr>
    </w:p>
    <w:p w:rsidR="00A03267" w:rsidRPr="00AF5758" w:rsidRDefault="00A03267" w:rsidP="00A03267">
      <w:pPr>
        <w:pStyle w:val="ListParagraph"/>
        <w:numPr>
          <w:ilvl w:val="0"/>
          <w:numId w:val="1"/>
        </w:numPr>
        <w:spacing w:before="100" w:beforeAutospacing="1" w:after="100" w:afterAutospacing="1" w:line="240" w:lineRule="auto"/>
        <w:ind w:left="360"/>
        <w:contextualSpacing w:val="0"/>
        <w:rPr>
          <w:rFonts w:ascii="Times New Roman" w:hAnsi="Times New Roman" w:cs="Times New Roman"/>
          <w:b/>
          <w:sz w:val="24"/>
          <w:szCs w:val="24"/>
        </w:rPr>
      </w:pPr>
      <w:r w:rsidRPr="00AF5758">
        <w:rPr>
          <w:rFonts w:ascii="Times New Roman" w:hAnsi="Times New Roman" w:cs="Times New Roman"/>
          <w:b/>
          <w:sz w:val="24"/>
          <w:szCs w:val="24"/>
        </w:rPr>
        <w:t>Kerjasama Pariwisata Indonesia-Cina</w:t>
      </w:r>
    </w:p>
    <w:p w:rsidR="00A03267" w:rsidRDefault="00A03267" w:rsidP="00A03267">
      <w:pPr>
        <w:pStyle w:val="ListParagraph"/>
        <w:spacing w:after="0" w:line="480" w:lineRule="auto"/>
        <w:ind w:left="360" w:firstLine="900"/>
        <w:contextualSpacing w:val="0"/>
        <w:jc w:val="both"/>
        <w:rPr>
          <w:rFonts w:ascii="Times New Roman" w:hAnsi="Times New Roman" w:cs="Times New Roman"/>
          <w:sz w:val="24"/>
          <w:szCs w:val="24"/>
        </w:rPr>
      </w:pPr>
      <w:r w:rsidRPr="000136A8">
        <w:rPr>
          <w:rFonts w:ascii="Times New Roman" w:hAnsi="Times New Roman" w:cs="Times New Roman"/>
          <w:sz w:val="24"/>
          <w:szCs w:val="24"/>
        </w:rPr>
        <w:t xml:space="preserve">Pemerintah </w:t>
      </w:r>
      <w:r>
        <w:rPr>
          <w:rFonts w:ascii="Times New Roman" w:hAnsi="Times New Roman" w:cs="Times New Roman"/>
          <w:sz w:val="24"/>
          <w:szCs w:val="24"/>
        </w:rPr>
        <w:t xml:space="preserve"> Indonesia </w:t>
      </w:r>
      <w:r w:rsidRPr="000136A8">
        <w:rPr>
          <w:rFonts w:ascii="Times New Roman" w:hAnsi="Times New Roman" w:cs="Times New Roman"/>
          <w:sz w:val="24"/>
          <w:szCs w:val="24"/>
        </w:rPr>
        <w:t> berupaya serius untuk menggaet wisawatan Cina melakukan perjalanan ke Indonesia. Saat ini wisatawan Cina yang melakukan perjalanan ke Indonesia baru mencapai angka 112,164 orang  atau 0,04 persen dibandingkan dengan pasar yang diraih Thailand, Malaysia, Filipina dan Singapura yang mencapai angka 1-3 juta orang.</w:t>
      </w:r>
    </w:p>
    <w:p w:rsidR="00A03267" w:rsidRPr="000136A8" w:rsidRDefault="00A03267" w:rsidP="00A03267">
      <w:pPr>
        <w:pStyle w:val="ListParagraph"/>
        <w:spacing w:after="0" w:line="480" w:lineRule="auto"/>
        <w:ind w:left="360" w:firstLine="900"/>
        <w:contextualSpacing w:val="0"/>
        <w:jc w:val="both"/>
        <w:rPr>
          <w:rFonts w:ascii="Times New Roman" w:hAnsi="Times New Roman" w:cs="Times New Roman"/>
          <w:sz w:val="24"/>
          <w:szCs w:val="24"/>
        </w:rPr>
      </w:pPr>
      <w:r w:rsidRPr="000136A8">
        <w:rPr>
          <w:rFonts w:ascii="Times New Roman" w:hAnsi="Times New Roman" w:cs="Times New Roman"/>
          <w:sz w:val="24"/>
          <w:szCs w:val="24"/>
        </w:rPr>
        <w:t xml:space="preserve">Kemajuan ekonomi Cina mendorong masyarakatnya lebih  banyak menganggarkan dananya untuk  mengadakan perjalanan  di dalam atau luar negeri. </w:t>
      </w:r>
      <w:r w:rsidRPr="000136A8">
        <w:rPr>
          <w:rFonts w:ascii="Times New Roman" w:hAnsi="Times New Roman" w:cs="Times New Roman"/>
          <w:sz w:val="24"/>
          <w:szCs w:val="24"/>
        </w:rPr>
        <w:lastRenderedPageBreak/>
        <w:t>Paling tidak  wisatawan dalam negeri Cina mencapai angka 1.212 juta  atau mengalami peningkatan 20 persen dari tahun 2004.  Pendapatan dari  sektor pariwisata domestik ini mencapai 66,7 miliar atau naik 12,2 persen dari tahun 2004.</w:t>
      </w:r>
    </w:p>
    <w:p w:rsidR="00A03267" w:rsidRDefault="00A03267" w:rsidP="00A03267">
      <w:pPr>
        <w:spacing w:after="0" w:line="480" w:lineRule="auto"/>
        <w:ind w:left="360" w:firstLine="900"/>
        <w:jc w:val="both"/>
        <w:rPr>
          <w:rFonts w:ascii="Times New Roman" w:hAnsi="Times New Roman" w:cs="Times New Roman"/>
          <w:sz w:val="24"/>
          <w:szCs w:val="24"/>
        </w:rPr>
      </w:pPr>
      <w:r w:rsidRPr="000136A8">
        <w:rPr>
          <w:rFonts w:ascii="Times New Roman" w:hAnsi="Times New Roman" w:cs="Times New Roman"/>
          <w:sz w:val="24"/>
          <w:szCs w:val="24"/>
        </w:rPr>
        <w:t xml:space="preserve">Peningkatan yang sama juga terjadi bagi wisatawan Cina yang melakukan perjalanan ke luar negeri (outbond). Wisatawan outbond naik 31,03  juta orang atau naik 7,5 persen. Sementara untuk keperluan dinas dan perjalanan  bisnis mencapai 5,89 juta orang atau naik 19 persen. Sedangkan  wisatawan yang melakukan perjalanan pribadi mencapai 25,14 juta orang atau naik 81 persen.  Meningkatnya  minat masyarakat Cina untuk melakukan perjalanan  keluar negeri ini dipengaruhi oleh semakin terjangkaunya harga paket wisata karena meningkatnya ekonomi masyarakat. Selain itu juga dipicu oleh kebijakan pemerintah setempat yang memudahkan warganya untuk </w:t>
      </w:r>
      <w:r>
        <w:rPr>
          <w:rFonts w:ascii="Times New Roman" w:hAnsi="Times New Roman" w:cs="Times New Roman"/>
          <w:sz w:val="24"/>
          <w:szCs w:val="24"/>
        </w:rPr>
        <w:t xml:space="preserve">melakukan perjalanan outbond. </w:t>
      </w:r>
    </w:p>
    <w:p w:rsidR="00A03267" w:rsidRDefault="00A03267" w:rsidP="00A03267">
      <w:pPr>
        <w:spacing w:after="0" w:line="480" w:lineRule="auto"/>
        <w:ind w:left="360" w:firstLine="900"/>
        <w:jc w:val="both"/>
        <w:rPr>
          <w:rFonts w:ascii="Times New Roman" w:hAnsi="Times New Roman" w:cs="Times New Roman"/>
          <w:sz w:val="24"/>
          <w:szCs w:val="24"/>
        </w:rPr>
      </w:pPr>
      <w:r w:rsidRPr="000136A8">
        <w:rPr>
          <w:rFonts w:ascii="Times New Roman" w:hAnsi="Times New Roman" w:cs="Times New Roman"/>
          <w:sz w:val="24"/>
          <w:szCs w:val="24"/>
        </w:rPr>
        <w:t>Tren berwisata keluar negeri di kalangan masyarakat Cina khususnya di wilayah perkotaan  ini sudah menjadi bagian gaya hidup baru dengan tujuan berlibur dan rekreasi. Selain itu  perjalanan bisnis  juga mendominasi kalangan warga perkotaan dan menjadi tren yang  berkembang dalam industri wisata outbond sebagai akibat membaiknya ekonomi Cina yang ekspansif mengembangkan kerja sama  bisnis dengan negara-negara lain dan stabilnya investasi di negara tersebut.</w:t>
      </w:r>
    </w:p>
    <w:p w:rsidR="00A03267" w:rsidRPr="000136A8" w:rsidRDefault="00A03267" w:rsidP="00A03267">
      <w:pPr>
        <w:spacing w:after="0" w:line="480" w:lineRule="auto"/>
        <w:ind w:left="360" w:firstLine="900"/>
        <w:jc w:val="both"/>
        <w:rPr>
          <w:rFonts w:ascii="Times New Roman" w:hAnsi="Times New Roman" w:cs="Times New Roman"/>
          <w:sz w:val="24"/>
          <w:szCs w:val="24"/>
        </w:rPr>
      </w:pPr>
      <w:r w:rsidRPr="000136A8">
        <w:rPr>
          <w:rFonts w:ascii="Times New Roman" w:hAnsi="Times New Roman" w:cs="Times New Roman"/>
          <w:sz w:val="24"/>
          <w:szCs w:val="24"/>
        </w:rPr>
        <w:lastRenderedPageBreak/>
        <w:t xml:space="preserve">Ketiga, data terbaru dari National Youngster Assosiation menyebutkan  sebesar 51 persen di kalangan pelajar melakukan perjalanan keluar negeri paling tidak sekali tiap tahunnya.  Sementara itu penambahan waktu luang masyarakat Cina dalam the three golden week juga menjadi kesempatan yang mereka manfaatkan untuk melakukan perjalanan. Three golden week ini  meliputi Festival Musim Semi di setiap awal tahun, International Labour Day di bulan Mei dan hari libur  nasional di bulan Oktober. </w:t>
      </w:r>
    </w:p>
    <w:p w:rsidR="00A03267" w:rsidRPr="000136A8" w:rsidRDefault="00A03267" w:rsidP="00A03267">
      <w:pPr>
        <w:spacing w:after="0" w:line="480" w:lineRule="auto"/>
        <w:ind w:left="360" w:firstLine="900"/>
        <w:jc w:val="both"/>
        <w:rPr>
          <w:rFonts w:ascii="Times New Roman" w:hAnsi="Times New Roman" w:cs="Times New Roman"/>
          <w:sz w:val="24"/>
          <w:szCs w:val="24"/>
        </w:rPr>
      </w:pPr>
      <w:r w:rsidRPr="000136A8">
        <w:rPr>
          <w:rFonts w:ascii="Times New Roman" w:hAnsi="Times New Roman" w:cs="Times New Roman"/>
          <w:sz w:val="24"/>
          <w:szCs w:val="24"/>
        </w:rPr>
        <w:t>Selama ini tujuan wisata yang paling diminati masyarakat Cina paling tinggi  yaitu ke Hongkong dan  Macao. Berikutnya ke Thailand, Singapura, Korea Selatan, Jepang dan Malaysia.</w:t>
      </w:r>
      <w:r w:rsidRPr="000136A8">
        <w:rPr>
          <w:rStyle w:val="Strong"/>
          <w:rFonts w:ascii="Times New Roman" w:hAnsi="Times New Roman" w:cs="Times New Roman"/>
          <w:sz w:val="24"/>
          <w:szCs w:val="24"/>
        </w:rPr>
        <w:t> </w:t>
      </w:r>
    </w:p>
    <w:p w:rsidR="00A03267" w:rsidRPr="000136A8" w:rsidRDefault="00A03267" w:rsidP="00A03267">
      <w:pPr>
        <w:spacing w:after="0" w:line="480" w:lineRule="auto"/>
        <w:ind w:left="360" w:firstLine="900"/>
        <w:jc w:val="both"/>
        <w:rPr>
          <w:rFonts w:ascii="Times New Roman" w:hAnsi="Times New Roman" w:cs="Times New Roman"/>
          <w:sz w:val="24"/>
          <w:szCs w:val="24"/>
        </w:rPr>
      </w:pPr>
      <w:r w:rsidRPr="000136A8">
        <w:rPr>
          <w:rFonts w:ascii="Times New Roman" w:hAnsi="Times New Roman" w:cs="Times New Roman"/>
          <w:sz w:val="24"/>
          <w:szCs w:val="24"/>
        </w:rPr>
        <w:t>Meskipun jumlah wisatawan Cina ke Indonesia masih sedikit, tetapi angka tersebut sebetulnya sudah meningkat 120,55 persen dibandingkan dengan tahun 2001 yang baru mencapai 32,197 orang.  Jumlah ini bertambah menjadi 36, 685 pada tahun 2002 lalu menjadi 40, 870 (tahun 2003), lalu bertambah menjadi 50,856 pada  tahun 2004 dan data tahun 2005 menyebutkan angka 112,164 orang.</w:t>
      </w:r>
    </w:p>
    <w:p w:rsidR="00A03267" w:rsidRPr="000136A8" w:rsidRDefault="00A03267" w:rsidP="00A03267">
      <w:pPr>
        <w:spacing w:after="0" w:line="480" w:lineRule="auto"/>
        <w:ind w:left="360" w:firstLine="900"/>
        <w:jc w:val="both"/>
        <w:rPr>
          <w:rFonts w:ascii="Times New Roman" w:hAnsi="Times New Roman" w:cs="Times New Roman"/>
          <w:sz w:val="24"/>
          <w:szCs w:val="24"/>
        </w:rPr>
      </w:pPr>
      <w:r w:rsidRPr="000136A8">
        <w:rPr>
          <w:rFonts w:ascii="Times New Roman" w:hAnsi="Times New Roman" w:cs="Times New Roman"/>
          <w:sz w:val="24"/>
          <w:szCs w:val="24"/>
        </w:rPr>
        <w:t xml:space="preserve">“Ini menjadikan pasar Cina sebagai </w:t>
      </w:r>
      <w:r w:rsidRPr="000136A8">
        <w:rPr>
          <w:rStyle w:val="Emphasis"/>
          <w:rFonts w:ascii="Times New Roman" w:hAnsi="Times New Roman" w:cs="Times New Roman"/>
          <w:sz w:val="24"/>
          <w:szCs w:val="24"/>
        </w:rPr>
        <w:t>emerging market</w:t>
      </w:r>
      <w:r w:rsidRPr="000136A8">
        <w:rPr>
          <w:rFonts w:ascii="Times New Roman" w:hAnsi="Times New Roman" w:cs="Times New Roman"/>
          <w:sz w:val="24"/>
          <w:szCs w:val="24"/>
        </w:rPr>
        <w:t xml:space="preserve"> bagi Indonesia khususnya. Indonesia diuntungkan karena  kedekatan geografis dan sejarah hubungan kedua negara. Indonesia sebetulnya sangat potensial untuk menjadi daerah kunjungan wisata mereka. Kita sedang upayakan untuk menata pasar itu,” ujar Syamsul Lussa, Direktur Pengembangan Pasar Departemen Kebudayaan dan Pariwisata.  </w:t>
      </w:r>
    </w:p>
    <w:p w:rsidR="00A03267" w:rsidRDefault="00A03267" w:rsidP="00A03267">
      <w:pPr>
        <w:spacing w:after="0" w:line="480" w:lineRule="auto"/>
        <w:ind w:left="360" w:firstLine="900"/>
        <w:jc w:val="both"/>
        <w:rPr>
          <w:rFonts w:ascii="Times New Roman" w:hAnsi="Times New Roman" w:cs="Times New Roman"/>
          <w:sz w:val="24"/>
          <w:szCs w:val="24"/>
        </w:rPr>
      </w:pPr>
      <w:r w:rsidRPr="000136A8">
        <w:rPr>
          <w:rFonts w:ascii="Times New Roman" w:hAnsi="Times New Roman" w:cs="Times New Roman"/>
          <w:sz w:val="24"/>
          <w:szCs w:val="24"/>
        </w:rPr>
        <w:lastRenderedPageBreak/>
        <w:t>Sementara ini daerah tujuan utama wisatawan Cina ke Indonesia yaitu Jakarta (66,27 persen), Bali (19,28 persen), Jawa Timur (16,87 persen) dan Jawa Barat (7,23 persen). Jakarta dan Bali paling banyak diminati karena  menawarkan banyak atraksi leisure dan entertainment</w:t>
      </w:r>
      <w:r>
        <w:rPr>
          <w:rStyle w:val="FootnoteReference"/>
          <w:rFonts w:ascii="Times New Roman" w:hAnsi="Times New Roman" w:cs="Times New Roman"/>
          <w:sz w:val="24"/>
          <w:szCs w:val="24"/>
        </w:rPr>
        <w:footnoteReference w:id="5"/>
      </w:r>
      <w:r w:rsidRPr="000136A8">
        <w:rPr>
          <w:rFonts w:ascii="Times New Roman" w:hAnsi="Times New Roman" w:cs="Times New Roman"/>
          <w:sz w:val="24"/>
          <w:szCs w:val="24"/>
        </w:rPr>
        <w:t xml:space="preserve">. </w:t>
      </w:r>
    </w:p>
    <w:p w:rsidR="00A03267" w:rsidRDefault="00A03267" w:rsidP="00A03267">
      <w:pPr>
        <w:spacing w:after="0" w:line="480" w:lineRule="auto"/>
        <w:ind w:left="360" w:firstLine="900"/>
        <w:jc w:val="both"/>
        <w:rPr>
          <w:rFonts w:ascii="Times New Roman" w:hAnsi="Times New Roman" w:cs="Times New Roman"/>
          <w:sz w:val="24"/>
          <w:szCs w:val="24"/>
        </w:rPr>
      </w:pPr>
      <w:r w:rsidRPr="00784889">
        <w:rPr>
          <w:rFonts w:ascii="Times New Roman" w:hAnsi="Times New Roman" w:cs="Times New Roman"/>
          <w:sz w:val="24"/>
          <w:szCs w:val="24"/>
        </w:rPr>
        <w:t>Melalui penandatanganan MoU mengenai kerjasama pariwisata Budpar RI-China National Tourism Administration RRC di Jakarta tanggal 10 Juli 2000, serta fasilitas Visa on Arrival kepada RRC, diharapkan jumlah pengunjung RRC ke Indonesia dapat meningkat.</w:t>
      </w:r>
    </w:p>
    <w:p w:rsidR="00A03267" w:rsidRDefault="00A03267" w:rsidP="00A03267">
      <w:pPr>
        <w:spacing w:after="0" w:line="480" w:lineRule="auto"/>
        <w:ind w:left="360" w:firstLine="900"/>
        <w:jc w:val="both"/>
        <w:rPr>
          <w:rFonts w:ascii="Times New Roman" w:hAnsi="Times New Roman" w:cs="Times New Roman"/>
          <w:sz w:val="24"/>
          <w:szCs w:val="24"/>
        </w:rPr>
      </w:pPr>
      <w:r w:rsidRPr="00784889">
        <w:rPr>
          <w:rFonts w:ascii="Times New Roman" w:hAnsi="Times New Roman" w:cs="Times New Roman"/>
          <w:sz w:val="24"/>
          <w:szCs w:val="24"/>
        </w:rPr>
        <w:t>Namun demikian, diperlukan peran ak</w:t>
      </w:r>
      <w:r>
        <w:rPr>
          <w:rFonts w:ascii="Times New Roman" w:hAnsi="Times New Roman" w:cs="Times New Roman"/>
          <w:sz w:val="24"/>
          <w:szCs w:val="24"/>
        </w:rPr>
        <w:t xml:space="preserve">tif oleh berbagai instansi Pemerintah Indonesia </w:t>
      </w:r>
      <w:r w:rsidRPr="00784889">
        <w:rPr>
          <w:rFonts w:ascii="Times New Roman" w:hAnsi="Times New Roman" w:cs="Times New Roman"/>
          <w:sz w:val="24"/>
          <w:szCs w:val="24"/>
        </w:rPr>
        <w:t xml:space="preserve"> untuk mewujudkan upaya meningkatkan kunjungan warga Cina ke Indonesia. Peristiwa Mei 98, sedikit banyak masih terasa pengaruhnya di sebagian warga Cina.  Masih terdapat anggapan Indonesia tidak aman, diskriminatif terhadap warga etnis Tionghoa, dan banyak menyulitkan pengunjung terutama yang kurang informasi.  Oleh karena itu, anggapan semacam ini perlu disikapi secara bijak, dengan upaya promosi citra yang proper, tepat guna dan tepat sasaran dengan membuka jalur bagi terjalinnya seluruh jaringan komunikasi melalui segala media yang bisa dijangkau masyarakat kedua negara.</w:t>
      </w:r>
    </w:p>
    <w:p w:rsidR="00A03267" w:rsidRPr="00784889" w:rsidRDefault="00A03267" w:rsidP="00A03267">
      <w:pPr>
        <w:spacing w:after="0" w:line="480" w:lineRule="auto"/>
        <w:ind w:left="360" w:firstLine="900"/>
        <w:jc w:val="both"/>
        <w:rPr>
          <w:rFonts w:ascii="Times New Roman" w:hAnsi="Times New Roman" w:cs="Times New Roman"/>
          <w:sz w:val="24"/>
          <w:szCs w:val="24"/>
        </w:rPr>
      </w:pPr>
      <w:r w:rsidRPr="00784889">
        <w:rPr>
          <w:rFonts w:ascii="Times New Roman" w:hAnsi="Times New Roman" w:cs="Times New Roman"/>
          <w:sz w:val="24"/>
          <w:szCs w:val="24"/>
        </w:rPr>
        <w:t xml:space="preserve">Menurut data tahun 2005, pemberian visa kepada pengunjung RRC dari wilayah Beijing mencapai 57.922 orang. Sementara pada tahun 2006, pemberian visa hanya mencapai 44.136 dari wilayah Beijing. Penurunan tersebut </w:t>
      </w:r>
      <w:r w:rsidRPr="00784889">
        <w:rPr>
          <w:rFonts w:ascii="Times New Roman" w:hAnsi="Times New Roman" w:cs="Times New Roman"/>
          <w:sz w:val="24"/>
          <w:szCs w:val="24"/>
        </w:rPr>
        <w:lastRenderedPageBreak/>
        <w:t>kemungkinan dikarenakan semakin disosialisasikannya pengaturan Visa on Arrival bagi warga RRC yang ingin berkunjung ke Indonesia.</w:t>
      </w:r>
      <w:r>
        <w:rPr>
          <w:rFonts w:ascii="Times New Roman" w:hAnsi="Times New Roman" w:cs="Times New Roman"/>
          <w:sz w:val="24"/>
          <w:szCs w:val="24"/>
        </w:rPr>
        <w:t xml:space="preserve"> </w:t>
      </w:r>
    </w:p>
    <w:p w:rsidR="00A03267" w:rsidRPr="00AF5758" w:rsidRDefault="00A03267" w:rsidP="00A03267">
      <w:pPr>
        <w:spacing w:after="0" w:line="480" w:lineRule="auto"/>
        <w:ind w:left="360" w:firstLine="900"/>
        <w:jc w:val="both"/>
        <w:rPr>
          <w:rFonts w:ascii="Times New Roman" w:hAnsi="Times New Roman" w:cs="Times New Roman"/>
          <w:sz w:val="24"/>
          <w:szCs w:val="24"/>
        </w:rPr>
      </w:pPr>
    </w:p>
    <w:p w:rsidR="00A03267" w:rsidRPr="00137D7C" w:rsidRDefault="00A03267" w:rsidP="00A03267">
      <w:pPr>
        <w:pStyle w:val="ListParagraph"/>
        <w:numPr>
          <w:ilvl w:val="0"/>
          <w:numId w:val="2"/>
        </w:numPr>
        <w:spacing w:line="480" w:lineRule="auto"/>
        <w:jc w:val="both"/>
        <w:rPr>
          <w:rFonts w:ascii="Times New Roman" w:hAnsi="Times New Roman" w:cs="Times New Roman"/>
          <w:b/>
          <w:sz w:val="24"/>
          <w:szCs w:val="24"/>
        </w:rPr>
      </w:pPr>
      <w:r w:rsidRPr="00137D7C">
        <w:rPr>
          <w:rFonts w:ascii="Times New Roman" w:hAnsi="Times New Roman" w:cs="Times New Roman"/>
          <w:b/>
          <w:sz w:val="24"/>
          <w:szCs w:val="24"/>
        </w:rPr>
        <w:t>Indonesia-China Travel  Commission</w:t>
      </w:r>
    </w:p>
    <w:p w:rsidR="00A03267" w:rsidRPr="00137D7C" w:rsidRDefault="00A03267" w:rsidP="00A03267">
      <w:pPr>
        <w:pStyle w:val="ListParagraph"/>
        <w:spacing w:line="480" w:lineRule="auto"/>
        <w:ind w:firstLine="720"/>
        <w:jc w:val="both"/>
        <w:rPr>
          <w:rFonts w:ascii="Times New Roman" w:hAnsi="Times New Roman" w:cs="Times New Roman"/>
          <w:sz w:val="24"/>
          <w:szCs w:val="24"/>
        </w:rPr>
      </w:pPr>
      <w:r w:rsidRPr="00137D7C">
        <w:rPr>
          <w:rFonts w:ascii="Times New Roman" w:hAnsi="Times New Roman" w:cs="Times New Roman"/>
          <w:sz w:val="24"/>
          <w:szCs w:val="24"/>
        </w:rPr>
        <w:t xml:space="preserve">Indonesia-China Travel Commission (ICTC) mendorong kunjungan wisatawan China ke Indonesia dengan aktif melakukan promosi dan mengikuti bursa pariwisata di negara itu. "China merupakan pangsa pasar wisata yang sangat besar di mana tahun lalu jumlah wisatawannya yang bepergian ke luar negeri lebih dari 30 juta. Pada 2020 jumlahnya diperkirakan mencapai 100 juta orang, sementara tahun lalu Indonesia baru mampu menyerap sekitar 80.000 turis China," </w:t>
      </w:r>
    </w:p>
    <w:p w:rsidR="00A03267" w:rsidRPr="00137D7C" w:rsidRDefault="00A03267" w:rsidP="00A03267">
      <w:pPr>
        <w:pStyle w:val="ListParagraph"/>
        <w:spacing w:line="480" w:lineRule="auto"/>
        <w:ind w:firstLine="720"/>
        <w:jc w:val="both"/>
        <w:rPr>
          <w:rFonts w:ascii="Times New Roman" w:hAnsi="Times New Roman" w:cs="Times New Roman"/>
          <w:sz w:val="24"/>
          <w:szCs w:val="24"/>
        </w:rPr>
      </w:pPr>
      <w:r w:rsidRPr="00137D7C">
        <w:rPr>
          <w:rFonts w:ascii="Times New Roman" w:hAnsi="Times New Roman" w:cs="Times New Roman"/>
          <w:sz w:val="24"/>
          <w:szCs w:val="24"/>
        </w:rPr>
        <w:t>Malaysia sudah dapat menarik kunjungan wisatawan China di atas 500.000 orang, bahkan Thailand lebih dari 1 juta orang. Indonesia dinilai berpotensi meningkatkan kunjungan wisatawan China karena berbagai kemudahan seperti VOA (visa on arrival) dan sudah ditetapkan sebagai salah satu destinasi wisatawan China.</w:t>
      </w:r>
    </w:p>
    <w:p w:rsidR="00A03267" w:rsidRPr="00137D7C" w:rsidRDefault="00A03267" w:rsidP="00A03267">
      <w:pPr>
        <w:pStyle w:val="ListParagraph"/>
        <w:spacing w:line="480" w:lineRule="auto"/>
        <w:ind w:firstLine="720"/>
        <w:jc w:val="both"/>
        <w:rPr>
          <w:rFonts w:ascii="Times New Roman" w:hAnsi="Times New Roman" w:cs="Times New Roman"/>
          <w:sz w:val="24"/>
          <w:szCs w:val="24"/>
        </w:rPr>
      </w:pPr>
      <w:r w:rsidRPr="00137D7C">
        <w:rPr>
          <w:rFonts w:ascii="Times New Roman" w:hAnsi="Times New Roman" w:cs="Times New Roman"/>
          <w:sz w:val="24"/>
          <w:szCs w:val="24"/>
        </w:rPr>
        <w:t>Oleh karena itusaat Tourism Indonesia Mart &amp; Expo (TIME) di Makassar September lalu, ICTC mendatangkan 24 operator wisata dari Beijing, Guangzhou termasuk 11 kru TV China dengan dukungan Garuda Indonesia dalam rangka memperkenalkan sejumlah objek wisata di Tanah Air.</w:t>
      </w:r>
    </w:p>
    <w:p w:rsidR="00A03267" w:rsidRPr="00137D7C" w:rsidRDefault="00A03267" w:rsidP="00A03267">
      <w:pPr>
        <w:pStyle w:val="ListParagraph"/>
        <w:spacing w:line="480" w:lineRule="auto"/>
        <w:ind w:firstLine="720"/>
        <w:jc w:val="both"/>
        <w:rPr>
          <w:rFonts w:ascii="Times New Roman" w:hAnsi="Times New Roman" w:cs="Times New Roman"/>
          <w:sz w:val="24"/>
          <w:szCs w:val="24"/>
        </w:rPr>
      </w:pPr>
      <w:r w:rsidRPr="00137D7C">
        <w:rPr>
          <w:rFonts w:ascii="Times New Roman" w:hAnsi="Times New Roman" w:cs="Times New Roman"/>
          <w:sz w:val="24"/>
          <w:szCs w:val="24"/>
        </w:rPr>
        <w:t xml:space="preserve">"Pada Juli lalu, ICTC bersama Pemerintah kota Makassar dan Dinas Pariwisata Makassar serta tim kesenian hadir di Zheyiang Festival &amp; Tourism </w:t>
      </w:r>
      <w:r w:rsidRPr="00137D7C">
        <w:rPr>
          <w:rFonts w:ascii="Times New Roman" w:hAnsi="Times New Roman" w:cs="Times New Roman"/>
          <w:sz w:val="24"/>
          <w:szCs w:val="24"/>
        </w:rPr>
        <w:lastRenderedPageBreak/>
        <w:t>Expo. November nanti, kami juga akan berpartisipasi di China International Travel Mart di Shanghai,</w:t>
      </w:r>
    </w:p>
    <w:p w:rsidR="00A03267" w:rsidRPr="00137D7C" w:rsidRDefault="00A03267" w:rsidP="00A032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2007</w:t>
      </w:r>
      <w:r w:rsidRPr="00137D7C">
        <w:rPr>
          <w:rFonts w:ascii="Times New Roman" w:hAnsi="Times New Roman" w:cs="Times New Roman"/>
          <w:sz w:val="24"/>
          <w:szCs w:val="24"/>
        </w:rPr>
        <w:t xml:space="preserve"> ICTC  mengajak jajaran Dinas Pariwisata dari berbagai provinsi di Sumatra, Kalimantan dan provinsi lainnya untuk ikut aktif berpromosi di berbagai kota di China guna mendorong kunjungan wisatawan negara itu ke Indonesia.</w:t>
      </w:r>
    </w:p>
    <w:p w:rsidR="00A03267" w:rsidRPr="00137D7C" w:rsidRDefault="00A03267" w:rsidP="00A03267">
      <w:pPr>
        <w:pStyle w:val="ListParagraph"/>
        <w:spacing w:line="480" w:lineRule="auto"/>
        <w:ind w:firstLine="720"/>
        <w:jc w:val="both"/>
        <w:rPr>
          <w:rFonts w:ascii="Times New Roman" w:hAnsi="Times New Roman" w:cs="Times New Roman"/>
          <w:sz w:val="24"/>
          <w:szCs w:val="24"/>
        </w:rPr>
      </w:pPr>
      <w:r w:rsidRPr="00137D7C">
        <w:rPr>
          <w:rFonts w:ascii="Times New Roman" w:hAnsi="Times New Roman" w:cs="Times New Roman"/>
          <w:sz w:val="24"/>
          <w:szCs w:val="24"/>
        </w:rPr>
        <w:t>Wisatawan China umumnya memilih Bali sebagai tujuan wisata di Indonesia, namun setelah Sulawesi Selatan aktif berpromosi dan para operator wisata hadir di acara TIME serta melihat langsung objek wisata, mereka optimistis kunjungan wisatawan China akan meningkat terutama bila didukung penerbangan langsung ke Makassar. Menurut Azhari Abdullah, Executive Director ICTC, kurangnya bahan promosi dalam bahasa Mandarin menjadi salah satu masalah dalam menjaring wisatawan China. "Kalau pemerintah serius mau menjaring wisatawan China harus dipersiapkan mulai dari bahan promosi, brosur, sampai pemandu wisata."</w:t>
      </w:r>
    </w:p>
    <w:p w:rsidR="00A03267" w:rsidRDefault="00A03267" w:rsidP="00A03267">
      <w:pPr>
        <w:pStyle w:val="ListParagraph"/>
        <w:spacing w:line="480" w:lineRule="auto"/>
        <w:ind w:firstLine="720"/>
        <w:jc w:val="both"/>
        <w:rPr>
          <w:rFonts w:ascii="Times New Roman" w:hAnsi="Times New Roman" w:cs="Times New Roman"/>
          <w:sz w:val="24"/>
          <w:szCs w:val="24"/>
        </w:rPr>
      </w:pPr>
      <w:r w:rsidRPr="00137D7C">
        <w:rPr>
          <w:rFonts w:ascii="Times New Roman" w:hAnsi="Times New Roman" w:cs="Times New Roman"/>
          <w:sz w:val="24"/>
          <w:szCs w:val="24"/>
        </w:rPr>
        <w:t>Sebenarnya keinginan untuk menjaring wisatawan China sudah lama, tinggal bagaimana akses langsung misalnya dari kota-kota besar di sana seperti Beijing, Shanghai, Guangzhou langsung ke Makassar, Yogyakarta dan tujuan wisata lainnya</w:t>
      </w:r>
      <w:r>
        <w:rPr>
          <w:rStyle w:val="FootnoteReference"/>
          <w:rFonts w:ascii="Times New Roman" w:hAnsi="Times New Roman" w:cs="Times New Roman"/>
          <w:sz w:val="24"/>
          <w:szCs w:val="24"/>
        </w:rPr>
        <w:footnoteReference w:id="6"/>
      </w:r>
      <w:r w:rsidRPr="00137D7C">
        <w:rPr>
          <w:rFonts w:ascii="Times New Roman" w:hAnsi="Times New Roman" w:cs="Times New Roman"/>
          <w:sz w:val="24"/>
          <w:szCs w:val="24"/>
        </w:rPr>
        <w:t xml:space="preserve"> .</w:t>
      </w:r>
    </w:p>
    <w:p w:rsidR="00A03267" w:rsidRDefault="00A03267" w:rsidP="00A03267">
      <w:pPr>
        <w:pStyle w:val="ListParagraph"/>
        <w:spacing w:line="480" w:lineRule="auto"/>
        <w:ind w:firstLine="720"/>
        <w:jc w:val="center"/>
        <w:rPr>
          <w:rFonts w:ascii="Times New Roman" w:hAnsi="Times New Roman" w:cs="Times New Roman"/>
          <w:sz w:val="24"/>
          <w:szCs w:val="24"/>
        </w:rPr>
      </w:pPr>
    </w:p>
    <w:p w:rsidR="00A03267" w:rsidRPr="00A42324" w:rsidRDefault="00A03267" w:rsidP="00A03267">
      <w:pPr>
        <w:pStyle w:val="ListParagraph"/>
        <w:numPr>
          <w:ilvl w:val="0"/>
          <w:numId w:val="2"/>
        </w:numPr>
        <w:spacing w:line="480" w:lineRule="auto"/>
        <w:jc w:val="both"/>
        <w:rPr>
          <w:rFonts w:ascii="Times New Roman" w:hAnsi="Times New Roman" w:cs="Times New Roman"/>
          <w:b/>
          <w:sz w:val="24"/>
          <w:szCs w:val="24"/>
        </w:rPr>
      </w:pPr>
      <w:r w:rsidRPr="00A42324">
        <w:rPr>
          <w:rFonts w:ascii="Times New Roman" w:hAnsi="Times New Roman" w:cs="Times New Roman"/>
          <w:b/>
          <w:sz w:val="24"/>
          <w:szCs w:val="24"/>
        </w:rPr>
        <w:lastRenderedPageBreak/>
        <w:t>Joint Commission Tourism Meeting Indonesia-RRC</w:t>
      </w:r>
    </w:p>
    <w:p w:rsidR="00A03267" w:rsidRDefault="00A03267" w:rsidP="00A032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tahun 2006 Indonesia-Cina mengadakan pertemuan dalam rangka realisasi aksi dari Kemitraan Strategis antara Indonesia-Cina di bidang kebudayaan dan pariwisata pada pertemuan ke-3 tahun di Beijing pada tanggal 24-26 Mei  2006, antara lain menghasilkan: </w:t>
      </w:r>
    </w:p>
    <w:p w:rsidR="00A03267" w:rsidRPr="00A42324" w:rsidRDefault="00A03267" w:rsidP="00A03267">
      <w:pPr>
        <w:numPr>
          <w:ilvl w:val="0"/>
          <w:numId w:val="3"/>
        </w:numPr>
        <w:tabs>
          <w:tab w:val="clear" w:pos="720"/>
        </w:tabs>
        <w:spacing w:before="100" w:beforeAutospacing="1" w:after="100" w:afterAutospacing="1" w:line="480" w:lineRule="auto"/>
        <w:ind w:left="1080"/>
        <w:jc w:val="both"/>
        <w:rPr>
          <w:rFonts w:ascii="Times New Roman" w:hAnsi="Times New Roman" w:cs="Times New Roman"/>
          <w:sz w:val="24"/>
          <w:szCs w:val="24"/>
        </w:rPr>
      </w:pPr>
      <w:r w:rsidRPr="00A42324">
        <w:rPr>
          <w:rFonts w:ascii="Times New Roman" w:hAnsi="Times New Roman" w:cs="Times New Roman"/>
          <w:sz w:val="24"/>
          <w:szCs w:val="24"/>
        </w:rPr>
        <w:t>Indonesia telah menyampaikan kebijakan baru mengenai kemudahan yang diberikan oleh pemerintah Indonesia bagi wisatawan RRC ketika berkunjung ke Indonesia dengan fasilitas Visa on Arrival (VoA). Dalam hal ini, pihak Cina menyambut positif dan menyampaikan apresiasi terhadap kebijakan tersebut.</w:t>
      </w:r>
    </w:p>
    <w:p w:rsidR="00A03267" w:rsidRPr="00A42324" w:rsidRDefault="00A03267" w:rsidP="00A03267">
      <w:pPr>
        <w:numPr>
          <w:ilvl w:val="0"/>
          <w:numId w:val="3"/>
        </w:numPr>
        <w:tabs>
          <w:tab w:val="clear" w:pos="720"/>
        </w:tabs>
        <w:spacing w:before="100" w:beforeAutospacing="1" w:after="100" w:afterAutospacing="1" w:line="480" w:lineRule="auto"/>
        <w:ind w:left="1080"/>
        <w:jc w:val="both"/>
        <w:rPr>
          <w:rFonts w:ascii="Times New Roman" w:hAnsi="Times New Roman" w:cs="Times New Roman"/>
          <w:sz w:val="24"/>
          <w:szCs w:val="24"/>
        </w:rPr>
      </w:pPr>
      <w:r w:rsidRPr="00A42324">
        <w:rPr>
          <w:rFonts w:ascii="Times New Roman" w:hAnsi="Times New Roman" w:cs="Times New Roman"/>
          <w:sz w:val="24"/>
          <w:szCs w:val="24"/>
        </w:rPr>
        <w:t>Pihak Cina menyatakan bahwa dengan adanya kebijakan VoA tersebut, wisatawan RRC dapat langsung memanfaatkan kesempatan itu guna berpergian ke Indonesia. Pihak Cina menegaskan bahwa dengan adanya hal ini maka akan memudahkan wisatawan RRC yang berada di negara ketiga untuk melakukan kunjungan di Indonesia tanpa harus mengajukan permohonan visa terlebih dahulu di RRC.</w:t>
      </w:r>
    </w:p>
    <w:p w:rsidR="00A03267" w:rsidRPr="00A42324" w:rsidRDefault="00A03267" w:rsidP="00A03267">
      <w:pPr>
        <w:numPr>
          <w:ilvl w:val="0"/>
          <w:numId w:val="3"/>
        </w:numPr>
        <w:tabs>
          <w:tab w:val="clear" w:pos="720"/>
        </w:tabs>
        <w:spacing w:before="100" w:beforeAutospacing="1" w:after="100" w:afterAutospacing="1" w:line="480" w:lineRule="auto"/>
        <w:ind w:left="1080"/>
        <w:jc w:val="both"/>
        <w:rPr>
          <w:rFonts w:ascii="Times New Roman" w:hAnsi="Times New Roman" w:cs="Times New Roman"/>
          <w:sz w:val="24"/>
          <w:szCs w:val="24"/>
        </w:rPr>
      </w:pPr>
      <w:r w:rsidRPr="00A42324">
        <w:rPr>
          <w:rFonts w:ascii="Times New Roman" w:hAnsi="Times New Roman" w:cs="Times New Roman"/>
          <w:sz w:val="24"/>
          <w:szCs w:val="24"/>
        </w:rPr>
        <w:t xml:space="preserve">Pihak Cina juga menyampaikan mengenai kebijakan out-bound RRC yang semakin longgar dimana wisatawan RRC sudah dapat berkunjung ke beberapa sekaligus dengan cukup hanya memperlihatkan Visa dari negara pertama yang akan dikunjungi (first stop destination) sehingga tidak </w:t>
      </w:r>
      <w:r w:rsidRPr="00A42324">
        <w:rPr>
          <w:rFonts w:ascii="Times New Roman" w:hAnsi="Times New Roman" w:cs="Times New Roman"/>
          <w:sz w:val="24"/>
          <w:szCs w:val="24"/>
        </w:rPr>
        <w:lastRenderedPageBreak/>
        <w:t>diperlukan lagi pembuktian visa dari beberapa negara lain yang akan dikunjungi.</w:t>
      </w:r>
    </w:p>
    <w:p w:rsidR="00A03267" w:rsidRPr="00A42324" w:rsidRDefault="00A03267" w:rsidP="00A03267">
      <w:pPr>
        <w:numPr>
          <w:ilvl w:val="0"/>
          <w:numId w:val="3"/>
        </w:numPr>
        <w:tabs>
          <w:tab w:val="clear" w:pos="720"/>
        </w:tabs>
        <w:spacing w:before="100" w:beforeAutospacing="1" w:after="100" w:afterAutospacing="1" w:line="480" w:lineRule="auto"/>
        <w:ind w:left="1080"/>
        <w:jc w:val="both"/>
        <w:rPr>
          <w:rFonts w:ascii="Times New Roman" w:hAnsi="Times New Roman" w:cs="Times New Roman"/>
          <w:sz w:val="24"/>
          <w:szCs w:val="24"/>
        </w:rPr>
      </w:pPr>
      <w:r w:rsidRPr="00A42324">
        <w:rPr>
          <w:rFonts w:ascii="Times New Roman" w:hAnsi="Times New Roman" w:cs="Times New Roman"/>
          <w:sz w:val="24"/>
          <w:szCs w:val="24"/>
        </w:rPr>
        <w:t>Berkaitan dengan hal tersebut Indonesia meminta penegasan dari pihak Cina mengenai One Permit One Country Visit Policy yang diberlakukan bagi outbound traveller RRC selama ini. Menanggapi hal tersebut, pihak Cina berkomitmen untuk mengklarifikasi hal ini kepada instansi yang berwenang dan akan segera menyampaikan konfirmasi kepada pihak Indonesia melalui jalur diplomatik.</w:t>
      </w:r>
    </w:p>
    <w:p w:rsidR="00A03267" w:rsidRPr="00A42324" w:rsidRDefault="00A03267" w:rsidP="00A03267">
      <w:pPr>
        <w:numPr>
          <w:ilvl w:val="0"/>
          <w:numId w:val="3"/>
        </w:numPr>
        <w:tabs>
          <w:tab w:val="clear" w:pos="720"/>
        </w:tabs>
        <w:spacing w:before="100" w:beforeAutospacing="1" w:after="100" w:afterAutospacing="1" w:line="480" w:lineRule="auto"/>
        <w:ind w:left="1080"/>
        <w:jc w:val="both"/>
        <w:rPr>
          <w:rFonts w:ascii="Times New Roman" w:hAnsi="Times New Roman" w:cs="Times New Roman"/>
          <w:sz w:val="24"/>
          <w:szCs w:val="24"/>
        </w:rPr>
      </w:pPr>
      <w:r w:rsidRPr="00A42324">
        <w:rPr>
          <w:rFonts w:ascii="Times New Roman" w:hAnsi="Times New Roman" w:cs="Times New Roman"/>
          <w:sz w:val="24"/>
          <w:szCs w:val="24"/>
        </w:rPr>
        <w:t>Pihak Cina juga menginformasikan bahwa dengan berkembangnya fenomena first-time outbound travellers belakangan ini, pemerintah RRC lebih mendorong kepada perjalanan berkelompok atas dasar kepentingan dan rasa aman wisatawan RRC. Namun demikian, terlepas dari adanya kebijakan tersebut, pola berwisata masyarakat RRC memang cenderung berkelompok daripada melakukannya secara FIT (free individual trip).</w:t>
      </w:r>
    </w:p>
    <w:p w:rsidR="00A03267" w:rsidRPr="00A42324" w:rsidRDefault="00A03267" w:rsidP="00A03267">
      <w:pPr>
        <w:numPr>
          <w:ilvl w:val="0"/>
          <w:numId w:val="3"/>
        </w:numPr>
        <w:tabs>
          <w:tab w:val="clear" w:pos="720"/>
        </w:tabs>
        <w:spacing w:before="100" w:beforeAutospacing="1" w:after="100" w:afterAutospacing="1" w:line="480" w:lineRule="auto"/>
        <w:ind w:left="1080"/>
        <w:jc w:val="both"/>
        <w:rPr>
          <w:rFonts w:ascii="Times New Roman" w:hAnsi="Times New Roman" w:cs="Times New Roman"/>
          <w:sz w:val="24"/>
          <w:szCs w:val="24"/>
        </w:rPr>
      </w:pPr>
      <w:r w:rsidRPr="00A42324">
        <w:rPr>
          <w:rFonts w:ascii="Times New Roman" w:hAnsi="Times New Roman" w:cs="Times New Roman"/>
          <w:sz w:val="24"/>
          <w:szCs w:val="24"/>
        </w:rPr>
        <w:t>Untuk pengaturan berwisata ke luar negeri yang dalam bentuk kelompok pemerintah RRC memberlakukan ketentuan berjumlah minimal 5 orang dalam satu kelompok. Ketentuan ini berlaku untuk seluruh negara yang tergabung dalam ADS - Approved Destination Status termasuk Indonesia.</w:t>
      </w:r>
    </w:p>
    <w:p w:rsidR="00A03267" w:rsidRDefault="00A03267" w:rsidP="00A03267">
      <w:pPr>
        <w:numPr>
          <w:ilvl w:val="0"/>
          <w:numId w:val="3"/>
        </w:numPr>
        <w:tabs>
          <w:tab w:val="clear" w:pos="720"/>
        </w:tabs>
        <w:spacing w:before="100" w:beforeAutospacing="1" w:after="100" w:afterAutospacing="1" w:line="480" w:lineRule="auto"/>
        <w:ind w:left="1080"/>
        <w:jc w:val="both"/>
        <w:rPr>
          <w:rFonts w:ascii="Times New Roman" w:hAnsi="Times New Roman" w:cs="Times New Roman"/>
          <w:sz w:val="24"/>
          <w:szCs w:val="24"/>
        </w:rPr>
      </w:pPr>
      <w:r w:rsidRPr="00A42324">
        <w:rPr>
          <w:rFonts w:ascii="Times New Roman" w:hAnsi="Times New Roman" w:cs="Times New Roman"/>
          <w:sz w:val="24"/>
          <w:szCs w:val="24"/>
        </w:rPr>
        <w:t xml:space="preserve">Pihak Indonesia juga menyampaikan evaluasi terhadap kerjasama kedua negara dalam lima tahun terakhir terutama sejak ditandatanganinya MoU tahun 2000 dan Arrangement tahun 2001, yaitu adanya ketidakseimbangan arus kunjungan wisatawan antar kedua negara, dimana jumlah wisatawan </w:t>
      </w:r>
      <w:r w:rsidRPr="00A42324">
        <w:rPr>
          <w:rFonts w:ascii="Times New Roman" w:hAnsi="Times New Roman" w:cs="Times New Roman"/>
          <w:sz w:val="24"/>
          <w:szCs w:val="24"/>
        </w:rPr>
        <w:lastRenderedPageBreak/>
        <w:t>RI ke RRC lebih besar dari pada jumlah sebaliknya; dengan perbandingan 6:1 seperti yang tergambar pada tabel berikut :</w:t>
      </w:r>
    </w:p>
    <w:tbl>
      <w:tblPr>
        <w:tblpPr w:leftFromText="180" w:rightFromText="180" w:vertAnchor="text" w:horzAnchor="page" w:tblpX="3701" w:tblpY="1160"/>
        <w:tblW w:w="6228" w:type="dxa"/>
        <w:tblCellMar>
          <w:left w:w="0" w:type="dxa"/>
          <w:right w:w="0" w:type="dxa"/>
        </w:tblCellMar>
        <w:tblLook w:val="04A0"/>
      </w:tblPr>
      <w:tblGrid>
        <w:gridCol w:w="820"/>
        <w:gridCol w:w="990"/>
        <w:gridCol w:w="1358"/>
        <w:gridCol w:w="802"/>
        <w:gridCol w:w="900"/>
        <w:gridCol w:w="1358"/>
      </w:tblGrid>
      <w:tr w:rsidR="00A03267" w:rsidTr="00FA0A27">
        <w:trPr>
          <w:trHeight w:val="510"/>
        </w:trPr>
        <w:tc>
          <w:tcPr>
            <w:tcW w:w="3168" w:type="dxa"/>
            <w:gridSpan w:val="3"/>
            <w:tcBorders>
              <w:top w:val="single" w:sz="8" w:space="0" w:color="auto"/>
              <w:left w:val="single" w:sz="8" w:space="0" w:color="auto"/>
              <w:bottom w:val="single" w:sz="4" w:space="0" w:color="auto"/>
              <w:right w:val="single" w:sz="8" w:space="0" w:color="000000"/>
            </w:tcBorders>
            <w:shd w:val="clear" w:color="auto" w:fill="C0C0C0"/>
            <w:vAlign w:val="center"/>
            <w:hideMark/>
          </w:tcPr>
          <w:p w:rsidR="00A03267" w:rsidRDefault="00A03267" w:rsidP="00FA0A27">
            <w:pPr>
              <w:jc w:val="center"/>
              <w:rPr>
                <w:sz w:val="24"/>
                <w:szCs w:val="24"/>
              </w:rPr>
            </w:pPr>
            <w:r>
              <w:rPr>
                <w:b/>
                <w:bCs/>
                <w:sz w:val="20"/>
                <w:szCs w:val="20"/>
              </w:rPr>
              <w:t>WISATAWAN INDONESIA KE CHINA</w:t>
            </w:r>
          </w:p>
        </w:tc>
        <w:tc>
          <w:tcPr>
            <w:tcW w:w="3060" w:type="dxa"/>
            <w:gridSpan w:val="3"/>
            <w:tcBorders>
              <w:top w:val="single" w:sz="8" w:space="0" w:color="auto"/>
              <w:left w:val="nil"/>
              <w:bottom w:val="single" w:sz="4" w:space="0" w:color="auto"/>
              <w:right w:val="single" w:sz="8" w:space="0" w:color="000000"/>
            </w:tcBorders>
            <w:shd w:val="clear" w:color="auto" w:fill="C0C0C0"/>
            <w:vAlign w:val="center"/>
            <w:hideMark/>
          </w:tcPr>
          <w:p w:rsidR="00A03267" w:rsidRDefault="00A03267" w:rsidP="00FA0A27">
            <w:pPr>
              <w:jc w:val="center"/>
              <w:rPr>
                <w:sz w:val="24"/>
                <w:szCs w:val="24"/>
              </w:rPr>
            </w:pPr>
            <w:r>
              <w:rPr>
                <w:b/>
                <w:bCs/>
                <w:sz w:val="20"/>
                <w:szCs w:val="20"/>
              </w:rPr>
              <w:t>WISATAWAN CHINA KE INDONESIA</w:t>
            </w:r>
          </w:p>
        </w:tc>
      </w:tr>
      <w:tr w:rsidR="00A03267" w:rsidTr="00FA0A27">
        <w:trPr>
          <w:trHeight w:val="495"/>
        </w:trPr>
        <w:tc>
          <w:tcPr>
            <w:tcW w:w="820" w:type="dxa"/>
            <w:tcBorders>
              <w:top w:val="nil"/>
              <w:left w:val="single" w:sz="8" w:space="0" w:color="auto"/>
              <w:bottom w:val="single" w:sz="8" w:space="0" w:color="auto"/>
              <w:right w:val="single" w:sz="4" w:space="0" w:color="auto"/>
            </w:tcBorders>
            <w:shd w:val="clear" w:color="auto" w:fill="C0C0C0"/>
            <w:vAlign w:val="center"/>
            <w:hideMark/>
          </w:tcPr>
          <w:p w:rsidR="00A03267" w:rsidRDefault="00A03267" w:rsidP="00FA0A27">
            <w:pPr>
              <w:jc w:val="center"/>
              <w:rPr>
                <w:sz w:val="24"/>
                <w:szCs w:val="24"/>
              </w:rPr>
            </w:pPr>
            <w:r>
              <w:rPr>
                <w:b/>
                <w:bCs/>
                <w:sz w:val="20"/>
                <w:szCs w:val="20"/>
              </w:rPr>
              <w:t>TAHUN</w:t>
            </w:r>
          </w:p>
        </w:tc>
        <w:tc>
          <w:tcPr>
            <w:tcW w:w="990" w:type="dxa"/>
            <w:tcBorders>
              <w:top w:val="nil"/>
              <w:left w:val="nil"/>
              <w:bottom w:val="single" w:sz="8" w:space="0" w:color="auto"/>
              <w:right w:val="single" w:sz="4" w:space="0" w:color="auto"/>
            </w:tcBorders>
            <w:shd w:val="clear" w:color="auto" w:fill="C0C0C0"/>
            <w:vAlign w:val="center"/>
            <w:hideMark/>
          </w:tcPr>
          <w:p w:rsidR="00A03267" w:rsidRDefault="00A03267" w:rsidP="00FA0A27">
            <w:pPr>
              <w:jc w:val="center"/>
              <w:rPr>
                <w:sz w:val="24"/>
                <w:szCs w:val="24"/>
              </w:rPr>
            </w:pPr>
            <w:r>
              <w:rPr>
                <w:b/>
                <w:bCs/>
                <w:sz w:val="20"/>
                <w:szCs w:val="20"/>
              </w:rPr>
              <w:t>JUMLAH</w:t>
            </w:r>
          </w:p>
        </w:tc>
        <w:tc>
          <w:tcPr>
            <w:tcW w:w="1358" w:type="dxa"/>
            <w:tcBorders>
              <w:top w:val="nil"/>
              <w:left w:val="nil"/>
              <w:bottom w:val="single" w:sz="8" w:space="0" w:color="auto"/>
              <w:right w:val="single" w:sz="8" w:space="0" w:color="auto"/>
            </w:tcBorders>
            <w:shd w:val="clear" w:color="auto" w:fill="C0C0C0"/>
            <w:vAlign w:val="center"/>
            <w:hideMark/>
          </w:tcPr>
          <w:p w:rsidR="00A03267" w:rsidRDefault="00A03267" w:rsidP="00FA0A27">
            <w:pPr>
              <w:jc w:val="center"/>
              <w:rPr>
                <w:sz w:val="24"/>
                <w:szCs w:val="24"/>
              </w:rPr>
            </w:pPr>
            <w:r>
              <w:rPr>
                <w:b/>
                <w:bCs/>
                <w:sz w:val="20"/>
                <w:szCs w:val="20"/>
              </w:rPr>
              <w:t>PERTUMBUHAN</w:t>
            </w:r>
          </w:p>
        </w:tc>
        <w:tc>
          <w:tcPr>
            <w:tcW w:w="802" w:type="dxa"/>
            <w:tcBorders>
              <w:top w:val="nil"/>
              <w:left w:val="nil"/>
              <w:bottom w:val="single" w:sz="8" w:space="0" w:color="auto"/>
              <w:right w:val="single" w:sz="4" w:space="0" w:color="auto"/>
            </w:tcBorders>
            <w:shd w:val="clear" w:color="auto" w:fill="C0C0C0"/>
            <w:vAlign w:val="center"/>
            <w:hideMark/>
          </w:tcPr>
          <w:p w:rsidR="00A03267" w:rsidRDefault="00A03267" w:rsidP="00FA0A27">
            <w:pPr>
              <w:jc w:val="center"/>
              <w:rPr>
                <w:sz w:val="24"/>
                <w:szCs w:val="24"/>
              </w:rPr>
            </w:pPr>
            <w:r>
              <w:rPr>
                <w:b/>
                <w:bCs/>
                <w:sz w:val="20"/>
                <w:szCs w:val="20"/>
              </w:rPr>
              <w:t xml:space="preserve">TAHUN </w:t>
            </w:r>
          </w:p>
        </w:tc>
        <w:tc>
          <w:tcPr>
            <w:tcW w:w="900" w:type="dxa"/>
            <w:tcBorders>
              <w:top w:val="nil"/>
              <w:left w:val="nil"/>
              <w:bottom w:val="single" w:sz="8" w:space="0" w:color="auto"/>
              <w:right w:val="single" w:sz="4" w:space="0" w:color="auto"/>
            </w:tcBorders>
            <w:shd w:val="clear" w:color="auto" w:fill="C0C0C0"/>
            <w:vAlign w:val="center"/>
            <w:hideMark/>
          </w:tcPr>
          <w:p w:rsidR="00A03267" w:rsidRDefault="00A03267" w:rsidP="00FA0A27">
            <w:pPr>
              <w:jc w:val="center"/>
              <w:rPr>
                <w:sz w:val="24"/>
                <w:szCs w:val="24"/>
              </w:rPr>
            </w:pPr>
            <w:r>
              <w:rPr>
                <w:b/>
                <w:bCs/>
                <w:sz w:val="20"/>
                <w:szCs w:val="20"/>
              </w:rPr>
              <w:t>JUMLAH</w:t>
            </w:r>
          </w:p>
        </w:tc>
        <w:tc>
          <w:tcPr>
            <w:tcW w:w="1358" w:type="dxa"/>
            <w:tcBorders>
              <w:top w:val="nil"/>
              <w:left w:val="nil"/>
              <w:bottom w:val="single" w:sz="8" w:space="0" w:color="auto"/>
              <w:right w:val="single" w:sz="8" w:space="0" w:color="auto"/>
            </w:tcBorders>
            <w:shd w:val="clear" w:color="auto" w:fill="C0C0C0"/>
            <w:vAlign w:val="center"/>
            <w:hideMark/>
          </w:tcPr>
          <w:p w:rsidR="00A03267" w:rsidRDefault="00A03267" w:rsidP="00FA0A27">
            <w:pPr>
              <w:jc w:val="center"/>
              <w:rPr>
                <w:sz w:val="24"/>
                <w:szCs w:val="24"/>
              </w:rPr>
            </w:pPr>
            <w:r>
              <w:rPr>
                <w:b/>
                <w:bCs/>
                <w:sz w:val="20"/>
                <w:szCs w:val="20"/>
              </w:rPr>
              <w:t>PERTUMBUHAN</w:t>
            </w:r>
          </w:p>
        </w:tc>
      </w:tr>
      <w:tr w:rsidR="00A03267" w:rsidTr="00FA0A27">
        <w:trPr>
          <w:trHeight w:val="25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2001</w:t>
            </w:r>
          </w:p>
        </w:tc>
        <w:tc>
          <w:tcPr>
            <w:tcW w:w="990"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224,177 </w:t>
            </w:r>
          </w:p>
        </w:tc>
        <w:tc>
          <w:tcPr>
            <w:tcW w:w="1358" w:type="dxa"/>
            <w:tcBorders>
              <w:top w:val="nil"/>
              <w:left w:val="nil"/>
              <w:bottom w:val="single" w:sz="4" w:space="0" w:color="auto"/>
              <w:right w:val="single" w:sz="8" w:space="0" w:color="auto"/>
            </w:tcBorders>
            <w:shd w:val="clear" w:color="auto" w:fill="auto"/>
            <w:vAlign w:val="center"/>
            <w:hideMark/>
          </w:tcPr>
          <w:p w:rsidR="00A03267" w:rsidRDefault="00A03267" w:rsidP="00FA0A27">
            <w:pPr>
              <w:jc w:val="center"/>
              <w:rPr>
                <w:sz w:val="24"/>
                <w:szCs w:val="24"/>
              </w:rPr>
            </w:pPr>
          </w:p>
        </w:tc>
        <w:tc>
          <w:tcPr>
            <w:tcW w:w="802"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2001</w:t>
            </w:r>
          </w:p>
        </w:tc>
        <w:tc>
          <w:tcPr>
            <w:tcW w:w="900"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32,197 </w:t>
            </w:r>
          </w:p>
        </w:tc>
        <w:tc>
          <w:tcPr>
            <w:tcW w:w="1358" w:type="dxa"/>
            <w:tcBorders>
              <w:top w:val="nil"/>
              <w:left w:val="nil"/>
              <w:bottom w:val="single" w:sz="4" w:space="0" w:color="auto"/>
              <w:right w:val="single" w:sz="8" w:space="0" w:color="auto"/>
            </w:tcBorders>
            <w:shd w:val="clear" w:color="auto" w:fill="auto"/>
            <w:vAlign w:val="center"/>
            <w:hideMark/>
          </w:tcPr>
          <w:p w:rsidR="00A03267" w:rsidRDefault="00A03267" w:rsidP="00FA0A27">
            <w:pPr>
              <w:jc w:val="center"/>
              <w:rPr>
                <w:sz w:val="24"/>
                <w:szCs w:val="24"/>
              </w:rPr>
            </w:pPr>
          </w:p>
        </w:tc>
      </w:tr>
      <w:tr w:rsidR="00A03267" w:rsidTr="00FA0A27">
        <w:trPr>
          <w:trHeight w:val="25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2002</w:t>
            </w:r>
          </w:p>
        </w:tc>
        <w:tc>
          <w:tcPr>
            <w:tcW w:w="990"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274,717 </w:t>
            </w:r>
          </w:p>
        </w:tc>
        <w:tc>
          <w:tcPr>
            <w:tcW w:w="1358" w:type="dxa"/>
            <w:tcBorders>
              <w:top w:val="nil"/>
              <w:left w:val="nil"/>
              <w:bottom w:val="single" w:sz="4" w:space="0" w:color="auto"/>
              <w:right w:val="single" w:sz="8" w:space="0" w:color="auto"/>
            </w:tcBorders>
            <w:shd w:val="clear" w:color="auto" w:fill="auto"/>
            <w:vAlign w:val="center"/>
            <w:hideMark/>
          </w:tcPr>
          <w:p w:rsidR="00A03267" w:rsidRDefault="00A03267" w:rsidP="00FA0A27">
            <w:pPr>
              <w:jc w:val="right"/>
              <w:rPr>
                <w:sz w:val="24"/>
                <w:szCs w:val="24"/>
              </w:rPr>
            </w:pPr>
            <w:r>
              <w:rPr>
                <w:sz w:val="20"/>
                <w:szCs w:val="20"/>
              </w:rPr>
              <w:t>22.54 </w:t>
            </w:r>
          </w:p>
        </w:tc>
        <w:tc>
          <w:tcPr>
            <w:tcW w:w="802"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2002</w:t>
            </w:r>
          </w:p>
        </w:tc>
        <w:tc>
          <w:tcPr>
            <w:tcW w:w="900"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36,685 </w:t>
            </w:r>
          </w:p>
        </w:tc>
        <w:tc>
          <w:tcPr>
            <w:tcW w:w="1358" w:type="dxa"/>
            <w:tcBorders>
              <w:top w:val="nil"/>
              <w:left w:val="nil"/>
              <w:bottom w:val="single" w:sz="4" w:space="0" w:color="auto"/>
              <w:right w:val="single" w:sz="8" w:space="0" w:color="auto"/>
            </w:tcBorders>
            <w:shd w:val="clear" w:color="auto" w:fill="auto"/>
            <w:vAlign w:val="center"/>
            <w:hideMark/>
          </w:tcPr>
          <w:p w:rsidR="00A03267" w:rsidRDefault="00A03267" w:rsidP="00FA0A27">
            <w:pPr>
              <w:jc w:val="right"/>
              <w:rPr>
                <w:sz w:val="24"/>
                <w:szCs w:val="24"/>
              </w:rPr>
            </w:pPr>
            <w:r>
              <w:rPr>
                <w:sz w:val="20"/>
                <w:szCs w:val="20"/>
              </w:rPr>
              <w:t>13.94 </w:t>
            </w:r>
          </w:p>
        </w:tc>
      </w:tr>
      <w:tr w:rsidR="00A03267" w:rsidTr="00FA0A27">
        <w:trPr>
          <w:trHeight w:val="25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2003</w:t>
            </w:r>
          </w:p>
        </w:tc>
        <w:tc>
          <w:tcPr>
            <w:tcW w:w="990"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231,326 </w:t>
            </w:r>
          </w:p>
        </w:tc>
        <w:tc>
          <w:tcPr>
            <w:tcW w:w="1358" w:type="dxa"/>
            <w:tcBorders>
              <w:top w:val="nil"/>
              <w:left w:val="nil"/>
              <w:bottom w:val="single" w:sz="4" w:space="0" w:color="auto"/>
              <w:right w:val="single" w:sz="8" w:space="0" w:color="auto"/>
            </w:tcBorders>
            <w:shd w:val="clear" w:color="auto" w:fill="auto"/>
            <w:vAlign w:val="center"/>
            <w:hideMark/>
          </w:tcPr>
          <w:p w:rsidR="00A03267" w:rsidRDefault="00A03267" w:rsidP="00FA0A27">
            <w:pPr>
              <w:jc w:val="right"/>
              <w:rPr>
                <w:sz w:val="24"/>
                <w:szCs w:val="24"/>
              </w:rPr>
            </w:pPr>
            <w:r>
              <w:rPr>
                <w:sz w:val="20"/>
                <w:szCs w:val="20"/>
              </w:rPr>
              <w:t>(15.79)</w:t>
            </w:r>
          </w:p>
        </w:tc>
        <w:tc>
          <w:tcPr>
            <w:tcW w:w="802"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2003</w:t>
            </w:r>
          </w:p>
        </w:tc>
        <w:tc>
          <w:tcPr>
            <w:tcW w:w="900"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40,870 </w:t>
            </w:r>
          </w:p>
        </w:tc>
        <w:tc>
          <w:tcPr>
            <w:tcW w:w="1358" w:type="dxa"/>
            <w:tcBorders>
              <w:top w:val="nil"/>
              <w:left w:val="nil"/>
              <w:bottom w:val="single" w:sz="4" w:space="0" w:color="auto"/>
              <w:right w:val="single" w:sz="8" w:space="0" w:color="auto"/>
            </w:tcBorders>
            <w:shd w:val="clear" w:color="auto" w:fill="auto"/>
            <w:vAlign w:val="center"/>
            <w:hideMark/>
          </w:tcPr>
          <w:p w:rsidR="00A03267" w:rsidRDefault="00A03267" w:rsidP="00FA0A27">
            <w:pPr>
              <w:jc w:val="right"/>
              <w:rPr>
                <w:sz w:val="24"/>
                <w:szCs w:val="24"/>
              </w:rPr>
            </w:pPr>
            <w:r>
              <w:rPr>
                <w:sz w:val="20"/>
                <w:szCs w:val="20"/>
              </w:rPr>
              <w:t>11.41 </w:t>
            </w:r>
          </w:p>
        </w:tc>
      </w:tr>
      <w:tr w:rsidR="00A03267" w:rsidTr="00FA0A27">
        <w:trPr>
          <w:trHeight w:val="255"/>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2004</w:t>
            </w:r>
          </w:p>
        </w:tc>
        <w:tc>
          <w:tcPr>
            <w:tcW w:w="990"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349,832 </w:t>
            </w:r>
          </w:p>
        </w:tc>
        <w:tc>
          <w:tcPr>
            <w:tcW w:w="1358" w:type="dxa"/>
            <w:tcBorders>
              <w:top w:val="nil"/>
              <w:left w:val="nil"/>
              <w:bottom w:val="single" w:sz="4" w:space="0" w:color="auto"/>
              <w:right w:val="single" w:sz="8" w:space="0" w:color="auto"/>
            </w:tcBorders>
            <w:shd w:val="clear" w:color="auto" w:fill="auto"/>
            <w:vAlign w:val="center"/>
            <w:hideMark/>
          </w:tcPr>
          <w:p w:rsidR="00A03267" w:rsidRDefault="00A03267" w:rsidP="00FA0A27">
            <w:pPr>
              <w:jc w:val="right"/>
              <w:rPr>
                <w:sz w:val="24"/>
                <w:szCs w:val="24"/>
              </w:rPr>
            </w:pPr>
            <w:r>
              <w:rPr>
                <w:sz w:val="20"/>
                <w:szCs w:val="20"/>
              </w:rPr>
              <w:t>50.90 </w:t>
            </w:r>
          </w:p>
        </w:tc>
        <w:tc>
          <w:tcPr>
            <w:tcW w:w="802"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2004</w:t>
            </w:r>
          </w:p>
        </w:tc>
        <w:tc>
          <w:tcPr>
            <w:tcW w:w="900" w:type="dxa"/>
            <w:tcBorders>
              <w:top w:val="nil"/>
              <w:left w:val="nil"/>
              <w:bottom w:val="single" w:sz="4"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51,412 </w:t>
            </w:r>
          </w:p>
        </w:tc>
        <w:tc>
          <w:tcPr>
            <w:tcW w:w="1358" w:type="dxa"/>
            <w:tcBorders>
              <w:top w:val="nil"/>
              <w:left w:val="nil"/>
              <w:bottom w:val="single" w:sz="4" w:space="0" w:color="auto"/>
              <w:right w:val="single" w:sz="8" w:space="0" w:color="auto"/>
            </w:tcBorders>
            <w:shd w:val="clear" w:color="auto" w:fill="auto"/>
            <w:vAlign w:val="center"/>
            <w:hideMark/>
          </w:tcPr>
          <w:p w:rsidR="00A03267" w:rsidRDefault="00A03267" w:rsidP="00FA0A27">
            <w:pPr>
              <w:jc w:val="right"/>
              <w:rPr>
                <w:sz w:val="24"/>
                <w:szCs w:val="24"/>
              </w:rPr>
            </w:pPr>
            <w:r>
              <w:rPr>
                <w:sz w:val="20"/>
                <w:szCs w:val="20"/>
              </w:rPr>
              <w:t>25.79 </w:t>
            </w:r>
          </w:p>
        </w:tc>
      </w:tr>
      <w:tr w:rsidR="00A03267" w:rsidTr="00FA0A27">
        <w:trPr>
          <w:trHeight w:val="270"/>
        </w:trPr>
        <w:tc>
          <w:tcPr>
            <w:tcW w:w="820" w:type="dxa"/>
            <w:tcBorders>
              <w:top w:val="nil"/>
              <w:left w:val="single" w:sz="8" w:space="0" w:color="auto"/>
              <w:bottom w:val="single" w:sz="8"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2005</w:t>
            </w:r>
          </w:p>
        </w:tc>
        <w:tc>
          <w:tcPr>
            <w:tcW w:w="990" w:type="dxa"/>
            <w:tcBorders>
              <w:top w:val="nil"/>
              <w:left w:val="nil"/>
              <w:bottom w:val="single" w:sz="8"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 xml:space="preserve">NA </w:t>
            </w:r>
          </w:p>
        </w:tc>
        <w:tc>
          <w:tcPr>
            <w:tcW w:w="1358" w:type="dxa"/>
            <w:tcBorders>
              <w:top w:val="nil"/>
              <w:left w:val="nil"/>
              <w:bottom w:val="single" w:sz="8" w:space="0" w:color="auto"/>
              <w:right w:val="single" w:sz="8" w:space="0" w:color="auto"/>
            </w:tcBorders>
            <w:shd w:val="clear" w:color="auto" w:fill="auto"/>
            <w:vAlign w:val="center"/>
            <w:hideMark/>
          </w:tcPr>
          <w:p w:rsidR="00A03267" w:rsidRDefault="00A03267" w:rsidP="00FA0A27">
            <w:pPr>
              <w:jc w:val="center"/>
              <w:rPr>
                <w:sz w:val="24"/>
                <w:szCs w:val="24"/>
              </w:rPr>
            </w:pPr>
          </w:p>
        </w:tc>
        <w:tc>
          <w:tcPr>
            <w:tcW w:w="802" w:type="dxa"/>
            <w:tcBorders>
              <w:top w:val="nil"/>
              <w:left w:val="nil"/>
              <w:bottom w:val="single" w:sz="8"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2005 *</w:t>
            </w:r>
          </w:p>
        </w:tc>
        <w:tc>
          <w:tcPr>
            <w:tcW w:w="900" w:type="dxa"/>
            <w:tcBorders>
              <w:top w:val="nil"/>
              <w:left w:val="nil"/>
              <w:bottom w:val="single" w:sz="8" w:space="0" w:color="auto"/>
              <w:right w:val="single" w:sz="4" w:space="0" w:color="auto"/>
            </w:tcBorders>
            <w:shd w:val="clear" w:color="auto" w:fill="auto"/>
            <w:vAlign w:val="center"/>
            <w:hideMark/>
          </w:tcPr>
          <w:p w:rsidR="00A03267" w:rsidRDefault="00A03267" w:rsidP="00FA0A27">
            <w:pPr>
              <w:jc w:val="center"/>
              <w:rPr>
                <w:sz w:val="24"/>
                <w:szCs w:val="24"/>
              </w:rPr>
            </w:pPr>
            <w:r>
              <w:rPr>
                <w:sz w:val="20"/>
                <w:szCs w:val="20"/>
              </w:rPr>
              <w:t>71,970 </w:t>
            </w:r>
          </w:p>
        </w:tc>
        <w:tc>
          <w:tcPr>
            <w:tcW w:w="1358" w:type="dxa"/>
            <w:tcBorders>
              <w:top w:val="nil"/>
              <w:left w:val="nil"/>
              <w:bottom w:val="single" w:sz="8" w:space="0" w:color="auto"/>
              <w:right w:val="single" w:sz="8" w:space="0" w:color="auto"/>
            </w:tcBorders>
            <w:shd w:val="clear" w:color="auto" w:fill="auto"/>
            <w:vAlign w:val="center"/>
            <w:hideMark/>
          </w:tcPr>
          <w:p w:rsidR="00A03267" w:rsidRDefault="00A03267" w:rsidP="00FA0A27">
            <w:pPr>
              <w:jc w:val="right"/>
              <w:rPr>
                <w:sz w:val="24"/>
                <w:szCs w:val="24"/>
              </w:rPr>
            </w:pPr>
            <w:r>
              <w:rPr>
                <w:sz w:val="20"/>
                <w:szCs w:val="20"/>
              </w:rPr>
              <w:t>51.66 </w:t>
            </w:r>
          </w:p>
        </w:tc>
      </w:tr>
    </w:tbl>
    <w:p w:rsidR="00A03267" w:rsidRDefault="00A03267" w:rsidP="00A03267">
      <w:pPr>
        <w:spacing w:before="100" w:beforeAutospacing="1" w:after="100" w:afterAutospacing="1" w:line="480" w:lineRule="auto"/>
        <w:ind w:left="1080"/>
        <w:jc w:val="center"/>
        <w:rPr>
          <w:rFonts w:ascii="Times New Roman" w:hAnsi="Times New Roman" w:cs="Times New Roman"/>
          <w:sz w:val="24"/>
          <w:szCs w:val="24"/>
        </w:rPr>
      </w:pPr>
      <w:r>
        <w:rPr>
          <w:rFonts w:ascii="Times New Roman" w:hAnsi="Times New Roman" w:cs="Times New Roman"/>
          <w:sz w:val="24"/>
          <w:szCs w:val="24"/>
        </w:rPr>
        <w:t>Tabel. 3.1</w:t>
      </w:r>
    </w:p>
    <w:p w:rsidR="00A03267" w:rsidRPr="00CE641A" w:rsidRDefault="00A03267" w:rsidP="00A03267">
      <w:pPr>
        <w:numPr>
          <w:ilvl w:val="0"/>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Menyadari kondisi tersebut, pihak RRC menyatakan kesediaannya memberi asistensi dan konsultasi bagi Indonesia dalam mendorong warganya untuk berkunjung ke Indonesia. Beberapa masukan CNTA antara lain adalah:</w:t>
      </w:r>
    </w:p>
    <w:p w:rsidR="00A03267" w:rsidRPr="00CE641A"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 xml:space="preserve">Membuka kesempatan Indonesia guna lebih aktif dalam menggarap pasar Cina melalui pendekatan promosi yang lebih fokus dan segmented. </w:t>
      </w:r>
    </w:p>
    <w:p w:rsidR="00A03267" w:rsidRPr="00CE641A"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Mendorong peningkatan aksesibilitas penerbangan langsung antara kedua negara dengan menambah jumlah route point to point dan frekuensi</w:t>
      </w:r>
    </w:p>
    <w:p w:rsidR="00A03267" w:rsidRPr="00CE641A"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Menciptakan dan merancang produk-produk baru yang mampu menarik wisatawan asal RRC</w:t>
      </w:r>
    </w:p>
    <w:p w:rsidR="00A03267" w:rsidRPr="00CE641A"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lastRenderedPageBreak/>
        <w:t>Meningkatkan pelayanan di berbagai gerbang masuk bagi wisatawan mancanegara yang memiliki fasilitas VoA dengan mempersingkat tahapan prosesnya sehingga lebih cepat dan nyaman. Sehingga wisatawan RRC (terutama FIT) tertarik untuk memanfaatkan VoA ketimbang mengajukan permohonan visa ke perwakilan RI di RRC.</w:t>
      </w:r>
    </w:p>
    <w:p w:rsidR="00A03267" w:rsidRPr="00CE641A"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Membangun jalur komunikasi yang lebih intensif antara CNTA dan Depbudpar.</w:t>
      </w:r>
    </w:p>
    <w:p w:rsidR="00A03267" w:rsidRPr="00CE641A"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RRC menghimbau agar RI lebih aktif untuk mensosialisasikan fasilitas VoA bagi publik RRC melalui berbagai BPW di RRC.</w:t>
      </w:r>
    </w:p>
    <w:p w:rsidR="00A03267" w:rsidRPr="00CE641A" w:rsidRDefault="00A03267" w:rsidP="00A03267">
      <w:pPr>
        <w:numPr>
          <w:ilvl w:val="1"/>
          <w:numId w:val="4"/>
        </w:numPr>
        <w:spacing w:before="100" w:beforeAutospacing="1" w:after="240" w:line="480" w:lineRule="auto"/>
        <w:jc w:val="both"/>
        <w:rPr>
          <w:rFonts w:ascii="Times New Roman" w:hAnsi="Times New Roman" w:cs="Times New Roman"/>
          <w:sz w:val="24"/>
          <w:szCs w:val="24"/>
        </w:rPr>
      </w:pPr>
      <w:r w:rsidRPr="00CE641A">
        <w:rPr>
          <w:rFonts w:ascii="Times New Roman" w:hAnsi="Times New Roman" w:cs="Times New Roman"/>
          <w:sz w:val="24"/>
          <w:szCs w:val="24"/>
        </w:rPr>
        <w:t xml:space="preserve">RRC sedang mengkampanyekan program "Golden Week"; "Honesty and Transparent Practice"; serta "Looking to South" yang dapat dimanfaatkan oleh RI dalam menjaring wisatawan asal RRC. </w:t>
      </w:r>
    </w:p>
    <w:p w:rsidR="00A03267" w:rsidRPr="00CE641A" w:rsidRDefault="00A03267" w:rsidP="00A03267">
      <w:pPr>
        <w:numPr>
          <w:ilvl w:val="0"/>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Guna mempercepat realisasi peningkatan arus kunjungan wisatawan antar kedua negara yang lebih berimbang, pihak Indonesia menawarkan kerjasama dalam bentuk aksi berupa:</w:t>
      </w:r>
    </w:p>
    <w:p w:rsidR="00A03267"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A</w:t>
      </w:r>
      <w:r>
        <w:rPr>
          <w:rFonts w:ascii="Times New Roman" w:hAnsi="Times New Roman" w:cs="Times New Roman"/>
          <w:sz w:val="24"/>
          <w:szCs w:val="24"/>
        </w:rPr>
        <w:t>sistensi Teknis untuk:</w:t>
      </w:r>
    </w:p>
    <w:p w:rsidR="00A03267" w:rsidRDefault="00A03267" w:rsidP="00A03267">
      <w:pPr>
        <w:pStyle w:val="ListParagraph"/>
        <w:numPr>
          <w:ilvl w:val="0"/>
          <w:numId w:val="5"/>
        </w:numPr>
        <w:spacing w:before="100" w:beforeAutospacing="1" w:after="100" w:afterAutospacing="1" w:line="480" w:lineRule="auto"/>
        <w:ind w:left="1800"/>
        <w:jc w:val="both"/>
        <w:rPr>
          <w:rFonts w:ascii="Times New Roman" w:hAnsi="Times New Roman" w:cs="Times New Roman"/>
          <w:sz w:val="24"/>
          <w:szCs w:val="24"/>
        </w:rPr>
      </w:pPr>
      <w:r w:rsidRPr="00CE641A">
        <w:rPr>
          <w:rFonts w:ascii="Times New Roman" w:hAnsi="Times New Roman" w:cs="Times New Roman"/>
          <w:sz w:val="24"/>
          <w:szCs w:val="24"/>
        </w:rPr>
        <w:t>Pengembangan paket wisata minat khusus untuk pasar RRC.</w:t>
      </w:r>
    </w:p>
    <w:p w:rsidR="00A03267" w:rsidRDefault="00A03267" w:rsidP="00A03267">
      <w:pPr>
        <w:pStyle w:val="ListParagraph"/>
        <w:numPr>
          <w:ilvl w:val="0"/>
          <w:numId w:val="5"/>
        </w:numPr>
        <w:spacing w:before="100" w:beforeAutospacing="1" w:after="100" w:afterAutospacing="1" w:line="480" w:lineRule="auto"/>
        <w:ind w:left="1800"/>
        <w:jc w:val="both"/>
        <w:rPr>
          <w:rFonts w:ascii="Times New Roman" w:hAnsi="Times New Roman" w:cs="Times New Roman"/>
          <w:sz w:val="24"/>
          <w:szCs w:val="24"/>
        </w:rPr>
      </w:pPr>
      <w:r w:rsidRPr="00CE641A">
        <w:rPr>
          <w:rFonts w:ascii="Times New Roman" w:hAnsi="Times New Roman" w:cs="Times New Roman"/>
          <w:sz w:val="24"/>
          <w:szCs w:val="24"/>
        </w:rPr>
        <w:t>Pengembangan kompetensi profesional, khususnya bagi para BPW, terhadap bahasa dan budaya Cina.</w:t>
      </w:r>
    </w:p>
    <w:p w:rsidR="00A03267" w:rsidRPr="00CE641A" w:rsidRDefault="00A03267" w:rsidP="00A03267">
      <w:pPr>
        <w:pStyle w:val="ListParagraph"/>
        <w:spacing w:before="100" w:beforeAutospacing="1" w:after="100" w:afterAutospacing="1" w:line="480" w:lineRule="auto"/>
        <w:ind w:left="1800"/>
        <w:jc w:val="both"/>
        <w:rPr>
          <w:rFonts w:ascii="Times New Roman" w:hAnsi="Times New Roman" w:cs="Times New Roman"/>
          <w:sz w:val="24"/>
          <w:szCs w:val="24"/>
        </w:rPr>
      </w:pPr>
    </w:p>
    <w:p w:rsidR="00A03267" w:rsidRPr="00CE641A"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lastRenderedPageBreak/>
        <w:t>Pertukaran liputan media mengenai berbagai Daerah Tujuan Wisata.</w:t>
      </w:r>
    </w:p>
    <w:p w:rsidR="00A03267" w:rsidRPr="00CE641A" w:rsidRDefault="00A03267" w:rsidP="00A03267">
      <w:pPr>
        <w:numPr>
          <w:ilvl w:val="1"/>
          <w:numId w:val="4"/>
        </w:numPr>
        <w:spacing w:before="100" w:beforeAutospacing="1" w:after="100" w:afterAutospacing="1" w:line="480" w:lineRule="auto"/>
        <w:jc w:val="both"/>
        <w:rPr>
          <w:rFonts w:ascii="Times New Roman" w:hAnsi="Times New Roman" w:cs="Times New Roman"/>
          <w:sz w:val="24"/>
          <w:szCs w:val="24"/>
        </w:rPr>
      </w:pPr>
      <w:r w:rsidRPr="00CE641A">
        <w:rPr>
          <w:rFonts w:ascii="Times New Roman" w:hAnsi="Times New Roman" w:cs="Times New Roman"/>
          <w:sz w:val="24"/>
          <w:szCs w:val="24"/>
        </w:rPr>
        <w:t>Kerjasama litbang antara lain dalam bentuk Seminar mengenai "Chinesse Traveller"</w:t>
      </w:r>
      <w:r>
        <w:rPr>
          <w:rStyle w:val="FootnoteReference"/>
          <w:rFonts w:ascii="Times New Roman" w:hAnsi="Times New Roman" w:cs="Times New Roman"/>
          <w:sz w:val="24"/>
          <w:szCs w:val="24"/>
        </w:rPr>
        <w:footnoteReference w:id="7"/>
      </w:r>
      <w:r w:rsidRPr="00CE641A">
        <w:rPr>
          <w:rFonts w:ascii="Times New Roman" w:hAnsi="Times New Roman" w:cs="Times New Roman"/>
          <w:sz w:val="24"/>
          <w:szCs w:val="24"/>
        </w:rPr>
        <w:t>.</w:t>
      </w:r>
    </w:p>
    <w:p w:rsidR="00A03267" w:rsidRPr="00881C2F" w:rsidRDefault="00A03267" w:rsidP="00A03267">
      <w:pPr>
        <w:spacing w:before="100" w:beforeAutospacing="1" w:after="100" w:afterAutospacing="1" w:line="480" w:lineRule="auto"/>
        <w:ind w:left="1080"/>
        <w:jc w:val="both"/>
        <w:rPr>
          <w:rFonts w:ascii="Times New Roman" w:hAnsi="Times New Roman" w:cs="Times New Roman"/>
          <w:sz w:val="24"/>
          <w:szCs w:val="24"/>
        </w:rPr>
      </w:pPr>
    </w:p>
    <w:p w:rsidR="00EF022D" w:rsidRDefault="00EF022D"/>
    <w:sectPr w:rsidR="00EF022D" w:rsidSect="00031D36">
      <w:headerReference w:type="default" r:id="rId8"/>
      <w:footerReference w:type="first" r:id="rId9"/>
      <w:pgSz w:w="12240" w:h="15840"/>
      <w:pgMar w:top="2160" w:right="1728" w:bottom="1728" w:left="2160" w:header="720" w:footer="720" w:gutter="0"/>
      <w:pgNumType w:start="34"/>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315" w:rsidRDefault="00F95315" w:rsidP="00A03267">
      <w:pPr>
        <w:spacing w:after="0" w:line="240" w:lineRule="auto"/>
      </w:pPr>
      <w:r>
        <w:separator/>
      </w:r>
    </w:p>
  </w:endnote>
  <w:endnote w:type="continuationSeparator" w:id="1">
    <w:p w:rsidR="00F95315" w:rsidRDefault="00F95315" w:rsidP="00A03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36" w:rsidRDefault="00F95315" w:rsidP="00031D36">
    <w:pPr>
      <w:pStyle w:val="Footer"/>
      <w:jc w:val="center"/>
      <w:rPr>
        <w:rFonts w:ascii="Times New Roman" w:hAnsi="Times New Roman" w:cs="Times New Roman"/>
        <w:sz w:val="24"/>
        <w:szCs w:val="24"/>
      </w:rPr>
    </w:pPr>
    <w:r>
      <w:rPr>
        <w:rFonts w:ascii="Times New Roman" w:hAnsi="Times New Roman" w:cs="Times New Roman"/>
        <w:sz w:val="24"/>
        <w:szCs w:val="24"/>
      </w:rPr>
      <w:t>34</w:t>
    </w:r>
  </w:p>
  <w:p w:rsidR="004B1B2A" w:rsidRPr="00031D36" w:rsidRDefault="00F95315" w:rsidP="00031D36">
    <w:pPr>
      <w:pStyle w:val="Footer"/>
      <w:jc w:val="center"/>
      <w:rPr>
        <w:rFonts w:ascii="Times New Roman" w:hAnsi="Times New Roman" w:cs="Times New Roman"/>
        <w:sz w:val="24"/>
        <w:szCs w:val="24"/>
      </w:rPr>
    </w:pPr>
  </w:p>
  <w:p w:rsidR="004E1D9B" w:rsidRDefault="00F953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315" w:rsidRDefault="00F95315" w:rsidP="00A03267">
      <w:pPr>
        <w:spacing w:after="0" w:line="240" w:lineRule="auto"/>
      </w:pPr>
      <w:r>
        <w:separator/>
      </w:r>
    </w:p>
  </w:footnote>
  <w:footnote w:type="continuationSeparator" w:id="1">
    <w:p w:rsidR="00F95315" w:rsidRDefault="00F95315" w:rsidP="00A03267">
      <w:pPr>
        <w:spacing w:after="0" w:line="240" w:lineRule="auto"/>
      </w:pPr>
      <w:r>
        <w:continuationSeparator/>
      </w:r>
    </w:p>
  </w:footnote>
  <w:footnote w:id="2">
    <w:p w:rsidR="00A03267" w:rsidRPr="00F81D68" w:rsidRDefault="00A03267" w:rsidP="00A03267">
      <w:pPr>
        <w:ind w:firstLine="720"/>
        <w:rPr>
          <w:rFonts w:ascii="Times New Roman" w:eastAsia="Times New Roman" w:hAnsi="Times New Roman" w:cs="Times New Roman"/>
          <w:bCs/>
          <w:sz w:val="20"/>
          <w:szCs w:val="20"/>
        </w:rPr>
      </w:pPr>
      <w:r w:rsidRPr="00F81D68">
        <w:rPr>
          <w:rStyle w:val="FootnoteReference"/>
          <w:rFonts w:ascii="Times New Roman" w:hAnsi="Times New Roman" w:cs="Times New Roman"/>
          <w:sz w:val="20"/>
          <w:szCs w:val="20"/>
        </w:rPr>
        <w:footnoteRef/>
      </w:r>
      <w:r w:rsidRPr="00F81D68">
        <w:rPr>
          <w:rFonts w:ascii="Times New Roman" w:hAnsi="Times New Roman" w:cs="Times New Roman"/>
          <w:sz w:val="20"/>
          <w:szCs w:val="20"/>
        </w:rPr>
        <w:t xml:space="preserve"> </w:t>
      </w:r>
      <w:r w:rsidRPr="00F81D68">
        <w:rPr>
          <w:rFonts w:ascii="Times New Roman" w:hAnsi="Times New Roman" w:cs="Times New Roman"/>
          <w:i/>
          <w:sz w:val="20"/>
          <w:szCs w:val="20"/>
        </w:rPr>
        <w:t xml:space="preserve">Bilateral Indonesia-Cina semakin </w:t>
      </w:r>
      <w:r w:rsidRPr="004E1D9B">
        <w:rPr>
          <w:rFonts w:ascii="Times New Roman" w:hAnsi="Times New Roman" w:cs="Times New Roman"/>
          <w:i/>
          <w:sz w:val="20"/>
          <w:szCs w:val="20"/>
        </w:rPr>
        <w:t>Mesra</w:t>
      </w:r>
      <w:r w:rsidRPr="004E1D9B">
        <w:rPr>
          <w:rFonts w:ascii="Times New Roman" w:hAnsi="Times New Roman" w:cs="Times New Roman"/>
          <w:sz w:val="20"/>
          <w:szCs w:val="20"/>
        </w:rPr>
        <w:t xml:space="preserve"> </w:t>
      </w:r>
      <w:hyperlink r:id="rId1" w:history="1">
        <w:r w:rsidRPr="004E1D9B">
          <w:rPr>
            <w:rStyle w:val="Hyperlink"/>
            <w:rFonts w:ascii="Times New Roman" w:eastAsia="Times New Roman" w:hAnsi="Times New Roman" w:cs="Times New Roman"/>
            <w:b/>
            <w:bCs/>
            <w:color w:val="auto"/>
            <w:sz w:val="20"/>
            <w:szCs w:val="20"/>
          </w:rPr>
          <w:t>http://politikindonesia.com/index</w:t>
        </w:r>
      </w:hyperlink>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0"/>
          <w:szCs w:val="20"/>
        </w:rPr>
        <w:t xml:space="preserve">tanggal 13 April 2010, </w:t>
      </w:r>
      <w:r>
        <w:rPr>
          <w:rFonts w:ascii="Times New Roman" w:eastAsia="Times New Roman" w:hAnsi="Times New Roman" w:cs="Times New Roman"/>
          <w:bCs/>
          <w:i/>
          <w:sz w:val="20"/>
          <w:szCs w:val="20"/>
        </w:rPr>
        <w:t>diakses 4 September 2010</w:t>
      </w:r>
    </w:p>
    <w:p w:rsidR="00A03267" w:rsidRPr="00F81D68" w:rsidRDefault="00A03267" w:rsidP="00A03267">
      <w:pPr>
        <w:pStyle w:val="FootnoteText"/>
        <w:rPr>
          <w:rFonts w:ascii="Times New Roman" w:hAnsi="Times New Roman" w:cs="Times New Roman"/>
        </w:rPr>
      </w:pPr>
    </w:p>
  </w:footnote>
  <w:footnote w:id="3">
    <w:p w:rsidR="00A03267" w:rsidRPr="005E4C69" w:rsidRDefault="00A03267" w:rsidP="00A03267">
      <w:pPr>
        <w:rPr>
          <w:rFonts w:ascii="Times New Roman" w:eastAsia="Times New Roman" w:hAnsi="Times New Roman" w:cs="Times New Roman"/>
          <w:sz w:val="20"/>
          <w:szCs w:val="20"/>
        </w:rPr>
      </w:pPr>
      <w:r>
        <w:rPr>
          <w:rStyle w:val="FootnoteReference"/>
        </w:rPr>
        <w:footnoteRef/>
      </w:r>
      <w:r>
        <w:t xml:space="preserve"> </w:t>
      </w:r>
      <w:r w:rsidRPr="005E4C69">
        <w:rPr>
          <w:rFonts w:ascii="Times New Roman" w:hAnsi="Times New Roman" w:cs="Times New Roman"/>
          <w:i/>
        </w:rPr>
        <w:t>Indonesia</w:t>
      </w:r>
      <w:r>
        <w:rPr>
          <w:rFonts w:ascii="Times New Roman" w:hAnsi="Times New Roman" w:cs="Times New Roman"/>
          <w:i/>
        </w:rPr>
        <w:t>-RRC Rayakan 60 tahun Hubungan Diplomatik</w:t>
      </w:r>
      <w:r>
        <w:rPr>
          <w:rFonts w:ascii="Times New Roman" w:hAnsi="Times New Roman" w:cs="Times New Roman"/>
        </w:rPr>
        <w:t xml:space="preserve">, </w:t>
      </w:r>
      <w:hyperlink r:id="rId2" w:history="1">
        <w:r w:rsidRPr="00B81EA2">
          <w:rPr>
            <w:rStyle w:val="Hyperlink"/>
            <w:rFonts w:ascii="Times New Roman" w:eastAsia="Times New Roman" w:hAnsi="Times New Roman" w:cs="Times New Roman"/>
            <w:sz w:val="20"/>
            <w:szCs w:val="20"/>
          </w:rPr>
          <w:t>http://www.skyscrapercity.com/</w:t>
        </w:r>
      </w:hyperlink>
      <w:r>
        <w:rPr>
          <w:rFonts w:ascii="Times New Roman" w:eastAsia="Times New Roman" w:hAnsi="Times New Roman" w:cs="Times New Roman"/>
          <w:sz w:val="20"/>
          <w:szCs w:val="20"/>
        </w:rPr>
        <w:t xml:space="preserve"> tanggal 13 November 2009, </w:t>
      </w:r>
      <w:r>
        <w:rPr>
          <w:rFonts w:ascii="Times New Roman" w:eastAsia="Times New Roman" w:hAnsi="Times New Roman" w:cs="Times New Roman"/>
          <w:i/>
          <w:sz w:val="20"/>
          <w:szCs w:val="20"/>
        </w:rPr>
        <w:t>diakses tanggal 4 September 2010.</w:t>
      </w:r>
      <w:r>
        <w:rPr>
          <w:rFonts w:ascii="Times New Roman" w:eastAsia="Times New Roman" w:hAnsi="Times New Roman" w:cs="Times New Roman"/>
          <w:sz w:val="20"/>
          <w:szCs w:val="20"/>
        </w:rPr>
        <w:t xml:space="preserve"> </w:t>
      </w:r>
    </w:p>
    <w:p w:rsidR="00A03267" w:rsidRPr="005E4C69" w:rsidRDefault="00A03267" w:rsidP="00A03267">
      <w:pPr>
        <w:pStyle w:val="FootnoteText"/>
        <w:ind w:firstLine="720"/>
        <w:rPr>
          <w:rFonts w:ascii="Times New Roman" w:hAnsi="Times New Roman" w:cs="Times New Roman"/>
        </w:rPr>
      </w:pPr>
    </w:p>
  </w:footnote>
  <w:footnote w:id="4">
    <w:p w:rsidR="00A03267" w:rsidRPr="006F32F3" w:rsidRDefault="00A03267" w:rsidP="00A03267">
      <w:pPr>
        <w:pStyle w:val="NormalWeb"/>
        <w:ind w:firstLine="720"/>
        <w:rPr>
          <w:sz w:val="20"/>
          <w:szCs w:val="20"/>
        </w:rPr>
      </w:pPr>
      <w:r>
        <w:rPr>
          <w:rStyle w:val="FootnoteReference"/>
        </w:rPr>
        <w:footnoteRef/>
      </w:r>
      <w:r>
        <w:t xml:space="preserve"> </w:t>
      </w:r>
      <w:hyperlink r:id="rId3" w:history="1">
        <w:r w:rsidRPr="006F32F3">
          <w:rPr>
            <w:rStyle w:val="Hyperlink"/>
            <w:color w:val="auto"/>
            <w:sz w:val="20"/>
            <w:szCs w:val="20"/>
          </w:rPr>
          <w:t>http://www.gov.cn/english/2010-06/27/content_1638532.html</w:t>
        </w:r>
      </w:hyperlink>
    </w:p>
    <w:p w:rsidR="00A03267" w:rsidRDefault="00A03267" w:rsidP="00A03267">
      <w:pPr>
        <w:pStyle w:val="FootnoteText"/>
        <w:ind w:firstLine="720"/>
      </w:pPr>
    </w:p>
  </w:footnote>
  <w:footnote w:id="5">
    <w:p w:rsidR="00A03267" w:rsidRPr="0049076A" w:rsidRDefault="00A03267" w:rsidP="00A03267">
      <w:pPr>
        <w:pStyle w:val="FootnoteText"/>
        <w:ind w:firstLine="720"/>
        <w:rPr>
          <w:i/>
        </w:rPr>
      </w:pPr>
      <w:r>
        <w:rPr>
          <w:rStyle w:val="FootnoteReference"/>
        </w:rPr>
        <w:footnoteRef/>
      </w:r>
      <w:r>
        <w:t xml:space="preserve"> </w:t>
      </w:r>
      <w:r w:rsidRPr="0049076A">
        <w:rPr>
          <w:rFonts w:ascii="Times New Roman" w:hAnsi="Times New Roman" w:cs="Times New Roman"/>
        </w:rPr>
        <w:t>Benaeng Ulunati,</w:t>
      </w:r>
      <w:r w:rsidRPr="0049076A">
        <w:rPr>
          <w:rFonts w:ascii="Times New Roman" w:hAnsi="Times New Roman" w:cs="Times New Roman"/>
          <w:i/>
        </w:rPr>
        <w:t xml:space="preserve"> Membidik Pasar  Wisata Cina</w:t>
      </w:r>
      <w:r w:rsidRPr="004E1D9B">
        <w:rPr>
          <w:rFonts w:ascii="Times New Roman" w:hAnsi="Times New Roman" w:cs="Times New Roman"/>
        </w:rPr>
        <w:t>,</w:t>
      </w:r>
      <w:r w:rsidRPr="004E1D9B">
        <w:t xml:space="preserve"> </w:t>
      </w:r>
      <w:hyperlink r:id="rId4" w:history="1">
        <w:r w:rsidRPr="004E1D9B">
          <w:rPr>
            <w:rStyle w:val="Hyperlink"/>
            <w:rFonts w:ascii="Times New Roman" w:hAnsi="Times New Roman" w:cs="Times New Roman"/>
            <w:color w:val="auto"/>
          </w:rPr>
          <w:t>http://www.halamansatu.net</w:t>
        </w:r>
      </w:hyperlink>
      <w:r>
        <w:rPr>
          <w:rFonts w:ascii="Times New Roman" w:hAnsi="Times New Roman" w:cs="Times New Roman"/>
        </w:rPr>
        <w:t xml:space="preserve">  tanggal 17 Pebruari 2007 </w:t>
      </w:r>
      <w:r>
        <w:rPr>
          <w:rFonts w:ascii="Times New Roman" w:hAnsi="Times New Roman" w:cs="Times New Roman"/>
          <w:i/>
        </w:rPr>
        <w:t>diakses tanggal 4 September 2010</w:t>
      </w:r>
    </w:p>
  </w:footnote>
  <w:footnote w:id="6">
    <w:p w:rsidR="00A03267" w:rsidRPr="00137D7C" w:rsidRDefault="00A03267" w:rsidP="00A03267">
      <w:pPr>
        <w:pStyle w:val="FootnoteText"/>
        <w:ind w:firstLine="720"/>
        <w:rPr>
          <w:rFonts w:ascii="Times New Roman" w:hAnsi="Times New Roman" w:cs="Times New Roman"/>
          <w:i/>
        </w:rPr>
      </w:pPr>
      <w:r>
        <w:rPr>
          <w:rStyle w:val="FootnoteReference"/>
        </w:rPr>
        <w:footnoteRef/>
      </w:r>
      <w:r>
        <w:t xml:space="preserve"> </w:t>
      </w:r>
      <w:r w:rsidRPr="00137D7C">
        <w:rPr>
          <w:rStyle w:val="topictitle"/>
          <w:rFonts w:ascii="Times New Roman" w:hAnsi="Times New Roman" w:cs="Times New Roman"/>
          <w:i/>
        </w:rPr>
        <w:t xml:space="preserve">ICTC genjot promosi wisata Nusantara di </w:t>
      </w:r>
      <w:r w:rsidRPr="004E1D9B">
        <w:rPr>
          <w:rStyle w:val="topictitle"/>
          <w:rFonts w:ascii="Times New Roman" w:hAnsi="Times New Roman" w:cs="Times New Roman"/>
          <w:i/>
        </w:rPr>
        <w:t xml:space="preserve">China  </w:t>
      </w:r>
      <w:hyperlink r:id="rId5" w:history="1">
        <w:r w:rsidRPr="004E1D9B">
          <w:rPr>
            <w:rStyle w:val="Hyperlink"/>
            <w:rFonts w:ascii="Times New Roman" w:hAnsi="Times New Roman" w:cs="Times New Roman"/>
            <w:color w:val="auto"/>
          </w:rPr>
          <w:t>http://cyberwoman.cbn.net.id</w:t>
        </w:r>
      </w:hyperlink>
      <w:r>
        <w:rPr>
          <w:rStyle w:val="topictitle"/>
          <w:rFonts w:ascii="Times New Roman" w:hAnsi="Times New Roman" w:cs="Times New Roman"/>
        </w:rPr>
        <w:t xml:space="preserve"> 26 Oktober 2006 </w:t>
      </w:r>
      <w:r>
        <w:rPr>
          <w:rStyle w:val="topictitle"/>
          <w:rFonts w:ascii="Times New Roman" w:hAnsi="Times New Roman" w:cs="Times New Roman"/>
          <w:i/>
        </w:rPr>
        <w:t>diakses 5 September 2010</w:t>
      </w:r>
    </w:p>
  </w:footnote>
  <w:footnote w:id="7">
    <w:p w:rsidR="00A03267" w:rsidRPr="00881C2F" w:rsidRDefault="00A03267" w:rsidP="00A03267">
      <w:pPr>
        <w:rPr>
          <w:rStyle w:val="longtext"/>
          <w:rFonts w:ascii="Times New Roman" w:hAnsi="Times New Roman" w:cs="Times New Roman"/>
          <w:i/>
          <w:sz w:val="20"/>
          <w:szCs w:val="20"/>
        </w:rPr>
      </w:pPr>
      <w:r w:rsidRPr="00881C2F">
        <w:rPr>
          <w:rStyle w:val="FootnoteReference"/>
          <w:rFonts w:ascii="Times New Roman" w:hAnsi="Times New Roman" w:cs="Times New Roman"/>
          <w:sz w:val="20"/>
          <w:szCs w:val="20"/>
        </w:rPr>
        <w:footnoteRef/>
      </w:r>
      <w:r w:rsidRPr="00881C2F">
        <w:rPr>
          <w:rFonts w:ascii="Times New Roman" w:hAnsi="Times New Roman" w:cs="Times New Roman"/>
          <w:sz w:val="20"/>
          <w:szCs w:val="20"/>
        </w:rPr>
        <w:t xml:space="preserve"> </w:t>
      </w:r>
      <w:r>
        <w:rPr>
          <w:rFonts w:ascii="Times New Roman" w:hAnsi="Times New Roman" w:cs="Times New Roman"/>
          <w:i/>
          <w:sz w:val="20"/>
          <w:szCs w:val="20"/>
        </w:rPr>
        <w:t xml:space="preserve">Laporan Joint Commission Tourism Meeting Indonesia-RRC </w:t>
      </w:r>
      <w:hyperlink r:id="rId6" w:history="1">
        <w:r w:rsidRPr="00B81EA2">
          <w:rPr>
            <w:rStyle w:val="Hyperlink"/>
            <w:rFonts w:ascii="Times New Roman" w:hAnsi="Times New Roman" w:cs="Times New Roman"/>
            <w:sz w:val="20"/>
            <w:szCs w:val="20"/>
          </w:rPr>
          <w:t>http://en.cnta.gov.cn</w:t>
        </w:r>
      </w:hyperlink>
      <w:r>
        <w:rPr>
          <w:rFonts w:ascii="Times New Roman" w:hAnsi="Times New Roman" w:cs="Times New Roman"/>
          <w:sz w:val="20"/>
          <w:szCs w:val="20"/>
        </w:rPr>
        <w:t xml:space="preserve">  tanggal 26 Maei 2006, </w:t>
      </w:r>
      <w:r>
        <w:rPr>
          <w:rFonts w:ascii="Times New Roman" w:hAnsi="Times New Roman" w:cs="Times New Roman"/>
          <w:i/>
          <w:sz w:val="20"/>
          <w:szCs w:val="20"/>
        </w:rPr>
        <w:t>diakses 6 September 2010</w:t>
      </w:r>
    </w:p>
    <w:p w:rsidR="00A03267" w:rsidRDefault="00A03267" w:rsidP="00A0326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157"/>
      <w:docPartObj>
        <w:docPartGallery w:val="Page Numbers (Top of Page)"/>
        <w:docPartUnique/>
      </w:docPartObj>
    </w:sdtPr>
    <w:sdtEndPr>
      <w:rPr>
        <w:rFonts w:ascii="Times New Roman" w:hAnsi="Times New Roman" w:cs="Times New Roman"/>
        <w:sz w:val="24"/>
        <w:szCs w:val="24"/>
      </w:rPr>
    </w:sdtEndPr>
    <w:sdtContent>
      <w:p w:rsidR="00031D36" w:rsidRPr="00031D36" w:rsidRDefault="00F95315">
        <w:pPr>
          <w:pStyle w:val="Header"/>
          <w:jc w:val="right"/>
          <w:rPr>
            <w:rFonts w:ascii="Times New Roman" w:hAnsi="Times New Roman" w:cs="Times New Roman"/>
            <w:sz w:val="24"/>
            <w:szCs w:val="24"/>
          </w:rPr>
        </w:pPr>
        <w:r w:rsidRPr="00031D36">
          <w:rPr>
            <w:rFonts w:ascii="Times New Roman" w:hAnsi="Times New Roman" w:cs="Times New Roman"/>
            <w:sz w:val="24"/>
            <w:szCs w:val="24"/>
          </w:rPr>
          <w:fldChar w:fldCharType="begin"/>
        </w:r>
        <w:r w:rsidRPr="00031D36">
          <w:rPr>
            <w:rFonts w:ascii="Times New Roman" w:hAnsi="Times New Roman" w:cs="Times New Roman"/>
            <w:sz w:val="24"/>
            <w:szCs w:val="24"/>
          </w:rPr>
          <w:instrText xml:space="preserve"> PAGE   \* MERGEFORMAT </w:instrText>
        </w:r>
        <w:r w:rsidRPr="00031D36">
          <w:rPr>
            <w:rFonts w:ascii="Times New Roman" w:hAnsi="Times New Roman" w:cs="Times New Roman"/>
            <w:sz w:val="24"/>
            <w:szCs w:val="24"/>
          </w:rPr>
          <w:fldChar w:fldCharType="separate"/>
        </w:r>
        <w:r w:rsidR="00A03267">
          <w:rPr>
            <w:rFonts w:ascii="Times New Roman" w:hAnsi="Times New Roman" w:cs="Times New Roman"/>
            <w:noProof/>
            <w:sz w:val="24"/>
            <w:szCs w:val="24"/>
          </w:rPr>
          <w:t>49</w:t>
        </w:r>
        <w:r w:rsidRPr="00031D36">
          <w:rPr>
            <w:rFonts w:ascii="Times New Roman" w:hAnsi="Times New Roman" w:cs="Times New Roman"/>
            <w:sz w:val="24"/>
            <w:szCs w:val="24"/>
          </w:rPr>
          <w:fldChar w:fldCharType="end"/>
        </w:r>
      </w:p>
    </w:sdtContent>
  </w:sdt>
  <w:p w:rsidR="00031D36" w:rsidRDefault="00F953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F93"/>
    <w:multiLevelType w:val="hybridMultilevel"/>
    <w:tmpl w:val="27FC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164F3"/>
    <w:multiLevelType w:val="multilevel"/>
    <w:tmpl w:val="8A3E16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192DA4"/>
    <w:multiLevelType w:val="hybridMultilevel"/>
    <w:tmpl w:val="DD64C0D0"/>
    <w:lvl w:ilvl="0" w:tplc="92E6E3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DAB0E63"/>
    <w:multiLevelType w:val="hybridMultilevel"/>
    <w:tmpl w:val="60F06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691C98"/>
    <w:multiLevelType w:val="multilevel"/>
    <w:tmpl w:val="78083C52"/>
    <w:lvl w:ilvl="0">
      <w:start w:val="8"/>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A03267"/>
    <w:rsid w:val="00A03267"/>
    <w:rsid w:val="00EF022D"/>
    <w:rsid w:val="00F95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267"/>
    <w:pPr>
      <w:ind w:left="720"/>
      <w:contextualSpacing/>
    </w:pPr>
  </w:style>
  <w:style w:type="character" w:customStyle="1" w:styleId="google-src-text">
    <w:name w:val="google-src-text"/>
    <w:basedOn w:val="DefaultParagraphFont"/>
    <w:rsid w:val="00A03267"/>
  </w:style>
  <w:style w:type="paragraph" w:styleId="NormalWeb">
    <w:name w:val="Normal (Web)"/>
    <w:basedOn w:val="Normal"/>
    <w:uiPriority w:val="99"/>
    <w:unhideWhenUsed/>
    <w:rsid w:val="00A032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3267"/>
    <w:rPr>
      <w:color w:val="0000FF"/>
      <w:u w:val="single"/>
    </w:rPr>
  </w:style>
  <w:style w:type="paragraph" w:styleId="FootnoteText">
    <w:name w:val="footnote text"/>
    <w:basedOn w:val="Normal"/>
    <w:link w:val="FootnoteTextChar"/>
    <w:uiPriority w:val="99"/>
    <w:semiHidden/>
    <w:unhideWhenUsed/>
    <w:rsid w:val="00A03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267"/>
    <w:rPr>
      <w:sz w:val="20"/>
      <w:szCs w:val="20"/>
    </w:rPr>
  </w:style>
  <w:style w:type="character" w:styleId="FootnoteReference">
    <w:name w:val="footnote reference"/>
    <w:basedOn w:val="DefaultParagraphFont"/>
    <w:uiPriority w:val="99"/>
    <w:semiHidden/>
    <w:unhideWhenUsed/>
    <w:rsid w:val="00A03267"/>
    <w:rPr>
      <w:vertAlign w:val="superscript"/>
    </w:rPr>
  </w:style>
  <w:style w:type="character" w:styleId="Strong">
    <w:name w:val="Strong"/>
    <w:basedOn w:val="DefaultParagraphFont"/>
    <w:uiPriority w:val="22"/>
    <w:qFormat/>
    <w:rsid w:val="00A03267"/>
    <w:rPr>
      <w:b/>
      <w:bCs/>
    </w:rPr>
  </w:style>
  <w:style w:type="character" w:styleId="Emphasis">
    <w:name w:val="Emphasis"/>
    <w:basedOn w:val="DefaultParagraphFont"/>
    <w:uiPriority w:val="20"/>
    <w:qFormat/>
    <w:rsid w:val="00A03267"/>
    <w:rPr>
      <w:i/>
      <w:iCs/>
    </w:rPr>
  </w:style>
  <w:style w:type="character" w:customStyle="1" w:styleId="topictitle">
    <w:name w:val="topic_title"/>
    <w:basedOn w:val="DefaultParagraphFont"/>
    <w:rsid w:val="00A03267"/>
  </w:style>
  <w:style w:type="character" w:customStyle="1" w:styleId="longtext">
    <w:name w:val="long_text"/>
    <w:basedOn w:val="DefaultParagraphFont"/>
    <w:rsid w:val="00A03267"/>
  </w:style>
  <w:style w:type="paragraph" w:styleId="Header">
    <w:name w:val="header"/>
    <w:basedOn w:val="Normal"/>
    <w:link w:val="HeaderChar"/>
    <w:uiPriority w:val="99"/>
    <w:unhideWhenUsed/>
    <w:rsid w:val="00A03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267"/>
  </w:style>
  <w:style w:type="paragraph" w:styleId="Footer">
    <w:name w:val="footer"/>
    <w:basedOn w:val="Normal"/>
    <w:link w:val="FooterChar"/>
    <w:uiPriority w:val="99"/>
    <w:unhideWhenUsed/>
    <w:rsid w:val="00A03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2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ranslate.googleusercontent.com/translate_c?hl=id&amp;langpair=en%7Cid&amp;u=http://www.shanghai.gov.cn/shanghai/node17256/index.html&amp;rurl=translate.google.co.id&amp;usg=ALkJrhidZkrIORemleEQBixKsR-bZDIzH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v.cn/english/2010-06/27/content_1638532.html" TargetMode="External"/><Relationship Id="rId2" Type="http://schemas.openxmlformats.org/officeDocument/2006/relationships/hyperlink" Target="http://www.skyscrapercity.com/" TargetMode="External"/><Relationship Id="rId1" Type="http://schemas.openxmlformats.org/officeDocument/2006/relationships/hyperlink" Target="http://politikindonesia.com/index" TargetMode="External"/><Relationship Id="rId6" Type="http://schemas.openxmlformats.org/officeDocument/2006/relationships/hyperlink" Target="http://en.cnta.gov.cn" TargetMode="External"/><Relationship Id="rId5" Type="http://schemas.openxmlformats.org/officeDocument/2006/relationships/hyperlink" Target="http://cyberwoman.cbn.net.id" TargetMode="External"/><Relationship Id="rId4" Type="http://schemas.openxmlformats.org/officeDocument/2006/relationships/hyperlink" Target="http://www.halamansat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2952</Words>
  <Characters>16832</Characters>
  <Application>Microsoft Office Word</Application>
  <DocSecurity>0</DocSecurity>
  <Lines>140</Lines>
  <Paragraphs>39</Paragraphs>
  <ScaleCrop>false</ScaleCrop>
  <Company/>
  <LinksUpToDate>false</LinksUpToDate>
  <CharactersWithSpaces>19745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jarkom</dc:creator>
  <cp:keywords/>
  <dc:description/>
  <cp:lastModifiedBy>jarkom</cp:lastModifiedBy>
  <cp:revision>1</cp:revision>
  <dcterms:created xsi:type="dcterms:W3CDTF">2015-05-19T22:44:00Z</dcterms:created>
  <dcterms:modified xsi:type="dcterms:W3CDTF">2015-05-19T22:44:00Z</dcterms:modified>
</cp:coreProperties>
</file>