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B7" w:rsidRPr="009C1D72" w:rsidRDefault="006D5AB7" w:rsidP="006D5AB7">
      <w:pPr>
        <w:spacing w:line="480" w:lineRule="auto"/>
        <w:jc w:val="center"/>
        <w:rPr>
          <w:rFonts w:ascii="Times New Roman" w:hAnsi="Times New Roman" w:cs="Times New Roman"/>
          <w:b/>
          <w:sz w:val="24"/>
          <w:szCs w:val="24"/>
        </w:rPr>
      </w:pPr>
      <w:r w:rsidRPr="009C1D72">
        <w:rPr>
          <w:rFonts w:ascii="Times New Roman" w:hAnsi="Times New Roman" w:cs="Times New Roman"/>
          <w:b/>
          <w:sz w:val="24"/>
          <w:szCs w:val="24"/>
        </w:rPr>
        <w:t>BAB I</w:t>
      </w:r>
    </w:p>
    <w:p w:rsidR="006D5AB7" w:rsidRPr="009C1D72" w:rsidRDefault="006D5AB7" w:rsidP="006D5AB7">
      <w:pPr>
        <w:spacing w:line="480" w:lineRule="auto"/>
        <w:jc w:val="center"/>
        <w:rPr>
          <w:rFonts w:ascii="Times New Roman" w:hAnsi="Times New Roman" w:cs="Times New Roman"/>
          <w:b/>
          <w:sz w:val="24"/>
          <w:szCs w:val="24"/>
        </w:rPr>
      </w:pPr>
      <w:r w:rsidRPr="009C1D72">
        <w:rPr>
          <w:rFonts w:ascii="Times New Roman" w:hAnsi="Times New Roman" w:cs="Times New Roman"/>
          <w:b/>
          <w:sz w:val="24"/>
          <w:szCs w:val="24"/>
        </w:rPr>
        <w:t>PENDAHULUAN</w:t>
      </w:r>
    </w:p>
    <w:p w:rsidR="006D5AB7" w:rsidRPr="009C1D72" w:rsidRDefault="006D5AB7" w:rsidP="006D5AB7">
      <w:pPr>
        <w:spacing w:line="480" w:lineRule="auto"/>
        <w:jc w:val="center"/>
        <w:rPr>
          <w:rFonts w:ascii="Times New Roman" w:hAnsi="Times New Roman" w:cs="Times New Roman"/>
          <w:b/>
          <w:sz w:val="24"/>
          <w:szCs w:val="24"/>
        </w:rPr>
      </w:pPr>
    </w:p>
    <w:p w:rsidR="006D5AB7" w:rsidRPr="009C1D72" w:rsidRDefault="006D5AB7" w:rsidP="006D5AB7">
      <w:pPr>
        <w:pStyle w:val="ListParagraph"/>
        <w:numPr>
          <w:ilvl w:val="1"/>
          <w:numId w:val="1"/>
        </w:numPr>
        <w:spacing w:line="480" w:lineRule="auto"/>
        <w:rPr>
          <w:rFonts w:ascii="Times New Roman" w:hAnsi="Times New Roman" w:cs="Times New Roman"/>
          <w:b/>
          <w:sz w:val="24"/>
          <w:szCs w:val="24"/>
        </w:rPr>
      </w:pPr>
      <w:r w:rsidRPr="009C1D72">
        <w:rPr>
          <w:rFonts w:ascii="Times New Roman" w:hAnsi="Times New Roman" w:cs="Times New Roman"/>
          <w:b/>
          <w:sz w:val="24"/>
          <w:szCs w:val="24"/>
        </w:rPr>
        <w:t>Latar Belakang Penelitian</w:t>
      </w:r>
    </w:p>
    <w:p w:rsidR="006D5AB7" w:rsidRPr="009C1D72" w:rsidRDefault="006D5AB7" w:rsidP="009C1D72">
      <w:pPr>
        <w:spacing w:line="480" w:lineRule="auto"/>
        <w:jc w:val="both"/>
        <w:rPr>
          <w:rFonts w:ascii="Times New Roman" w:hAnsi="Times New Roman" w:cs="Times New Roman"/>
          <w:sz w:val="24"/>
          <w:szCs w:val="24"/>
        </w:rPr>
      </w:pPr>
      <w:r w:rsidRPr="009C1D72">
        <w:rPr>
          <w:rFonts w:ascii="Times New Roman" w:hAnsi="Times New Roman" w:cs="Times New Roman"/>
          <w:sz w:val="24"/>
          <w:szCs w:val="24"/>
        </w:rPr>
        <w:tab/>
        <w:t xml:space="preserve">Pembangunan suatu negara memerlukan </w:t>
      </w:r>
      <w:proofErr w:type="gramStart"/>
      <w:r w:rsidRPr="009C1D72">
        <w:rPr>
          <w:rFonts w:ascii="Times New Roman" w:hAnsi="Times New Roman" w:cs="Times New Roman"/>
          <w:sz w:val="24"/>
          <w:szCs w:val="24"/>
        </w:rPr>
        <w:t>dana</w:t>
      </w:r>
      <w:proofErr w:type="gramEnd"/>
      <w:r w:rsidRPr="009C1D72">
        <w:rPr>
          <w:rFonts w:ascii="Times New Roman" w:hAnsi="Times New Roman" w:cs="Times New Roman"/>
          <w:sz w:val="24"/>
          <w:szCs w:val="24"/>
        </w:rPr>
        <w:t xml:space="preserve"> investasi dalam jumlah yang tidak sedikit sehingga perlu adanya usaha yang mengarah pada dana investasi yang bersumber dari dalam negeri misalnya tabungan luar negeri, tabungan pemerintah, dan tabungan devisa. Di negara yang sedang berkembang usaha yang mengarah pada </w:t>
      </w:r>
      <w:proofErr w:type="gramStart"/>
      <w:r w:rsidRPr="009C1D72">
        <w:rPr>
          <w:rFonts w:ascii="Times New Roman" w:hAnsi="Times New Roman" w:cs="Times New Roman"/>
          <w:sz w:val="24"/>
          <w:szCs w:val="24"/>
        </w:rPr>
        <w:t>dana</w:t>
      </w:r>
      <w:proofErr w:type="gramEnd"/>
      <w:r w:rsidRPr="009C1D72">
        <w:rPr>
          <w:rFonts w:ascii="Times New Roman" w:hAnsi="Times New Roman" w:cs="Times New Roman"/>
          <w:sz w:val="24"/>
          <w:szCs w:val="24"/>
        </w:rPr>
        <w:t xml:space="preserve"> investasi yang bersumber dari dalam negeri masih rendah sehingga dana untuk investasi menjadi tidak mencukupi. Untuk mengatasi kelangkaan </w:t>
      </w:r>
      <w:proofErr w:type="gramStart"/>
      <w:r w:rsidRPr="009C1D72">
        <w:rPr>
          <w:rFonts w:ascii="Times New Roman" w:hAnsi="Times New Roman" w:cs="Times New Roman"/>
          <w:sz w:val="24"/>
          <w:szCs w:val="24"/>
        </w:rPr>
        <w:t>dana</w:t>
      </w:r>
      <w:proofErr w:type="gramEnd"/>
      <w:r w:rsidRPr="009C1D72">
        <w:rPr>
          <w:rFonts w:ascii="Times New Roman" w:hAnsi="Times New Roman" w:cs="Times New Roman"/>
          <w:sz w:val="24"/>
          <w:szCs w:val="24"/>
        </w:rPr>
        <w:t xml:space="preserve"> perlu mengusahakan efektivitas pengarahan dana investasi pada sektor – sektor produktif.</w:t>
      </w:r>
    </w:p>
    <w:p w:rsidR="006D5AB7" w:rsidRPr="009C1D72" w:rsidRDefault="006D5AB7" w:rsidP="009C1D72">
      <w:pPr>
        <w:spacing w:line="480" w:lineRule="auto"/>
        <w:jc w:val="both"/>
        <w:rPr>
          <w:rFonts w:ascii="Times New Roman" w:hAnsi="Times New Roman" w:cs="Times New Roman"/>
          <w:sz w:val="24"/>
          <w:szCs w:val="24"/>
        </w:rPr>
      </w:pPr>
      <w:r w:rsidRPr="009C1D72">
        <w:rPr>
          <w:rFonts w:ascii="Times New Roman" w:hAnsi="Times New Roman" w:cs="Times New Roman"/>
          <w:sz w:val="24"/>
          <w:szCs w:val="24"/>
        </w:rPr>
        <w:tab/>
        <w:t xml:space="preserve">Pasar modal merupakan salah satu penggerak utama perekonomian dunia termasuk Indonesia, melalui pasar modal perusahaan dapat memperoleh </w:t>
      </w:r>
      <w:proofErr w:type="gramStart"/>
      <w:r w:rsidRPr="009C1D72">
        <w:rPr>
          <w:rFonts w:ascii="Times New Roman" w:hAnsi="Times New Roman" w:cs="Times New Roman"/>
          <w:sz w:val="24"/>
          <w:szCs w:val="24"/>
        </w:rPr>
        <w:t>dana</w:t>
      </w:r>
      <w:proofErr w:type="gramEnd"/>
      <w:r w:rsidRPr="009C1D72">
        <w:rPr>
          <w:rFonts w:ascii="Times New Roman" w:hAnsi="Times New Roman" w:cs="Times New Roman"/>
          <w:sz w:val="24"/>
          <w:szCs w:val="24"/>
        </w:rPr>
        <w:t xml:space="preserve"> untuk melakukan kegiatan perekonomiannya. </w:t>
      </w:r>
      <w:proofErr w:type="gramStart"/>
      <w:r w:rsidRPr="009C1D72">
        <w:rPr>
          <w:rFonts w:ascii="Times New Roman" w:hAnsi="Times New Roman" w:cs="Times New Roman"/>
          <w:sz w:val="24"/>
          <w:szCs w:val="24"/>
        </w:rPr>
        <w:t>Di  Indonesia</w:t>
      </w:r>
      <w:proofErr w:type="gramEnd"/>
      <w:r w:rsidRPr="009C1D72">
        <w:rPr>
          <w:rFonts w:ascii="Times New Roman" w:hAnsi="Times New Roman" w:cs="Times New Roman"/>
          <w:sz w:val="24"/>
          <w:szCs w:val="24"/>
        </w:rPr>
        <w:t>, pasar modal diatur dalam Undang – Undang Pasar Modal Republik Indonesia Nomor 8 Tahun 1995.</w:t>
      </w:r>
      <w:r w:rsidR="008A382A">
        <w:rPr>
          <w:rFonts w:ascii="Times New Roman" w:hAnsi="Times New Roman" w:cs="Times New Roman"/>
          <w:sz w:val="24"/>
          <w:szCs w:val="24"/>
        </w:rPr>
        <w:t xml:space="preserve"> </w:t>
      </w:r>
      <w:r w:rsidRPr="009C1D72">
        <w:rPr>
          <w:rFonts w:ascii="Times New Roman" w:hAnsi="Times New Roman" w:cs="Times New Roman"/>
          <w:sz w:val="24"/>
          <w:szCs w:val="24"/>
        </w:rPr>
        <w:t xml:space="preserve">Menurut Undang – Undang tersebut pada pasal 1 butir 13 dijelaskan bahwa pasar modal adalah kegiatan yang bersangkutan dengan penawaran umum dan perdagangan efek, perusahaan publik yang berkaitan dengan efek yang diterbitkannya, serta lembaga dan potensi yang berkaitan dengan efek. Pasar Modal memiliki peran penting bagi perekonomian suatu negara karena pasar modal menjalankan dua fungsi, yaitu pertama sebagai sarana bagi pendanaan </w:t>
      </w:r>
      <w:r w:rsidRPr="009C1D72">
        <w:rPr>
          <w:rFonts w:ascii="Times New Roman" w:hAnsi="Times New Roman" w:cs="Times New Roman"/>
          <w:sz w:val="24"/>
          <w:szCs w:val="24"/>
        </w:rPr>
        <w:lastRenderedPageBreak/>
        <w:t xml:space="preserve">usaha atau sebagai sarana bagi perusahaan untuk mendapatkan </w:t>
      </w:r>
      <w:proofErr w:type="gramStart"/>
      <w:r w:rsidRPr="009C1D72">
        <w:rPr>
          <w:rFonts w:ascii="Times New Roman" w:hAnsi="Times New Roman" w:cs="Times New Roman"/>
          <w:sz w:val="24"/>
          <w:szCs w:val="24"/>
        </w:rPr>
        <w:t>dana</w:t>
      </w:r>
      <w:proofErr w:type="gramEnd"/>
      <w:r w:rsidRPr="009C1D72">
        <w:rPr>
          <w:rFonts w:ascii="Times New Roman" w:hAnsi="Times New Roman" w:cs="Times New Roman"/>
          <w:sz w:val="24"/>
          <w:szCs w:val="24"/>
        </w:rPr>
        <w:t xml:space="preserve"> dari masyarakat pemodal (investor). </w:t>
      </w:r>
      <w:proofErr w:type="gramStart"/>
      <w:r w:rsidRPr="009C1D72">
        <w:rPr>
          <w:rFonts w:ascii="Times New Roman" w:hAnsi="Times New Roman" w:cs="Times New Roman"/>
          <w:sz w:val="24"/>
          <w:szCs w:val="24"/>
        </w:rPr>
        <w:t>Dana yang diperoleh dari pasar modal dapat digunakan untuk pengembangan usaha, ekspansi, penambahan modal kerja dan lain-lain, kedua pasar modal menjadi sarana bagi masyarakat untuk berinvestasi pada instrumen keuangan seperti saham, obligasi, reksadana, dan lain-lain.</w:t>
      </w:r>
      <w:proofErr w:type="gramEnd"/>
      <w:r w:rsidRPr="009C1D72">
        <w:rPr>
          <w:rFonts w:ascii="Times New Roman" w:hAnsi="Times New Roman" w:cs="Times New Roman"/>
          <w:sz w:val="24"/>
          <w:szCs w:val="24"/>
        </w:rPr>
        <w:t xml:space="preserve"> Dengan demikian, masyarakat dapat menempatkan </w:t>
      </w:r>
      <w:proofErr w:type="gramStart"/>
      <w:r w:rsidRPr="009C1D72">
        <w:rPr>
          <w:rFonts w:ascii="Times New Roman" w:hAnsi="Times New Roman" w:cs="Times New Roman"/>
          <w:sz w:val="24"/>
          <w:szCs w:val="24"/>
        </w:rPr>
        <w:t>dana</w:t>
      </w:r>
      <w:proofErr w:type="gramEnd"/>
      <w:r w:rsidRPr="009C1D72">
        <w:rPr>
          <w:rFonts w:ascii="Times New Roman" w:hAnsi="Times New Roman" w:cs="Times New Roman"/>
          <w:sz w:val="24"/>
          <w:szCs w:val="24"/>
        </w:rPr>
        <w:t xml:space="preserve"> yang dimilikinya sesuai dengan karakteristik keuntungan dan risiko masing-masing inst</w:t>
      </w:r>
      <w:r w:rsidR="009C1D72">
        <w:rPr>
          <w:rFonts w:ascii="Times New Roman" w:hAnsi="Times New Roman" w:cs="Times New Roman"/>
          <w:sz w:val="24"/>
          <w:szCs w:val="24"/>
        </w:rPr>
        <w:t xml:space="preserve">rumen. </w:t>
      </w:r>
      <w:r w:rsidRPr="009C1D72">
        <w:rPr>
          <w:rFonts w:ascii="Times New Roman" w:hAnsi="Times New Roman" w:cs="Times New Roman"/>
          <w:sz w:val="24"/>
          <w:szCs w:val="24"/>
        </w:rPr>
        <w:t>(http://www.idx.co.id/id/beranda/informasi/bagiinvestor/pengantarpasarmodal.aspx).</w:t>
      </w:r>
    </w:p>
    <w:p w:rsidR="006D5AB7" w:rsidRPr="009C1D72" w:rsidRDefault="006D5AB7" w:rsidP="009C1D72">
      <w:pPr>
        <w:spacing w:line="480" w:lineRule="auto"/>
        <w:jc w:val="both"/>
        <w:rPr>
          <w:rFonts w:ascii="Times New Roman" w:hAnsi="Times New Roman" w:cs="Times New Roman"/>
          <w:sz w:val="24"/>
          <w:szCs w:val="24"/>
        </w:rPr>
      </w:pPr>
      <w:r w:rsidRPr="009C1D72">
        <w:rPr>
          <w:rFonts w:ascii="Times New Roman" w:hAnsi="Times New Roman" w:cs="Times New Roman"/>
          <w:sz w:val="24"/>
          <w:szCs w:val="24"/>
        </w:rPr>
        <w:tab/>
      </w:r>
      <w:proofErr w:type="gramStart"/>
      <w:r w:rsidRPr="009C1D72">
        <w:rPr>
          <w:rFonts w:ascii="Times New Roman" w:hAnsi="Times New Roman" w:cs="Times New Roman"/>
          <w:sz w:val="24"/>
          <w:szCs w:val="24"/>
        </w:rPr>
        <w:t>Perkembangan bisnis di Indonesia saat ini cukup pesat, maka dibutuhkan ketepatan dalam mengambil keputusan investasi.</w:t>
      </w:r>
      <w:proofErr w:type="gramEnd"/>
      <w:r w:rsidRPr="009C1D72">
        <w:rPr>
          <w:rFonts w:ascii="Times New Roman" w:hAnsi="Times New Roman" w:cs="Times New Roman"/>
          <w:sz w:val="24"/>
          <w:szCs w:val="24"/>
        </w:rPr>
        <w:t xml:space="preserve"> </w:t>
      </w:r>
      <w:proofErr w:type="gramStart"/>
      <w:r w:rsidRPr="009C1D72">
        <w:rPr>
          <w:rFonts w:ascii="Times New Roman" w:hAnsi="Times New Roman" w:cs="Times New Roman"/>
          <w:sz w:val="24"/>
          <w:szCs w:val="24"/>
        </w:rPr>
        <w:t>Investasi dalam suatu perusahaan merupakan hal yang sangat penting agar perusahaan dapat menjalankan kegiatan usahnya.</w:t>
      </w:r>
      <w:proofErr w:type="gramEnd"/>
      <w:r w:rsidRPr="009C1D72">
        <w:rPr>
          <w:rFonts w:ascii="Times New Roman" w:hAnsi="Times New Roman" w:cs="Times New Roman"/>
          <w:sz w:val="24"/>
          <w:szCs w:val="24"/>
        </w:rPr>
        <w:t xml:space="preserve"> Oleh karena itu banyak perusahaan </w:t>
      </w:r>
      <w:proofErr w:type="gramStart"/>
      <w:r w:rsidRPr="009C1D72">
        <w:rPr>
          <w:rFonts w:ascii="Times New Roman" w:hAnsi="Times New Roman" w:cs="Times New Roman"/>
          <w:sz w:val="24"/>
          <w:szCs w:val="24"/>
        </w:rPr>
        <w:t>yang go</w:t>
      </w:r>
      <w:proofErr w:type="gramEnd"/>
      <w:r w:rsidRPr="009C1D72">
        <w:rPr>
          <w:rFonts w:ascii="Times New Roman" w:hAnsi="Times New Roman" w:cs="Times New Roman"/>
          <w:sz w:val="24"/>
          <w:szCs w:val="24"/>
        </w:rPr>
        <w:t xml:space="preserve"> public di pasar modal untuk mencari dan dari investor. </w:t>
      </w:r>
      <w:proofErr w:type="gramStart"/>
      <w:r w:rsidRPr="009C1D72">
        <w:rPr>
          <w:rFonts w:ascii="Times New Roman" w:hAnsi="Times New Roman" w:cs="Times New Roman"/>
          <w:sz w:val="24"/>
          <w:szCs w:val="24"/>
        </w:rPr>
        <w:t>Hal ini terlihat dari meningkatnya jumlah perusahaan yang terdaftar di Bursa Efek Indonesia (BEI) untuk menjual sahamnya kepada investor.</w:t>
      </w:r>
      <w:proofErr w:type="gramEnd"/>
      <w:r w:rsidRPr="009C1D72">
        <w:rPr>
          <w:rFonts w:ascii="Times New Roman" w:hAnsi="Times New Roman" w:cs="Times New Roman"/>
          <w:sz w:val="24"/>
          <w:szCs w:val="24"/>
        </w:rPr>
        <w:t xml:space="preserve"> Aktivitas pengambilan keputusan investasi bagi manajemen perusahaan maupun investor harus diperhatikan dan dipertimbangkan dengan benar untuk mengurangi kemungkinan risiko dan k</w:t>
      </w:r>
      <w:r w:rsidR="00C61486">
        <w:rPr>
          <w:rFonts w:ascii="Times New Roman" w:hAnsi="Times New Roman" w:cs="Times New Roman"/>
          <w:sz w:val="24"/>
          <w:szCs w:val="24"/>
        </w:rPr>
        <w:t xml:space="preserve">etidakpastian yang </w:t>
      </w:r>
      <w:proofErr w:type="gramStart"/>
      <w:r w:rsidR="00C61486">
        <w:rPr>
          <w:rFonts w:ascii="Times New Roman" w:hAnsi="Times New Roman" w:cs="Times New Roman"/>
          <w:sz w:val="24"/>
          <w:szCs w:val="24"/>
        </w:rPr>
        <w:t>akan</w:t>
      </w:r>
      <w:proofErr w:type="gramEnd"/>
      <w:r w:rsidR="00C61486">
        <w:rPr>
          <w:rFonts w:ascii="Times New Roman" w:hAnsi="Times New Roman" w:cs="Times New Roman"/>
          <w:sz w:val="24"/>
          <w:szCs w:val="24"/>
        </w:rPr>
        <w:t xml:space="preserve"> terjadi.</w:t>
      </w:r>
      <w:r w:rsidRPr="009C1D72">
        <w:rPr>
          <w:rFonts w:ascii="Times New Roman" w:hAnsi="Times New Roman" w:cs="Times New Roman"/>
          <w:sz w:val="24"/>
          <w:szCs w:val="24"/>
        </w:rPr>
        <w:t xml:space="preserve"> </w:t>
      </w:r>
      <w:proofErr w:type="gramStart"/>
      <w:r w:rsidRPr="009C1D72">
        <w:rPr>
          <w:rFonts w:ascii="Times New Roman" w:hAnsi="Times New Roman" w:cs="Times New Roman"/>
          <w:sz w:val="24"/>
          <w:szCs w:val="24"/>
        </w:rPr>
        <w:t>Dalam investasi, investor perlu terus menerus mempelajari berbagai informasi yang berkaitan dengan aktivitas investasinya agar harapan investor dalam melakukan investasi dapat dipenuhi.</w:t>
      </w:r>
      <w:proofErr w:type="gramEnd"/>
      <w:r w:rsidRPr="009C1D72">
        <w:rPr>
          <w:rFonts w:ascii="Times New Roman" w:hAnsi="Times New Roman" w:cs="Times New Roman"/>
          <w:sz w:val="24"/>
          <w:szCs w:val="24"/>
        </w:rPr>
        <w:t xml:space="preserve"> Investasi merupakan komitmen atas sejumlah </w:t>
      </w:r>
      <w:proofErr w:type="gramStart"/>
      <w:r w:rsidRPr="009C1D72">
        <w:rPr>
          <w:rFonts w:ascii="Times New Roman" w:hAnsi="Times New Roman" w:cs="Times New Roman"/>
          <w:sz w:val="24"/>
          <w:szCs w:val="24"/>
        </w:rPr>
        <w:t>dana</w:t>
      </w:r>
      <w:proofErr w:type="gramEnd"/>
      <w:r w:rsidRPr="009C1D72">
        <w:rPr>
          <w:rFonts w:ascii="Times New Roman" w:hAnsi="Times New Roman" w:cs="Times New Roman"/>
          <w:sz w:val="24"/>
          <w:szCs w:val="24"/>
        </w:rPr>
        <w:t xml:space="preserve"> atau sumber daya lainnya dengan tujuan memperoleh sejumlah keuntungan di masa yang akan datang (Tandellin, 2010:2).</w:t>
      </w:r>
    </w:p>
    <w:p w:rsidR="006D5AB7" w:rsidRPr="009C1D72" w:rsidRDefault="006D5AB7" w:rsidP="009C1D72">
      <w:pPr>
        <w:spacing w:line="480" w:lineRule="auto"/>
        <w:jc w:val="both"/>
        <w:rPr>
          <w:rFonts w:ascii="Times New Roman" w:hAnsi="Times New Roman" w:cs="Times New Roman"/>
          <w:sz w:val="24"/>
          <w:szCs w:val="24"/>
        </w:rPr>
      </w:pPr>
      <w:r w:rsidRPr="009C1D72">
        <w:rPr>
          <w:rFonts w:ascii="Times New Roman" w:hAnsi="Times New Roman" w:cs="Times New Roman"/>
          <w:sz w:val="24"/>
          <w:szCs w:val="24"/>
        </w:rPr>
        <w:lastRenderedPageBreak/>
        <w:tab/>
      </w:r>
      <w:proofErr w:type="gramStart"/>
      <w:r w:rsidRPr="009C1D72">
        <w:rPr>
          <w:rFonts w:ascii="Times New Roman" w:hAnsi="Times New Roman" w:cs="Times New Roman"/>
          <w:sz w:val="24"/>
          <w:szCs w:val="24"/>
        </w:rPr>
        <w:t>Salah satu investasi yang banyak diminati oleh masyarakat adalah investasi saham.</w:t>
      </w:r>
      <w:proofErr w:type="gramEnd"/>
      <w:r w:rsidRPr="009C1D72">
        <w:rPr>
          <w:rFonts w:ascii="Times New Roman" w:hAnsi="Times New Roman" w:cs="Times New Roman"/>
          <w:sz w:val="24"/>
          <w:szCs w:val="24"/>
        </w:rPr>
        <w:t xml:space="preserve"> Saham merupakan </w:t>
      </w:r>
      <w:proofErr w:type="gramStart"/>
      <w:r w:rsidRPr="009C1D72">
        <w:rPr>
          <w:rFonts w:ascii="Times New Roman" w:hAnsi="Times New Roman" w:cs="Times New Roman"/>
          <w:sz w:val="24"/>
          <w:szCs w:val="24"/>
        </w:rPr>
        <w:t>surat</w:t>
      </w:r>
      <w:proofErr w:type="gramEnd"/>
      <w:r w:rsidRPr="009C1D72">
        <w:rPr>
          <w:rFonts w:ascii="Times New Roman" w:hAnsi="Times New Roman" w:cs="Times New Roman"/>
          <w:sz w:val="24"/>
          <w:szCs w:val="24"/>
        </w:rPr>
        <w:t xml:space="preserve"> berharga yang bersifat kepemilikan. </w:t>
      </w:r>
      <w:proofErr w:type="gramStart"/>
      <w:r w:rsidRPr="009C1D72">
        <w:rPr>
          <w:rFonts w:ascii="Times New Roman" w:hAnsi="Times New Roman" w:cs="Times New Roman"/>
          <w:sz w:val="24"/>
          <w:szCs w:val="24"/>
        </w:rPr>
        <w:t>Artinya pemilik saham merupakan pemilik perusahaan, semakin besar saham yang dimilikinya maka semakin besar pula kekuasaannya di perusahaan tersebut.</w:t>
      </w:r>
      <w:proofErr w:type="gramEnd"/>
      <w:r w:rsidRPr="009C1D72">
        <w:rPr>
          <w:rFonts w:ascii="Times New Roman" w:hAnsi="Times New Roman" w:cs="Times New Roman"/>
          <w:sz w:val="24"/>
          <w:szCs w:val="24"/>
        </w:rPr>
        <w:t xml:space="preserve"> Keuntungan yang diperoleh dari saham dikenal dengan </w:t>
      </w:r>
      <w:proofErr w:type="gramStart"/>
      <w:r w:rsidRPr="009C1D72">
        <w:rPr>
          <w:rFonts w:ascii="Times New Roman" w:hAnsi="Times New Roman" w:cs="Times New Roman"/>
          <w:sz w:val="24"/>
          <w:szCs w:val="24"/>
        </w:rPr>
        <w:t>nama</w:t>
      </w:r>
      <w:proofErr w:type="gramEnd"/>
      <w:r w:rsidRPr="009C1D72">
        <w:rPr>
          <w:rFonts w:ascii="Times New Roman" w:hAnsi="Times New Roman" w:cs="Times New Roman"/>
          <w:sz w:val="24"/>
          <w:szCs w:val="24"/>
        </w:rPr>
        <w:t xml:space="preserve"> dividen dan pembagiannya ditentukan dalam Rapat Umum Pemegang Saham atau RUPS (Kasmir, 2012:185).</w:t>
      </w:r>
    </w:p>
    <w:p w:rsidR="006D5AB7" w:rsidRPr="009C1D72" w:rsidRDefault="006D5AB7" w:rsidP="009C1D72">
      <w:pPr>
        <w:spacing w:line="480" w:lineRule="auto"/>
        <w:jc w:val="both"/>
        <w:rPr>
          <w:rFonts w:ascii="Times New Roman" w:hAnsi="Times New Roman" w:cs="Times New Roman"/>
          <w:sz w:val="24"/>
          <w:szCs w:val="24"/>
        </w:rPr>
      </w:pPr>
      <w:r w:rsidRPr="009C1D72">
        <w:rPr>
          <w:rFonts w:ascii="Times New Roman" w:hAnsi="Times New Roman" w:cs="Times New Roman"/>
          <w:sz w:val="24"/>
          <w:szCs w:val="24"/>
        </w:rPr>
        <w:tab/>
        <w:t xml:space="preserve">Menurut Irham Fahmi (2012:86), dengan membeli dan memiliki saham, investor </w:t>
      </w:r>
      <w:proofErr w:type="gramStart"/>
      <w:r w:rsidRPr="009C1D72">
        <w:rPr>
          <w:rFonts w:ascii="Times New Roman" w:hAnsi="Times New Roman" w:cs="Times New Roman"/>
          <w:sz w:val="24"/>
          <w:szCs w:val="24"/>
        </w:rPr>
        <w:t>akan</w:t>
      </w:r>
      <w:proofErr w:type="gramEnd"/>
      <w:r w:rsidRPr="009C1D72">
        <w:rPr>
          <w:rFonts w:ascii="Times New Roman" w:hAnsi="Times New Roman" w:cs="Times New Roman"/>
          <w:sz w:val="24"/>
          <w:szCs w:val="24"/>
        </w:rPr>
        <w:t xml:space="preserve"> memperoleh beberapa keuntungan sebagai bentuk kewajiban yang harus diterima yaitu memperoleh </w:t>
      </w:r>
      <w:r w:rsidRPr="00C61486">
        <w:rPr>
          <w:rFonts w:ascii="Times New Roman" w:hAnsi="Times New Roman" w:cs="Times New Roman"/>
          <w:i/>
          <w:sz w:val="24"/>
          <w:szCs w:val="24"/>
        </w:rPr>
        <w:t>capital gain</w:t>
      </w:r>
      <w:r w:rsidRPr="009C1D72">
        <w:rPr>
          <w:rFonts w:ascii="Times New Roman" w:hAnsi="Times New Roman" w:cs="Times New Roman"/>
          <w:sz w:val="24"/>
          <w:szCs w:val="24"/>
        </w:rPr>
        <w:t xml:space="preserve"> (selisih antara harga beli dan harga jual), memperoleh deviden (pembagian keuntungan yang diberikan perusahaan dan berasal dari keuntungan yang dihasilkan perusahaan), dan memiliki hak suara bagi pemegang saham biasa.</w:t>
      </w:r>
    </w:p>
    <w:p w:rsidR="006835CF" w:rsidRPr="009C1D72" w:rsidRDefault="006835CF" w:rsidP="009C1D72">
      <w:pPr>
        <w:spacing w:line="480" w:lineRule="auto"/>
        <w:jc w:val="both"/>
        <w:rPr>
          <w:rFonts w:ascii="Times New Roman" w:hAnsi="Times New Roman" w:cs="Times New Roman"/>
          <w:sz w:val="24"/>
          <w:szCs w:val="24"/>
        </w:rPr>
      </w:pPr>
      <w:r w:rsidRPr="009C1D72">
        <w:rPr>
          <w:rFonts w:ascii="Times New Roman" w:hAnsi="Times New Roman" w:cs="Times New Roman"/>
          <w:sz w:val="24"/>
          <w:szCs w:val="24"/>
        </w:rPr>
        <w:tab/>
        <w:t xml:space="preserve">Indonesia sebagai negara </w:t>
      </w:r>
      <w:proofErr w:type="gramStart"/>
      <w:r w:rsidRPr="009C1D72">
        <w:rPr>
          <w:rFonts w:ascii="Times New Roman" w:hAnsi="Times New Roman" w:cs="Times New Roman"/>
          <w:sz w:val="24"/>
          <w:szCs w:val="24"/>
        </w:rPr>
        <w:t>muslim</w:t>
      </w:r>
      <w:proofErr w:type="gramEnd"/>
      <w:r w:rsidRPr="009C1D72">
        <w:rPr>
          <w:rFonts w:ascii="Times New Roman" w:hAnsi="Times New Roman" w:cs="Times New Roman"/>
          <w:sz w:val="24"/>
          <w:szCs w:val="24"/>
        </w:rPr>
        <w:t xml:space="preserve"> terbesar di dunia merupakan pasar yang sangat besar untuk pengembangan industri keuangan syariah. </w:t>
      </w:r>
      <w:proofErr w:type="gramStart"/>
      <w:r w:rsidRPr="009C1D72">
        <w:rPr>
          <w:rFonts w:ascii="Times New Roman" w:hAnsi="Times New Roman" w:cs="Times New Roman"/>
          <w:sz w:val="24"/>
          <w:szCs w:val="24"/>
        </w:rPr>
        <w:t>Investasi syariah di pasar modal yang merupakan bagian dari industri keuangan syariah, mempunyai peranan yang cukup penting untuk dapat meningkatkan pangsa pasar industri keuangan syariah di Indonesia.</w:t>
      </w:r>
      <w:proofErr w:type="gramEnd"/>
      <w:r w:rsidRPr="009C1D72">
        <w:rPr>
          <w:rFonts w:ascii="Times New Roman" w:hAnsi="Times New Roman" w:cs="Times New Roman"/>
          <w:sz w:val="24"/>
          <w:szCs w:val="24"/>
        </w:rPr>
        <w:t xml:space="preserve"> Meskipun perkembangannya relatif baru dibandingkan dengan perbankan syariah maupun asuransi syariah, tetapi seiring dengan petumbuhan yang signifikan di industri pasar modal Indonesia, maka diharapkan investasi syariah di pasar modal Indonesia </w:t>
      </w:r>
      <w:proofErr w:type="gramStart"/>
      <w:r w:rsidRPr="009C1D72">
        <w:rPr>
          <w:rFonts w:ascii="Times New Roman" w:hAnsi="Times New Roman" w:cs="Times New Roman"/>
          <w:sz w:val="24"/>
          <w:szCs w:val="24"/>
        </w:rPr>
        <w:t>akan</w:t>
      </w:r>
      <w:proofErr w:type="gramEnd"/>
      <w:r w:rsidRPr="009C1D72">
        <w:rPr>
          <w:rFonts w:ascii="Times New Roman" w:hAnsi="Times New Roman" w:cs="Times New Roman"/>
          <w:sz w:val="24"/>
          <w:szCs w:val="24"/>
        </w:rPr>
        <w:t xml:space="preserve"> mengalami pertumbuhan yang pesat.</w:t>
      </w:r>
    </w:p>
    <w:p w:rsidR="006835CF" w:rsidRPr="009C1D72" w:rsidRDefault="006D5AB7" w:rsidP="009C1D72">
      <w:pPr>
        <w:spacing w:line="480" w:lineRule="auto"/>
        <w:jc w:val="both"/>
        <w:rPr>
          <w:rFonts w:ascii="Times New Roman" w:hAnsi="Times New Roman" w:cs="Times New Roman"/>
          <w:sz w:val="24"/>
          <w:szCs w:val="24"/>
        </w:rPr>
      </w:pPr>
      <w:r w:rsidRPr="009C1D72">
        <w:rPr>
          <w:rFonts w:ascii="Times New Roman" w:hAnsi="Times New Roman" w:cs="Times New Roman"/>
          <w:sz w:val="24"/>
          <w:szCs w:val="24"/>
        </w:rPr>
        <w:lastRenderedPageBreak/>
        <w:tab/>
        <w:t xml:space="preserve">Bursa Efek Indonesia atau yang lebih dikenal dengan BEI / </w:t>
      </w:r>
      <w:r w:rsidRPr="009C1D72">
        <w:rPr>
          <w:rFonts w:ascii="Times New Roman" w:hAnsi="Times New Roman" w:cs="Times New Roman"/>
          <w:i/>
          <w:sz w:val="24"/>
          <w:szCs w:val="24"/>
        </w:rPr>
        <w:t>IDX</w:t>
      </w:r>
      <w:r w:rsidRPr="009C1D72">
        <w:rPr>
          <w:rFonts w:ascii="Times New Roman" w:hAnsi="Times New Roman" w:cs="Times New Roman"/>
          <w:sz w:val="24"/>
          <w:szCs w:val="24"/>
        </w:rPr>
        <w:t xml:space="preserve"> / </w:t>
      </w:r>
      <w:r w:rsidRPr="009C1D72">
        <w:rPr>
          <w:rFonts w:ascii="Times New Roman" w:hAnsi="Times New Roman" w:cs="Times New Roman"/>
          <w:i/>
          <w:sz w:val="24"/>
          <w:szCs w:val="24"/>
        </w:rPr>
        <w:t>Indonesia Stock Exchange</w:t>
      </w:r>
      <w:r w:rsidRPr="009C1D72">
        <w:rPr>
          <w:rFonts w:ascii="Times New Roman" w:hAnsi="Times New Roman" w:cs="Times New Roman"/>
          <w:sz w:val="24"/>
          <w:szCs w:val="24"/>
        </w:rPr>
        <w:t xml:space="preserve"> merupakan salah satu bursa yang cepat perkembangannya sehingga menjadi alternatif yang disukai oleh perusahaan yang </w:t>
      </w:r>
      <w:r w:rsidRPr="009C1D72">
        <w:rPr>
          <w:rFonts w:ascii="Times New Roman" w:hAnsi="Times New Roman" w:cs="Times New Roman"/>
          <w:i/>
          <w:sz w:val="24"/>
          <w:szCs w:val="24"/>
        </w:rPr>
        <w:t>go public</w:t>
      </w:r>
      <w:r w:rsidRPr="009C1D72">
        <w:rPr>
          <w:rFonts w:ascii="Times New Roman" w:hAnsi="Times New Roman" w:cs="Times New Roman"/>
          <w:sz w:val="24"/>
          <w:szCs w:val="24"/>
        </w:rPr>
        <w:t xml:space="preserve"> untuk mencari dana. </w:t>
      </w:r>
      <w:proofErr w:type="gramStart"/>
      <w:r w:rsidRPr="009C1D72">
        <w:rPr>
          <w:rFonts w:ascii="Times New Roman" w:hAnsi="Times New Roman" w:cs="Times New Roman"/>
          <w:sz w:val="24"/>
          <w:szCs w:val="24"/>
        </w:rPr>
        <w:t>Perkembangan bursa efek dapat dilihat dengan semakin banyaknya anggota bursa dan juga dapat dilihat dari perubahan harga – harga saham yang diperdagangkan.</w:t>
      </w:r>
      <w:proofErr w:type="gramEnd"/>
      <w:r w:rsidRPr="009C1D72">
        <w:rPr>
          <w:rFonts w:ascii="Times New Roman" w:hAnsi="Times New Roman" w:cs="Times New Roman"/>
          <w:sz w:val="24"/>
          <w:szCs w:val="24"/>
        </w:rPr>
        <w:t xml:space="preserve"> </w:t>
      </w:r>
      <w:proofErr w:type="gramStart"/>
      <w:r w:rsidRPr="009C1D72">
        <w:rPr>
          <w:rFonts w:ascii="Times New Roman" w:hAnsi="Times New Roman" w:cs="Times New Roman"/>
          <w:sz w:val="24"/>
          <w:szCs w:val="24"/>
        </w:rPr>
        <w:t>Perubahan harga saham dapat memberi petunjuk tentang kekuatan dan kelemahan aktivitas pasar modal serta pemodal dalam melakukan transaksi jual beli saham.</w:t>
      </w:r>
      <w:proofErr w:type="gramEnd"/>
    </w:p>
    <w:p w:rsidR="00923490" w:rsidRDefault="00923490" w:rsidP="009C1D72">
      <w:pPr>
        <w:spacing w:line="480" w:lineRule="auto"/>
        <w:jc w:val="both"/>
        <w:rPr>
          <w:rFonts w:ascii="Times New Roman" w:hAnsi="Times New Roman" w:cs="Times New Roman"/>
          <w:sz w:val="24"/>
          <w:szCs w:val="24"/>
          <w:u w:val="single"/>
        </w:rPr>
      </w:pPr>
      <w:r w:rsidRPr="009C1D72">
        <w:rPr>
          <w:rFonts w:ascii="Times New Roman" w:hAnsi="Times New Roman" w:cs="Times New Roman"/>
          <w:sz w:val="24"/>
          <w:szCs w:val="24"/>
        </w:rPr>
        <w:tab/>
      </w:r>
      <w:proofErr w:type="gramStart"/>
      <w:r w:rsidRPr="009C1D72">
        <w:rPr>
          <w:rFonts w:ascii="Times New Roman" w:hAnsi="Times New Roman" w:cs="Times New Roman"/>
          <w:sz w:val="24"/>
          <w:szCs w:val="24"/>
        </w:rPr>
        <w:t>BEI sendiri memiliki saham terdaftar yang sesuai dengan prinsip syariah.</w:t>
      </w:r>
      <w:proofErr w:type="gramEnd"/>
      <w:r w:rsidRPr="009C1D72">
        <w:rPr>
          <w:rFonts w:ascii="Times New Roman" w:hAnsi="Times New Roman" w:cs="Times New Roman"/>
          <w:sz w:val="24"/>
          <w:szCs w:val="24"/>
        </w:rPr>
        <w:t xml:space="preserve"> Berdasarkan peraturan Bapepam dan OJK No IX.A.13 tentang penerbitan efek syariah khususnya ayat 1.a.3, yang dimaksud dengan efek syariah adalah efek sebagaimana dimaksud dalam Undang – Undang Pasar Modal dan peraturan pelaksanaannya </w:t>
      </w:r>
      <w:r w:rsidR="00B30F92" w:rsidRPr="009C1D72">
        <w:rPr>
          <w:rFonts w:ascii="Times New Roman" w:hAnsi="Times New Roman" w:cs="Times New Roman"/>
          <w:sz w:val="24"/>
          <w:szCs w:val="24"/>
        </w:rPr>
        <w:t xml:space="preserve">yang akad, cara, dan kegiatan usaha yang menjadi landasan penerbitannya tidak bertentangan dengan prinsip – prinsip syariah di pasar modal. Dalam peraturan yang </w:t>
      </w:r>
      <w:proofErr w:type="gramStart"/>
      <w:r w:rsidR="00B30F92" w:rsidRPr="009C1D72">
        <w:rPr>
          <w:rFonts w:ascii="Times New Roman" w:hAnsi="Times New Roman" w:cs="Times New Roman"/>
          <w:sz w:val="24"/>
          <w:szCs w:val="24"/>
        </w:rPr>
        <w:t>sama</w:t>
      </w:r>
      <w:proofErr w:type="gramEnd"/>
      <w:r w:rsidR="00B30F92" w:rsidRPr="009C1D72">
        <w:rPr>
          <w:rFonts w:ascii="Times New Roman" w:hAnsi="Times New Roman" w:cs="Times New Roman"/>
          <w:sz w:val="24"/>
          <w:szCs w:val="24"/>
        </w:rPr>
        <w:t>, khususnya ayat 1.a.2 dijelaskan juga pengertian dari prinsip – prinsip syariah di pasar modal yaitu prinsip – prinsip hukum Islam dalam kegiatan di bidang pasar modal berdasarkan fatwa dari Dewan Syariah Nasional (DSN) MUI, sepanjang fatwa dimaksud tidak bertentangan dengan peraturan ini dan/atau peraturan Bapepam dan OJK y</w:t>
      </w:r>
      <w:r w:rsidR="009C1D72">
        <w:rPr>
          <w:rFonts w:ascii="Times New Roman" w:hAnsi="Times New Roman" w:cs="Times New Roman"/>
          <w:sz w:val="24"/>
          <w:szCs w:val="24"/>
        </w:rPr>
        <w:t>ang didasarkan pada fatwa DSN-</w:t>
      </w:r>
      <w:r w:rsidR="009C0E00">
        <w:rPr>
          <w:rFonts w:ascii="Times New Roman" w:hAnsi="Times New Roman" w:cs="Times New Roman"/>
          <w:sz w:val="24"/>
          <w:szCs w:val="24"/>
        </w:rPr>
        <w:t>MUI</w:t>
      </w:r>
      <w:r w:rsidR="009C1D72">
        <w:rPr>
          <w:rFonts w:ascii="Times New Roman" w:hAnsi="Times New Roman" w:cs="Times New Roman"/>
          <w:sz w:val="24"/>
          <w:szCs w:val="24"/>
        </w:rPr>
        <w:t xml:space="preserve"> (</w:t>
      </w:r>
      <w:hyperlink r:id="rId8" w:history="1">
        <w:r w:rsidR="009C0E00" w:rsidRPr="009C0E00">
          <w:rPr>
            <w:rStyle w:val="Hyperlink"/>
            <w:rFonts w:ascii="Times New Roman" w:hAnsi="Times New Roman" w:cs="Times New Roman"/>
            <w:color w:val="auto"/>
            <w:sz w:val="24"/>
            <w:szCs w:val="24"/>
          </w:rPr>
          <w:t>www.idx.co.id</w:t>
        </w:r>
      </w:hyperlink>
      <w:r w:rsidR="009C1D72">
        <w:rPr>
          <w:rFonts w:ascii="Times New Roman" w:hAnsi="Times New Roman" w:cs="Times New Roman"/>
          <w:sz w:val="24"/>
          <w:szCs w:val="24"/>
          <w:u w:val="single"/>
        </w:rPr>
        <w:t>)</w:t>
      </w:r>
      <w:r w:rsidR="009C0E00">
        <w:rPr>
          <w:rFonts w:ascii="Times New Roman" w:hAnsi="Times New Roman" w:cs="Times New Roman"/>
          <w:sz w:val="24"/>
          <w:szCs w:val="24"/>
          <w:u w:val="single"/>
        </w:rPr>
        <w:t>.</w:t>
      </w:r>
    </w:p>
    <w:p w:rsidR="009C0E00" w:rsidRPr="009C1D72" w:rsidRDefault="009C0E00" w:rsidP="009C1D72">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Perbedaan mendasar antara bursa efek konvensional dan bursa efek syariah adalah bursa e</w:t>
      </w:r>
      <w:r w:rsidR="000B478C">
        <w:rPr>
          <w:rFonts w:ascii="Times New Roman" w:hAnsi="Times New Roman" w:cs="Times New Roman"/>
          <w:sz w:val="24"/>
          <w:szCs w:val="24"/>
        </w:rPr>
        <w:t>fek konvensional dalam kegiatan perdagangan efeknya tidak mempertimbangkan unsure syariah.</w:t>
      </w:r>
      <w:proofErr w:type="gramEnd"/>
      <w:r w:rsidR="000B478C">
        <w:rPr>
          <w:rFonts w:ascii="Times New Roman" w:hAnsi="Times New Roman" w:cs="Times New Roman"/>
          <w:sz w:val="24"/>
          <w:szCs w:val="24"/>
        </w:rPr>
        <w:t xml:space="preserve"> </w:t>
      </w:r>
      <w:proofErr w:type="gramStart"/>
      <w:r w:rsidR="000B478C">
        <w:rPr>
          <w:rFonts w:ascii="Times New Roman" w:hAnsi="Times New Roman" w:cs="Times New Roman"/>
          <w:sz w:val="24"/>
          <w:szCs w:val="24"/>
        </w:rPr>
        <w:t xml:space="preserve">Selain itu, bursa efek konvensional juga tidak </w:t>
      </w:r>
      <w:r w:rsidR="000B478C">
        <w:rPr>
          <w:rFonts w:ascii="Times New Roman" w:hAnsi="Times New Roman" w:cs="Times New Roman"/>
          <w:sz w:val="24"/>
          <w:szCs w:val="24"/>
        </w:rPr>
        <w:lastRenderedPageBreak/>
        <w:t>memperhatikan aspek halal haram karena memasukkan seluruh saham yang terdaftar di bursa efek tersebut.</w:t>
      </w:r>
      <w:proofErr w:type="gramEnd"/>
    </w:p>
    <w:p w:rsidR="00042DAF" w:rsidRPr="009C1D72" w:rsidRDefault="00923490" w:rsidP="009C1D72">
      <w:pPr>
        <w:spacing w:line="480" w:lineRule="auto"/>
        <w:jc w:val="both"/>
        <w:rPr>
          <w:rFonts w:ascii="Times New Roman" w:hAnsi="Times New Roman" w:cs="Times New Roman"/>
          <w:sz w:val="24"/>
          <w:szCs w:val="24"/>
        </w:rPr>
      </w:pPr>
      <w:r w:rsidRPr="009C1D72">
        <w:rPr>
          <w:rFonts w:ascii="Times New Roman" w:hAnsi="Times New Roman" w:cs="Times New Roman"/>
          <w:sz w:val="24"/>
          <w:szCs w:val="24"/>
        </w:rPr>
        <w:tab/>
      </w:r>
      <w:proofErr w:type="gramStart"/>
      <w:r w:rsidR="00042DAF" w:rsidRPr="009C1D72">
        <w:rPr>
          <w:rFonts w:ascii="Times New Roman" w:hAnsi="Times New Roman" w:cs="Times New Roman"/>
          <w:sz w:val="24"/>
          <w:szCs w:val="24"/>
        </w:rPr>
        <w:t>Pada 12 Mei 2011, BEI meluncurkan indeks saham baru yang disebut dengan Indeks Saham Syariah Indonesia (ISSI) yang konstituennya adalah saham – saham syariah yang tercatat di BEI.</w:t>
      </w:r>
      <w:proofErr w:type="gramEnd"/>
      <w:r w:rsidR="00042DAF" w:rsidRPr="009C1D72">
        <w:rPr>
          <w:rFonts w:ascii="Times New Roman" w:hAnsi="Times New Roman" w:cs="Times New Roman"/>
          <w:sz w:val="24"/>
          <w:szCs w:val="24"/>
        </w:rPr>
        <w:t xml:space="preserve"> </w:t>
      </w:r>
      <w:proofErr w:type="gramStart"/>
      <w:r w:rsidR="00042DAF" w:rsidRPr="009C1D72">
        <w:rPr>
          <w:rFonts w:ascii="Times New Roman" w:hAnsi="Times New Roman" w:cs="Times New Roman"/>
          <w:sz w:val="24"/>
          <w:szCs w:val="24"/>
        </w:rPr>
        <w:t>ISSI diluncurkan untuk member</w:t>
      </w:r>
      <w:r w:rsidR="000D5D4A">
        <w:rPr>
          <w:rFonts w:ascii="Times New Roman" w:hAnsi="Times New Roman" w:cs="Times New Roman"/>
          <w:sz w:val="24"/>
          <w:szCs w:val="24"/>
        </w:rPr>
        <w:t>i</w:t>
      </w:r>
      <w:r w:rsidR="00042DAF" w:rsidRPr="009C1D72">
        <w:rPr>
          <w:rFonts w:ascii="Times New Roman" w:hAnsi="Times New Roman" w:cs="Times New Roman"/>
          <w:sz w:val="24"/>
          <w:szCs w:val="24"/>
        </w:rPr>
        <w:t xml:space="preserve"> jawaban kepada masyarakat yang ingin mengetahui kinerja seluruh saham syariah yang tercatat di BEI.</w:t>
      </w:r>
      <w:proofErr w:type="gramEnd"/>
      <w:r w:rsidR="00042DAF" w:rsidRPr="009C1D72">
        <w:rPr>
          <w:rFonts w:ascii="Times New Roman" w:hAnsi="Times New Roman" w:cs="Times New Roman"/>
          <w:sz w:val="24"/>
          <w:szCs w:val="24"/>
        </w:rPr>
        <w:t xml:space="preserve"> ISSI </w:t>
      </w:r>
      <w:proofErr w:type="gramStart"/>
      <w:r w:rsidR="00042DAF" w:rsidRPr="009C1D72">
        <w:rPr>
          <w:rFonts w:ascii="Times New Roman" w:hAnsi="Times New Roman" w:cs="Times New Roman"/>
          <w:sz w:val="24"/>
          <w:szCs w:val="24"/>
        </w:rPr>
        <w:t>akan</w:t>
      </w:r>
      <w:proofErr w:type="gramEnd"/>
      <w:r w:rsidR="00042DAF" w:rsidRPr="009C1D72">
        <w:rPr>
          <w:rFonts w:ascii="Times New Roman" w:hAnsi="Times New Roman" w:cs="Times New Roman"/>
          <w:sz w:val="24"/>
          <w:szCs w:val="24"/>
        </w:rPr>
        <w:t xml:space="preserve"> menjadi indikator dari seluruh saham syariah sehingga akan memudahkan bagi pelaku pasar dalam mengukur kinerja saham syariah. </w:t>
      </w:r>
      <w:proofErr w:type="gramStart"/>
      <w:r w:rsidR="00042DAF" w:rsidRPr="009C1D72">
        <w:rPr>
          <w:rFonts w:ascii="Times New Roman" w:hAnsi="Times New Roman" w:cs="Times New Roman"/>
          <w:sz w:val="24"/>
          <w:szCs w:val="24"/>
        </w:rPr>
        <w:t xml:space="preserve">Selain itu, ISSI juga memberikan peluang untuk </w:t>
      </w:r>
      <w:r w:rsidR="00042DAF" w:rsidRPr="009C1D72">
        <w:rPr>
          <w:rFonts w:ascii="Times New Roman" w:hAnsi="Times New Roman" w:cs="Times New Roman"/>
          <w:i/>
          <w:sz w:val="24"/>
          <w:szCs w:val="24"/>
        </w:rPr>
        <w:t xml:space="preserve">fund </w:t>
      </w:r>
      <w:r w:rsidR="00042DAF" w:rsidRPr="009C1D72">
        <w:rPr>
          <w:rFonts w:ascii="Times New Roman" w:hAnsi="Times New Roman" w:cs="Times New Roman"/>
          <w:sz w:val="24"/>
          <w:szCs w:val="24"/>
        </w:rPr>
        <w:t>manajer yang tertarik untuk mengeluarkan produk investasi berbasis indeks saham syariah.</w:t>
      </w:r>
      <w:proofErr w:type="gramEnd"/>
    </w:p>
    <w:p w:rsidR="00923490" w:rsidRPr="009C1D72" w:rsidRDefault="00B84A8A" w:rsidP="009C1D72">
      <w:pPr>
        <w:spacing w:line="480" w:lineRule="auto"/>
        <w:jc w:val="both"/>
        <w:rPr>
          <w:rFonts w:ascii="Times New Roman" w:hAnsi="Times New Roman" w:cs="Times New Roman"/>
          <w:sz w:val="24"/>
          <w:szCs w:val="24"/>
        </w:rPr>
      </w:pPr>
      <w:r w:rsidRPr="009C1D72">
        <w:rPr>
          <w:rFonts w:ascii="Times New Roman" w:hAnsi="Times New Roman" w:cs="Times New Roman"/>
          <w:sz w:val="24"/>
          <w:szCs w:val="24"/>
        </w:rPr>
        <w:tab/>
        <w:t>Jumlah saham syariah yang terdaftar di BEI dan masuk dalam daftar ISSI tahun 2011 hingga tahun 2015 adalah sebagai berikut :</w:t>
      </w:r>
    </w:p>
    <w:p w:rsidR="009C1D72" w:rsidRDefault="00B84A8A" w:rsidP="00AF68F4">
      <w:pPr>
        <w:spacing w:line="240" w:lineRule="auto"/>
        <w:jc w:val="center"/>
        <w:rPr>
          <w:rFonts w:ascii="Times New Roman" w:hAnsi="Times New Roman" w:cs="Times New Roman"/>
          <w:sz w:val="24"/>
          <w:szCs w:val="24"/>
        </w:rPr>
      </w:pPr>
      <w:r w:rsidRPr="009C1D72">
        <w:rPr>
          <w:rFonts w:ascii="Times New Roman" w:hAnsi="Times New Roman" w:cs="Times New Roman"/>
          <w:noProof/>
          <w:sz w:val="24"/>
          <w:szCs w:val="24"/>
        </w:rPr>
        <w:drawing>
          <wp:inline distT="0" distB="0" distL="0" distR="0">
            <wp:extent cx="3990975" cy="21812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68F4" w:rsidRDefault="00AF68F4" w:rsidP="00AF68F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hyperlink r:id="rId10" w:history="1">
        <w:r w:rsidRPr="00AF68F4">
          <w:rPr>
            <w:rStyle w:val="Hyperlink"/>
            <w:rFonts w:ascii="Times New Roman" w:hAnsi="Times New Roman" w:cs="Times New Roman"/>
            <w:color w:val="auto"/>
            <w:sz w:val="24"/>
            <w:szCs w:val="24"/>
          </w:rPr>
          <w:t>www.sahamok.com</w:t>
        </w:r>
      </w:hyperlink>
      <w:r>
        <w:rPr>
          <w:rFonts w:ascii="Times New Roman" w:hAnsi="Times New Roman" w:cs="Times New Roman"/>
          <w:sz w:val="24"/>
          <w:szCs w:val="24"/>
        </w:rPr>
        <w:t xml:space="preserve"> </w:t>
      </w:r>
      <w:r w:rsidRPr="00327D87">
        <w:rPr>
          <w:rFonts w:ascii="Times New Roman" w:hAnsi="Times New Roman" w:cs="Times New Roman"/>
          <w:sz w:val="24"/>
          <w:szCs w:val="24"/>
        </w:rPr>
        <w:t>(data diolah peneliti)</w:t>
      </w:r>
    </w:p>
    <w:p w:rsidR="009C1D72" w:rsidRPr="009C1D72" w:rsidRDefault="00F70C49" w:rsidP="007D18F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Gambar</w:t>
      </w:r>
      <w:r w:rsidR="009C1D72" w:rsidRPr="009C1D72">
        <w:rPr>
          <w:rFonts w:ascii="Times New Roman" w:hAnsi="Times New Roman" w:cs="Times New Roman"/>
          <w:b/>
          <w:sz w:val="24"/>
          <w:szCs w:val="24"/>
        </w:rPr>
        <w:t xml:space="preserve"> 1.1</w:t>
      </w:r>
    </w:p>
    <w:p w:rsidR="009C1D72" w:rsidRPr="009C1D72" w:rsidRDefault="009C1D72" w:rsidP="007D18FB">
      <w:pPr>
        <w:spacing w:line="480" w:lineRule="auto"/>
        <w:jc w:val="center"/>
        <w:rPr>
          <w:rFonts w:ascii="Times New Roman" w:hAnsi="Times New Roman" w:cs="Times New Roman"/>
          <w:b/>
          <w:sz w:val="24"/>
          <w:szCs w:val="24"/>
        </w:rPr>
      </w:pPr>
      <w:r w:rsidRPr="009C1D72">
        <w:rPr>
          <w:rFonts w:ascii="Times New Roman" w:hAnsi="Times New Roman" w:cs="Times New Roman"/>
          <w:b/>
          <w:sz w:val="24"/>
          <w:szCs w:val="24"/>
        </w:rPr>
        <w:t>Jumlah Saham yang Terdaftar di ISSI periode 2011 - 2015</w:t>
      </w:r>
    </w:p>
    <w:p w:rsidR="009C1D72" w:rsidRDefault="009C1D72" w:rsidP="007D18F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Jumlah saham yang terdaftar di ISSI pada tahun 2011 adalah 238 perusahaan dan pada tahun 2012 meningkat 63 menjadi 301 perusahaan. </w:t>
      </w:r>
      <w:proofErr w:type="gramStart"/>
      <w:r>
        <w:rPr>
          <w:rFonts w:ascii="Times New Roman" w:hAnsi="Times New Roman" w:cs="Times New Roman"/>
          <w:sz w:val="24"/>
          <w:szCs w:val="24"/>
        </w:rPr>
        <w:t>Pada tahun selanjutnya yaitu tahun 2013 saham kembali bertambah 18 menjadi 319 perusahaan.</w:t>
      </w:r>
      <w:proofErr w:type="gramEnd"/>
      <w:r>
        <w:rPr>
          <w:rFonts w:ascii="Times New Roman" w:hAnsi="Times New Roman" w:cs="Times New Roman"/>
          <w:sz w:val="24"/>
          <w:szCs w:val="24"/>
        </w:rPr>
        <w:t xml:space="preserve"> Namun pada tahun 2014 dan 2015 berkurang 1 perusahaan masing – masing yang menjadi 318 dan 31</w:t>
      </w:r>
      <w:r w:rsidR="006D43D4">
        <w:rPr>
          <w:rFonts w:ascii="Times New Roman" w:hAnsi="Times New Roman" w:cs="Times New Roman"/>
          <w:sz w:val="24"/>
          <w:szCs w:val="24"/>
        </w:rPr>
        <w:t>7.</w:t>
      </w:r>
    </w:p>
    <w:p w:rsidR="00091854" w:rsidRDefault="005E08CA" w:rsidP="009C1D72">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Selain itu, perkembangan saham syariah ISSI juga dapat dilihat dari kapitalisasi pasar yang terus mengalami kenaikan.</w:t>
      </w:r>
      <w:proofErr w:type="gramEnd"/>
      <w:r>
        <w:rPr>
          <w:rFonts w:ascii="Times New Roman" w:hAnsi="Times New Roman" w:cs="Times New Roman"/>
          <w:sz w:val="24"/>
          <w:szCs w:val="24"/>
        </w:rPr>
        <w:t xml:space="preserve"> </w:t>
      </w:r>
      <w:proofErr w:type="gramStart"/>
      <w:r w:rsidR="00D04E7F">
        <w:rPr>
          <w:rFonts w:ascii="Times New Roman" w:hAnsi="Times New Roman" w:cs="Times New Roman"/>
          <w:sz w:val="24"/>
          <w:szCs w:val="24"/>
        </w:rPr>
        <w:t>Kapitalisasi pasar adalah harga keseluruhan dari sebuah saham perusahaan dan dapat hitung dengan mengalikan jumlah saham yang perusahaan tersebut dengan harga sekarang dari saham tersebut.</w:t>
      </w:r>
      <w:proofErr w:type="gramEnd"/>
      <w:r w:rsidR="00D04E7F">
        <w:rPr>
          <w:rFonts w:ascii="Times New Roman" w:hAnsi="Times New Roman" w:cs="Times New Roman"/>
          <w:sz w:val="24"/>
          <w:szCs w:val="24"/>
        </w:rPr>
        <w:t xml:space="preserve"> </w:t>
      </w:r>
      <w:r>
        <w:rPr>
          <w:rFonts w:ascii="Times New Roman" w:hAnsi="Times New Roman" w:cs="Times New Roman"/>
          <w:sz w:val="24"/>
          <w:szCs w:val="24"/>
        </w:rPr>
        <w:t>Berikut adalah data kapitalisasi pasar ISSI (Indeks Saham Syariah Indonesia), JII (Jakarta Islamic Index), dan IHSG (Indeks Harga Saham Gabungan</w:t>
      </w:r>
      <w:proofErr w:type="gramStart"/>
      <w:r>
        <w:rPr>
          <w:rFonts w:ascii="Times New Roman" w:hAnsi="Times New Roman" w:cs="Times New Roman"/>
          <w:sz w:val="24"/>
          <w:szCs w:val="24"/>
        </w:rPr>
        <w:t>) :</w:t>
      </w:r>
      <w:proofErr w:type="gramEnd"/>
    </w:p>
    <w:p w:rsidR="005E08CA" w:rsidRPr="00327D87" w:rsidRDefault="005E08CA" w:rsidP="00327D87">
      <w:pPr>
        <w:spacing w:line="240" w:lineRule="auto"/>
        <w:jc w:val="center"/>
        <w:rPr>
          <w:rFonts w:ascii="Times New Roman" w:hAnsi="Times New Roman" w:cs="Times New Roman"/>
          <w:b/>
          <w:sz w:val="24"/>
          <w:szCs w:val="24"/>
        </w:rPr>
      </w:pPr>
      <w:r w:rsidRPr="00327D87">
        <w:rPr>
          <w:rFonts w:ascii="Times New Roman" w:hAnsi="Times New Roman" w:cs="Times New Roman"/>
          <w:b/>
          <w:sz w:val="24"/>
          <w:szCs w:val="24"/>
        </w:rPr>
        <w:t>Tabel 1.1</w:t>
      </w:r>
    </w:p>
    <w:p w:rsidR="005E08CA" w:rsidRPr="00327D87" w:rsidRDefault="005E08CA" w:rsidP="00327D87">
      <w:pPr>
        <w:spacing w:line="480" w:lineRule="auto"/>
        <w:jc w:val="center"/>
        <w:rPr>
          <w:rFonts w:ascii="Times New Roman" w:hAnsi="Times New Roman" w:cs="Times New Roman"/>
          <w:b/>
          <w:sz w:val="24"/>
          <w:szCs w:val="24"/>
        </w:rPr>
      </w:pPr>
      <w:r w:rsidRPr="00327D87">
        <w:rPr>
          <w:rFonts w:ascii="Times New Roman" w:hAnsi="Times New Roman" w:cs="Times New Roman"/>
          <w:b/>
          <w:sz w:val="24"/>
          <w:szCs w:val="24"/>
        </w:rPr>
        <w:t>Kapitalisasi Pasar Bursa Efek Indonesia (Rp. Miliar)</w:t>
      </w:r>
    </w:p>
    <w:tbl>
      <w:tblPr>
        <w:tblW w:w="8262" w:type="dxa"/>
        <w:tblInd w:w="93" w:type="dxa"/>
        <w:tblLook w:val="04A0"/>
      </w:tblPr>
      <w:tblGrid>
        <w:gridCol w:w="1781"/>
        <w:gridCol w:w="2026"/>
        <w:gridCol w:w="2083"/>
        <w:gridCol w:w="2372"/>
      </w:tblGrid>
      <w:tr w:rsidR="00E7464A" w:rsidRPr="00CD3B2D" w:rsidTr="00D04E7F">
        <w:trPr>
          <w:cantSplit/>
          <w:trHeight w:val="798"/>
        </w:trPr>
        <w:tc>
          <w:tcPr>
            <w:tcW w:w="17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464A" w:rsidRPr="00CD3B2D" w:rsidRDefault="00E7464A" w:rsidP="00D04E7F">
            <w:pPr>
              <w:spacing w:after="0" w:line="240" w:lineRule="auto"/>
              <w:jc w:val="center"/>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Tahun</w:t>
            </w:r>
          </w:p>
        </w:tc>
        <w:tc>
          <w:tcPr>
            <w:tcW w:w="2026" w:type="dxa"/>
            <w:tcBorders>
              <w:top w:val="single" w:sz="8" w:space="0" w:color="auto"/>
              <w:left w:val="nil"/>
              <w:bottom w:val="single" w:sz="8" w:space="0" w:color="auto"/>
              <w:right w:val="single" w:sz="8" w:space="0" w:color="auto"/>
            </w:tcBorders>
            <w:shd w:val="clear" w:color="auto" w:fill="auto"/>
            <w:vAlign w:val="center"/>
            <w:hideMark/>
          </w:tcPr>
          <w:p w:rsidR="00E7464A" w:rsidRPr="00CD3B2D" w:rsidRDefault="00E7464A" w:rsidP="00D04E7F">
            <w:pPr>
              <w:spacing w:after="0" w:line="240" w:lineRule="auto"/>
              <w:jc w:val="center"/>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JII</w:t>
            </w:r>
          </w:p>
        </w:tc>
        <w:tc>
          <w:tcPr>
            <w:tcW w:w="2083" w:type="dxa"/>
            <w:tcBorders>
              <w:top w:val="single" w:sz="8" w:space="0" w:color="auto"/>
              <w:left w:val="nil"/>
              <w:bottom w:val="single" w:sz="8" w:space="0" w:color="auto"/>
              <w:right w:val="single" w:sz="8" w:space="0" w:color="auto"/>
            </w:tcBorders>
            <w:shd w:val="clear" w:color="auto" w:fill="auto"/>
            <w:vAlign w:val="center"/>
            <w:hideMark/>
          </w:tcPr>
          <w:p w:rsidR="00E7464A" w:rsidRPr="00CD3B2D" w:rsidRDefault="00E7464A" w:rsidP="00D04E7F">
            <w:pPr>
              <w:spacing w:after="0" w:line="240" w:lineRule="auto"/>
              <w:jc w:val="center"/>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ISSI</w:t>
            </w:r>
          </w:p>
        </w:tc>
        <w:tc>
          <w:tcPr>
            <w:tcW w:w="2372" w:type="dxa"/>
            <w:tcBorders>
              <w:top w:val="single" w:sz="8" w:space="0" w:color="auto"/>
              <w:left w:val="nil"/>
              <w:bottom w:val="single" w:sz="8" w:space="0" w:color="auto"/>
              <w:right w:val="single" w:sz="8" w:space="0" w:color="auto"/>
            </w:tcBorders>
            <w:shd w:val="clear" w:color="auto" w:fill="auto"/>
            <w:vAlign w:val="center"/>
            <w:hideMark/>
          </w:tcPr>
          <w:p w:rsidR="00E7464A" w:rsidRPr="00CD3B2D" w:rsidRDefault="00E7464A" w:rsidP="00D04E7F">
            <w:pPr>
              <w:spacing w:after="0" w:line="240" w:lineRule="auto"/>
              <w:jc w:val="center"/>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IHSG</w:t>
            </w:r>
          </w:p>
        </w:tc>
      </w:tr>
      <w:tr w:rsidR="00E7464A" w:rsidRPr="00CD3B2D" w:rsidTr="00D04E7F">
        <w:trPr>
          <w:trHeight w:val="390"/>
        </w:trPr>
        <w:tc>
          <w:tcPr>
            <w:tcW w:w="1781" w:type="dxa"/>
            <w:tcBorders>
              <w:top w:val="nil"/>
              <w:left w:val="single" w:sz="8" w:space="0" w:color="auto"/>
              <w:bottom w:val="single" w:sz="8" w:space="0" w:color="auto"/>
              <w:right w:val="single" w:sz="8" w:space="0" w:color="auto"/>
            </w:tcBorders>
            <w:shd w:val="clear" w:color="auto" w:fill="auto"/>
            <w:vAlign w:val="center"/>
            <w:hideMark/>
          </w:tcPr>
          <w:p w:rsidR="00E7464A" w:rsidRPr="00CD3B2D" w:rsidRDefault="00E7464A" w:rsidP="00D04E7F">
            <w:pPr>
              <w:spacing w:after="0" w:line="240" w:lineRule="auto"/>
              <w:jc w:val="center"/>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2009</w:t>
            </w:r>
          </w:p>
        </w:tc>
        <w:tc>
          <w:tcPr>
            <w:tcW w:w="2026" w:type="dxa"/>
            <w:tcBorders>
              <w:top w:val="nil"/>
              <w:left w:val="nil"/>
              <w:bottom w:val="single" w:sz="8" w:space="0" w:color="auto"/>
              <w:right w:val="single" w:sz="8" w:space="0" w:color="auto"/>
            </w:tcBorders>
            <w:shd w:val="clear" w:color="auto" w:fill="auto"/>
            <w:vAlign w:val="center"/>
            <w:hideMark/>
          </w:tcPr>
          <w:p w:rsidR="00E7464A" w:rsidRPr="00CD3B2D" w:rsidRDefault="00E7464A" w:rsidP="00E7464A">
            <w:pPr>
              <w:spacing w:after="0" w:line="240" w:lineRule="auto"/>
              <w:jc w:val="right"/>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937.919,08</w:t>
            </w:r>
          </w:p>
        </w:tc>
        <w:tc>
          <w:tcPr>
            <w:tcW w:w="2083" w:type="dxa"/>
            <w:tcBorders>
              <w:top w:val="nil"/>
              <w:left w:val="nil"/>
              <w:bottom w:val="single" w:sz="8" w:space="0" w:color="auto"/>
              <w:right w:val="single" w:sz="8" w:space="0" w:color="auto"/>
            </w:tcBorders>
            <w:shd w:val="clear" w:color="auto" w:fill="auto"/>
            <w:vAlign w:val="center"/>
            <w:hideMark/>
          </w:tcPr>
          <w:p w:rsidR="00E7464A" w:rsidRPr="00CD3B2D" w:rsidRDefault="00E7464A" w:rsidP="00E7464A">
            <w:pPr>
              <w:spacing w:after="0" w:line="240" w:lineRule="auto"/>
              <w:jc w:val="right"/>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w:t>
            </w:r>
          </w:p>
        </w:tc>
        <w:tc>
          <w:tcPr>
            <w:tcW w:w="2372" w:type="dxa"/>
            <w:tcBorders>
              <w:top w:val="nil"/>
              <w:left w:val="nil"/>
              <w:bottom w:val="single" w:sz="8" w:space="0" w:color="auto"/>
              <w:right w:val="single" w:sz="8" w:space="0" w:color="auto"/>
            </w:tcBorders>
            <w:shd w:val="clear" w:color="auto" w:fill="auto"/>
            <w:vAlign w:val="center"/>
            <w:hideMark/>
          </w:tcPr>
          <w:p w:rsidR="00E7464A" w:rsidRPr="00CD3B2D" w:rsidRDefault="00E7464A" w:rsidP="00E7464A">
            <w:pPr>
              <w:spacing w:after="0" w:line="240" w:lineRule="auto"/>
              <w:jc w:val="right"/>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2.019.375,13</w:t>
            </w:r>
          </w:p>
        </w:tc>
      </w:tr>
      <w:tr w:rsidR="00E7464A" w:rsidRPr="00CD3B2D" w:rsidTr="00D04E7F">
        <w:trPr>
          <w:trHeight w:val="390"/>
        </w:trPr>
        <w:tc>
          <w:tcPr>
            <w:tcW w:w="1781" w:type="dxa"/>
            <w:tcBorders>
              <w:top w:val="nil"/>
              <w:left w:val="single" w:sz="8" w:space="0" w:color="auto"/>
              <w:bottom w:val="single" w:sz="8" w:space="0" w:color="auto"/>
              <w:right w:val="single" w:sz="8" w:space="0" w:color="auto"/>
            </w:tcBorders>
            <w:shd w:val="clear" w:color="auto" w:fill="auto"/>
            <w:vAlign w:val="center"/>
            <w:hideMark/>
          </w:tcPr>
          <w:p w:rsidR="00E7464A" w:rsidRPr="00CD3B2D" w:rsidRDefault="00E7464A" w:rsidP="00D04E7F">
            <w:pPr>
              <w:spacing w:after="0" w:line="240" w:lineRule="auto"/>
              <w:jc w:val="center"/>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2010</w:t>
            </w:r>
          </w:p>
        </w:tc>
        <w:tc>
          <w:tcPr>
            <w:tcW w:w="2026" w:type="dxa"/>
            <w:tcBorders>
              <w:top w:val="nil"/>
              <w:left w:val="nil"/>
              <w:bottom w:val="single" w:sz="8" w:space="0" w:color="auto"/>
              <w:right w:val="single" w:sz="8" w:space="0" w:color="auto"/>
            </w:tcBorders>
            <w:shd w:val="clear" w:color="auto" w:fill="auto"/>
            <w:vAlign w:val="center"/>
            <w:hideMark/>
          </w:tcPr>
          <w:p w:rsidR="00E7464A" w:rsidRPr="00CD3B2D" w:rsidRDefault="00E7464A" w:rsidP="00E7464A">
            <w:pPr>
              <w:spacing w:after="0" w:line="240" w:lineRule="auto"/>
              <w:jc w:val="right"/>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1.134.632,00</w:t>
            </w:r>
          </w:p>
        </w:tc>
        <w:tc>
          <w:tcPr>
            <w:tcW w:w="2083" w:type="dxa"/>
            <w:tcBorders>
              <w:top w:val="nil"/>
              <w:left w:val="nil"/>
              <w:bottom w:val="single" w:sz="8" w:space="0" w:color="auto"/>
              <w:right w:val="single" w:sz="8" w:space="0" w:color="auto"/>
            </w:tcBorders>
            <w:shd w:val="clear" w:color="auto" w:fill="auto"/>
            <w:vAlign w:val="center"/>
            <w:hideMark/>
          </w:tcPr>
          <w:p w:rsidR="00E7464A" w:rsidRPr="00CD3B2D" w:rsidRDefault="00E7464A" w:rsidP="00E7464A">
            <w:pPr>
              <w:spacing w:after="0" w:line="240" w:lineRule="auto"/>
              <w:jc w:val="right"/>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w:t>
            </w:r>
          </w:p>
        </w:tc>
        <w:tc>
          <w:tcPr>
            <w:tcW w:w="2372" w:type="dxa"/>
            <w:tcBorders>
              <w:top w:val="nil"/>
              <w:left w:val="nil"/>
              <w:bottom w:val="single" w:sz="8" w:space="0" w:color="auto"/>
              <w:right w:val="single" w:sz="8" w:space="0" w:color="auto"/>
            </w:tcBorders>
            <w:shd w:val="clear" w:color="auto" w:fill="auto"/>
            <w:vAlign w:val="center"/>
            <w:hideMark/>
          </w:tcPr>
          <w:p w:rsidR="00E7464A" w:rsidRPr="00CD3B2D" w:rsidRDefault="00E7464A" w:rsidP="00E7464A">
            <w:pPr>
              <w:spacing w:after="0" w:line="240" w:lineRule="auto"/>
              <w:jc w:val="right"/>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3.247.096,78</w:t>
            </w:r>
          </w:p>
        </w:tc>
      </w:tr>
      <w:tr w:rsidR="00E7464A" w:rsidRPr="00CD3B2D" w:rsidTr="00D04E7F">
        <w:trPr>
          <w:trHeight w:val="390"/>
        </w:trPr>
        <w:tc>
          <w:tcPr>
            <w:tcW w:w="1781" w:type="dxa"/>
            <w:tcBorders>
              <w:top w:val="nil"/>
              <w:left w:val="single" w:sz="8" w:space="0" w:color="auto"/>
              <w:bottom w:val="single" w:sz="8" w:space="0" w:color="auto"/>
              <w:right w:val="single" w:sz="8" w:space="0" w:color="auto"/>
            </w:tcBorders>
            <w:shd w:val="clear" w:color="auto" w:fill="auto"/>
            <w:vAlign w:val="center"/>
            <w:hideMark/>
          </w:tcPr>
          <w:p w:rsidR="00E7464A" w:rsidRPr="00CD3B2D" w:rsidRDefault="00E7464A" w:rsidP="00D04E7F">
            <w:pPr>
              <w:spacing w:after="0" w:line="240" w:lineRule="auto"/>
              <w:jc w:val="center"/>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2011</w:t>
            </w:r>
          </w:p>
        </w:tc>
        <w:tc>
          <w:tcPr>
            <w:tcW w:w="2026" w:type="dxa"/>
            <w:tcBorders>
              <w:top w:val="nil"/>
              <w:left w:val="nil"/>
              <w:bottom w:val="single" w:sz="8" w:space="0" w:color="auto"/>
              <w:right w:val="single" w:sz="8" w:space="0" w:color="auto"/>
            </w:tcBorders>
            <w:shd w:val="clear" w:color="auto" w:fill="auto"/>
            <w:vAlign w:val="center"/>
            <w:hideMark/>
          </w:tcPr>
          <w:p w:rsidR="00E7464A" w:rsidRPr="00CD3B2D" w:rsidRDefault="00E7464A" w:rsidP="00E7464A">
            <w:pPr>
              <w:spacing w:after="0" w:line="240" w:lineRule="auto"/>
              <w:jc w:val="right"/>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1.414.983,81</w:t>
            </w:r>
          </w:p>
        </w:tc>
        <w:tc>
          <w:tcPr>
            <w:tcW w:w="2083" w:type="dxa"/>
            <w:tcBorders>
              <w:top w:val="nil"/>
              <w:left w:val="nil"/>
              <w:bottom w:val="single" w:sz="8" w:space="0" w:color="auto"/>
              <w:right w:val="single" w:sz="8" w:space="0" w:color="auto"/>
            </w:tcBorders>
            <w:shd w:val="clear" w:color="auto" w:fill="auto"/>
            <w:vAlign w:val="center"/>
            <w:hideMark/>
          </w:tcPr>
          <w:p w:rsidR="00E7464A" w:rsidRPr="00CD3B2D" w:rsidRDefault="00E7464A" w:rsidP="00E7464A">
            <w:pPr>
              <w:spacing w:after="0" w:line="240" w:lineRule="auto"/>
              <w:jc w:val="right"/>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1.968.091,37</w:t>
            </w:r>
          </w:p>
        </w:tc>
        <w:tc>
          <w:tcPr>
            <w:tcW w:w="2372" w:type="dxa"/>
            <w:tcBorders>
              <w:top w:val="nil"/>
              <w:left w:val="nil"/>
              <w:bottom w:val="single" w:sz="8" w:space="0" w:color="auto"/>
              <w:right w:val="single" w:sz="8" w:space="0" w:color="auto"/>
            </w:tcBorders>
            <w:shd w:val="clear" w:color="auto" w:fill="auto"/>
            <w:vAlign w:val="center"/>
            <w:hideMark/>
          </w:tcPr>
          <w:p w:rsidR="00E7464A" w:rsidRPr="00CD3B2D" w:rsidRDefault="00E7464A" w:rsidP="00E7464A">
            <w:pPr>
              <w:spacing w:after="0" w:line="240" w:lineRule="auto"/>
              <w:jc w:val="right"/>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3.537.294,21</w:t>
            </w:r>
          </w:p>
        </w:tc>
      </w:tr>
      <w:tr w:rsidR="00E7464A" w:rsidRPr="00CD3B2D" w:rsidTr="00D04E7F">
        <w:trPr>
          <w:trHeight w:val="390"/>
        </w:trPr>
        <w:tc>
          <w:tcPr>
            <w:tcW w:w="1781" w:type="dxa"/>
            <w:tcBorders>
              <w:top w:val="nil"/>
              <w:left w:val="single" w:sz="8" w:space="0" w:color="auto"/>
              <w:bottom w:val="single" w:sz="8" w:space="0" w:color="auto"/>
              <w:right w:val="single" w:sz="8" w:space="0" w:color="auto"/>
            </w:tcBorders>
            <w:shd w:val="clear" w:color="auto" w:fill="auto"/>
            <w:vAlign w:val="center"/>
            <w:hideMark/>
          </w:tcPr>
          <w:p w:rsidR="00E7464A" w:rsidRPr="00CD3B2D" w:rsidRDefault="00E7464A" w:rsidP="00D04E7F">
            <w:pPr>
              <w:spacing w:after="0" w:line="240" w:lineRule="auto"/>
              <w:jc w:val="center"/>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2012</w:t>
            </w:r>
          </w:p>
        </w:tc>
        <w:tc>
          <w:tcPr>
            <w:tcW w:w="2026" w:type="dxa"/>
            <w:tcBorders>
              <w:top w:val="nil"/>
              <w:left w:val="nil"/>
              <w:bottom w:val="single" w:sz="8" w:space="0" w:color="auto"/>
              <w:right w:val="single" w:sz="8" w:space="0" w:color="auto"/>
            </w:tcBorders>
            <w:shd w:val="clear" w:color="auto" w:fill="auto"/>
            <w:vAlign w:val="center"/>
            <w:hideMark/>
          </w:tcPr>
          <w:p w:rsidR="00E7464A" w:rsidRPr="00CD3B2D" w:rsidRDefault="00E7464A" w:rsidP="00E7464A">
            <w:pPr>
              <w:spacing w:after="0" w:line="240" w:lineRule="auto"/>
              <w:jc w:val="right"/>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1.671.004,23</w:t>
            </w:r>
          </w:p>
        </w:tc>
        <w:tc>
          <w:tcPr>
            <w:tcW w:w="2083" w:type="dxa"/>
            <w:tcBorders>
              <w:top w:val="nil"/>
              <w:left w:val="nil"/>
              <w:bottom w:val="single" w:sz="8" w:space="0" w:color="auto"/>
              <w:right w:val="single" w:sz="8" w:space="0" w:color="auto"/>
            </w:tcBorders>
            <w:shd w:val="clear" w:color="auto" w:fill="auto"/>
            <w:vAlign w:val="center"/>
            <w:hideMark/>
          </w:tcPr>
          <w:p w:rsidR="00E7464A" w:rsidRPr="00CD3B2D" w:rsidRDefault="00E7464A" w:rsidP="00E7464A">
            <w:pPr>
              <w:spacing w:after="0" w:line="240" w:lineRule="auto"/>
              <w:jc w:val="right"/>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2.451.334,37</w:t>
            </w:r>
          </w:p>
        </w:tc>
        <w:tc>
          <w:tcPr>
            <w:tcW w:w="2372" w:type="dxa"/>
            <w:tcBorders>
              <w:top w:val="nil"/>
              <w:left w:val="nil"/>
              <w:bottom w:val="single" w:sz="8" w:space="0" w:color="auto"/>
              <w:right w:val="single" w:sz="8" w:space="0" w:color="auto"/>
            </w:tcBorders>
            <w:shd w:val="clear" w:color="auto" w:fill="auto"/>
            <w:vAlign w:val="center"/>
            <w:hideMark/>
          </w:tcPr>
          <w:p w:rsidR="00E7464A" w:rsidRPr="00CD3B2D" w:rsidRDefault="00E7464A" w:rsidP="00E7464A">
            <w:pPr>
              <w:spacing w:after="0" w:line="240" w:lineRule="auto"/>
              <w:jc w:val="right"/>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4.126.994,93</w:t>
            </w:r>
          </w:p>
        </w:tc>
      </w:tr>
      <w:tr w:rsidR="00E7464A" w:rsidRPr="00CD3B2D" w:rsidTr="00D04E7F">
        <w:trPr>
          <w:trHeight w:val="390"/>
        </w:trPr>
        <w:tc>
          <w:tcPr>
            <w:tcW w:w="1781" w:type="dxa"/>
            <w:tcBorders>
              <w:top w:val="nil"/>
              <w:left w:val="single" w:sz="8" w:space="0" w:color="auto"/>
              <w:bottom w:val="single" w:sz="8" w:space="0" w:color="auto"/>
              <w:right w:val="single" w:sz="8" w:space="0" w:color="auto"/>
            </w:tcBorders>
            <w:shd w:val="clear" w:color="auto" w:fill="auto"/>
            <w:vAlign w:val="center"/>
            <w:hideMark/>
          </w:tcPr>
          <w:p w:rsidR="00E7464A" w:rsidRPr="00CD3B2D" w:rsidRDefault="00E7464A" w:rsidP="00D04E7F">
            <w:pPr>
              <w:spacing w:after="0" w:line="240" w:lineRule="auto"/>
              <w:jc w:val="center"/>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2013</w:t>
            </w:r>
          </w:p>
        </w:tc>
        <w:tc>
          <w:tcPr>
            <w:tcW w:w="2026" w:type="dxa"/>
            <w:tcBorders>
              <w:top w:val="nil"/>
              <w:left w:val="nil"/>
              <w:bottom w:val="single" w:sz="8" w:space="0" w:color="auto"/>
              <w:right w:val="single" w:sz="8" w:space="0" w:color="auto"/>
            </w:tcBorders>
            <w:shd w:val="clear" w:color="auto" w:fill="auto"/>
            <w:vAlign w:val="center"/>
            <w:hideMark/>
          </w:tcPr>
          <w:p w:rsidR="00E7464A" w:rsidRPr="00CD3B2D" w:rsidRDefault="00E7464A" w:rsidP="00E7464A">
            <w:pPr>
              <w:spacing w:after="0" w:line="240" w:lineRule="auto"/>
              <w:jc w:val="right"/>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1.672.099,91</w:t>
            </w:r>
          </w:p>
        </w:tc>
        <w:tc>
          <w:tcPr>
            <w:tcW w:w="2083" w:type="dxa"/>
            <w:tcBorders>
              <w:top w:val="nil"/>
              <w:left w:val="nil"/>
              <w:bottom w:val="single" w:sz="8" w:space="0" w:color="auto"/>
              <w:right w:val="single" w:sz="8" w:space="0" w:color="auto"/>
            </w:tcBorders>
            <w:shd w:val="clear" w:color="auto" w:fill="auto"/>
            <w:vAlign w:val="center"/>
            <w:hideMark/>
          </w:tcPr>
          <w:p w:rsidR="00E7464A" w:rsidRPr="00CD3B2D" w:rsidRDefault="00E7464A" w:rsidP="00E7464A">
            <w:pPr>
              <w:spacing w:after="0" w:line="240" w:lineRule="auto"/>
              <w:jc w:val="right"/>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2.557.846,77</w:t>
            </w:r>
          </w:p>
        </w:tc>
        <w:tc>
          <w:tcPr>
            <w:tcW w:w="2372" w:type="dxa"/>
            <w:tcBorders>
              <w:top w:val="nil"/>
              <w:left w:val="nil"/>
              <w:bottom w:val="single" w:sz="8" w:space="0" w:color="auto"/>
              <w:right w:val="single" w:sz="8" w:space="0" w:color="auto"/>
            </w:tcBorders>
            <w:shd w:val="clear" w:color="auto" w:fill="auto"/>
            <w:vAlign w:val="center"/>
            <w:hideMark/>
          </w:tcPr>
          <w:p w:rsidR="00E7464A" w:rsidRPr="00CD3B2D" w:rsidRDefault="00E7464A" w:rsidP="00E7464A">
            <w:pPr>
              <w:spacing w:after="0" w:line="240" w:lineRule="auto"/>
              <w:jc w:val="right"/>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4.219.020,24</w:t>
            </w:r>
          </w:p>
        </w:tc>
      </w:tr>
      <w:tr w:rsidR="00E7464A" w:rsidRPr="00CD3B2D" w:rsidTr="00D04E7F">
        <w:trPr>
          <w:trHeight w:val="390"/>
        </w:trPr>
        <w:tc>
          <w:tcPr>
            <w:tcW w:w="1781" w:type="dxa"/>
            <w:tcBorders>
              <w:top w:val="nil"/>
              <w:left w:val="single" w:sz="8" w:space="0" w:color="auto"/>
              <w:bottom w:val="single" w:sz="8" w:space="0" w:color="auto"/>
              <w:right w:val="single" w:sz="8" w:space="0" w:color="auto"/>
            </w:tcBorders>
            <w:shd w:val="clear" w:color="auto" w:fill="auto"/>
            <w:vAlign w:val="center"/>
            <w:hideMark/>
          </w:tcPr>
          <w:p w:rsidR="00E7464A" w:rsidRPr="00CD3B2D" w:rsidRDefault="00E7464A" w:rsidP="00D04E7F">
            <w:pPr>
              <w:spacing w:after="0" w:line="240" w:lineRule="auto"/>
              <w:jc w:val="center"/>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2014</w:t>
            </w:r>
          </w:p>
        </w:tc>
        <w:tc>
          <w:tcPr>
            <w:tcW w:w="2026" w:type="dxa"/>
            <w:tcBorders>
              <w:top w:val="nil"/>
              <w:left w:val="nil"/>
              <w:bottom w:val="single" w:sz="8" w:space="0" w:color="auto"/>
              <w:right w:val="single" w:sz="8" w:space="0" w:color="auto"/>
            </w:tcBorders>
            <w:shd w:val="clear" w:color="auto" w:fill="auto"/>
            <w:vAlign w:val="center"/>
            <w:hideMark/>
          </w:tcPr>
          <w:p w:rsidR="00E7464A" w:rsidRPr="00CD3B2D" w:rsidRDefault="00E7464A" w:rsidP="00E7464A">
            <w:pPr>
              <w:spacing w:after="0" w:line="240" w:lineRule="auto"/>
              <w:jc w:val="right"/>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2.016.429,07</w:t>
            </w:r>
          </w:p>
        </w:tc>
        <w:tc>
          <w:tcPr>
            <w:tcW w:w="2083" w:type="dxa"/>
            <w:tcBorders>
              <w:top w:val="nil"/>
              <w:left w:val="nil"/>
              <w:bottom w:val="single" w:sz="8" w:space="0" w:color="auto"/>
              <w:right w:val="single" w:sz="8" w:space="0" w:color="auto"/>
            </w:tcBorders>
            <w:shd w:val="clear" w:color="auto" w:fill="auto"/>
            <w:vAlign w:val="center"/>
            <w:hideMark/>
          </w:tcPr>
          <w:p w:rsidR="00E7464A" w:rsidRPr="00CD3B2D" w:rsidRDefault="00E7464A" w:rsidP="00E7464A">
            <w:pPr>
              <w:spacing w:after="0" w:line="240" w:lineRule="auto"/>
              <w:jc w:val="right"/>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2.993.518,56</w:t>
            </w:r>
          </w:p>
        </w:tc>
        <w:tc>
          <w:tcPr>
            <w:tcW w:w="2372" w:type="dxa"/>
            <w:tcBorders>
              <w:top w:val="nil"/>
              <w:left w:val="nil"/>
              <w:bottom w:val="single" w:sz="8" w:space="0" w:color="auto"/>
              <w:right w:val="single" w:sz="8" w:space="0" w:color="auto"/>
            </w:tcBorders>
            <w:shd w:val="clear" w:color="auto" w:fill="auto"/>
            <w:vAlign w:val="center"/>
            <w:hideMark/>
          </w:tcPr>
          <w:p w:rsidR="00E7464A" w:rsidRPr="00CD3B2D" w:rsidRDefault="00E7464A" w:rsidP="00E7464A">
            <w:pPr>
              <w:spacing w:after="0" w:line="240" w:lineRule="auto"/>
              <w:jc w:val="right"/>
              <w:rPr>
                <w:rFonts w:ascii="Times New Roman" w:eastAsia="Times New Roman" w:hAnsi="Times New Roman" w:cs="Times New Roman"/>
                <w:color w:val="000000"/>
                <w:sz w:val="24"/>
                <w:szCs w:val="24"/>
              </w:rPr>
            </w:pPr>
            <w:r w:rsidRPr="00CD3B2D">
              <w:rPr>
                <w:rFonts w:ascii="Times New Roman" w:eastAsia="Times New Roman" w:hAnsi="Times New Roman" w:cs="Times New Roman"/>
                <w:color w:val="000000"/>
                <w:sz w:val="24"/>
                <w:szCs w:val="24"/>
              </w:rPr>
              <w:t>5.108.513,39</w:t>
            </w:r>
          </w:p>
        </w:tc>
      </w:tr>
    </w:tbl>
    <w:p w:rsidR="005E08CA" w:rsidRDefault="002C21DE" w:rsidP="009C1D72">
      <w:pPr>
        <w:spacing w:line="480" w:lineRule="auto"/>
        <w:jc w:val="both"/>
        <w:rPr>
          <w:rFonts w:ascii="Times New Roman" w:hAnsi="Times New Roman" w:cs="Times New Roman"/>
          <w:sz w:val="24"/>
          <w:szCs w:val="24"/>
        </w:rPr>
      </w:pPr>
      <w:proofErr w:type="gramStart"/>
      <w:r w:rsidRPr="00327D87">
        <w:rPr>
          <w:rFonts w:ascii="Times New Roman" w:hAnsi="Times New Roman" w:cs="Times New Roman"/>
          <w:sz w:val="24"/>
          <w:szCs w:val="24"/>
        </w:rPr>
        <w:t>Sumber :</w:t>
      </w:r>
      <w:proofErr w:type="gramEnd"/>
      <w:r w:rsidRPr="00327D87">
        <w:rPr>
          <w:rFonts w:ascii="Times New Roman" w:hAnsi="Times New Roman" w:cs="Times New Roman"/>
          <w:sz w:val="24"/>
          <w:szCs w:val="24"/>
        </w:rPr>
        <w:t xml:space="preserve"> </w:t>
      </w:r>
      <w:hyperlink r:id="rId11" w:history="1">
        <w:r w:rsidRPr="00AF68F4">
          <w:rPr>
            <w:rStyle w:val="Hyperlink"/>
            <w:rFonts w:ascii="Times New Roman" w:hAnsi="Times New Roman" w:cs="Times New Roman"/>
            <w:color w:val="auto"/>
            <w:sz w:val="24"/>
            <w:szCs w:val="24"/>
          </w:rPr>
          <w:t>www.ojk.go.id</w:t>
        </w:r>
      </w:hyperlink>
      <w:r w:rsidRPr="00327D87">
        <w:rPr>
          <w:rFonts w:ascii="Times New Roman" w:hAnsi="Times New Roman" w:cs="Times New Roman"/>
          <w:sz w:val="24"/>
          <w:szCs w:val="24"/>
        </w:rPr>
        <w:t xml:space="preserve"> (data diolah peneliti)</w:t>
      </w:r>
    </w:p>
    <w:p w:rsidR="00E945E0" w:rsidRDefault="006D43D4" w:rsidP="009C1D7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E7464A">
        <w:rPr>
          <w:rFonts w:ascii="Times New Roman" w:hAnsi="Times New Roman" w:cs="Times New Roman"/>
          <w:sz w:val="24"/>
          <w:szCs w:val="24"/>
        </w:rPr>
        <w:t xml:space="preserve">Dari data tersebut dapat diketahui </w:t>
      </w:r>
      <w:r>
        <w:rPr>
          <w:rFonts w:ascii="Times New Roman" w:hAnsi="Times New Roman" w:cs="Times New Roman"/>
          <w:sz w:val="24"/>
          <w:szCs w:val="24"/>
        </w:rPr>
        <w:t>kapitalisasi pasar Indeks Saham Syariah Indonesia terus meningkat setiap tahunnya dan angkanya melebihi kapitalisasi pasar Jakarta Islamic Index dari tahun 2011 hingga 2014.</w:t>
      </w:r>
      <w:proofErr w:type="gramEnd"/>
      <w:r w:rsidR="00E945E0">
        <w:rPr>
          <w:rFonts w:ascii="Times New Roman" w:hAnsi="Times New Roman" w:cs="Times New Roman"/>
          <w:sz w:val="24"/>
          <w:szCs w:val="24"/>
        </w:rPr>
        <w:t xml:space="preserve"> </w:t>
      </w:r>
      <w:proofErr w:type="gramStart"/>
      <w:r w:rsidR="0028044D">
        <w:rPr>
          <w:rFonts w:ascii="Times New Roman" w:hAnsi="Times New Roman" w:cs="Times New Roman"/>
          <w:sz w:val="24"/>
          <w:szCs w:val="24"/>
        </w:rPr>
        <w:t>Dan selain itu ISSI juga mengalami pertumbuhan yang signifikan dibandingkan dengan LQ45 dan IHSG.</w:t>
      </w:r>
      <w:proofErr w:type="gramEnd"/>
      <w:r w:rsidR="0028044D">
        <w:rPr>
          <w:rFonts w:ascii="Times New Roman" w:hAnsi="Times New Roman" w:cs="Times New Roman"/>
          <w:sz w:val="24"/>
          <w:szCs w:val="24"/>
        </w:rPr>
        <w:t xml:space="preserve"> ISSI mengalami pertumbuhan </w:t>
      </w:r>
      <w:r w:rsidR="0028044D" w:rsidRPr="00C61486">
        <w:rPr>
          <w:rFonts w:ascii="Times New Roman" w:hAnsi="Times New Roman" w:cs="Times New Roman"/>
          <w:i/>
          <w:sz w:val="24"/>
          <w:szCs w:val="24"/>
        </w:rPr>
        <w:t>return</w:t>
      </w:r>
      <w:r w:rsidR="0028044D">
        <w:rPr>
          <w:rFonts w:ascii="Times New Roman" w:hAnsi="Times New Roman" w:cs="Times New Roman"/>
          <w:sz w:val="24"/>
          <w:szCs w:val="24"/>
        </w:rPr>
        <w:t xml:space="preserve"> sebesar 19% sementara LQ45 hanya tumbuh 6% dan IHSG juga berada di kisaran 13% (</w:t>
      </w:r>
      <w:hyperlink r:id="rId12" w:history="1">
        <w:r w:rsidR="0028044D" w:rsidRPr="0028044D">
          <w:rPr>
            <w:rStyle w:val="Hyperlink"/>
            <w:rFonts w:ascii="Times New Roman" w:hAnsi="Times New Roman" w:cs="Times New Roman"/>
            <w:color w:val="auto"/>
            <w:sz w:val="24"/>
            <w:szCs w:val="24"/>
          </w:rPr>
          <w:t>http://www.neraca.co.id/article</w:t>
        </w:r>
      </w:hyperlink>
      <w:r w:rsidR="0028044D" w:rsidRPr="0028044D">
        <w:rPr>
          <w:rFonts w:ascii="Times New Roman" w:hAnsi="Times New Roman" w:cs="Times New Roman"/>
          <w:sz w:val="24"/>
          <w:szCs w:val="24"/>
        </w:rPr>
        <w:t>)</w:t>
      </w:r>
      <w:r w:rsidR="0028044D">
        <w:rPr>
          <w:rFonts w:ascii="Times New Roman" w:hAnsi="Times New Roman" w:cs="Times New Roman"/>
          <w:sz w:val="24"/>
          <w:szCs w:val="24"/>
        </w:rPr>
        <w:t>.</w:t>
      </w:r>
      <w:r w:rsidR="00BC4821">
        <w:rPr>
          <w:rFonts w:ascii="Times New Roman" w:hAnsi="Times New Roman" w:cs="Times New Roman"/>
          <w:sz w:val="24"/>
          <w:szCs w:val="24"/>
        </w:rPr>
        <w:t xml:space="preserve"> Selain itu pada tahun 2013 rata – rata transaksi saham syariah di BEI mencapai Rp 3</w:t>
      </w:r>
      <w:proofErr w:type="gramStart"/>
      <w:r w:rsidR="00BC4821">
        <w:rPr>
          <w:rFonts w:ascii="Times New Roman" w:hAnsi="Times New Roman" w:cs="Times New Roman"/>
          <w:sz w:val="24"/>
          <w:szCs w:val="24"/>
        </w:rPr>
        <w:t>,1</w:t>
      </w:r>
      <w:proofErr w:type="gramEnd"/>
      <w:r w:rsidR="00BC4821">
        <w:rPr>
          <w:rFonts w:ascii="Times New Roman" w:hAnsi="Times New Roman" w:cs="Times New Roman"/>
          <w:sz w:val="24"/>
          <w:szCs w:val="24"/>
        </w:rPr>
        <w:t xml:space="preserve"> triliun. Hal ini setara dengan </w:t>
      </w:r>
      <w:r w:rsidR="004512B9">
        <w:rPr>
          <w:rFonts w:ascii="Times New Roman" w:hAnsi="Times New Roman" w:cs="Times New Roman"/>
          <w:sz w:val="24"/>
          <w:szCs w:val="24"/>
        </w:rPr>
        <w:t>70% volume transaksi saham di BEI yang mencapai Rp 5</w:t>
      </w:r>
      <w:proofErr w:type="gramStart"/>
      <w:r w:rsidR="004512B9">
        <w:rPr>
          <w:rFonts w:ascii="Times New Roman" w:hAnsi="Times New Roman" w:cs="Times New Roman"/>
          <w:sz w:val="24"/>
          <w:szCs w:val="24"/>
        </w:rPr>
        <w:t>,1</w:t>
      </w:r>
      <w:proofErr w:type="gramEnd"/>
      <w:r w:rsidR="004512B9">
        <w:rPr>
          <w:rFonts w:ascii="Times New Roman" w:hAnsi="Times New Roman" w:cs="Times New Roman"/>
          <w:sz w:val="24"/>
          <w:szCs w:val="24"/>
        </w:rPr>
        <w:t xml:space="preserve"> triliun (</w:t>
      </w:r>
      <w:hyperlink r:id="rId13" w:history="1">
        <w:r w:rsidR="004512B9" w:rsidRPr="004512B9">
          <w:rPr>
            <w:rStyle w:val="Hyperlink"/>
            <w:rFonts w:ascii="Times New Roman" w:hAnsi="Times New Roman" w:cs="Times New Roman"/>
            <w:color w:val="auto"/>
            <w:sz w:val="24"/>
            <w:szCs w:val="24"/>
          </w:rPr>
          <w:t>www.okezone.com</w:t>
        </w:r>
      </w:hyperlink>
      <w:r w:rsidR="004512B9" w:rsidRPr="004512B9">
        <w:rPr>
          <w:rFonts w:ascii="Times New Roman" w:hAnsi="Times New Roman" w:cs="Times New Roman"/>
          <w:sz w:val="24"/>
          <w:szCs w:val="24"/>
        </w:rPr>
        <w:t>).</w:t>
      </w:r>
      <w:r w:rsidR="004512B9">
        <w:rPr>
          <w:rFonts w:ascii="Times New Roman" w:hAnsi="Times New Roman" w:cs="Times New Roman"/>
          <w:sz w:val="24"/>
          <w:szCs w:val="24"/>
        </w:rPr>
        <w:t xml:space="preserve"> </w:t>
      </w:r>
    </w:p>
    <w:p w:rsidR="005170AB" w:rsidRDefault="005170AB" w:rsidP="005170A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1.2</w:t>
      </w:r>
    </w:p>
    <w:p w:rsidR="005170AB" w:rsidRPr="008D6F85" w:rsidRDefault="005170AB" w:rsidP="008D6F85">
      <w:pPr>
        <w:spacing w:line="480" w:lineRule="auto"/>
        <w:jc w:val="center"/>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Perbandingan Kinerja Indeks Saham </w:t>
      </w:r>
      <w:r w:rsidRPr="00CD3B2D">
        <w:rPr>
          <w:rFonts w:ascii="Times New Roman" w:eastAsia="Times New Roman" w:hAnsi="Times New Roman" w:cs="Times New Roman"/>
          <w:b/>
          <w:color w:val="000000"/>
          <w:sz w:val="24"/>
          <w:szCs w:val="24"/>
        </w:rPr>
        <w:t>JII</w:t>
      </w:r>
      <w:r w:rsidRPr="005170AB">
        <w:rPr>
          <w:rFonts w:ascii="Times New Roman" w:eastAsia="Times New Roman" w:hAnsi="Times New Roman" w:cs="Times New Roman"/>
          <w:b/>
          <w:color w:val="000000"/>
          <w:sz w:val="24"/>
          <w:szCs w:val="24"/>
        </w:rPr>
        <w:t xml:space="preserve">, </w:t>
      </w:r>
      <w:r w:rsidRPr="00CD3B2D">
        <w:rPr>
          <w:rFonts w:ascii="Times New Roman" w:eastAsia="Times New Roman" w:hAnsi="Times New Roman" w:cs="Times New Roman"/>
          <w:b/>
          <w:color w:val="000000"/>
          <w:sz w:val="24"/>
          <w:szCs w:val="24"/>
        </w:rPr>
        <w:t>ISSI</w:t>
      </w:r>
      <w:r w:rsidRPr="005170AB">
        <w:rPr>
          <w:rFonts w:ascii="Times New Roman" w:eastAsia="Times New Roman" w:hAnsi="Times New Roman" w:cs="Times New Roman"/>
          <w:b/>
          <w:color w:val="000000"/>
          <w:sz w:val="24"/>
          <w:szCs w:val="24"/>
        </w:rPr>
        <w:t>, dan LQ 45</w:t>
      </w:r>
    </w:p>
    <w:tbl>
      <w:tblPr>
        <w:tblW w:w="8200" w:type="dxa"/>
        <w:tblInd w:w="93" w:type="dxa"/>
        <w:tblLook w:val="04A0"/>
      </w:tblPr>
      <w:tblGrid>
        <w:gridCol w:w="1640"/>
        <w:gridCol w:w="1640"/>
        <w:gridCol w:w="1640"/>
        <w:gridCol w:w="1640"/>
        <w:gridCol w:w="1640"/>
      </w:tblGrid>
      <w:tr w:rsidR="005170AB" w:rsidRPr="005170AB" w:rsidTr="008D6F85">
        <w:trPr>
          <w:trHeight w:val="685"/>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0AB" w:rsidRPr="005170AB" w:rsidRDefault="005170AB" w:rsidP="008D6F85">
            <w:pPr>
              <w:spacing w:after="0" w:line="240" w:lineRule="auto"/>
              <w:jc w:val="center"/>
              <w:rPr>
                <w:rFonts w:ascii="Times New Roman" w:eastAsia="Times New Roman" w:hAnsi="Times New Roman" w:cs="Times New Roman"/>
                <w:color w:val="000000"/>
                <w:sz w:val="24"/>
                <w:szCs w:val="24"/>
              </w:rPr>
            </w:pPr>
            <w:r w:rsidRPr="005170AB">
              <w:rPr>
                <w:rFonts w:ascii="Times New Roman" w:eastAsia="Times New Roman" w:hAnsi="Times New Roman" w:cs="Times New Roman"/>
                <w:color w:val="000000"/>
                <w:sz w:val="24"/>
                <w:szCs w:val="24"/>
              </w:rPr>
              <w:t>Indeks</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5170AB" w:rsidRPr="005170AB" w:rsidRDefault="005170AB" w:rsidP="008D6F85">
            <w:pPr>
              <w:spacing w:after="0" w:line="240" w:lineRule="auto"/>
              <w:jc w:val="center"/>
              <w:rPr>
                <w:rFonts w:ascii="Times New Roman" w:eastAsia="Times New Roman" w:hAnsi="Times New Roman" w:cs="Times New Roman"/>
                <w:color w:val="000000"/>
                <w:sz w:val="24"/>
                <w:szCs w:val="24"/>
              </w:rPr>
            </w:pPr>
            <w:r w:rsidRPr="005170AB">
              <w:rPr>
                <w:rFonts w:ascii="Times New Roman" w:eastAsia="Times New Roman" w:hAnsi="Times New Roman" w:cs="Times New Roman"/>
                <w:color w:val="000000"/>
                <w:sz w:val="24"/>
                <w:szCs w:val="24"/>
              </w:rPr>
              <w:t>2011</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5170AB" w:rsidRPr="005170AB" w:rsidRDefault="005170AB" w:rsidP="008D6F85">
            <w:pPr>
              <w:spacing w:after="0" w:line="240" w:lineRule="auto"/>
              <w:jc w:val="center"/>
              <w:rPr>
                <w:rFonts w:ascii="Times New Roman" w:eastAsia="Times New Roman" w:hAnsi="Times New Roman" w:cs="Times New Roman"/>
                <w:color w:val="000000"/>
                <w:sz w:val="24"/>
                <w:szCs w:val="24"/>
              </w:rPr>
            </w:pPr>
            <w:r w:rsidRPr="005170AB">
              <w:rPr>
                <w:rFonts w:ascii="Times New Roman" w:eastAsia="Times New Roman" w:hAnsi="Times New Roman" w:cs="Times New Roman"/>
                <w:color w:val="000000"/>
                <w:sz w:val="24"/>
                <w:szCs w:val="24"/>
              </w:rPr>
              <w:t>2012</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5170AB" w:rsidRPr="005170AB" w:rsidRDefault="005170AB" w:rsidP="008D6F85">
            <w:pPr>
              <w:spacing w:after="0" w:line="240" w:lineRule="auto"/>
              <w:jc w:val="center"/>
              <w:rPr>
                <w:rFonts w:ascii="Times New Roman" w:eastAsia="Times New Roman" w:hAnsi="Times New Roman" w:cs="Times New Roman"/>
                <w:color w:val="000000"/>
                <w:sz w:val="24"/>
                <w:szCs w:val="24"/>
              </w:rPr>
            </w:pPr>
            <w:r w:rsidRPr="005170AB">
              <w:rPr>
                <w:rFonts w:ascii="Times New Roman" w:eastAsia="Times New Roman" w:hAnsi="Times New Roman" w:cs="Times New Roman"/>
                <w:color w:val="000000"/>
                <w:sz w:val="24"/>
                <w:szCs w:val="24"/>
              </w:rPr>
              <w:t>2013</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5170AB" w:rsidRPr="005170AB" w:rsidRDefault="005170AB" w:rsidP="008D6F85">
            <w:pPr>
              <w:spacing w:after="0" w:line="240" w:lineRule="auto"/>
              <w:jc w:val="center"/>
              <w:rPr>
                <w:rFonts w:ascii="Times New Roman" w:eastAsia="Times New Roman" w:hAnsi="Times New Roman" w:cs="Times New Roman"/>
                <w:color w:val="000000"/>
                <w:sz w:val="24"/>
                <w:szCs w:val="24"/>
              </w:rPr>
            </w:pPr>
            <w:r w:rsidRPr="005170AB">
              <w:rPr>
                <w:rFonts w:ascii="Times New Roman" w:eastAsia="Times New Roman" w:hAnsi="Times New Roman" w:cs="Times New Roman"/>
                <w:color w:val="000000"/>
                <w:sz w:val="24"/>
                <w:szCs w:val="24"/>
              </w:rPr>
              <w:t>2014</w:t>
            </w:r>
          </w:p>
        </w:tc>
      </w:tr>
      <w:tr w:rsidR="005170AB" w:rsidRPr="005170AB" w:rsidTr="008D6F85">
        <w:trPr>
          <w:trHeight w:val="380"/>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5170AB" w:rsidRPr="005170AB" w:rsidRDefault="005170AB" w:rsidP="005170AB">
            <w:pPr>
              <w:spacing w:after="0" w:line="240" w:lineRule="auto"/>
              <w:jc w:val="center"/>
              <w:rPr>
                <w:rFonts w:ascii="Times New Roman" w:eastAsia="Times New Roman" w:hAnsi="Times New Roman" w:cs="Times New Roman"/>
                <w:color w:val="000000"/>
                <w:sz w:val="24"/>
                <w:szCs w:val="24"/>
              </w:rPr>
            </w:pPr>
            <w:r w:rsidRPr="005170AB">
              <w:rPr>
                <w:rFonts w:ascii="Times New Roman" w:eastAsia="Times New Roman" w:hAnsi="Times New Roman" w:cs="Times New Roman"/>
                <w:color w:val="000000"/>
                <w:sz w:val="24"/>
                <w:szCs w:val="24"/>
              </w:rPr>
              <w:t>JII</w:t>
            </w:r>
          </w:p>
        </w:tc>
        <w:tc>
          <w:tcPr>
            <w:tcW w:w="1640" w:type="dxa"/>
            <w:tcBorders>
              <w:top w:val="nil"/>
              <w:left w:val="nil"/>
              <w:bottom w:val="single" w:sz="4" w:space="0" w:color="auto"/>
              <w:right w:val="single" w:sz="4" w:space="0" w:color="auto"/>
            </w:tcBorders>
            <w:shd w:val="clear" w:color="auto" w:fill="auto"/>
            <w:noWrap/>
            <w:vAlign w:val="center"/>
            <w:hideMark/>
          </w:tcPr>
          <w:p w:rsidR="005170AB" w:rsidRPr="005170AB" w:rsidRDefault="005170AB" w:rsidP="005170AB">
            <w:pPr>
              <w:spacing w:after="0" w:line="240" w:lineRule="auto"/>
              <w:jc w:val="center"/>
              <w:rPr>
                <w:rFonts w:ascii="Times New Roman" w:eastAsia="Times New Roman" w:hAnsi="Times New Roman" w:cs="Times New Roman"/>
                <w:color w:val="000000"/>
                <w:sz w:val="24"/>
                <w:szCs w:val="24"/>
              </w:rPr>
            </w:pPr>
            <w:r w:rsidRPr="005170AB">
              <w:rPr>
                <w:rFonts w:ascii="Times New Roman" w:eastAsia="Times New Roman" w:hAnsi="Times New Roman" w:cs="Times New Roman"/>
                <w:color w:val="000000"/>
                <w:sz w:val="24"/>
                <w:szCs w:val="24"/>
              </w:rPr>
              <w:t>537,03</w:t>
            </w:r>
          </w:p>
        </w:tc>
        <w:tc>
          <w:tcPr>
            <w:tcW w:w="1640" w:type="dxa"/>
            <w:tcBorders>
              <w:top w:val="nil"/>
              <w:left w:val="nil"/>
              <w:bottom w:val="single" w:sz="4" w:space="0" w:color="auto"/>
              <w:right w:val="single" w:sz="4" w:space="0" w:color="auto"/>
            </w:tcBorders>
            <w:shd w:val="clear" w:color="auto" w:fill="auto"/>
            <w:noWrap/>
            <w:vAlign w:val="center"/>
            <w:hideMark/>
          </w:tcPr>
          <w:p w:rsidR="005170AB" w:rsidRPr="005170AB" w:rsidRDefault="005170AB" w:rsidP="005170AB">
            <w:pPr>
              <w:spacing w:after="0" w:line="240" w:lineRule="auto"/>
              <w:jc w:val="center"/>
              <w:rPr>
                <w:rFonts w:ascii="Times New Roman" w:eastAsia="Times New Roman" w:hAnsi="Times New Roman" w:cs="Times New Roman"/>
                <w:color w:val="000000"/>
                <w:sz w:val="24"/>
                <w:szCs w:val="24"/>
              </w:rPr>
            </w:pPr>
            <w:r w:rsidRPr="005170AB">
              <w:rPr>
                <w:rFonts w:ascii="Times New Roman" w:eastAsia="Times New Roman" w:hAnsi="Times New Roman" w:cs="Times New Roman"/>
                <w:color w:val="000000"/>
                <w:sz w:val="24"/>
                <w:szCs w:val="24"/>
              </w:rPr>
              <w:t>594,78</w:t>
            </w:r>
          </w:p>
        </w:tc>
        <w:tc>
          <w:tcPr>
            <w:tcW w:w="1640" w:type="dxa"/>
            <w:tcBorders>
              <w:top w:val="nil"/>
              <w:left w:val="nil"/>
              <w:bottom w:val="single" w:sz="4" w:space="0" w:color="auto"/>
              <w:right w:val="single" w:sz="4" w:space="0" w:color="auto"/>
            </w:tcBorders>
            <w:shd w:val="clear" w:color="auto" w:fill="auto"/>
            <w:noWrap/>
            <w:vAlign w:val="center"/>
            <w:hideMark/>
          </w:tcPr>
          <w:p w:rsidR="005170AB" w:rsidRPr="005170AB" w:rsidRDefault="005170AB" w:rsidP="005170AB">
            <w:pPr>
              <w:spacing w:after="0" w:line="240" w:lineRule="auto"/>
              <w:jc w:val="center"/>
              <w:rPr>
                <w:rFonts w:ascii="Times New Roman" w:eastAsia="Times New Roman" w:hAnsi="Times New Roman" w:cs="Times New Roman"/>
                <w:color w:val="000000"/>
                <w:sz w:val="24"/>
                <w:szCs w:val="24"/>
              </w:rPr>
            </w:pPr>
            <w:r w:rsidRPr="005170AB">
              <w:rPr>
                <w:rFonts w:ascii="Times New Roman" w:eastAsia="Times New Roman" w:hAnsi="Times New Roman" w:cs="Times New Roman"/>
                <w:color w:val="000000"/>
                <w:sz w:val="24"/>
                <w:szCs w:val="24"/>
              </w:rPr>
              <w:t>585,11</w:t>
            </w:r>
          </w:p>
        </w:tc>
        <w:tc>
          <w:tcPr>
            <w:tcW w:w="1640" w:type="dxa"/>
            <w:tcBorders>
              <w:top w:val="nil"/>
              <w:left w:val="nil"/>
              <w:bottom w:val="single" w:sz="4" w:space="0" w:color="auto"/>
              <w:right w:val="single" w:sz="4" w:space="0" w:color="auto"/>
            </w:tcBorders>
            <w:shd w:val="clear" w:color="auto" w:fill="auto"/>
            <w:noWrap/>
            <w:vAlign w:val="center"/>
            <w:hideMark/>
          </w:tcPr>
          <w:p w:rsidR="005170AB" w:rsidRPr="005170AB" w:rsidRDefault="005170AB" w:rsidP="005170AB">
            <w:pPr>
              <w:spacing w:after="0" w:line="240" w:lineRule="auto"/>
              <w:jc w:val="center"/>
              <w:rPr>
                <w:rFonts w:ascii="Times New Roman" w:eastAsia="Times New Roman" w:hAnsi="Times New Roman" w:cs="Times New Roman"/>
                <w:color w:val="000000"/>
                <w:sz w:val="24"/>
                <w:szCs w:val="24"/>
              </w:rPr>
            </w:pPr>
            <w:r w:rsidRPr="005170AB">
              <w:rPr>
                <w:rFonts w:ascii="Times New Roman" w:eastAsia="Times New Roman" w:hAnsi="Times New Roman" w:cs="Times New Roman"/>
                <w:color w:val="000000"/>
                <w:sz w:val="24"/>
                <w:szCs w:val="24"/>
              </w:rPr>
              <w:t>691,03</w:t>
            </w:r>
          </w:p>
        </w:tc>
      </w:tr>
      <w:tr w:rsidR="005170AB" w:rsidRPr="005170AB" w:rsidTr="008D6F85">
        <w:trPr>
          <w:trHeight w:val="380"/>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5170AB" w:rsidRPr="005170AB" w:rsidRDefault="005170AB" w:rsidP="005170AB">
            <w:pPr>
              <w:spacing w:after="0" w:line="240" w:lineRule="auto"/>
              <w:jc w:val="center"/>
              <w:rPr>
                <w:rFonts w:ascii="Times New Roman" w:eastAsia="Times New Roman" w:hAnsi="Times New Roman" w:cs="Times New Roman"/>
                <w:color w:val="000000"/>
                <w:sz w:val="24"/>
                <w:szCs w:val="24"/>
              </w:rPr>
            </w:pPr>
            <w:r w:rsidRPr="005170AB">
              <w:rPr>
                <w:rFonts w:ascii="Times New Roman" w:eastAsia="Times New Roman" w:hAnsi="Times New Roman" w:cs="Times New Roman"/>
                <w:color w:val="000000"/>
                <w:sz w:val="24"/>
                <w:szCs w:val="24"/>
              </w:rPr>
              <w:t>ISSI</w:t>
            </w:r>
          </w:p>
        </w:tc>
        <w:tc>
          <w:tcPr>
            <w:tcW w:w="1640" w:type="dxa"/>
            <w:tcBorders>
              <w:top w:val="nil"/>
              <w:left w:val="nil"/>
              <w:bottom w:val="single" w:sz="4" w:space="0" w:color="auto"/>
              <w:right w:val="single" w:sz="4" w:space="0" w:color="auto"/>
            </w:tcBorders>
            <w:shd w:val="clear" w:color="auto" w:fill="auto"/>
            <w:noWrap/>
            <w:vAlign w:val="center"/>
            <w:hideMark/>
          </w:tcPr>
          <w:p w:rsidR="005170AB" w:rsidRPr="005170AB" w:rsidRDefault="005170AB" w:rsidP="005170AB">
            <w:pPr>
              <w:spacing w:after="0" w:line="240" w:lineRule="auto"/>
              <w:jc w:val="center"/>
              <w:rPr>
                <w:rFonts w:ascii="Times New Roman" w:eastAsia="Times New Roman" w:hAnsi="Times New Roman" w:cs="Times New Roman"/>
                <w:color w:val="000000"/>
                <w:sz w:val="24"/>
                <w:szCs w:val="24"/>
              </w:rPr>
            </w:pPr>
            <w:r w:rsidRPr="005170AB">
              <w:rPr>
                <w:rFonts w:ascii="Times New Roman" w:eastAsia="Times New Roman" w:hAnsi="Times New Roman" w:cs="Times New Roman"/>
                <w:color w:val="000000"/>
                <w:sz w:val="24"/>
                <w:szCs w:val="24"/>
              </w:rPr>
              <w:t>125,35</w:t>
            </w:r>
          </w:p>
        </w:tc>
        <w:tc>
          <w:tcPr>
            <w:tcW w:w="1640" w:type="dxa"/>
            <w:tcBorders>
              <w:top w:val="nil"/>
              <w:left w:val="nil"/>
              <w:bottom w:val="single" w:sz="4" w:space="0" w:color="auto"/>
              <w:right w:val="single" w:sz="4" w:space="0" w:color="auto"/>
            </w:tcBorders>
            <w:shd w:val="clear" w:color="auto" w:fill="auto"/>
            <w:noWrap/>
            <w:vAlign w:val="center"/>
            <w:hideMark/>
          </w:tcPr>
          <w:p w:rsidR="005170AB" w:rsidRPr="005170AB" w:rsidRDefault="005170AB" w:rsidP="005170AB">
            <w:pPr>
              <w:spacing w:after="0" w:line="240" w:lineRule="auto"/>
              <w:jc w:val="center"/>
              <w:rPr>
                <w:rFonts w:ascii="Times New Roman" w:eastAsia="Times New Roman" w:hAnsi="Times New Roman" w:cs="Times New Roman"/>
                <w:color w:val="000000"/>
                <w:sz w:val="24"/>
                <w:szCs w:val="24"/>
              </w:rPr>
            </w:pPr>
            <w:r w:rsidRPr="005170AB">
              <w:rPr>
                <w:rFonts w:ascii="Times New Roman" w:eastAsia="Times New Roman" w:hAnsi="Times New Roman" w:cs="Times New Roman"/>
                <w:color w:val="000000"/>
                <w:sz w:val="24"/>
                <w:szCs w:val="24"/>
              </w:rPr>
              <w:t>144,99</w:t>
            </w:r>
          </w:p>
        </w:tc>
        <w:tc>
          <w:tcPr>
            <w:tcW w:w="1640" w:type="dxa"/>
            <w:tcBorders>
              <w:top w:val="nil"/>
              <w:left w:val="nil"/>
              <w:bottom w:val="single" w:sz="4" w:space="0" w:color="auto"/>
              <w:right w:val="single" w:sz="4" w:space="0" w:color="auto"/>
            </w:tcBorders>
            <w:shd w:val="clear" w:color="auto" w:fill="auto"/>
            <w:noWrap/>
            <w:vAlign w:val="center"/>
            <w:hideMark/>
          </w:tcPr>
          <w:p w:rsidR="005170AB" w:rsidRPr="005170AB" w:rsidRDefault="005170AB" w:rsidP="005170AB">
            <w:pPr>
              <w:spacing w:after="0" w:line="240" w:lineRule="auto"/>
              <w:jc w:val="center"/>
              <w:rPr>
                <w:rFonts w:ascii="Times New Roman" w:eastAsia="Times New Roman" w:hAnsi="Times New Roman" w:cs="Times New Roman"/>
                <w:color w:val="000000"/>
                <w:sz w:val="24"/>
                <w:szCs w:val="24"/>
              </w:rPr>
            </w:pPr>
            <w:r w:rsidRPr="005170AB">
              <w:rPr>
                <w:rFonts w:ascii="Times New Roman" w:eastAsia="Times New Roman" w:hAnsi="Times New Roman" w:cs="Times New Roman"/>
                <w:color w:val="000000"/>
                <w:sz w:val="24"/>
                <w:szCs w:val="24"/>
              </w:rPr>
              <w:t>143,70</w:t>
            </w:r>
          </w:p>
        </w:tc>
        <w:tc>
          <w:tcPr>
            <w:tcW w:w="1640" w:type="dxa"/>
            <w:tcBorders>
              <w:top w:val="nil"/>
              <w:left w:val="nil"/>
              <w:bottom w:val="single" w:sz="4" w:space="0" w:color="auto"/>
              <w:right w:val="single" w:sz="4" w:space="0" w:color="auto"/>
            </w:tcBorders>
            <w:shd w:val="clear" w:color="auto" w:fill="auto"/>
            <w:noWrap/>
            <w:vAlign w:val="center"/>
            <w:hideMark/>
          </w:tcPr>
          <w:p w:rsidR="005170AB" w:rsidRPr="005170AB" w:rsidRDefault="005170AB" w:rsidP="005170AB">
            <w:pPr>
              <w:spacing w:after="0" w:line="240" w:lineRule="auto"/>
              <w:jc w:val="center"/>
              <w:rPr>
                <w:rFonts w:ascii="Times New Roman" w:eastAsia="Times New Roman" w:hAnsi="Times New Roman" w:cs="Times New Roman"/>
                <w:color w:val="000000"/>
                <w:sz w:val="24"/>
                <w:szCs w:val="24"/>
              </w:rPr>
            </w:pPr>
            <w:r w:rsidRPr="005170AB">
              <w:rPr>
                <w:rFonts w:ascii="Times New Roman" w:eastAsia="Times New Roman" w:hAnsi="Times New Roman" w:cs="Times New Roman"/>
                <w:color w:val="000000"/>
                <w:sz w:val="24"/>
                <w:szCs w:val="24"/>
              </w:rPr>
              <w:t>168,63</w:t>
            </w:r>
          </w:p>
        </w:tc>
      </w:tr>
      <w:tr w:rsidR="005170AB" w:rsidRPr="005170AB" w:rsidTr="008D6F85">
        <w:trPr>
          <w:trHeight w:val="380"/>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5170AB" w:rsidRPr="005170AB" w:rsidRDefault="0028044D" w:rsidP="005170A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LQ</w:t>
            </w:r>
            <w:r w:rsidR="005170AB" w:rsidRPr="005170AB">
              <w:rPr>
                <w:rFonts w:ascii="Times New Roman" w:eastAsia="Times New Roman" w:hAnsi="Times New Roman" w:cs="Times New Roman"/>
                <w:color w:val="000000"/>
                <w:sz w:val="24"/>
                <w:szCs w:val="24"/>
              </w:rPr>
              <w:t>45</w:t>
            </w:r>
          </w:p>
        </w:tc>
        <w:tc>
          <w:tcPr>
            <w:tcW w:w="1640" w:type="dxa"/>
            <w:tcBorders>
              <w:top w:val="nil"/>
              <w:left w:val="nil"/>
              <w:bottom w:val="single" w:sz="4" w:space="0" w:color="auto"/>
              <w:right w:val="single" w:sz="4" w:space="0" w:color="auto"/>
            </w:tcBorders>
            <w:shd w:val="clear" w:color="auto" w:fill="auto"/>
            <w:noWrap/>
            <w:vAlign w:val="center"/>
            <w:hideMark/>
          </w:tcPr>
          <w:p w:rsidR="005170AB" w:rsidRPr="005170AB" w:rsidRDefault="005170AB" w:rsidP="005170AB">
            <w:pPr>
              <w:spacing w:after="0" w:line="240" w:lineRule="auto"/>
              <w:jc w:val="center"/>
              <w:rPr>
                <w:rFonts w:ascii="Times New Roman" w:eastAsia="Times New Roman" w:hAnsi="Times New Roman" w:cs="Times New Roman"/>
                <w:color w:val="000000"/>
                <w:sz w:val="24"/>
                <w:szCs w:val="24"/>
              </w:rPr>
            </w:pPr>
            <w:r w:rsidRPr="005170AB">
              <w:rPr>
                <w:rFonts w:ascii="Times New Roman" w:eastAsia="Times New Roman" w:hAnsi="Times New Roman" w:cs="Times New Roman"/>
                <w:color w:val="000000"/>
                <w:sz w:val="24"/>
                <w:szCs w:val="24"/>
              </w:rPr>
              <w:t>673,51</w:t>
            </w:r>
          </w:p>
        </w:tc>
        <w:tc>
          <w:tcPr>
            <w:tcW w:w="1640" w:type="dxa"/>
            <w:tcBorders>
              <w:top w:val="nil"/>
              <w:left w:val="nil"/>
              <w:bottom w:val="single" w:sz="4" w:space="0" w:color="auto"/>
              <w:right w:val="single" w:sz="4" w:space="0" w:color="auto"/>
            </w:tcBorders>
            <w:shd w:val="clear" w:color="auto" w:fill="auto"/>
            <w:noWrap/>
            <w:vAlign w:val="center"/>
            <w:hideMark/>
          </w:tcPr>
          <w:p w:rsidR="005170AB" w:rsidRPr="005170AB" w:rsidRDefault="005170AB" w:rsidP="005170AB">
            <w:pPr>
              <w:spacing w:after="0" w:line="240" w:lineRule="auto"/>
              <w:jc w:val="center"/>
              <w:rPr>
                <w:rFonts w:ascii="Times New Roman" w:eastAsia="Times New Roman" w:hAnsi="Times New Roman" w:cs="Times New Roman"/>
                <w:color w:val="000000"/>
                <w:sz w:val="24"/>
                <w:szCs w:val="24"/>
              </w:rPr>
            </w:pPr>
            <w:r w:rsidRPr="005170AB">
              <w:rPr>
                <w:rFonts w:ascii="Times New Roman" w:eastAsia="Times New Roman" w:hAnsi="Times New Roman" w:cs="Times New Roman"/>
                <w:color w:val="000000"/>
                <w:sz w:val="24"/>
                <w:szCs w:val="24"/>
              </w:rPr>
              <w:t>735,04</w:t>
            </w:r>
          </w:p>
        </w:tc>
        <w:tc>
          <w:tcPr>
            <w:tcW w:w="1640" w:type="dxa"/>
            <w:tcBorders>
              <w:top w:val="nil"/>
              <w:left w:val="nil"/>
              <w:bottom w:val="single" w:sz="4" w:space="0" w:color="auto"/>
              <w:right w:val="single" w:sz="4" w:space="0" w:color="auto"/>
            </w:tcBorders>
            <w:shd w:val="clear" w:color="auto" w:fill="auto"/>
            <w:noWrap/>
            <w:vAlign w:val="center"/>
            <w:hideMark/>
          </w:tcPr>
          <w:p w:rsidR="005170AB" w:rsidRPr="005170AB" w:rsidRDefault="005170AB" w:rsidP="005170AB">
            <w:pPr>
              <w:spacing w:after="0" w:line="240" w:lineRule="auto"/>
              <w:jc w:val="center"/>
              <w:rPr>
                <w:rFonts w:ascii="Times New Roman" w:eastAsia="Times New Roman" w:hAnsi="Times New Roman" w:cs="Times New Roman"/>
                <w:color w:val="000000"/>
                <w:sz w:val="24"/>
                <w:szCs w:val="24"/>
              </w:rPr>
            </w:pPr>
            <w:r w:rsidRPr="005170AB">
              <w:rPr>
                <w:rFonts w:ascii="Times New Roman" w:eastAsia="Times New Roman" w:hAnsi="Times New Roman" w:cs="Times New Roman"/>
                <w:color w:val="000000"/>
                <w:sz w:val="24"/>
                <w:szCs w:val="24"/>
              </w:rPr>
              <w:t>711,14</w:t>
            </w:r>
          </w:p>
        </w:tc>
        <w:tc>
          <w:tcPr>
            <w:tcW w:w="1640" w:type="dxa"/>
            <w:tcBorders>
              <w:top w:val="nil"/>
              <w:left w:val="nil"/>
              <w:bottom w:val="single" w:sz="4" w:space="0" w:color="auto"/>
              <w:right w:val="single" w:sz="4" w:space="0" w:color="auto"/>
            </w:tcBorders>
            <w:shd w:val="clear" w:color="auto" w:fill="auto"/>
            <w:noWrap/>
            <w:vAlign w:val="center"/>
            <w:hideMark/>
          </w:tcPr>
          <w:p w:rsidR="005170AB" w:rsidRPr="005170AB" w:rsidRDefault="005170AB" w:rsidP="005170AB">
            <w:pPr>
              <w:spacing w:after="0" w:line="240" w:lineRule="auto"/>
              <w:jc w:val="center"/>
              <w:rPr>
                <w:rFonts w:ascii="Times New Roman" w:eastAsia="Times New Roman" w:hAnsi="Times New Roman" w:cs="Times New Roman"/>
                <w:color w:val="000000"/>
                <w:sz w:val="24"/>
                <w:szCs w:val="24"/>
              </w:rPr>
            </w:pPr>
            <w:r w:rsidRPr="005170AB">
              <w:rPr>
                <w:rFonts w:ascii="Times New Roman" w:eastAsia="Times New Roman" w:hAnsi="Times New Roman" w:cs="Times New Roman"/>
                <w:color w:val="000000"/>
                <w:sz w:val="24"/>
                <w:szCs w:val="24"/>
              </w:rPr>
              <w:t>898,58</w:t>
            </w:r>
          </w:p>
        </w:tc>
      </w:tr>
    </w:tbl>
    <w:p w:rsidR="006D43D4" w:rsidRDefault="00A14978" w:rsidP="009C1D72">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hyperlink r:id="rId14" w:history="1">
        <w:r w:rsidR="00420277" w:rsidRPr="00AF68F4">
          <w:rPr>
            <w:rStyle w:val="Hyperlink"/>
            <w:rFonts w:ascii="Times New Roman" w:hAnsi="Times New Roman" w:cs="Times New Roman"/>
            <w:color w:val="auto"/>
            <w:sz w:val="24"/>
            <w:szCs w:val="24"/>
          </w:rPr>
          <w:t>www.ojk.go.id</w:t>
        </w:r>
      </w:hyperlink>
      <w:r w:rsidR="00420277" w:rsidRPr="00327D87">
        <w:rPr>
          <w:rFonts w:ascii="Times New Roman" w:hAnsi="Times New Roman" w:cs="Times New Roman"/>
          <w:sz w:val="24"/>
          <w:szCs w:val="24"/>
        </w:rPr>
        <w:t xml:space="preserve"> (data diolah peneliti)</w:t>
      </w:r>
    </w:p>
    <w:p w:rsidR="00A14978" w:rsidRDefault="00A14978" w:rsidP="009C1D7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tabel 1.2 dapat dilihat bahwa saham ISSI pada tahun 2011 memiliki indeks saham sebesar 125,35 dan meningkat pada tahun 2012. Namun pada tahun 2013 indeks saham ini menurun,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halnya dengan indeks JII dan LQ45</w:t>
      </w:r>
      <w:r w:rsidR="00F738C3">
        <w:rPr>
          <w:rFonts w:ascii="Times New Roman" w:hAnsi="Times New Roman" w:cs="Times New Roman"/>
          <w:sz w:val="24"/>
          <w:szCs w:val="24"/>
        </w:rPr>
        <w:t xml:space="preserve">. </w:t>
      </w:r>
      <w:proofErr w:type="gramStart"/>
      <w:r w:rsidR="00F738C3">
        <w:rPr>
          <w:rFonts w:ascii="Times New Roman" w:hAnsi="Times New Roman" w:cs="Times New Roman"/>
          <w:sz w:val="24"/>
          <w:szCs w:val="24"/>
        </w:rPr>
        <w:t>T</w:t>
      </w:r>
      <w:r>
        <w:rPr>
          <w:rFonts w:ascii="Times New Roman" w:hAnsi="Times New Roman" w:cs="Times New Roman"/>
          <w:sz w:val="24"/>
          <w:szCs w:val="24"/>
        </w:rPr>
        <w:t xml:space="preserve">etapi jika dibandingkan </w:t>
      </w:r>
      <w:r w:rsidR="00F738C3">
        <w:rPr>
          <w:rFonts w:ascii="Times New Roman" w:hAnsi="Times New Roman" w:cs="Times New Roman"/>
          <w:sz w:val="24"/>
          <w:szCs w:val="24"/>
        </w:rPr>
        <w:t>dengan JII dan LQ45, indeks ISSI masih dikatakan stabil karena hanya menurun sedikit.</w:t>
      </w:r>
      <w:proofErr w:type="gramEnd"/>
      <w:r w:rsidR="00F738C3">
        <w:rPr>
          <w:rFonts w:ascii="Times New Roman" w:hAnsi="Times New Roman" w:cs="Times New Roman"/>
          <w:sz w:val="24"/>
          <w:szCs w:val="24"/>
        </w:rPr>
        <w:t xml:space="preserve"> </w:t>
      </w:r>
      <w:proofErr w:type="gramStart"/>
      <w:r w:rsidR="00F738C3">
        <w:rPr>
          <w:rFonts w:ascii="Times New Roman" w:hAnsi="Times New Roman" w:cs="Times New Roman"/>
          <w:sz w:val="24"/>
          <w:szCs w:val="24"/>
        </w:rPr>
        <w:t>Dan pada tahun 2014 ISSI kembali meningkat.</w:t>
      </w:r>
      <w:proofErr w:type="gramEnd"/>
    </w:p>
    <w:p w:rsidR="000B478C" w:rsidRDefault="000B478C" w:rsidP="009C1D72">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Sama halnya dengan saham di BEI, saham yang tergabung di ISSI juga dibagi menjadi beberapa sektor dan sub sektor.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penelitian ini penulis </w:t>
      </w:r>
      <w:r w:rsidR="00BC4821">
        <w:rPr>
          <w:rFonts w:ascii="Times New Roman" w:hAnsi="Times New Roman" w:cs="Times New Roman"/>
          <w:sz w:val="24"/>
          <w:szCs w:val="24"/>
        </w:rPr>
        <w:lastRenderedPageBreak/>
        <w:t>menggunakan industri barang konsumsi sebagai sampel karena sektor barang konsumsi adalah sektor yang berkembang di Indonesia.</w:t>
      </w:r>
      <w:proofErr w:type="gramEnd"/>
      <w:r w:rsidR="00BC4821">
        <w:rPr>
          <w:rFonts w:ascii="Times New Roman" w:hAnsi="Times New Roman" w:cs="Times New Roman"/>
          <w:sz w:val="24"/>
          <w:szCs w:val="24"/>
        </w:rPr>
        <w:t xml:space="preserve"> Selain itu sub sektor makanan dan minuman merupakan sal</w:t>
      </w:r>
      <w:r w:rsidR="00B5478B">
        <w:rPr>
          <w:rFonts w:ascii="Times New Roman" w:hAnsi="Times New Roman" w:cs="Times New Roman"/>
          <w:sz w:val="24"/>
          <w:szCs w:val="24"/>
        </w:rPr>
        <w:t>ah satu sub sektor dari industri</w:t>
      </w:r>
      <w:r w:rsidR="00BC4821">
        <w:rPr>
          <w:rFonts w:ascii="Times New Roman" w:hAnsi="Times New Roman" w:cs="Times New Roman"/>
          <w:sz w:val="24"/>
          <w:szCs w:val="24"/>
        </w:rPr>
        <w:t xml:space="preserve"> barang konsumsi yang pertumbuhannya bagus dan kebal </w:t>
      </w:r>
      <w:proofErr w:type="gramStart"/>
      <w:r w:rsidR="00BC4821">
        <w:rPr>
          <w:rFonts w:ascii="Times New Roman" w:hAnsi="Times New Roman" w:cs="Times New Roman"/>
          <w:sz w:val="24"/>
          <w:szCs w:val="24"/>
        </w:rPr>
        <w:t>akan</w:t>
      </w:r>
      <w:proofErr w:type="gramEnd"/>
      <w:r w:rsidR="00BC4821">
        <w:rPr>
          <w:rFonts w:ascii="Times New Roman" w:hAnsi="Times New Roman" w:cs="Times New Roman"/>
          <w:sz w:val="24"/>
          <w:szCs w:val="24"/>
        </w:rPr>
        <w:t xml:space="preserve"> krisis serta fluktuasi perekonomian yang terjadi. </w:t>
      </w:r>
      <w:proofErr w:type="gramStart"/>
      <w:r w:rsidR="00BC4821">
        <w:rPr>
          <w:rFonts w:ascii="Times New Roman" w:hAnsi="Times New Roman" w:cs="Times New Roman"/>
          <w:sz w:val="24"/>
          <w:szCs w:val="24"/>
        </w:rPr>
        <w:t>Hal ini dikarenakan makanan dan minuman merupakan kebutuhan sehari – hari dan harus dipenuhi selama manusia masih hidup.</w:t>
      </w:r>
      <w:proofErr w:type="gramEnd"/>
    </w:p>
    <w:p w:rsidR="00420277" w:rsidRDefault="006E5F2F" w:rsidP="009C1D72">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3520C5" w:rsidRPr="003520C5">
        <w:rPr>
          <w:rFonts w:ascii="Times New Roman" w:hAnsi="Times New Roman" w:cs="Times New Roman"/>
          <w:i/>
          <w:sz w:val="24"/>
          <w:szCs w:val="24"/>
        </w:rPr>
        <w:t>C</w:t>
      </w:r>
      <w:r w:rsidRPr="00BD5F30">
        <w:rPr>
          <w:rFonts w:ascii="Times New Roman" w:hAnsi="Times New Roman" w:cs="Times New Roman"/>
          <w:i/>
          <w:sz w:val="24"/>
          <w:szCs w:val="24"/>
        </w:rPr>
        <w:t>urrent ratio</w:t>
      </w:r>
      <w:r w:rsidRPr="00817688">
        <w:rPr>
          <w:rFonts w:ascii="Times New Roman" w:hAnsi="Times New Roman" w:cs="Times New Roman"/>
          <w:sz w:val="24"/>
          <w:szCs w:val="24"/>
        </w:rPr>
        <w:t xml:space="preserve"> </w:t>
      </w:r>
      <w:r w:rsidRPr="00817688">
        <w:rPr>
          <w:rFonts w:ascii="Times New Roman" w:eastAsiaTheme="minorEastAsia" w:hAnsi="Times New Roman" w:cs="Times New Roman"/>
          <w:sz w:val="24"/>
          <w:szCs w:val="24"/>
        </w:rPr>
        <w:t>adalah rasio yang diukur dengan membandingkan aktiva lancar terhadap hutang jangka pendek.</w:t>
      </w:r>
      <w:proofErr w:type="gramEnd"/>
      <w:r>
        <w:rPr>
          <w:rFonts w:ascii="Times New Roman" w:hAnsi="Times New Roman" w:cs="Times New Roman"/>
          <w:sz w:val="24"/>
          <w:szCs w:val="24"/>
        </w:rPr>
        <w:t xml:space="preserve"> </w:t>
      </w:r>
      <w:r w:rsidR="002D6891">
        <w:rPr>
          <w:rFonts w:ascii="Times New Roman" w:hAnsi="Times New Roman" w:cs="Times New Roman"/>
          <w:sz w:val="24"/>
          <w:szCs w:val="24"/>
        </w:rPr>
        <w:t xml:space="preserve">Berikut adalah grafik rata – rata </w:t>
      </w:r>
      <w:r w:rsidR="002D6891" w:rsidRPr="002D6891">
        <w:rPr>
          <w:rFonts w:ascii="Times New Roman" w:hAnsi="Times New Roman" w:cs="Times New Roman"/>
          <w:i/>
          <w:sz w:val="24"/>
          <w:szCs w:val="24"/>
        </w:rPr>
        <w:t>current ratio</w:t>
      </w:r>
      <w:r w:rsidR="002D6891">
        <w:rPr>
          <w:rFonts w:ascii="Times New Roman" w:hAnsi="Times New Roman" w:cs="Times New Roman"/>
          <w:sz w:val="24"/>
          <w:szCs w:val="24"/>
        </w:rPr>
        <w:t xml:space="preserve"> pada perusahaan industri barang konsumsi sub sektor makanan dan minuman yang termasuk ke dalam ISSI pada periode 2011 – 2014 dalam ben</w:t>
      </w:r>
      <w:r>
        <w:rPr>
          <w:rFonts w:ascii="Times New Roman" w:hAnsi="Times New Roman" w:cs="Times New Roman"/>
          <w:sz w:val="24"/>
          <w:szCs w:val="24"/>
        </w:rPr>
        <w:t>tuk persen (%):</w:t>
      </w:r>
    </w:p>
    <w:p w:rsidR="006E5F2F" w:rsidRDefault="002D6891" w:rsidP="001651A3">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90975" cy="199072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5F2F" w:rsidRDefault="006E5F2F" w:rsidP="001651A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hyperlink r:id="rId16" w:history="1">
        <w:r w:rsidRPr="006E5F2F">
          <w:rPr>
            <w:rStyle w:val="Hyperlink"/>
            <w:rFonts w:ascii="Times New Roman" w:hAnsi="Times New Roman" w:cs="Times New Roman"/>
            <w:color w:val="000000" w:themeColor="text1"/>
            <w:sz w:val="24"/>
            <w:szCs w:val="24"/>
          </w:rPr>
          <w:t>www.idx.co.id</w:t>
        </w:r>
      </w:hyperlink>
      <w:r w:rsidRPr="006E5F2F">
        <w:rPr>
          <w:rFonts w:ascii="Times New Roman" w:hAnsi="Times New Roman" w:cs="Times New Roman"/>
          <w:color w:val="000000" w:themeColor="text1"/>
          <w:sz w:val="24"/>
          <w:szCs w:val="24"/>
        </w:rPr>
        <w:t xml:space="preserve"> </w:t>
      </w:r>
      <w:r w:rsidRPr="00327D87">
        <w:rPr>
          <w:rFonts w:ascii="Times New Roman" w:hAnsi="Times New Roman" w:cs="Times New Roman"/>
          <w:sz w:val="24"/>
          <w:szCs w:val="24"/>
        </w:rPr>
        <w:t>(data diolah peneliti)</w:t>
      </w:r>
    </w:p>
    <w:p w:rsidR="00136657" w:rsidRDefault="00136657" w:rsidP="001651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w:t>
      </w:r>
      <w:r w:rsidR="00F70C49">
        <w:rPr>
          <w:rFonts w:ascii="Times New Roman" w:hAnsi="Times New Roman" w:cs="Times New Roman"/>
          <w:b/>
          <w:sz w:val="24"/>
          <w:szCs w:val="24"/>
        </w:rPr>
        <w:t>ambar</w:t>
      </w:r>
      <w:r>
        <w:rPr>
          <w:rFonts w:ascii="Times New Roman" w:hAnsi="Times New Roman" w:cs="Times New Roman"/>
          <w:b/>
          <w:sz w:val="24"/>
          <w:szCs w:val="24"/>
        </w:rPr>
        <w:t xml:space="preserve"> 1.2</w:t>
      </w:r>
    </w:p>
    <w:p w:rsidR="00136657" w:rsidRPr="00136657" w:rsidRDefault="00136657" w:rsidP="00E3292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Grafik Rata – Rata Per Tahun </w:t>
      </w:r>
      <w:r w:rsidRPr="00B5478B">
        <w:rPr>
          <w:rFonts w:ascii="Times New Roman" w:hAnsi="Times New Roman" w:cs="Times New Roman"/>
          <w:b/>
          <w:i/>
          <w:sz w:val="24"/>
          <w:szCs w:val="24"/>
        </w:rPr>
        <w:t>Current Ratio</w:t>
      </w:r>
      <w:r>
        <w:rPr>
          <w:rFonts w:ascii="Times New Roman" w:hAnsi="Times New Roman" w:cs="Times New Roman"/>
          <w:b/>
          <w:sz w:val="24"/>
          <w:szCs w:val="24"/>
        </w:rPr>
        <w:t xml:space="preserve"> Pada Industri Barang Konsumsi Sub Sektor Mak</w:t>
      </w:r>
      <w:r w:rsidR="000F2364">
        <w:rPr>
          <w:rFonts w:ascii="Times New Roman" w:hAnsi="Times New Roman" w:cs="Times New Roman"/>
          <w:b/>
          <w:sz w:val="24"/>
          <w:szCs w:val="24"/>
        </w:rPr>
        <w:t>anan dan Minuman yang Termasuk d</w:t>
      </w:r>
      <w:r>
        <w:rPr>
          <w:rFonts w:ascii="Times New Roman" w:hAnsi="Times New Roman" w:cs="Times New Roman"/>
          <w:b/>
          <w:sz w:val="24"/>
          <w:szCs w:val="24"/>
        </w:rPr>
        <w:t>i ISSI Tahun 2011 - 2014</w:t>
      </w:r>
    </w:p>
    <w:p w:rsidR="00B42F05" w:rsidRDefault="005B5CA2" w:rsidP="009C1D7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G</w:t>
      </w:r>
      <w:r w:rsidR="00B5478B">
        <w:rPr>
          <w:rFonts w:ascii="Times New Roman" w:hAnsi="Times New Roman" w:cs="Times New Roman"/>
          <w:sz w:val="24"/>
          <w:szCs w:val="24"/>
        </w:rPr>
        <w:t>ambar</w:t>
      </w:r>
      <w:r>
        <w:rPr>
          <w:rFonts w:ascii="Times New Roman" w:hAnsi="Times New Roman" w:cs="Times New Roman"/>
          <w:sz w:val="24"/>
          <w:szCs w:val="24"/>
        </w:rPr>
        <w:t xml:space="preserve"> 1.2 menunjukkan rata – rata kondisi </w:t>
      </w:r>
      <w:r w:rsidRPr="00B5478B">
        <w:rPr>
          <w:rFonts w:ascii="Times New Roman" w:hAnsi="Times New Roman" w:cs="Times New Roman"/>
          <w:i/>
          <w:sz w:val="24"/>
          <w:szCs w:val="24"/>
        </w:rPr>
        <w:t>current ratio</w:t>
      </w:r>
      <w:r>
        <w:rPr>
          <w:rFonts w:ascii="Times New Roman" w:hAnsi="Times New Roman" w:cs="Times New Roman"/>
          <w:sz w:val="24"/>
          <w:szCs w:val="24"/>
        </w:rPr>
        <w:t xml:space="preserve"> pada perusahaan industri barang konsumsi sub sektor makanan dan minuman dari tahun 2011 sampai 2014.</w:t>
      </w:r>
      <w:proofErr w:type="gramEnd"/>
      <w:r>
        <w:rPr>
          <w:rFonts w:ascii="Times New Roman" w:hAnsi="Times New Roman" w:cs="Times New Roman"/>
          <w:sz w:val="24"/>
          <w:szCs w:val="24"/>
        </w:rPr>
        <w:t xml:space="preserve"> Pada tahun 2011 kondisi </w:t>
      </w:r>
      <w:r w:rsidRPr="00B5478B">
        <w:rPr>
          <w:rFonts w:ascii="Times New Roman" w:hAnsi="Times New Roman" w:cs="Times New Roman"/>
          <w:i/>
          <w:sz w:val="24"/>
          <w:szCs w:val="24"/>
        </w:rPr>
        <w:t>current ratio</w:t>
      </w:r>
      <w:r>
        <w:rPr>
          <w:rFonts w:ascii="Times New Roman" w:hAnsi="Times New Roman" w:cs="Times New Roman"/>
          <w:sz w:val="24"/>
          <w:szCs w:val="24"/>
        </w:rPr>
        <w:t xml:space="preserve"> berada di angka 179</w:t>
      </w:r>
      <w:proofErr w:type="gramStart"/>
      <w:r>
        <w:rPr>
          <w:rFonts w:ascii="Times New Roman" w:hAnsi="Times New Roman" w:cs="Times New Roman"/>
          <w:sz w:val="24"/>
          <w:szCs w:val="24"/>
        </w:rPr>
        <w:t>,07</w:t>
      </w:r>
      <w:proofErr w:type="gramEnd"/>
      <w:r>
        <w:rPr>
          <w:rFonts w:ascii="Times New Roman" w:hAnsi="Times New Roman" w:cs="Times New Roman"/>
          <w:sz w:val="24"/>
          <w:szCs w:val="24"/>
        </w:rPr>
        <w:t xml:space="preserve">%. Pada tahun berikutnya </w:t>
      </w:r>
      <w:r w:rsidRPr="00B5478B">
        <w:rPr>
          <w:rFonts w:ascii="Times New Roman" w:hAnsi="Times New Roman" w:cs="Times New Roman"/>
          <w:i/>
          <w:sz w:val="24"/>
          <w:szCs w:val="24"/>
        </w:rPr>
        <w:t>current ratio</w:t>
      </w:r>
      <w:r>
        <w:rPr>
          <w:rFonts w:ascii="Times New Roman" w:hAnsi="Times New Roman" w:cs="Times New Roman"/>
          <w:sz w:val="24"/>
          <w:szCs w:val="24"/>
        </w:rPr>
        <w:t xml:space="preserve"> menurun ke angka 170</w:t>
      </w:r>
      <w:proofErr w:type="gramStart"/>
      <w:r>
        <w:rPr>
          <w:rFonts w:ascii="Times New Roman" w:hAnsi="Times New Roman" w:cs="Times New Roman"/>
          <w:sz w:val="24"/>
          <w:szCs w:val="24"/>
        </w:rPr>
        <w:t>,87</w:t>
      </w:r>
      <w:proofErr w:type="gramEnd"/>
      <w:r>
        <w:rPr>
          <w:rFonts w:ascii="Times New Roman" w:hAnsi="Times New Roman" w:cs="Times New Roman"/>
          <w:sz w:val="24"/>
          <w:szCs w:val="24"/>
        </w:rPr>
        <w:t>% atau turun 8,2% dari tahun sebelumnya. Selanjutnya di tahun 2013 kondisinya naik sebesar 5</w:t>
      </w:r>
      <w:proofErr w:type="gramStart"/>
      <w:r>
        <w:rPr>
          <w:rFonts w:ascii="Times New Roman" w:hAnsi="Times New Roman" w:cs="Times New Roman"/>
          <w:sz w:val="24"/>
          <w:szCs w:val="24"/>
        </w:rPr>
        <w:t>,65</w:t>
      </w:r>
      <w:proofErr w:type="gramEnd"/>
      <w:r>
        <w:rPr>
          <w:rFonts w:ascii="Times New Roman" w:hAnsi="Times New Roman" w:cs="Times New Roman"/>
          <w:sz w:val="24"/>
          <w:szCs w:val="24"/>
        </w:rPr>
        <w:t xml:space="preserve">% menjadi 176,52%. Pada tahun selanjutnya yaitu 2014 </w:t>
      </w:r>
      <w:r w:rsidRPr="00B5478B">
        <w:rPr>
          <w:rFonts w:ascii="Times New Roman" w:hAnsi="Times New Roman" w:cs="Times New Roman"/>
          <w:i/>
          <w:sz w:val="24"/>
          <w:szCs w:val="24"/>
        </w:rPr>
        <w:t>current ratio</w:t>
      </w:r>
      <w:r>
        <w:rPr>
          <w:rFonts w:ascii="Times New Roman" w:hAnsi="Times New Roman" w:cs="Times New Roman"/>
          <w:sz w:val="24"/>
          <w:szCs w:val="24"/>
        </w:rPr>
        <w:t xml:space="preserve"> kembali naik ke angka 186</w:t>
      </w:r>
      <w:proofErr w:type="gramStart"/>
      <w:r>
        <w:rPr>
          <w:rFonts w:ascii="Times New Roman" w:hAnsi="Times New Roman" w:cs="Times New Roman"/>
          <w:sz w:val="24"/>
          <w:szCs w:val="24"/>
        </w:rPr>
        <w:t>,35</w:t>
      </w:r>
      <w:proofErr w:type="gramEnd"/>
      <w:r>
        <w:rPr>
          <w:rFonts w:ascii="Times New Roman" w:hAnsi="Times New Roman" w:cs="Times New Roman"/>
          <w:sz w:val="24"/>
          <w:szCs w:val="24"/>
        </w:rPr>
        <w:t>%.</w:t>
      </w:r>
    </w:p>
    <w:p w:rsidR="00F70C49" w:rsidRPr="00817688" w:rsidRDefault="000A022A" w:rsidP="00F70C49">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F70C49" w:rsidRPr="00B5478B">
        <w:rPr>
          <w:rFonts w:ascii="Times New Roman" w:hAnsi="Times New Roman" w:cs="Times New Roman"/>
          <w:i/>
          <w:sz w:val="24"/>
          <w:szCs w:val="24"/>
        </w:rPr>
        <w:t>Debt to Equity Ratio</w:t>
      </w:r>
      <w:r w:rsidR="00F70C49" w:rsidRPr="00817688">
        <w:rPr>
          <w:rFonts w:ascii="Times New Roman" w:hAnsi="Times New Roman" w:cs="Times New Roman"/>
          <w:sz w:val="24"/>
          <w:szCs w:val="24"/>
        </w:rPr>
        <w:t xml:space="preserve"> (DER) adalah rasio yang menggambarkan perbandingan utang dan ekuitas dalam pendanaan perusahaan dan menunjukkan kemampuan modal sendiri perusahaan tersebut untuk memenuhi seluruh kewajibannya.</w:t>
      </w:r>
      <w:proofErr w:type="gramEnd"/>
      <w:r w:rsidR="00F70C49" w:rsidRPr="00817688">
        <w:rPr>
          <w:rFonts w:ascii="Times New Roman" w:hAnsi="Times New Roman" w:cs="Times New Roman"/>
          <w:sz w:val="24"/>
          <w:szCs w:val="24"/>
        </w:rPr>
        <w:t xml:space="preserve"> </w:t>
      </w:r>
      <w:proofErr w:type="gramStart"/>
      <w:r w:rsidR="00F70C49" w:rsidRPr="00817688">
        <w:rPr>
          <w:rFonts w:ascii="Times New Roman" w:hAnsi="Times New Roman" w:cs="Times New Roman"/>
          <w:sz w:val="24"/>
          <w:szCs w:val="24"/>
        </w:rPr>
        <w:t>Rasio ini mengambarkan sampai sejauh mana modal pemilik dapat menutupi utang – utang kepada pihak luar</w:t>
      </w:r>
      <w:r w:rsidR="00F70C49">
        <w:rPr>
          <w:rFonts w:ascii="Times New Roman" w:hAnsi="Times New Roman" w:cs="Times New Roman"/>
          <w:sz w:val="24"/>
          <w:szCs w:val="24"/>
        </w:rPr>
        <w:t>.</w:t>
      </w:r>
      <w:proofErr w:type="gramEnd"/>
      <w:r w:rsidR="00F70C49">
        <w:rPr>
          <w:rFonts w:ascii="Times New Roman" w:hAnsi="Times New Roman" w:cs="Times New Roman"/>
          <w:sz w:val="24"/>
          <w:szCs w:val="24"/>
        </w:rPr>
        <w:t xml:space="preserve"> </w:t>
      </w:r>
      <w:proofErr w:type="gramStart"/>
      <w:r w:rsidR="00F70C49" w:rsidRPr="00817688">
        <w:rPr>
          <w:rFonts w:ascii="Times New Roman" w:hAnsi="Times New Roman" w:cs="Times New Roman"/>
          <w:sz w:val="24"/>
          <w:szCs w:val="24"/>
        </w:rPr>
        <w:t>Semakin kecil rasio ini semakin baik.</w:t>
      </w:r>
      <w:proofErr w:type="gramEnd"/>
      <w:r w:rsidR="00F70C49" w:rsidRPr="00817688">
        <w:rPr>
          <w:rFonts w:ascii="Times New Roman" w:hAnsi="Times New Roman" w:cs="Times New Roman"/>
          <w:sz w:val="24"/>
          <w:szCs w:val="24"/>
        </w:rPr>
        <w:t xml:space="preserve"> </w:t>
      </w:r>
      <w:proofErr w:type="gramStart"/>
      <w:r w:rsidR="00F70C49" w:rsidRPr="00817688">
        <w:rPr>
          <w:rFonts w:ascii="Times New Roman" w:hAnsi="Times New Roman" w:cs="Times New Roman"/>
          <w:sz w:val="24"/>
          <w:szCs w:val="24"/>
        </w:rPr>
        <w:t xml:space="preserve">Rasio ini disebut juga rasio </w:t>
      </w:r>
      <w:r w:rsidR="00F70C49" w:rsidRPr="00BD5F30">
        <w:rPr>
          <w:rFonts w:ascii="Times New Roman" w:hAnsi="Times New Roman" w:cs="Times New Roman"/>
          <w:i/>
          <w:sz w:val="24"/>
          <w:szCs w:val="24"/>
        </w:rPr>
        <w:t>leverage</w:t>
      </w:r>
      <w:r w:rsidR="00F70C49" w:rsidRPr="00817688">
        <w:rPr>
          <w:rFonts w:ascii="Times New Roman" w:hAnsi="Times New Roman" w:cs="Times New Roman"/>
          <w:sz w:val="24"/>
          <w:szCs w:val="24"/>
        </w:rPr>
        <w:t>.</w:t>
      </w:r>
      <w:proofErr w:type="gramEnd"/>
      <w:r w:rsidR="00F70C49" w:rsidRPr="00817688">
        <w:rPr>
          <w:rFonts w:ascii="Times New Roman" w:hAnsi="Times New Roman" w:cs="Times New Roman"/>
          <w:sz w:val="24"/>
          <w:szCs w:val="24"/>
        </w:rPr>
        <w:t xml:space="preserve"> Untuk keamanan pihak luar rasio terbaik jika modal lebih besar dari jumlah utang atau minimal </w:t>
      </w:r>
      <w:proofErr w:type="gramStart"/>
      <w:r w:rsidR="00F70C49" w:rsidRPr="00817688">
        <w:rPr>
          <w:rFonts w:ascii="Times New Roman" w:hAnsi="Times New Roman" w:cs="Times New Roman"/>
          <w:sz w:val="24"/>
          <w:szCs w:val="24"/>
        </w:rPr>
        <w:t>sama</w:t>
      </w:r>
      <w:proofErr w:type="gramEnd"/>
      <w:r w:rsidR="00F70C49" w:rsidRPr="00817688">
        <w:rPr>
          <w:rFonts w:ascii="Times New Roman" w:hAnsi="Times New Roman" w:cs="Times New Roman"/>
          <w:sz w:val="24"/>
          <w:szCs w:val="24"/>
        </w:rPr>
        <w:t xml:space="preserve">. Namun bagi pemegang saham atau manajemen rasio </w:t>
      </w:r>
      <w:r w:rsidR="00F70C49" w:rsidRPr="00BD5F30">
        <w:rPr>
          <w:rFonts w:ascii="Times New Roman" w:hAnsi="Times New Roman" w:cs="Times New Roman"/>
          <w:i/>
          <w:sz w:val="24"/>
          <w:szCs w:val="24"/>
        </w:rPr>
        <w:t>leverage</w:t>
      </w:r>
      <w:r w:rsidR="003520C5">
        <w:rPr>
          <w:rFonts w:ascii="Times New Roman" w:hAnsi="Times New Roman" w:cs="Times New Roman"/>
          <w:sz w:val="24"/>
          <w:szCs w:val="24"/>
        </w:rPr>
        <w:t xml:space="preserve"> ini sebaiknya besar.</w:t>
      </w:r>
    </w:p>
    <w:p w:rsidR="002D6891" w:rsidRDefault="00F70C49" w:rsidP="009C1D7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8580D">
        <w:rPr>
          <w:rFonts w:ascii="Times New Roman" w:hAnsi="Times New Roman" w:cs="Times New Roman"/>
          <w:sz w:val="24"/>
          <w:szCs w:val="24"/>
        </w:rPr>
        <w:t xml:space="preserve">Data mengenai </w:t>
      </w:r>
      <w:r w:rsidR="00B8580D" w:rsidRPr="00B5478B">
        <w:rPr>
          <w:rFonts w:ascii="Times New Roman" w:hAnsi="Times New Roman" w:cs="Times New Roman"/>
          <w:i/>
          <w:sz w:val="24"/>
          <w:szCs w:val="24"/>
        </w:rPr>
        <w:t>debt to equity r</w:t>
      </w:r>
      <w:r w:rsidR="000A022A" w:rsidRPr="00B5478B">
        <w:rPr>
          <w:rFonts w:ascii="Times New Roman" w:hAnsi="Times New Roman" w:cs="Times New Roman"/>
          <w:i/>
          <w:sz w:val="24"/>
          <w:szCs w:val="24"/>
        </w:rPr>
        <w:t>atio</w:t>
      </w:r>
      <w:r w:rsidR="000A022A">
        <w:rPr>
          <w:rFonts w:ascii="Times New Roman" w:hAnsi="Times New Roman" w:cs="Times New Roman"/>
          <w:sz w:val="24"/>
          <w:szCs w:val="24"/>
        </w:rPr>
        <w:t xml:space="preserve"> (DER) pada perusahaan industri barang konsumsi sub sektor makanan dan minuman yang termasuk ke dalam ISSI pada periode 2011 – 2014 dalam bentuk persen (%) adalah sebagai berikut :</w:t>
      </w:r>
    </w:p>
    <w:p w:rsidR="00F70C49" w:rsidRDefault="00F70C49" w:rsidP="009C1D72">
      <w:pPr>
        <w:spacing w:line="480" w:lineRule="auto"/>
        <w:jc w:val="both"/>
        <w:rPr>
          <w:rFonts w:ascii="Times New Roman" w:hAnsi="Times New Roman" w:cs="Times New Roman"/>
          <w:sz w:val="24"/>
          <w:szCs w:val="24"/>
        </w:rPr>
      </w:pPr>
    </w:p>
    <w:p w:rsidR="00F70C49" w:rsidRDefault="00F70C49" w:rsidP="009C1D72">
      <w:pPr>
        <w:spacing w:line="480" w:lineRule="auto"/>
        <w:jc w:val="both"/>
        <w:rPr>
          <w:rFonts w:ascii="Times New Roman" w:hAnsi="Times New Roman" w:cs="Times New Roman"/>
          <w:sz w:val="24"/>
          <w:szCs w:val="24"/>
        </w:rPr>
      </w:pPr>
    </w:p>
    <w:p w:rsidR="000A022A" w:rsidRDefault="000A022A" w:rsidP="001651A3">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105275" cy="214312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651A3" w:rsidRDefault="001651A3" w:rsidP="001651A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hyperlink r:id="rId18" w:history="1">
        <w:r w:rsidRPr="006E5F2F">
          <w:rPr>
            <w:rStyle w:val="Hyperlink"/>
            <w:rFonts w:ascii="Times New Roman" w:hAnsi="Times New Roman" w:cs="Times New Roman"/>
            <w:color w:val="000000" w:themeColor="text1"/>
            <w:sz w:val="24"/>
            <w:szCs w:val="24"/>
          </w:rPr>
          <w:t>www.idx.co.id</w:t>
        </w:r>
      </w:hyperlink>
      <w:r w:rsidRPr="006E5F2F">
        <w:rPr>
          <w:rFonts w:ascii="Times New Roman" w:hAnsi="Times New Roman" w:cs="Times New Roman"/>
          <w:color w:val="000000" w:themeColor="text1"/>
          <w:sz w:val="24"/>
          <w:szCs w:val="24"/>
        </w:rPr>
        <w:t xml:space="preserve"> </w:t>
      </w:r>
      <w:r w:rsidRPr="00327D87">
        <w:rPr>
          <w:rFonts w:ascii="Times New Roman" w:hAnsi="Times New Roman" w:cs="Times New Roman"/>
          <w:sz w:val="24"/>
          <w:szCs w:val="24"/>
        </w:rPr>
        <w:t>(data diolah peneliti)</w:t>
      </w:r>
    </w:p>
    <w:p w:rsidR="00136657" w:rsidRDefault="00136657" w:rsidP="001651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w:t>
      </w:r>
      <w:r w:rsidR="00F70C49">
        <w:rPr>
          <w:rFonts w:ascii="Times New Roman" w:hAnsi="Times New Roman" w:cs="Times New Roman"/>
          <w:b/>
          <w:sz w:val="24"/>
          <w:szCs w:val="24"/>
        </w:rPr>
        <w:t>ambar</w:t>
      </w:r>
      <w:r>
        <w:rPr>
          <w:rFonts w:ascii="Times New Roman" w:hAnsi="Times New Roman" w:cs="Times New Roman"/>
          <w:b/>
          <w:sz w:val="24"/>
          <w:szCs w:val="24"/>
        </w:rPr>
        <w:t xml:space="preserve"> 1.3</w:t>
      </w:r>
    </w:p>
    <w:p w:rsidR="00136657" w:rsidRPr="000B478C" w:rsidRDefault="00136657" w:rsidP="000B478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Grafik Rata – Rata Per Tahun </w:t>
      </w:r>
      <w:r w:rsidRPr="00B5478B">
        <w:rPr>
          <w:rFonts w:ascii="Times New Roman" w:hAnsi="Times New Roman" w:cs="Times New Roman"/>
          <w:b/>
          <w:i/>
          <w:sz w:val="24"/>
          <w:szCs w:val="24"/>
        </w:rPr>
        <w:t>Debt to Equity</w:t>
      </w:r>
      <w:r w:rsidR="00982AFE" w:rsidRPr="00B5478B">
        <w:rPr>
          <w:rFonts w:ascii="Times New Roman" w:hAnsi="Times New Roman" w:cs="Times New Roman"/>
          <w:b/>
          <w:i/>
          <w:sz w:val="24"/>
          <w:szCs w:val="24"/>
        </w:rPr>
        <w:t xml:space="preserve"> </w:t>
      </w:r>
      <w:r w:rsidRPr="00B5478B">
        <w:rPr>
          <w:rFonts w:ascii="Times New Roman" w:hAnsi="Times New Roman" w:cs="Times New Roman"/>
          <w:b/>
          <w:i/>
          <w:sz w:val="24"/>
          <w:szCs w:val="24"/>
        </w:rPr>
        <w:t>Ratio</w:t>
      </w:r>
      <w:r>
        <w:rPr>
          <w:rFonts w:ascii="Times New Roman" w:hAnsi="Times New Roman" w:cs="Times New Roman"/>
          <w:b/>
          <w:sz w:val="24"/>
          <w:szCs w:val="24"/>
        </w:rPr>
        <w:t xml:space="preserve"> Pada Industri Barang Konsumsi Sub Sektor Mak</w:t>
      </w:r>
      <w:r w:rsidR="000F2364">
        <w:rPr>
          <w:rFonts w:ascii="Times New Roman" w:hAnsi="Times New Roman" w:cs="Times New Roman"/>
          <w:b/>
          <w:sz w:val="24"/>
          <w:szCs w:val="24"/>
        </w:rPr>
        <w:t>anan dan Minuman yang Termasuk d</w:t>
      </w:r>
      <w:r>
        <w:rPr>
          <w:rFonts w:ascii="Times New Roman" w:hAnsi="Times New Roman" w:cs="Times New Roman"/>
          <w:b/>
          <w:sz w:val="24"/>
          <w:szCs w:val="24"/>
        </w:rPr>
        <w:t>i ISSI Tahun 2011 - 2014</w:t>
      </w:r>
    </w:p>
    <w:p w:rsidR="005B5CA2" w:rsidRDefault="00E40B6D" w:rsidP="000B478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87D76">
        <w:rPr>
          <w:rFonts w:ascii="Times New Roman" w:hAnsi="Times New Roman" w:cs="Times New Roman"/>
          <w:sz w:val="24"/>
          <w:szCs w:val="24"/>
        </w:rPr>
        <w:t>G</w:t>
      </w:r>
      <w:r w:rsidR="00B5478B">
        <w:rPr>
          <w:rFonts w:ascii="Times New Roman" w:hAnsi="Times New Roman" w:cs="Times New Roman"/>
          <w:sz w:val="24"/>
          <w:szCs w:val="24"/>
        </w:rPr>
        <w:t>ambar</w:t>
      </w:r>
      <w:r w:rsidR="00087D76">
        <w:rPr>
          <w:rFonts w:ascii="Times New Roman" w:hAnsi="Times New Roman" w:cs="Times New Roman"/>
          <w:sz w:val="24"/>
          <w:szCs w:val="24"/>
        </w:rPr>
        <w:t xml:space="preserve"> </w:t>
      </w:r>
      <w:r w:rsidR="005B5CA2">
        <w:rPr>
          <w:rFonts w:ascii="Times New Roman" w:hAnsi="Times New Roman" w:cs="Times New Roman"/>
          <w:sz w:val="24"/>
          <w:szCs w:val="24"/>
        </w:rPr>
        <w:t xml:space="preserve">1.3 tersebut </w:t>
      </w:r>
      <w:r w:rsidR="00087D76">
        <w:rPr>
          <w:rFonts w:ascii="Times New Roman" w:hAnsi="Times New Roman" w:cs="Times New Roman"/>
          <w:sz w:val="24"/>
          <w:szCs w:val="24"/>
        </w:rPr>
        <w:t>merupakan</w:t>
      </w:r>
      <w:r>
        <w:rPr>
          <w:rFonts w:ascii="Times New Roman" w:hAnsi="Times New Roman" w:cs="Times New Roman"/>
          <w:sz w:val="24"/>
          <w:szCs w:val="24"/>
        </w:rPr>
        <w:t xml:space="preserve"> perkembangan</w:t>
      </w:r>
      <w:r w:rsidR="00087D76">
        <w:rPr>
          <w:rFonts w:ascii="Times New Roman" w:hAnsi="Times New Roman" w:cs="Times New Roman"/>
          <w:sz w:val="24"/>
          <w:szCs w:val="24"/>
        </w:rPr>
        <w:t xml:space="preserve"> rata – rata </w:t>
      </w:r>
      <w:r w:rsidR="00087D76" w:rsidRPr="00B5478B">
        <w:rPr>
          <w:rFonts w:ascii="Times New Roman" w:hAnsi="Times New Roman" w:cs="Times New Roman"/>
          <w:i/>
          <w:sz w:val="24"/>
          <w:szCs w:val="24"/>
        </w:rPr>
        <w:t>debt to equity ratio</w:t>
      </w:r>
      <w:r w:rsidR="00087D76">
        <w:rPr>
          <w:rFonts w:ascii="Times New Roman" w:hAnsi="Times New Roman" w:cs="Times New Roman"/>
          <w:sz w:val="24"/>
          <w:szCs w:val="24"/>
        </w:rPr>
        <w:t xml:space="preserve"> pada perusahaan industri barang konsumsi sub sektor makanan dan minuman dari tahun 2011 sampai 2014 yang cenderung mengalami peningkatan setiap tahunnya dan menunjukkan bahwa perusahaan banyak menggunakan hutang sebagai modalnya. Pada tahun 2011 </w:t>
      </w:r>
      <w:r w:rsidR="00087D76" w:rsidRPr="00B5478B">
        <w:rPr>
          <w:rFonts w:ascii="Times New Roman" w:hAnsi="Times New Roman" w:cs="Times New Roman"/>
          <w:i/>
          <w:sz w:val="24"/>
          <w:szCs w:val="24"/>
        </w:rPr>
        <w:t>debt to equity ratio</w:t>
      </w:r>
      <w:r w:rsidR="00087D76">
        <w:rPr>
          <w:rFonts w:ascii="Times New Roman" w:hAnsi="Times New Roman" w:cs="Times New Roman"/>
          <w:sz w:val="24"/>
          <w:szCs w:val="24"/>
        </w:rPr>
        <w:t xml:space="preserve"> berada di angka 0</w:t>
      </w:r>
      <w:proofErr w:type="gramStart"/>
      <w:r w:rsidR="00087D76">
        <w:rPr>
          <w:rFonts w:ascii="Times New Roman" w:hAnsi="Times New Roman" w:cs="Times New Roman"/>
          <w:sz w:val="24"/>
          <w:szCs w:val="24"/>
        </w:rPr>
        <w:t>,82</w:t>
      </w:r>
      <w:proofErr w:type="gramEnd"/>
      <w:r w:rsidR="00087D76">
        <w:rPr>
          <w:rFonts w:ascii="Times New Roman" w:hAnsi="Times New Roman" w:cs="Times New Roman"/>
          <w:sz w:val="24"/>
          <w:szCs w:val="24"/>
        </w:rPr>
        <w:t xml:space="preserve"> kali dan meningkat di tahun berikutnya yaitu tahun 2012 menjadi 0,93 kali. Selanjutnya di tahun 2013 meningkat lagi sebesar 0</w:t>
      </w:r>
      <w:proofErr w:type="gramStart"/>
      <w:r w:rsidR="00087D76">
        <w:rPr>
          <w:rFonts w:ascii="Times New Roman" w:hAnsi="Times New Roman" w:cs="Times New Roman"/>
          <w:sz w:val="24"/>
          <w:szCs w:val="24"/>
        </w:rPr>
        <w:t>,1</w:t>
      </w:r>
      <w:proofErr w:type="gramEnd"/>
      <w:r w:rsidR="00087D76">
        <w:rPr>
          <w:rFonts w:ascii="Times New Roman" w:hAnsi="Times New Roman" w:cs="Times New Roman"/>
          <w:sz w:val="24"/>
          <w:szCs w:val="24"/>
        </w:rPr>
        <w:t xml:space="preserve"> kali di angka 1,03 kali. Pada tahun 2014 </w:t>
      </w:r>
      <w:r w:rsidR="00087D76" w:rsidRPr="00B5478B">
        <w:rPr>
          <w:rFonts w:ascii="Times New Roman" w:hAnsi="Times New Roman" w:cs="Times New Roman"/>
          <w:i/>
          <w:sz w:val="24"/>
          <w:szCs w:val="24"/>
        </w:rPr>
        <w:t>debt to equity ratio</w:t>
      </w:r>
      <w:r w:rsidR="00087D76">
        <w:rPr>
          <w:rFonts w:ascii="Times New Roman" w:hAnsi="Times New Roman" w:cs="Times New Roman"/>
          <w:sz w:val="24"/>
          <w:szCs w:val="24"/>
        </w:rPr>
        <w:t xml:space="preserve"> kembali sedikit meningkat ke angka 1</w:t>
      </w:r>
      <w:proofErr w:type="gramStart"/>
      <w:r w:rsidR="00087D76">
        <w:rPr>
          <w:rFonts w:ascii="Times New Roman" w:hAnsi="Times New Roman" w:cs="Times New Roman"/>
          <w:sz w:val="24"/>
          <w:szCs w:val="24"/>
        </w:rPr>
        <w:t>,06</w:t>
      </w:r>
      <w:proofErr w:type="gramEnd"/>
      <w:r w:rsidR="00087D76">
        <w:rPr>
          <w:rFonts w:ascii="Times New Roman" w:hAnsi="Times New Roman" w:cs="Times New Roman"/>
          <w:sz w:val="24"/>
          <w:szCs w:val="24"/>
        </w:rPr>
        <w:t xml:space="preserve"> kali atau meningkat hanya sebesar 0,03 kali.</w:t>
      </w:r>
    </w:p>
    <w:p w:rsidR="000A022A" w:rsidRDefault="000A022A" w:rsidP="000A022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651A3" w:rsidRPr="00BD5F30">
        <w:rPr>
          <w:rFonts w:ascii="Times New Roman" w:hAnsi="Times New Roman" w:cs="Times New Roman"/>
          <w:i/>
          <w:sz w:val="24"/>
          <w:szCs w:val="24"/>
        </w:rPr>
        <w:t xml:space="preserve">Return </w:t>
      </w:r>
      <w:proofErr w:type="gramStart"/>
      <w:r w:rsidR="001651A3" w:rsidRPr="00BD5F30">
        <w:rPr>
          <w:rFonts w:ascii="Times New Roman" w:hAnsi="Times New Roman" w:cs="Times New Roman"/>
          <w:i/>
          <w:sz w:val="24"/>
          <w:szCs w:val="24"/>
        </w:rPr>
        <w:t>On</w:t>
      </w:r>
      <w:proofErr w:type="gramEnd"/>
      <w:r w:rsidR="001651A3" w:rsidRPr="00BD5F30">
        <w:rPr>
          <w:rFonts w:ascii="Times New Roman" w:hAnsi="Times New Roman" w:cs="Times New Roman"/>
          <w:i/>
          <w:sz w:val="24"/>
          <w:szCs w:val="24"/>
        </w:rPr>
        <w:t xml:space="preserve"> Asset (ROA)</w:t>
      </w:r>
      <w:r w:rsidR="001651A3" w:rsidRPr="00817688">
        <w:rPr>
          <w:rFonts w:ascii="Times New Roman" w:hAnsi="Times New Roman" w:cs="Times New Roman"/>
          <w:sz w:val="24"/>
          <w:szCs w:val="24"/>
        </w:rPr>
        <w:t xml:space="preserve"> menurut Kasmir (2012:201) adalah rasio yang menunjukkan hasil (</w:t>
      </w:r>
      <w:r w:rsidR="001651A3" w:rsidRPr="00BD5F30">
        <w:rPr>
          <w:rFonts w:ascii="Times New Roman" w:hAnsi="Times New Roman" w:cs="Times New Roman"/>
          <w:i/>
          <w:sz w:val="24"/>
          <w:szCs w:val="24"/>
        </w:rPr>
        <w:t>return</w:t>
      </w:r>
      <w:r w:rsidR="001651A3" w:rsidRPr="00817688">
        <w:rPr>
          <w:rFonts w:ascii="Times New Roman" w:hAnsi="Times New Roman" w:cs="Times New Roman"/>
          <w:sz w:val="24"/>
          <w:szCs w:val="24"/>
        </w:rPr>
        <w:t xml:space="preserve">) atas jumlah aktiva yang digunakan dalam perusahaan. </w:t>
      </w:r>
      <w:proofErr w:type="gramStart"/>
      <w:r w:rsidR="001651A3" w:rsidRPr="00817688">
        <w:rPr>
          <w:rFonts w:ascii="Times New Roman" w:hAnsi="Times New Roman" w:cs="Times New Roman"/>
          <w:sz w:val="24"/>
          <w:szCs w:val="24"/>
        </w:rPr>
        <w:t xml:space="preserve">Selain itu, ROA memberikan ukuran yang lebih baik atas profitabilitas perusahaan </w:t>
      </w:r>
      <w:r w:rsidR="001651A3" w:rsidRPr="00817688">
        <w:rPr>
          <w:rFonts w:ascii="Times New Roman" w:hAnsi="Times New Roman" w:cs="Times New Roman"/>
          <w:sz w:val="24"/>
          <w:szCs w:val="24"/>
        </w:rPr>
        <w:lastRenderedPageBreak/>
        <w:t>karena menunjukkan efektivitas manajemen dalam menggunakan aktiva untuk memperoleh pendapatan.</w:t>
      </w:r>
      <w:proofErr w:type="gramEnd"/>
      <w:r w:rsidR="001651A3">
        <w:rPr>
          <w:rFonts w:ascii="Times New Roman" w:hAnsi="Times New Roman" w:cs="Times New Roman"/>
          <w:sz w:val="24"/>
          <w:szCs w:val="24"/>
        </w:rPr>
        <w:t xml:space="preserve"> </w:t>
      </w:r>
      <w:r>
        <w:rPr>
          <w:rFonts w:ascii="Times New Roman" w:hAnsi="Times New Roman" w:cs="Times New Roman"/>
          <w:sz w:val="24"/>
          <w:szCs w:val="24"/>
        </w:rPr>
        <w:t xml:space="preserve">Berikut adalah grafik rata – rata </w:t>
      </w:r>
      <w:r w:rsidR="00B8580D" w:rsidRPr="00B5478B">
        <w:rPr>
          <w:rFonts w:ascii="Times New Roman" w:hAnsi="Times New Roman" w:cs="Times New Roman"/>
          <w:i/>
          <w:sz w:val="24"/>
          <w:szCs w:val="24"/>
        </w:rPr>
        <w:t>return on a</w:t>
      </w:r>
      <w:r w:rsidRPr="00B5478B">
        <w:rPr>
          <w:rFonts w:ascii="Times New Roman" w:hAnsi="Times New Roman" w:cs="Times New Roman"/>
          <w:i/>
          <w:sz w:val="24"/>
          <w:szCs w:val="24"/>
        </w:rPr>
        <w:t>ssets</w:t>
      </w:r>
      <w:r>
        <w:rPr>
          <w:rFonts w:ascii="Times New Roman" w:hAnsi="Times New Roman" w:cs="Times New Roman"/>
          <w:sz w:val="24"/>
          <w:szCs w:val="24"/>
        </w:rPr>
        <w:t xml:space="preserve"> pada perusahaan industri barang konsumsi sub sektor makanan dan minuman yang termasuk ke dalam ISSI pada periode 2011 – 2014 dalam bentuk persen (%</w:t>
      </w:r>
      <w:proofErr w:type="gramStart"/>
      <w:r>
        <w:rPr>
          <w:rFonts w:ascii="Times New Roman" w:hAnsi="Times New Roman" w:cs="Times New Roman"/>
          <w:sz w:val="24"/>
          <w:szCs w:val="24"/>
        </w:rPr>
        <w:t>) :</w:t>
      </w:r>
      <w:proofErr w:type="gramEnd"/>
    </w:p>
    <w:p w:rsidR="00B8580D" w:rsidRDefault="000A022A" w:rsidP="009C0E0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19575" cy="2095500"/>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651A3" w:rsidRDefault="001651A3" w:rsidP="001651A3">
      <w:pPr>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hyperlink r:id="rId20" w:history="1">
        <w:r w:rsidRPr="006E5F2F">
          <w:rPr>
            <w:rStyle w:val="Hyperlink"/>
            <w:rFonts w:ascii="Times New Roman" w:hAnsi="Times New Roman" w:cs="Times New Roman"/>
            <w:color w:val="000000" w:themeColor="text1"/>
            <w:sz w:val="24"/>
            <w:szCs w:val="24"/>
          </w:rPr>
          <w:t>www.idx.co.id</w:t>
        </w:r>
      </w:hyperlink>
      <w:r w:rsidRPr="006E5F2F">
        <w:rPr>
          <w:rFonts w:ascii="Times New Roman" w:hAnsi="Times New Roman" w:cs="Times New Roman"/>
          <w:color w:val="000000" w:themeColor="text1"/>
          <w:sz w:val="24"/>
          <w:szCs w:val="24"/>
        </w:rPr>
        <w:t xml:space="preserve"> </w:t>
      </w:r>
      <w:r w:rsidRPr="00327D87">
        <w:rPr>
          <w:rFonts w:ascii="Times New Roman" w:hAnsi="Times New Roman" w:cs="Times New Roman"/>
          <w:sz w:val="24"/>
          <w:szCs w:val="24"/>
        </w:rPr>
        <w:t>(data diolah peneliti)</w:t>
      </w:r>
    </w:p>
    <w:p w:rsidR="00136657" w:rsidRDefault="00136657" w:rsidP="0013665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w:t>
      </w:r>
      <w:r w:rsidR="00F70C49">
        <w:rPr>
          <w:rFonts w:ascii="Times New Roman" w:hAnsi="Times New Roman" w:cs="Times New Roman"/>
          <w:b/>
          <w:sz w:val="24"/>
          <w:szCs w:val="24"/>
        </w:rPr>
        <w:t>ambar</w:t>
      </w:r>
      <w:r>
        <w:rPr>
          <w:rFonts w:ascii="Times New Roman" w:hAnsi="Times New Roman" w:cs="Times New Roman"/>
          <w:b/>
          <w:sz w:val="24"/>
          <w:szCs w:val="24"/>
        </w:rPr>
        <w:t xml:space="preserve"> 1.4</w:t>
      </w:r>
    </w:p>
    <w:p w:rsidR="00E40B6D" w:rsidRPr="004512B9" w:rsidRDefault="00136657" w:rsidP="004512B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Grafik Rata – Rata Per Tahun </w:t>
      </w:r>
      <w:r w:rsidRPr="00B5478B">
        <w:rPr>
          <w:rFonts w:ascii="Times New Roman" w:hAnsi="Times New Roman" w:cs="Times New Roman"/>
          <w:b/>
          <w:i/>
          <w:sz w:val="24"/>
          <w:szCs w:val="24"/>
        </w:rPr>
        <w:t>Return On Assets</w:t>
      </w:r>
      <w:r>
        <w:rPr>
          <w:rFonts w:ascii="Times New Roman" w:hAnsi="Times New Roman" w:cs="Times New Roman"/>
          <w:b/>
          <w:sz w:val="24"/>
          <w:szCs w:val="24"/>
        </w:rPr>
        <w:t xml:space="preserve"> Pada Industri Barang Konsumsi Sub Sektor Mak</w:t>
      </w:r>
      <w:r w:rsidR="000F2364">
        <w:rPr>
          <w:rFonts w:ascii="Times New Roman" w:hAnsi="Times New Roman" w:cs="Times New Roman"/>
          <w:b/>
          <w:sz w:val="24"/>
          <w:szCs w:val="24"/>
        </w:rPr>
        <w:t>anan dan Minuman yang Termasuk d</w:t>
      </w:r>
      <w:r>
        <w:rPr>
          <w:rFonts w:ascii="Times New Roman" w:hAnsi="Times New Roman" w:cs="Times New Roman"/>
          <w:b/>
          <w:sz w:val="24"/>
          <w:szCs w:val="24"/>
        </w:rPr>
        <w:t>i ISSI Tahun 2011 - 2014</w:t>
      </w:r>
    </w:p>
    <w:p w:rsidR="00B8580D" w:rsidRDefault="00E40B6D" w:rsidP="002C4198">
      <w:pPr>
        <w:spacing w:line="480" w:lineRule="auto"/>
        <w:jc w:val="both"/>
        <w:rPr>
          <w:rFonts w:ascii="Times New Roman" w:hAnsi="Times New Roman" w:cs="Times New Roman"/>
          <w:sz w:val="24"/>
          <w:szCs w:val="24"/>
        </w:rPr>
      </w:pPr>
      <w:r>
        <w:rPr>
          <w:rFonts w:ascii="Times New Roman" w:hAnsi="Times New Roman" w:cs="Times New Roman"/>
          <w:sz w:val="24"/>
          <w:szCs w:val="24"/>
        </w:rPr>
        <w:tab/>
        <w:t>G</w:t>
      </w:r>
      <w:r w:rsidR="00B5478B">
        <w:rPr>
          <w:rFonts w:ascii="Times New Roman" w:hAnsi="Times New Roman" w:cs="Times New Roman"/>
          <w:sz w:val="24"/>
          <w:szCs w:val="24"/>
        </w:rPr>
        <w:t>ambar</w:t>
      </w:r>
      <w:r>
        <w:rPr>
          <w:rFonts w:ascii="Times New Roman" w:hAnsi="Times New Roman" w:cs="Times New Roman"/>
          <w:sz w:val="24"/>
          <w:szCs w:val="24"/>
        </w:rPr>
        <w:t xml:space="preserve"> 1.4 menunjukkan kondisi rata – rata </w:t>
      </w:r>
      <w:r w:rsidRPr="00B5478B">
        <w:rPr>
          <w:rFonts w:ascii="Times New Roman" w:hAnsi="Times New Roman" w:cs="Times New Roman"/>
          <w:i/>
          <w:sz w:val="24"/>
          <w:szCs w:val="24"/>
        </w:rPr>
        <w:t>return on assets</w:t>
      </w:r>
      <w:r>
        <w:rPr>
          <w:rFonts w:ascii="Times New Roman" w:hAnsi="Times New Roman" w:cs="Times New Roman"/>
          <w:sz w:val="24"/>
          <w:szCs w:val="24"/>
        </w:rPr>
        <w:t xml:space="preserve"> perusahaan industri barang konsumsi sub sektor makanan dan minuman dari tahun 2011 sampai 2014 yang fluktuatif. Di tahun 2011 berada di angka 8</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 xml:space="preserve">% dan meningkat sebesar 0,56% menjadi 8,69% pada tahun berikutnya yaitu 2012. Sementara tahun 2013 </w:t>
      </w:r>
      <w:r w:rsidRPr="007A24CF">
        <w:rPr>
          <w:rFonts w:ascii="Times New Roman" w:hAnsi="Times New Roman" w:cs="Times New Roman"/>
          <w:i/>
          <w:sz w:val="24"/>
          <w:szCs w:val="24"/>
        </w:rPr>
        <w:t>return on assets</w:t>
      </w:r>
      <w:r>
        <w:rPr>
          <w:rFonts w:ascii="Times New Roman" w:hAnsi="Times New Roman" w:cs="Times New Roman"/>
          <w:sz w:val="24"/>
          <w:szCs w:val="24"/>
        </w:rPr>
        <w:t xml:space="preserve"> kembali menurun ke angka 7</w:t>
      </w:r>
      <w:proofErr w:type="gramStart"/>
      <w:r>
        <w:rPr>
          <w:rFonts w:ascii="Times New Roman" w:hAnsi="Times New Roman" w:cs="Times New Roman"/>
          <w:sz w:val="24"/>
          <w:szCs w:val="24"/>
        </w:rPr>
        <w:t>,84</w:t>
      </w:r>
      <w:proofErr w:type="gramEnd"/>
      <w:r>
        <w:rPr>
          <w:rFonts w:ascii="Times New Roman" w:hAnsi="Times New Roman" w:cs="Times New Roman"/>
          <w:sz w:val="24"/>
          <w:szCs w:val="24"/>
        </w:rPr>
        <w:t>% dan di tahun berikutnya tepatnya tahun 2014 menurun kembali sebesar 1,87% menjadi 5,97%.</w:t>
      </w:r>
    </w:p>
    <w:p w:rsidR="004E7281" w:rsidRDefault="00B8580D" w:rsidP="004512B9">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1651A3" w:rsidRPr="00817688">
        <w:rPr>
          <w:rFonts w:ascii="Times New Roman" w:hAnsi="Times New Roman" w:cs="Times New Roman"/>
          <w:sz w:val="24"/>
          <w:szCs w:val="24"/>
        </w:rPr>
        <w:t>Harga saham yang terjadi di pasar modal ditentukan oleh pelaku pasar.</w:t>
      </w:r>
      <w:proofErr w:type="gramEnd"/>
      <w:r w:rsidR="001651A3" w:rsidRPr="00817688">
        <w:rPr>
          <w:rFonts w:ascii="Times New Roman" w:hAnsi="Times New Roman" w:cs="Times New Roman"/>
          <w:sz w:val="24"/>
          <w:szCs w:val="24"/>
        </w:rPr>
        <w:t xml:space="preserve"> </w:t>
      </w:r>
      <w:proofErr w:type="gramStart"/>
      <w:r w:rsidR="001651A3" w:rsidRPr="00817688">
        <w:rPr>
          <w:rFonts w:ascii="Times New Roman" w:hAnsi="Times New Roman" w:cs="Times New Roman"/>
          <w:sz w:val="24"/>
          <w:szCs w:val="24"/>
        </w:rPr>
        <w:t xml:space="preserve">Harga saham merupakan harga yang berlaku sekarang dimana saham </w:t>
      </w:r>
      <w:r w:rsidR="003520C5">
        <w:rPr>
          <w:rFonts w:ascii="Times New Roman" w:hAnsi="Times New Roman" w:cs="Times New Roman"/>
          <w:sz w:val="24"/>
          <w:szCs w:val="24"/>
        </w:rPr>
        <w:lastRenderedPageBreak/>
        <w:t>diperdagangkan.</w:t>
      </w:r>
      <w:proofErr w:type="gramEnd"/>
      <w:r w:rsidR="003520C5">
        <w:rPr>
          <w:rFonts w:ascii="Times New Roman" w:hAnsi="Times New Roman" w:cs="Times New Roman"/>
          <w:sz w:val="24"/>
          <w:szCs w:val="24"/>
        </w:rPr>
        <w:t xml:space="preserve"> </w:t>
      </w:r>
      <w:r>
        <w:rPr>
          <w:rFonts w:ascii="Times New Roman" w:hAnsi="Times New Roman" w:cs="Times New Roman"/>
          <w:sz w:val="24"/>
          <w:szCs w:val="24"/>
        </w:rPr>
        <w:t xml:space="preserve">Berikut adalah grafik rata – rata harga saham pada perusahaan industri barang konsumsi sub sektor makanan dan minuman yang termasuk ke dalam ISSI pada periode 2011 – </w:t>
      </w:r>
      <w:proofErr w:type="gramStart"/>
      <w:r>
        <w:rPr>
          <w:rFonts w:ascii="Times New Roman" w:hAnsi="Times New Roman" w:cs="Times New Roman"/>
          <w:sz w:val="24"/>
          <w:szCs w:val="24"/>
        </w:rPr>
        <w:t>2014 :</w:t>
      </w:r>
      <w:proofErr w:type="gramEnd"/>
    </w:p>
    <w:p w:rsidR="00CE49B6" w:rsidRDefault="004512B9" w:rsidP="004512B9">
      <w:pPr>
        <w:jc w:val="center"/>
        <w:rPr>
          <w:rFonts w:ascii="Times New Roman" w:hAnsi="Times New Roman" w:cs="Times New Roman"/>
          <w:sz w:val="24"/>
          <w:szCs w:val="24"/>
        </w:rPr>
      </w:pPr>
      <w:r w:rsidRPr="004512B9">
        <w:rPr>
          <w:rFonts w:ascii="Times New Roman" w:hAnsi="Times New Roman" w:cs="Times New Roman"/>
          <w:noProof/>
          <w:sz w:val="24"/>
          <w:szCs w:val="24"/>
        </w:rPr>
        <w:drawing>
          <wp:inline distT="0" distB="0" distL="0" distR="0">
            <wp:extent cx="3990975" cy="1990725"/>
            <wp:effectExtent l="19050" t="0" r="9525"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70C49" w:rsidRDefault="00F70C49" w:rsidP="00F70C4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hyperlink r:id="rId22" w:history="1">
        <w:r w:rsidRPr="006E5F2F">
          <w:rPr>
            <w:rStyle w:val="Hyperlink"/>
            <w:rFonts w:ascii="Times New Roman" w:hAnsi="Times New Roman" w:cs="Times New Roman"/>
            <w:color w:val="000000" w:themeColor="text1"/>
            <w:sz w:val="24"/>
            <w:szCs w:val="24"/>
          </w:rPr>
          <w:t>www.idx.co.id</w:t>
        </w:r>
      </w:hyperlink>
      <w:r w:rsidRPr="006E5F2F">
        <w:rPr>
          <w:rFonts w:ascii="Times New Roman" w:hAnsi="Times New Roman" w:cs="Times New Roman"/>
          <w:color w:val="000000" w:themeColor="text1"/>
          <w:sz w:val="24"/>
          <w:szCs w:val="24"/>
        </w:rPr>
        <w:t xml:space="preserve"> </w:t>
      </w:r>
      <w:r w:rsidRPr="00327D87">
        <w:rPr>
          <w:rFonts w:ascii="Times New Roman" w:hAnsi="Times New Roman" w:cs="Times New Roman"/>
          <w:sz w:val="24"/>
          <w:szCs w:val="24"/>
        </w:rPr>
        <w:t>(data diolah peneliti)</w:t>
      </w:r>
    </w:p>
    <w:p w:rsidR="004E7281" w:rsidRDefault="004E7281" w:rsidP="004E728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w:t>
      </w:r>
      <w:r w:rsidR="00F70C49">
        <w:rPr>
          <w:rFonts w:ascii="Times New Roman" w:hAnsi="Times New Roman" w:cs="Times New Roman"/>
          <w:b/>
          <w:sz w:val="24"/>
          <w:szCs w:val="24"/>
        </w:rPr>
        <w:t>ambar</w:t>
      </w:r>
      <w:r>
        <w:rPr>
          <w:rFonts w:ascii="Times New Roman" w:hAnsi="Times New Roman" w:cs="Times New Roman"/>
          <w:b/>
          <w:sz w:val="24"/>
          <w:szCs w:val="24"/>
        </w:rPr>
        <w:t xml:space="preserve"> 1.5</w:t>
      </w:r>
    </w:p>
    <w:p w:rsidR="004E7281" w:rsidRPr="00136657" w:rsidRDefault="004E7281" w:rsidP="00B5478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Grafik Rata – Rata Per Tahun Harga Saham Pada Industri Barang Konsumsi Sub Sektor Mak</w:t>
      </w:r>
      <w:r w:rsidR="000F2364">
        <w:rPr>
          <w:rFonts w:ascii="Times New Roman" w:hAnsi="Times New Roman" w:cs="Times New Roman"/>
          <w:b/>
          <w:sz w:val="24"/>
          <w:szCs w:val="24"/>
        </w:rPr>
        <w:t>anan dan Minuman yang Termasuk d</w:t>
      </w:r>
      <w:r>
        <w:rPr>
          <w:rFonts w:ascii="Times New Roman" w:hAnsi="Times New Roman" w:cs="Times New Roman"/>
          <w:b/>
          <w:sz w:val="24"/>
          <w:szCs w:val="24"/>
        </w:rPr>
        <w:t>i ISSI Tahun 2011 - 2014</w:t>
      </w:r>
    </w:p>
    <w:p w:rsidR="00E32923" w:rsidRDefault="00B5478B" w:rsidP="00B5478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gambar</w:t>
      </w:r>
      <w:r w:rsidR="002C4198">
        <w:rPr>
          <w:rFonts w:ascii="Times New Roman" w:hAnsi="Times New Roman" w:cs="Times New Roman"/>
          <w:sz w:val="24"/>
          <w:szCs w:val="24"/>
        </w:rPr>
        <w:t xml:space="preserve"> 1.5 diperlihatkan kondisi rata – rata harga saham perusahaan industri barang konsumsi sub sektor makanan dan minuman yang termasuk ke dalam ISSI pada periode 2011 – 2014.</w:t>
      </w:r>
      <w:proofErr w:type="gramEnd"/>
      <w:r w:rsidR="002C4198">
        <w:rPr>
          <w:rFonts w:ascii="Times New Roman" w:hAnsi="Times New Roman" w:cs="Times New Roman"/>
          <w:sz w:val="24"/>
          <w:szCs w:val="24"/>
        </w:rPr>
        <w:t xml:space="preserve"> Tahun 2011 harga saham berada di kisaran Rp 3415</w:t>
      </w:r>
      <w:proofErr w:type="gramStart"/>
      <w:r w:rsidR="002C4198">
        <w:rPr>
          <w:rFonts w:ascii="Times New Roman" w:hAnsi="Times New Roman" w:cs="Times New Roman"/>
          <w:sz w:val="24"/>
          <w:szCs w:val="24"/>
        </w:rPr>
        <w:t>,-</w:t>
      </w:r>
      <w:proofErr w:type="gramEnd"/>
      <w:r w:rsidR="002C4198">
        <w:rPr>
          <w:rFonts w:ascii="Times New Roman" w:hAnsi="Times New Roman" w:cs="Times New Roman"/>
          <w:sz w:val="24"/>
          <w:szCs w:val="24"/>
        </w:rPr>
        <w:t xml:space="preserve"> </w:t>
      </w:r>
      <w:r w:rsidR="00EF33F1">
        <w:rPr>
          <w:rFonts w:ascii="Times New Roman" w:hAnsi="Times New Roman" w:cs="Times New Roman"/>
          <w:sz w:val="24"/>
          <w:szCs w:val="24"/>
        </w:rPr>
        <w:t>dan</w:t>
      </w:r>
      <w:r w:rsidR="002C4198">
        <w:rPr>
          <w:rFonts w:ascii="Times New Roman" w:hAnsi="Times New Roman" w:cs="Times New Roman"/>
          <w:sz w:val="24"/>
          <w:szCs w:val="24"/>
        </w:rPr>
        <w:t xml:space="preserve"> di tahun 2012 kondisinya </w:t>
      </w:r>
      <w:r w:rsidR="00EF33F1">
        <w:rPr>
          <w:rFonts w:ascii="Times New Roman" w:hAnsi="Times New Roman" w:cs="Times New Roman"/>
          <w:sz w:val="24"/>
          <w:szCs w:val="24"/>
        </w:rPr>
        <w:t>kembali naik ke level Rp 5</w:t>
      </w:r>
      <w:r w:rsidR="002C4198">
        <w:rPr>
          <w:rFonts w:ascii="Times New Roman" w:hAnsi="Times New Roman" w:cs="Times New Roman"/>
          <w:sz w:val="24"/>
          <w:szCs w:val="24"/>
        </w:rPr>
        <w:t xml:space="preserve">055,-. Di tahun selanjutnya yaitu tahun 2013 kondisinya </w:t>
      </w:r>
      <w:r w:rsidR="00EF33F1">
        <w:rPr>
          <w:rFonts w:ascii="Times New Roman" w:hAnsi="Times New Roman" w:cs="Times New Roman"/>
          <w:sz w:val="24"/>
          <w:szCs w:val="24"/>
        </w:rPr>
        <w:t>masih sama dengan tahun</w:t>
      </w:r>
      <w:r w:rsidR="002C4198">
        <w:rPr>
          <w:rFonts w:ascii="Times New Roman" w:hAnsi="Times New Roman" w:cs="Times New Roman"/>
          <w:sz w:val="24"/>
          <w:szCs w:val="24"/>
        </w:rPr>
        <w:t xml:space="preserve"> 2012 karena pada tahun ini harga saham </w:t>
      </w:r>
      <w:r w:rsidR="00EF33F1">
        <w:rPr>
          <w:rFonts w:ascii="Times New Roman" w:hAnsi="Times New Roman" w:cs="Times New Roman"/>
          <w:sz w:val="24"/>
          <w:szCs w:val="24"/>
        </w:rPr>
        <w:t xml:space="preserve">kembali </w:t>
      </w:r>
      <w:r w:rsidR="002C4198">
        <w:rPr>
          <w:rFonts w:ascii="Times New Roman" w:hAnsi="Times New Roman" w:cs="Times New Roman"/>
          <w:sz w:val="24"/>
          <w:szCs w:val="24"/>
        </w:rPr>
        <w:t>naik sebesar Rp</w:t>
      </w:r>
      <w:r w:rsidR="00EF33F1">
        <w:rPr>
          <w:rFonts w:ascii="Times New Roman" w:hAnsi="Times New Roman" w:cs="Times New Roman"/>
          <w:sz w:val="24"/>
          <w:szCs w:val="24"/>
        </w:rPr>
        <w:t xml:space="preserve"> </w:t>
      </w:r>
      <w:r w:rsidR="002C4198">
        <w:rPr>
          <w:rFonts w:ascii="Times New Roman" w:hAnsi="Times New Roman" w:cs="Times New Roman"/>
          <w:sz w:val="24"/>
          <w:szCs w:val="24"/>
        </w:rPr>
        <w:t xml:space="preserve">794,- ke level Rp 5849,-. Dan pada tahun 2014 </w:t>
      </w:r>
      <w:r w:rsidR="00EF33F1">
        <w:rPr>
          <w:rFonts w:ascii="Times New Roman" w:hAnsi="Times New Roman" w:cs="Times New Roman"/>
          <w:sz w:val="24"/>
          <w:szCs w:val="24"/>
        </w:rPr>
        <w:t>kondisi</w:t>
      </w:r>
      <w:r w:rsidR="002C4198">
        <w:rPr>
          <w:rFonts w:ascii="Times New Roman" w:hAnsi="Times New Roman" w:cs="Times New Roman"/>
          <w:sz w:val="24"/>
          <w:szCs w:val="24"/>
        </w:rPr>
        <w:t xml:space="preserve"> harga saham mengalami sedikit penurunan menjadi Rp 5848,-.</w:t>
      </w:r>
    </w:p>
    <w:p w:rsidR="00757977" w:rsidRPr="00D10C35" w:rsidRDefault="00757977" w:rsidP="0075797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10C35">
        <w:rPr>
          <w:rFonts w:ascii="Times New Roman" w:hAnsi="Times New Roman" w:cs="Times New Roman"/>
          <w:sz w:val="24"/>
          <w:szCs w:val="24"/>
        </w:rPr>
        <w:t xml:space="preserve">Pada dasarnya harga saham terbentuk dari interaksi antara penjual dan pembeli yang terjadi di bursa yang </w:t>
      </w:r>
      <w:proofErr w:type="gramStart"/>
      <w:r w:rsidRPr="00D10C35">
        <w:rPr>
          <w:rFonts w:ascii="Times New Roman" w:hAnsi="Times New Roman" w:cs="Times New Roman"/>
          <w:sz w:val="24"/>
          <w:szCs w:val="24"/>
        </w:rPr>
        <w:t>akan</w:t>
      </w:r>
      <w:proofErr w:type="gramEnd"/>
      <w:r w:rsidRPr="00D10C35">
        <w:rPr>
          <w:rFonts w:ascii="Times New Roman" w:hAnsi="Times New Roman" w:cs="Times New Roman"/>
          <w:sz w:val="24"/>
          <w:szCs w:val="24"/>
        </w:rPr>
        <w:t xml:space="preserve"> bergerak sesuai dengan kekuatan permintaan dan penawaran yang terjadi atas saham di bursa.  </w:t>
      </w:r>
      <w:proofErr w:type="gramStart"/>
      <w:r w:rsidRPr="00D10C35">
        <w:rPr>
          <w:rFonts w:ascii="Times New Roman" w:hAnsi="Times New Roman" w:cs="Times New Roman"/>
          <w:sz w:val="24"/>
          <w:szCs w:val="24"/>
        </w:rPr>
        <w:t>Pembentukan harga saham terjadi karena adanya permintaan dan penawaran atas saham tersebut.</w:t>
      </w:r>
      <w:proofErr w:type="gramEnd"/>
      <w:r w:rsidRPr="00D10C35">
        <w:rPr>
          <w:rFonts w:ascii="Times New Roman" w:hAnsi="Times New Roman" w:cs="Times New Roman"/>
          <w:sz w:val="24"/>
          <w:szCs w:val="24"/>
        </w:rPr>
        <w:t xml:space="preserve"> Dengan kata </w:t>
      </w:r>
      <w:proofErr w:type="gramStart"/>
      <w:r w:rsidRPr="00D10C35">
        <w:rPr>
          <w:rFonts w:ascii="Times New Roman" w:hAnsi="Times New Roman" w:cs="Times New Roman"/>
          <w:sz w:val="24"/>
          <w:szCs w:val="24"/>
        </w:rPr>
        <w:t>lain</w:t>
      </w:r>
      <w:proofErr w:type="gramEnd"/>
      <w:r w:rsidRPr="00D10C35">
        <w:rPr>
          <w:rFonts w:ascii="Times New Roman" w:hAnsi="Times New Roman" w:cs="Times New Roman"/>
          <w:sz w:val="24"/>
          <w:szCs w:val="24"/>
        </w:rPr>
        <w:t xml:space="preserve">, harga saham terbentuk oleh supply dan demand harga saham tersebut (Martalena dan Maya, 2011:14). Jika permintaan terhadap suatu saham tinggi, maka harga saham tersebut </w:t>
      </w:r>
      <w:proofErr w:type="gramStart"/>
      <w:r w:rsidRPr="00D10C35">
        <w:rPr>
          <w:rFonts w:ascii="Times New Roman" w:hAnsi="Times New Roman" w:cs="Times New Roman"/>
          <w:sz w:val="24"/>
          <w:szCs w:val="24"/>
        </w:rPr>
        <w:t>akan</w:t>
      </w:r>
      <w:proofErr w:type="gramEnd"/>
      <w:r w:rsidRPr="00D10C35">
        <w:rPr>
          <w:rFonts w:ascii="Times New Roman" w:hAnsi="Times New Roman" w:cs="Times New Roman"/>
          <w:sz w:val="24"/>
          <w:szCs w:val="24"/>
        </w:rPr>
        <w:t xml:space="preserve"> cenderung tinggi. Demikian sebaliknya, jika permintaan terhadap suatu saham rendah, maka harga saham tersebut </w:t>
      </w:r>
      <w:proofErr w:type="gramStart"/>
      <w:r w:rsidRPr="00D10C35">
        <w:rPr>
          <w:rFonts w:ascii="Times New Roman" w:hAnsi="Times New Roman" w:cs="Times New Roman"/>
          <w:sz w:val="24"/>
          <w:szCs w:val="24"/>
        </w:rPr>
        <w:t>akan</w:t>
      </w:r>
      <w:proofErr w:type="gramEnd"/>
      <w:r w:rsidRPr="00D10C35">
        <w:rPr>
          <w:rFonts w:ascii="Times New Roman" w:hAnsi="Times New Roman" w:cs="Times New Roman"/>
          <w:sz w:val="24"/>
          <w:szCs w:val="24"/>
        </w:rPr>
        <w:t xml:space="preserve"> cenderung turun.</w:t>
      </w:r>
    </w:p>
    <w:p w:rsidR="00757977" w:rsidRDefault="00757977" w:rsidP="00757977">
      <w:pPr>
        <w:spacing w:line="480" w:lineRule="auto"/>
        <w:jc w:val="both"/>
        <w:rPr>
          <w:rFonts w:ascii="Times New Roman" w:hAnsi="Times New Roman" w:cs="Times New Roman"/>
          <w:sz w:val="24"/>
          <w:szCs w:val="24"/>
        </w:rPr>
      </w:pPr>
      <w:r w:rsidRPr="00D10C35">
        <w:rPr>
          <w:rFonts w:ascii="Times New Roman" w:hAnsi="Times New Roman" w:cs="Times New Roman"/>
          <w:sz w:val="24"/>
          <w:szCs w:val="24"/>
        </w:rPr>
        <w:tab/>
      </w:r>
      <w:proofErr w:type="gramStart"/>
      <w:r w:rsidRPr="00D10C35">
        <w:rPr>
          <w:rFonts w:ascii="Times New Roman" w:hAnsi="Times New Roman" w:cs="Times New Roman"/>
          <w:sz w:val="24"/>
          <w:szCs w:val="24"/>
        </w:rPr>
        <w:t>Informasi mengenai penyebab naik turunnya harga saham dapat membantu investor dalam pengambilan keputusan investasinya.</w:t>
      </w:r>
      <w:proofErr w:type="gramEnd"/>
      <w:r w:rsidRPr="00D10C35">
        <w:rPr>
          <w:rFonts w:ascii="Times New Roman" w:hAnsi="Times New Roman" w:cs="Times New Roman"/>
          <w:sz w:val="24"/>
          <w:szCs w:val="24"/>
        </w:rPr>
        <w:t xml:space="preserve"> </w:t>
      </w:r>
      <w:proofErr w:type="gramStart"/>
      <w:r w:rsidRPr="00D10C35">
        <w:rPr>
          <w:rFonts w:ascii="Times New Roman" w:hAnsi="Times New Roman" w:cs="Times New Roman"/>
          <w:sz w:val="24"/>
          <w:szCs w:val="24"/>
        </w:rPr>
        <w:t>Besar kecilnya harga saham tidak terlepas dari pengaruh kekuatan pasar yaitu tinggi rendahnya permintaan dan penawaran.</w:t>
      </w:r>
      <w:proofErr w:type="gramEnd"/>
      <w:r w:rsidRPr="00D10C35">
        <w:rPr>
          <w:rFonts w:ascii="Times New Roman" w:hAnsi="Times New Roman" w:cs="Times New Roman"/>
          <w:sz w:val="24"/>
          <w:szCs w:val="24"/>
        </w:rPr>
        <w:t xml:space="preserve"> </w:t>
      </w:r>
      <w:proofErr w:type="gramStart"/>
      <w:r w:rsidRPr="00D10C35">
        <w:rPr>
          <w:rFonts w:ascii="Times New Roman" w:hAnsi="Times New Roman" w:cs="Times New Roman"/>
          <w:sz w:val="24"/>
          <w:szCs w:val="24"/>
        </w:rPr>
        <w:t>Semakin tingginya volume permintaan dan penawaran maka semakin berfluktuasinya harga saham tersebut.</w:t>
      </w:r>
      <w:proofErr w:type="gramEnd"/>
      <w:r w:rsidRPr="00D10C35">
        <w:rPr>
          <w:rFonts w:ascii="Times New Roman" w:hAnsi="Times New Roman" w:cs="Times New Roman"/>
          <w:sz w:val="24"/>
          <w:szCs w:val="24"/>
        </w:rPr>
        <w:t xml:space="preserve"> </w:t>
      </w:r>
      <w:proofErr w:type="gramStart"/>
      <w:r w:rsidRPr="00D10C35">
        <w:rPr>
          <w:rFonts w:ascii="Times New Roman" w:hAnsi="Times New Roman" w:cs="Times New Roman"/>
          <w:sz w:val="24"/>
          <w:szCs w:val="24"/>
        </w:rPr>
        <w:t>Meningkatnya volume perdagangan menunjukkan saham tersebut makin diminati oleh investor yang mengakibatkan naiknya harga saham (Jogiyanto, 2010:88).</w:t>
      </w:r>
      <w:proofErr w:type="gramEnd"/>
    </w:p>
    <w:p w:rsidR="003520C5" w:rsidRPr="00D10C35" w:rsidRDefault="0008418C" w:rsidP="0075797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520C5">
        <w:rPr>
          <w:rFonts w:ascii="Times New Roman" w:hAnsi="Times New Roman" w:cs="Times New Roman"/>
          <w:sz w:val="24"/>
          <w:szCs w:val="24"/>
        </w:rPr>
        <w:t xml:space="preserve">Penelitian yang dilakukan sebelumnya oleh </w:t>
      </w:r>
      <w:r>
        <w:rPr>
          <w:rFonts w:ascii="Times New Roman" w:hAnsi="Times New Roman" w:cs="Times New Roman"/>
          <w:sz w:val="24"/>
          <w:szCs w:val="24"/>
        </w:rPr>
        <w:t xml:space="preserve">Frendy Sondakh, Parengkuan Tommy, Marjam Mangantar (2015) pada indeks LQ45 yang terdaftar di BEI menyatakan bahwa harga saham dipengaruhi oleh </w:t>
      </w:r>
      <w:r w:rsidRPr="0008418C">
        <w:rPr>
          <w:rFonts w:ascii="Times New Roman" w:hAnsi="Times New Roman" w:cs="Times New Roman"/>
          <w:i/>
          <w:sz w:val="24"/>
          <w:szCs w:val="24"/>
        </w:rPr>
        <w:t>current ratio</w:t>
      </w:r>
      <w:r>
        <w:rPr>
          <w:rFonts w:ascii="Times New Roman" w:hAnsi="Times New Roman" w:cs="Times New Roman"/>
          <w:sz w:val="24"/>
          <w:szCs w:val="24"/>
        </w:rPr>
        <w:t xml:space="preserve">, DER, ROA baik secara simultan dan parsial. Penelitian lainnya yang dilakukan oleh Raghilia Amanah, Dwi Atmanto, dan Devi Farah Azizah (2014) yang meneliti mengenai rasio likuiditas dan rasio profitabilitas di indeks LQ45 menyatakan bahwa rasio </w:t>
      </w:r>
      <w:r>
        <w:rPr>
          <w:rFonts w:ascii="Times New Roman" w:hAnsi="Times New Roman" w:cs="Times New Roman"/>
          <w:sz w:val="24"/>
          <w:szCs w:val="24"/>
        </w:rPr>
        <w:lastRenderedPageBreak/>
        <w:t>likuiditas dan rasio profitabilitas berpengaruh secara signifikan terhadap harga saham.</w:t>
      </w:r>
    </w:p>
    <w:p w:rsidR="00F70C49" w:rsidRDefault="00757977" w:rsidP="00757977">
      <w:pPr>
        <w:spacing w:line="480" w:lineRule="auto"/>
        <w:jc w:val="both"/>
        <w:rPr>
          <w:rFonts w:ascii="Times New Roman" w:hAnsi="Times New Roman" w:cs="Times New Roman"/>
          <w:b/>
          <w:sz w:val="24"/>
          <w:szCs w:val="24"/>
        </w:rPr>
      </w:pPr>
      <w:r w:rsidRPr="00D10C35">
        <w:rPr>
          <w:rFonts w:ascii="Times New Roman" w:hAnsi="Times New Roman" w:cs="Times New Roman"/>
          <w:sz w:val="24"/>
          <w:szCs w:val="24"/>
        </w:rPr>
        <w:tab/>
        <w:t xml:space="preserve">Berdasarkan uraian yang telah dijelaskan, maka penulis tertarik untuk melakukan penelitian dengan judul </w:t>
      </w:r>
      <w:r w:rsidR="00812F71">
        <w:rPr>
          <w:rFonts w:ascii="Times New Roman" w:hAnsi="Times New Roman" w:cs="Times New Roman"/>
          <w:b/>
          <w:sz w:val="24"/>
          <w:szCs w:val="24"/>
        </w:rPr>
        <w:t xml:space="preserve">“PENGARUH </w:t>
      </w:r>
      <w:r w:rsidR="007F5EBE">
        <w:rPr>
          <w:rFonts w:ascii="Times New Roman" w:hAnsi="Times New Roman" w:cs="Times New Roman"/>
          <w:b/>
          <w:sz w:val="24"/>
          <w:szCs w:val="24"/>
        </w:rPr>
        <w:t xml:space="preserve">LIKUIDITAS, </w:t>
      </w:r>
      <w:r w:rsidR="007F5EBE" w:rsidRPr="007F5EBE">
        <w:rPr>
          <w:rFonts w:ascii="Times New Roman" w:hAnsi="Times New Roman" w:cs="Times New Roman"/>
          <w:b/>
          <w:i/>
          <w:sz w:val="24"/>
          <w:szCs w:val="24"/>
        </w:rPr>
        <w:t>LEVERAGE</w:t>
      </w:r>
      <w:r w:rsidR="007F5EBE">
        <w:rPr>
          <w:rFonts w:ascii="Times New Roman" w:hAnsi="Times New Roman" w:cs="Times New Roman"/>
          <w:b/>
          <w:sz w:val="24"/>
          <w:szCs w:val="24"/>
        </w:rPr>
        <w:t xml:space="preserve">, DAN PROFITABILITAS </w:t>
      </w:r>
      <w:r w:rsidRPr="00D10C35">
        <w:rPr>
          <w:rFonts w:ascii="Times New Roman" w:hAnsi="Times New Roman" w:cs="Times New Roman"/>
          <w:b/>
          <w:sz w:val="24"/>
          <w:szCs w:val="24"/>
        </w:rPr>
        <w:t>TERHADAP HARGA</w:t>
      </w:r>
      <w:r w:rsidR="009A2E78">
        <w:rPr>
          <w:rFonts w:ascii="Times New Roman" w:hAnsi="Times New Roman" w:cs="Times New Roman"/>
          <w:b/>
          <w:sz w:val="24"/>
          <w:szCs w:val="24"/>
        </w:rPr>
        <w:t xml:space="preserve"> SAHAM</w:t>
      </w:r>
      <w:r w:rsidR="007A24CF">
        <w:rPr>
          <w:rFonts w:ascii="Times New Roman" w:hAnsi="Times New Roman" w:cs="Times New Roman"/>
          <w:b/>
          <w:sz w:val="24"/>
          <w:szCs w:val="24"/>
        </w:rPr>
        <w:t xml:space="preserve"> (Studi Pada Industri Barang</w:t>
      </w:r>
      <w:r w:rsidR="007F5EBE">
        <w:rPr>
          <w:rFonts w:ascii="Times New Roman" w:hAnsi="Times New Roman" w:cs="Times New Roman"/>
          <w:b/>
          <w:sz w:val="24"/>
          <w:szCs w:val="24"/>
        </w:rPr>
        <w:t xml:space="preserve"> Konsumsi Sub Sektor Makanan &amp; Minuman </w:t>
      </w:r>
      <w:r w:rsidR="007A24CF">
        <w:rPr>
          <w:rFonts w:ascii="Times New Roman" w:hAnsi="Times New Roman" w:cs="Times New Roman"/>
          <w:b/>
          <w:sz w:val="24"/>
          <w:szCs w:val="24"/>
        </w:rPr>
        <w:t>di</w:t>
      </w:r>
      <w:r w:rsidR="007F5EBE">
        <w:rPr>
          <w:rFonts w:ascii="Times New Roman" w:hAnsi="Times New Roman" w:cs="Times New Roman"/>
          <w:b/>
          <w:sz w:val="24"/>
          <w:szCs w:val="24"/>
        </w:rPr>
        <w:t xml:space="preserve"> Indeks Saham Syariah Indonesia </w:t>
      </w:r>
      <w:r w:rsidR="007A24CF">
        <w:rPr>
          <w:rFonts w:ascii="Times New Roman" w:hAnsi="Times New Roman" w:cs="Times New Roman"/>
          <w:b/>
          <w:sz w:val="24"/>
          <w:szCs w:val="24"/>
        </w:rPr>
        <w:t>Periode 2011 - 2014)</w:t>
      </w:r>
      <w:r w:rsidR="009A2E78">
        <w:rPr>
          <w:rFonts w:ascii="Times New Roman" w:hAnsi="Times New Roman" w:cs="Times New Roman"/>
          <w:b/>
          <w:sz w:val="24"/>
          <w:szCs w:val="24"/>
        </w:rPr>
        <w:t>”.</w:t>
      </w:r>
    </w:p>
    <w:p w:rsidR="007F5EBE" w:rsidRPr="00B5478B" w:rsidRDefault="007F5EBE" w:rsidP="00757977">
      <w:pPr>
        <w:spacing w:line="480" w:lineRule="auto"/>
        <w:jc w:val="both"/>
        <w:rPr>
          <w:rFonts w:ascii="Times New Roman" w:hAnsi="Times New Roman" w:cs="Times New Roman"/>
          <w:b/>
          <w:sz w:val="24"/>
          <w:szCs w:val="24"/>
        </w:rPr>
      </w:pPr>
    </w:p>
    <w:p w:rsidR="00136657" w:rsidRPr="00197ABD" w:rsidRDefault="00136657" w:rsidP="00197ABD">
      <w:pPr>
        <w:pStyle w:val="ListParagraph"/>
        <w:numPr>
          <w:ilvl w:val="1"/>
          <w:numId w:val="1"/>
        </w:numPr>
        <w:spacing w:line="480" w:lineRule="auto"/>
        <w:rPr>
          <w:rFonts w:ascii="Times New Roman" w:hAnsi="Times New Roman" w:cs="Times New Roman"/>
          <w:b/>
          <w:sz w:val="24"/>
          <w:szCs w:val="24"/>
        </w:rPr>
      </w:pPr>
      <w:r w:rsidRPr="00197ABD">
        <w:rPr>
          <w:rFonts w:ascii="Times New Roman" w:hAnsi="Times New Roman" w:cs="Times New Roman"/>
          <w:b/>
          <w:sz w:val="24"/>
          <w:szCs w:val="24"/>
        </w:rPr>
        <w:t>Identifikasi dan Rumusan Masalah Penelitian</w:t>
      </w:r>
    </w:p>
    <w:p w:rsidR="00197ABD" w:rsidRDefault="00197ABD" w:rsidP="00197AB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C73B3">
        <w:rPr>
          <w:rFonts w:ascii="Times New Roman" w:hAnsi="Times New Roman" w:cs="Times New Roman"/>
          <w:sz w:val="24"/>
          <w:szCs w:val="24"/>
        </w:rPr>
        <w:t>Identifikasi m</w:t>
      </w:r>
      <w:r>
        <w:rPr>
          <w:rFonts w:ascii="Times New Roman" w:hAnsi="Times New Roman" w:cs="Times New Roman"/>
          <w:sz w:val="24"/>
          <w:szCs w:val="24"/>
        </w:rPr>
        <w:t xml:space="preserve">asalah </w:t>
      </w:r>
      <w:r w:rsidR="009C73B3">
        <w:rPr>
          <w:rFonts w:ascii="Times New Roman" w:hAnsi="Times New Roman" w:cs="Times New Roman"/>
          <w:sz w:val="24"/>
          <w:szCs w:val="24"/>
        </w:rPr>
        <w:t xml:space="preserve">merupakan proses merumuskan permasalahan – permasalahan yang </w:t>
      </w:r>
      <w:proofErr w:type="gramStart"/>
      <w:r w:rsidR="009C73B3">
        <w:rPr>
          <w:rFonts w:ascii="Times New Roman" w:hAnsi="Times New Roman" w:cs="Times New Roman"/>
          <w:sz w:val="24"/>
          <w:szCs w:val="24"/>
        </w:rPr>
        <w:t>akan</w:t>
      </w:r>
      <w:proofErr w:type="gramEnd"/>
      <w:r w:rsidR="009C73B3">
        <w:rPr>
          <w:rFonts w:ascii="Times New Roman" w:hAnsi="Times New Roman" w:cs="Times New Roman"/>
          <w:sz w:val="24"/>
          <w:szCs w:val="24"/>
        </w:rPr>
        <w:t xml:space="preserve"> diteliti untuk memudahkan dalam proses penelitian selanjutnya dan memudahkan memahami hasil penelitian. </w:t>
      </w:r>
      <w:proofErr w:type="gramStart"/>
      <w:r w:rsidR="009C73B3">
        <w:rPr>
          <w:rFonts w:ascii="Times New Roman" w:hAnsi="Times New Roman" w:cs="Times New Roman"/>
          <w:sz w:val="24"/>
          <w:szCs w:val="24"/>
        </w:rPr>
        <w:t>Sedangkan rumusan masalah menggambarkan permasalahan yang tercakup dalam penelitian.</w:t>
      </w:r>
      <w:proofErr w:type="gramEnd"/>
    </w:p>
    <w:p w:rsidR="00136657" w:rsidRPr="00D10C35" w:rsidRDefault="00136657" w:rsidP="00136657">
      <w:pPr>
        <w:spacing w:line="480" w:lineRule="auto"/>
        <w:rPr>
          <w:rFonts w:ascii="Times New Roman" w:hAnsi="Times New Roman" w:cs="Times New Roman"/>
          <w:b/>
          <w:sz w:val="24"/>
          <w:szCs w:val="24"/>
        </w:rPr>
      </w:pPr>
      <w:r w:rsidRPr="00D10C35">
        <w:rPr>
          <w:rFonts w:ascii="Times New Roman" w:hAnsi="Times New Roman" w:cs="Times New Roman"/>
          <w:b/>
          <w:sz w:val="24"/>
          <w:szCs w:val="24"/>
        </w:rPr>
        <w:t>1.2.1</w:t>
      </w:r>
      <w:r w:rsidRPr="00D10C35">
        <w:rPr>
          <w:rFonts w:ascii="Times New Roman" w:hAnsi="Times New Roman" w:cs="Times New Roman"/>
          <w:b/>
          <w:sz w:val="24"/>
          <w:szCs w:val="24"/>
        </w:rPr>
        <w:tab/>
        <w:t>Identifikasi Masalah</w:t>
      </w:r>
    </w:p>
    <w:p w:rsidR="00136657" w:rsidRPr="00D10C35" w:rsidRDefault="00136657" w:rsidP="00136657">
      <w:pPr>
        <w:spacing w:line="480" w:lineRule="auto"/>
        <w:jc w:val="both"/>
        <w:rPr>
          <w:rFonts w:ascii="Times New Roman" w:hAnsi="Times New Roman" w:cs="Times New Roman"/>
          <w:sz w:val="24"/>
          <w:szCs w:val="24"/>
        </w:rPr>
      </w:pPr>
      <w:r w:rsidRPr="00D10C35">
        <w:rPr>
          <w:rFonts w:ascii="Times New Roman" w:hAnsi="Times New Roman" w:cs="Times New Roman"/>
          <w:sz w:val="24"/>
          <w:szCs w:val="24"/>
        </w:rPr>
        <w:tab/>
        <w:t>Berdasarkan latar belakang masalah yang telah diuraikan, maka terdapat beberapa fenomena yang menjadi identifikasi masal</w:t>
      </w:r>
      <w:r w:rsidR="00197ABD">
        <w:rPr>
          <w:rFonts w:ascii="Times New Roman" w:hAnsi="Times New Roman" w:cs="Times New Roman"/>
          <w:sz w:val="24"/>
          <w:szCs w:val="24"/>
        </w:rPr>
        <w:t xml:space="preserve">ah yang terjadi pada </w:t>
      </w:r>
      <w:r w:rsidR="00DB3488">
        <w:rPr>
          <w:rFonts w:ascii="Times New Roman" w:hAnsi="Times New Roman" w:cs="Times New Roman"/>
          <w:sz w:val="24"/>
          <w:szCs w:val="24"/>
        </w:rPr>
        <w:t xml:space="preserve">industri </w:t>
      </w:r>
      <w:r w:rsidR="00197ABD">
        <w:rPr>
          <w:rFonts w:ascii="Times New Roman" w:hAnsi="Times New Roman" w:cs="Times New Roman"/>
          <w:sz w:val="24"/>
          <w:szCs w:val="24"/>
        </w:rPr>
        <w:t xml:space="preserve">barang </w:t>
      </w:r>
      <w:r w:rsidR="00DB3488">
        <w:rPr>
          <w:rFonts w:ascii="Times New Roman" w:hAnsi="Times New Roman" w:cs="Times New Roman"/>
          <w:sz w:val="24"/>
          <w:szCs w:val="24"/>
        </w:rPr>
        <w:t>konsumsi sub sektor makanan dan minuman di ISSI</w:t>
      </w:r>
      <w:r w:rsidRPr="00D10C35">
        <w:rPr>
          <w:rFonts w:ascii="Times New Roman" w:hAnsi="Times New Roman" w:cs="Times New Roman"/>
          <w:sz w:val="24"/>
          <w:szCs w:val="24"/>
        </w:rPr>
        <w:t xml:space="preserve"> </w:t>
      </w:r>
      <w:proofErr w:type="gramStart"/>
      <w:r w:rsidRPr="00D10C35">
        <w:rPr>
          <w:rFonts w:ascii="Times New Roman" w:hAnsi="Times New Roman" w:cs="Times New Roman"/>
          <w:sz w:val="24"/>
          <w:szCs w:val="24"/>
        </w:rPr>
        <w:t>yaitu :</w:t>
      </w:r>
      <w:proofErr w:type="gramEnd"/>
      <w:r w:rsidRPr="00D10C35">
        <w:rPr>
          <w:rFonts w:ascii="Times New Roman" w:hAnsi="Times New Roman" w:cs="Times New Roman"/>
          <w:sz w:val="24"/>
          <w:szCs w:val="24"/>
        </w:rPr>
        <w:t xml:space="preserve"> </w:t>
      </w:r>
    </w:p>
    <w:p w:rsidR="00136657" w:rsidRPr="00D10C35" w:rsidRDefault="004E7281" w:rsidP="0013665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Kondisi </w:t>
      </w:r>
      <w:r w:rsidR="00E32923">
        <w:rPr>
          <w:rFonts w:ascii="Times New Roman" w:hAnsi="Times New Roman" w:cs="Times New Roman"/>
          <w:sz w:val="24"/>
          <w:szCs w:val="24"/>
        </w:rPr>
        <w:t xml:space="preserve">rata – rata </w:t>
      </w:r>
      <w:r w:rsidR="005B5CA0">
        <w:rPr>
          <w:rFonts w:ascii="Times New Roman" w:hAnsi="Times New Roman" w:cs="Times New Roman"/>
          <w:sz w:val="24"/>
          <w:szCs w:val="24"/>
        </w:rPr>
        <w:t>likuiditas (</w:t>
      </w:r>
      <w:r w:rsidRPr="006A0823">
        <w:rPr>
          <w:rFonts w:ascii="Times New Roman" w:hAnsi="Times New Roman" w:cs="Times New Roman"/>
          <w:i/>
          <w:sz w:val="24"/>
          <w:szCs w:val="24"/>
        </w:rPr>
        <w:t>current ratio</w:t>
      </w:r>
      <w:r w:rsidR="005B5CA0">
        <w:rPr>
          <w:rFonts w:ascii="Times New Roman" w:hAnsi="Times New Roman" w:cs="Times New Roman"/>
          <w:i/>
          <w:sz w:val="24"/>
          <w:szCs w:val="24"/>
        </w:rPr>
        <w:t>)</w:t>
      </w:r>
      <w:r>
        <w:rPr>
          <w:rFonts w:ascii="Times New Roman" w:hAnsi="Times New Roman" w:cs="Times New Roman"/>
          <w:sz w:val="24"/>
          <w:szCs w:val="24"/>
        </w:rPr>
        <w:t xml:space="preserve"> </w:t>
      </w:r>
      <w:r w:rsidR="005B5CA0">
        <w:rPr>
          <w:rFonts w:ascii="Times New Roman" w:hAnsi="Times New Roman" w:cs="Times New Roman"/>
          <w:sz w:val="24"/>
          <w:szCs w:val="24"/>
        </w:rPr>
        <w:t>pada tahun 2011, 2013 – 2014 bergerak searah dengan harga saham yang mengalami peningkatan, namun pada tahun 2012 sempat mengalami penurunan</w:t>
      </w:r>
      <w:r w:rsidR="00136657" w:rsidRPr="00D10C35">
        <w:rPr>
          <w:rFonts w:ascii="Times New Roman" w:hAnsi="Times New Roman" w:cs="Times New Roman"/>
          <w:sz w:val="24"/>
          <w:szCs w:val="24"/>
        </w:rPr>
        <w:t>.</w:t>
      </w:r>
    </w:p>
    <w:p w:rsidR="004E7281" w:rsidRDefault="00136657" w:rsidP="00136657">
      <w:pPr>
        <w:pStyle w:val="ListParagraph"/>
        <w:numPr>
          <w:ilvl w:val="0"/>
          <w:numId w:val="6"/>
        </w:numPr>
        <w:spacing w:line="480" w:lineRule="auto"/>
        <w:jc w:val="both"/>
        <w:rPr>
          <w:rFonts w:ascii="Times New Roman" w:hAnsi="Times New Roman" w:cs="Times New Roman"/>
          <w:sz w:val="24"/>
          <w:szCs w:val="24"/>
        </w:rPr>
      </w:pPr>
      <w:r w:rsidRPr="004E7281">
        <w:rPr>
          <w:rFonts w:ascii="Times New Roman" w:hAnsi="Times New Roman" w:cs="Times New Roman"/>
          <w:sz w:val="24"/>
          <w:szCs w:val="24"/>
        </w:rPr>
        <w:lastRenderedPageBreak/>
        <w:t xml:space="preserve">Kondisi </w:t>
      </w:r>
      <w:r w:rsidR="00E32923">
        <w:rPr>
          <w:rFonts w:ascii="Times New Roman" w:hAnsi="Times New Roman" w:cs="Times New Roman"/>
          <w:sz w:val="24"/>
          <w:szCs w:val="24"/>
        </w:rPr>
        <w:t xml:space="preserve">rata – rata </w:t>
      </w:r>
      <w:r w:rsidR="00977184" w:rsidRPr="00977184">
        <w:rPr>
          <w:rFonts w:ascii="Times New Roman" w:hAnsi="Times New Roman" w:cs="Times New Roman"/>
          <w:i/>
          <w:sz w:val="24"/>
          <w:szCs w:val="24"/>
        </w:rPr>
        <w:t>leverage</w:t>
      </w:r>
      <w:r w:rsidR="00977184">
        <w:rPr>
          <w:rFonts w:ascii="Times New Roman" w:hAnsi="Times New Roman" w:cs="Times New Roman"/>
          <w:sz w:val="24"/>
          <w:szCs w:val="24"/>
        </w:rPr>
        <w:t xml:space="preserve"> (</w:t>
      </w:r>
      <w:r w:rsidRPr="006A0823">
        <w:rPr>
          <w:rFonts w:ascii="Times New Roman" w:hAnsi="Times New Roman" w:cs="Times New Roman"/>
          <w:i/>
          <w:sz w:val="24"/>
          <w:szCs w:val="24"/>
        </w:rPr>
        <w:t>debt to equity ratio</w:t>
      </w:r>
      <w:r w:rsidR="00977184">
        <w:rPr>
          <w:rFonts w:ascii="Times New Roman" w:hAnsi="Times New Roman" w:cs="Times New Roman"/>
          <w:i/>
          <w:sz w:val="24"/>
          <w:szCs w:val="24"/>
        </w:rPr>
        <w:t>)</w:t>
      </w:r>
      <w:r w:rsidRPr="004E7281">
        <w:rPr>
          <w:rFonts w:ascii="Times New Roman" w:hAnsi="Times New Roman" w:cs="Times New Roman"/>
          <w:sz w:val="24"/>
          <w:szCs w:val="24"/>
        </w:rPr>
        <w:t xml:space="preserve"> </w:t>
      </w:r>
      <w:r w:rsidR="004E7281">
        <w:rPr>
          <w:rFonts w:ascii="Times New Roman" w:hAnsi="Times New Roman" w:cs="Times New Roman"/>
          <w:sz w:val="24"/>
          <w:szCs w:val="24"/>
        </w:rPr>
        <w:t xml:space="preserve">yang terus meningkat setiap tahunnya mulai tahun 2011 sampai tahun 2014 yang mengindikasikan hutang perusahaan </w:t>
      </w:r>
      <w:r w:rsidR="00982AFE">
        <w:rPr>
          <w:rFonts w:ascii="Times New Roman" w:hAnsi="Times New Roman" w:cs="Times New Roman"/>
          <w:sz w:val="24"/>
          <w:szCs w:val="24"/>
        </w:rPr>
        <w:t>terhadap modal yang terus naik.</w:t>
      </w:r>
    </w:p>
    <w:p w:rsidR="00136657" w:rsidRPr="004E7281" w:rsidRDefault="00136657" w:rsidP="00136657">
      <w:pPr>
        <w:pStyle w:val="ListParagraph"/>
        <w:numPr>
          <w:ilvl w:val="0"/>
          <w:numId w:val="6"/>
        </w:numPr>
        <w:spacing w:line="480" w:lineRule="auto"/>
        <w:jc w:val="both"/>
        <w:rPr>
          <w:rFonts w:ascii="Times New Roman" w:hAnsi="Times New Roman" w:cs="Times New Roman"/>
          <w:sz w:val="24"/>
          <w:szCs w:val="24"/>
        </w:rPr>
      </w:pPr>
      <w:r w:rsidRPr="004E7281">
        <w:rPr>
          <w:rFonts w:ascii="Times New Roman" w:hAnsi="Times New Roman" w:cs="Times New Roman"/>
          <w:sz w:val="24"/>
          <w:szCs w:val="24"/>
        </w:rPr>
        <w:t xml:space="preserve">Kondisi </w:t>
      </w:r>
      <w:r w:rsidR="00E32923">
        <w:rPr>
          <w:rFonts w:ascii="Times New Roman" w:hAnsi="Times New Roman" w:cs="Times New Roman"/>
          <w:sz w:val="24"/>
          <w:szCs w:val="24"/>
        </w:rPr>
        <w:t xml:space="preserve">rata – rata </w:t>
      </w:r>
      <w:r w:rsidR="00977184">
        <w:rPr>
          <w:rFonts w:ascii="Times New Roman" w:hAnsi="Times New Roman" w:cs="Times New Roman"/>
          <w:sz w:val="24"/>
          <w:szCs w:val="24"/>
        </w:rPr>
        <w:t>profitabilitas (</w:t>
      </w:r>
      <w:r w:rsidRPr="006A0823">
        <w:rPr>
          <w:rFonts w:ascii="Times New Roman" w:hAnsi="Times New Roman" w:cs="Times New Roman"/>
          <w:i/>
          <w:sz w:val="24"/>
          <w:szCs w:val="24"/>
        </w:rPr>
        <w:t>return on ass</w:t>
      </w:r>
      <w:r w:rsidR="00982AFE" w:rsidRPr="006A0823">
        <w:rPr>
          <w:rFonts w:ascii="Times New Roman" w:hAnsi="Times New Roman" w:cs="Times New Roman"/>
          <w:i/>
          <w:sz w:val="24"/>
          <w:szCs w:val="24"/>
        </w:rPr>
        <w:t>ets</w:t>
      </w:r>
      <w:r w:rsidR="00977184">
        <w:rPr>
          <w:rFonts w:ascii="Times New Roman" w:hAnsi="Times New Roman" w:cs="Times New Roman"/>
          <w:i/>
          <w:sz w:val="24"/>
          <w:szCs w:val="24"/>
        </w:rPr>
        <w:t>)</w:t>
      </w:r>
      <w:r w:rsidR="00982AFE">
        <w:rPr>
          <w:rFonts w:ascii="Times New Roman" w:hAnsi="Times New Roman" w:cs="Times New Roman"/>
          <w:sz w:val="24"/>
          <w:szCs w:val="24"/>
        </w:rPr>
        <w:t xml:space="preserve"> mengalami kenaikan pada 2012</w:t>
      </w:r>
      <w:r w:rsidRPr="004E7281">
        <w:rPr>
          <w:rFonts w:ascii="Times New Roman" w:hAnsi="Times New Roman" w:cs="Times New Roman"/>
          <w:sz w:val="24"/>
          <w:szCs w:val="24"/>
        </w:rPr>
        <w:t xml:space="preserve"> </w:t>
      </w:r>
      <w:r w:rsidR="005B5CA0">
        <w:rPr>
          <w:rFonts w:ascii="Times New Roman" w:hAnsi="Times New Roman" w:cs="Times New Roman"/>
          <w:sz w:val="24"/>
          <w:szCs w:val="24"/>
        </w:rPr>
        <w:t xml:space="preserve">dan bergerak searah dengan harga saham </w:t>
      </w:r>
      <w:r w:rsidR="00977184">
        <w:rPr>
          <w:rFonts w:ascii="Times New Roman" w:hAnsi="Times New Roman" w:cs="Times New Roman"/>
          <w:sz w:val="24"/>
          <w:szCs w:val="24"/>
        </w:rPr>
        <w:t>tetapi</w:t>
      </w:r>
      <w:r w:rsidRPr="004E7281">
        <w:rPr>
          <w:rFonts w:ascii="Times New Roman" w:hAnsi="Times New Roman" w:cs="Times New Roman"/>
          <w:sz w:val="24"/>
          <w:szCs w:val="24"/>
        </w:rPr>
        <w:t xml:space="preserve"> kemudian men</w:t>
      </w:r>
      <w:r w:rsidR="00982AFE">
        <w:rPr>
          <w:rFonts w:ascii="Times New Roman" w:hAnsi="Times New Roman" w:cs="Times New Roman"/>
          <w:sz w:val="24"/>
          <w:szCs w:val="24"/>
        </w:rPr>
        <w:t>galami penurunan dua tahun berikutnya pada tahun 2013</w:t>
      </w:r>
      <w:r w:rsidR="00977184" w:rsidRPr="00977184">
        <w:rPr>
          <w:rFonts w:ascii="Times New Roman" w:hAnsi="Times New Roman" w:cs="Times New Roman"/>
          <w:sz w:val="24"/>
          <w:szCs w:val="24"/>
        </w:rPr>
        <w:t xml:space="preserve"> </w:t>
      </w:r>
      <w:r w:rsidR="00977184">
        <w:rPr>
          <w:rFonts w:ascii="Times New Roman" w:hAnsi="Times New Roman" w:cs="Times New Roman"/>
          <w:sz w:val="24"/>
          <w:szCs w:val="24"/>
        </w:rPr>
        <w:t>bergerak berlawanan dengan harga saham</w:t>
      </w:r>
      <w:r w:rsidR="00982AFE">
        <w:rPr>
          <w:rFonts w:ascii="Times New Roman" w:hAnsi="Times New Roman" w:cs="Times New Roman"/>
          <w:sz w:val="24"/>
          <w:szCs w:val="24"/>
        </w:rPr>
        <w:t xml:space="preserve"> dan </w:t>
      </w:r>
      <w:r w:rsidR="00977184">
        <w:rPr>
          <w:rFonts w:ascii="Times New Roman" w:hAnsi="Times New Roman" w:cs="Times New Roman"/>
          <w:sz w:val="24"/>
          <w:szCs w:val="24"/>
        </w:rPr>
        <w:t>di tahun 2014 mengalami penurunan kembali.</w:t>
      </w:r>
    </w:p>
    <w:p w:rsidR="00197ABD" w:rsidRPr="00977184" w:rsidRDefault="00136657" w:rsidP="00197ABD">
      <w:pPr>
        <w:pStyle w:val="ListParagraph"/>
        <w:numPr>
          <w:ilvl w:val="0"/>
          <w:numId w:val="6"/>
        </w:numPr>
        <w:spacing w:line="480" w:lineRule="auto"/>
        <w:jc w:val="both"/>
        <w:rPr>
          <w:rFonts w:ascii="Times New Roman" w:hAnsi="Times New Roman" w:cs="Times New Roman"/>
          <w:sz w:val="24"/>
          <w:szCs w:val="24"/>
        </w:rPr>
      </w:pPr>
      <w:r w:rsidRPr="00D10C35">
        <w:rPr>
          <w:rFonts w:ascii="Times New Roman" w:hAnsi="Times New Roman" w:cs="Times New Roman"/>
          <w:sz w:val="24"/>
          <w:szCs w:val="24"/>
        </w:rPr>
        <w:t xml:space="preserve">Kondisi </w:t>
      </w:r>
      <w:r w:rsidR="00E32923">
        <w:rPr>
          <w:rFonts w:ascii="Times New Roman" w:hAnsi="Times New Roman" w:cs="Times New Roman"/>
          <w:sz w:val="24"/>
          <w:szCs w:val="24"/>
        </w:rPr>
        <w:t xml:space="preserve">rata – rata </w:t>
      </w:r>
      <w:r w:rsidRPr="00D10C35">
        <w:rPr>
          <w:rFonts w:ascii="Times New Roman" w:hAnsi="Times New Roman" w:cs="Times New Roman"/>
          <w:sz w:val="24"/>
          <w:szCs w:val="24"/>
        </w:rPr>
        <w:t xml:space="preserve">harga saham </w:t>
      </w:r>
      <w:r w:rsidR="00982AFE">
        <w:rPr>
          <w:rFonts w:ascii="Times New Roman" w:hAnsi="Times New Roman" w:cs="Times New Roman"/>
          <w:sz w:val="24"/>
          <w:szCs w:val="24"/>
        </w:rPr>
        <w:t xml:space="preserve">yang fluktuatif dimana </w:t>
      </w:r>
      <w:r w:rsidR="00977184">
        <w:rPr>
          <w:rFonts w:ascii="Times New Roman" w:hAnsi="Times New Roman" w:cs="Times New Roman"/>
          <w:sz w:val="24"/>
          <w:szCs w:val="24"/>
        </w:rPr>
        <w:t xml:space="preserve">dua tahun berturut – turut </w:t>
      </w:r>
      <w:r w:rsidR="00982AFE">
        <w:rPr>
          <w:rFonts w:ascii="Times New Roman" w:hAnsi="Times New Roman" w:cs="Times New Roman"/>
          <w:sz w:val="24"/>
          <w:szCs w:val="24"/>
        </w:rPr>
        <w:t>pada tahun 2012 dan 2013 mengalami kenaikan namun pada tahun 2014 mengalami sedikit penurunan.</w:t>
      </w:r>
    </w:p>
    <w:p w:rsidR="00136657" w:rsidRPr="00D10C35" w:rsidRDefault="00136657" w:rsidP="00136657">
      <w:pPr>
        <w:spacing w:line="480" w:lineRule="auto"/>
        <w:rPr>
          <w:rFonts w:ascii="Times New Roman" w:hAnsi="Times New Roman" w:cs="Times New Roman"/>
          <w:b/>
          <w:sz w:val="24"/>
          <w:szCs w:val="24"/>
        </w:rPr>
      </w:pPr>
      <w:r w:rsidRPr="00D10C35">
        <w:rPr>
          <w:rFonts w:ascii="Times New Roman" w:hAnsi="Times New Roman" w:cs="Times New Roman"/>
          <w:b/>
          <w:sz w:val="24"/>
          <w:szCs w:val="24"/>
        </w:rPr>
        <w:t>1.2.2</w:t>
      </w:r>
      <w:r w:rsidRPr="00D10C35">
        <w:rPr>
          <w:rFonts w:ascii="Times New Roman" w:hAnsi="Times New Roman" w:cs="Times New Roman"/>
          <w:b/>
          <w:sz w:val="24"/>
          <w:szCs w:val="24"/>
        </w:rPr>
        <w:tab/>
        <w:t>Rumusan Masalah</w:t>
      </w:r>
    </w:p>
    <w:p w:rsidR="00136657" w:rsidRPr="00D10C35" w:rsidRDefault="007F5EBE" w:rsidP="00136657">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identifikasi masalah yang telah dijelaskan, maka r</w:t>
      </w:r>
      <w:r w:rsidR="00136657" w:rsidRPr="00D10C35">
        <w:rPr>
          <w:rFonts w:ascii="Times New Roman" w:hAnsi="Times New Roman" w:cs="Times New Roman"/>
          <w:sz w:val="24"/>
          <w:szCs w:val="24"/>
        </w:rPr>
        <w:t xml:space="preserve">umusan masalah yang diteliti oleh penulis adalah sebagai </w:t>
      </w:r>
      <w:proofErr w:type="gramStart"/>
      <w:r w:rsidR="00136657" w:rsidRPr="00D10C35">
        <w:rPr>
          <w:rFonts w:ascii="Times New Roman" w:hAnsi="Times New Roman" w:cs="Times New Roman"/>
          <w:sz w:val="24"/>
          <w:szCs w:val="24"/>
        </w:rPr>
        <w:t>berikut :</w:t>
      </w:r>
      <w:proofErr w:type="gramEnd"/>
    </w:p>
    <w:p w:rsidR="00136657" w:rsidRPr="00D10C35" w:rsidRDefault="00136657" w:rsidP="00136657">
      <w:pPr>
        <w:pStyle w:val="ListParagraph"/>
        <w:numPr>
          <w:ilvl w:val="0"/>
          <w:numId w:val="3"/>
        </w:numPr>
        <w:spacing w:line="480" w:lineRule="auto"/>
        <w:jc w:val="both"/>
        <w:rPr>
          <w:rFonts w:ascii="Times New Roman" w:hAnsi="Times New Roman" w:cs="Times New Roman"/>
          <w:sz w:val="24"/>
          <w:szCs w:val="24"/>
        </w:rPr>
      </w:pPr>
      <w:r w:rsidRPr="00D10C35">
        <w:rPr>
          <w:rFonts w:ascii="Times New Roman" w:hAnsi="Times New Roman" w:cs="Times New Roman"/>
          <w:sz w:val="24"/>
          <w:szCs w:val="24"/>
        </w:rPr>
        <w:t xml:space="preserve">Bagaimana kondisi </w:t>
      </w:r>
      <w:r w:rsidR="005B5CA0">
        <w:rPr>
          <w:rFonts w:ascii="Times New Roman" w:hAnsi="Times New Roman" w:cs="Times New Roman"/>
          <w:sz w:val="24"/>
          <w:szCs w:val="24"/>
        </w:rPr>
        <w:t xml:space="preserve">likuiditas yang diukur dengan </w:t>
      </w:r>
      <w:r w:rsidRPr="006A0823">
        <w:rPr>
          <w:rFonts w:ascii="Times New Roman" w:hAnsi="Times New Roman" w:cs="Times New Roman"/>
          <w:i/>
          <w:sz w:val="24"/>
          <w:szCs w:val="24"/>
        </w:rPr>
        <w:t>Current Ratio</w:t>
      </w:r>
      <w:r w:rsidRPr="00D10C35">
        <w:rPr>
          <w:rFonts w:ascii="Times New Roman" w:hAnsi="Times New Roman" w:cs="Times New Roman"/>
          <w:sz w:val="24"/>
          <w:szCs w:val="24"/>
        </w:rPr>
        <w:t xml:space="preserve"> pada </w:t>
      </w:r>
      <w:r w:rsidR="000F2364">
        <w:rPr>
          <w:rFonts w:ascii="Times New Roman" w:hAnsi="Times New Roman" w:cs="Times New Roman"/>
          <w:sz w:val="24"/>
          <w:szCs w:val="24"/>
        </w:rPr>
        <w:t xml:space="preserve">industri barang konsumsi sub sektor makanan dan minuman yang termasuk di ISSI pada tahun </w:t>
      </w:r>
      <w:r w:rsidR="005B5CA0">
        <w:rPr>
          <w:rFonts w:ascii="Times New Roman" w:hAnsi="Times New Roman" w:cs="Times New Roman"/>
          <w:sz w:val="24"/>
          <w:szCs w:val="24"/>
        </w:rPr>
        <w:t>2011</w:t>
      </w:r>
      <w:r w:rsidRPr="00D10C35">
        <w:rPr>
          <w:rFonts w:ascii="Times New Roman" w:hAnsi="Times New Roman" w:cs="Times New Roman"/>
          <w:sz w:val="24"/>
          <w:szCs w:val="24"/>
        </w:rPr>
        <w:t xml:space="preserve"> – 2014.</w:t>
      </w:r>
    </w:p>
    <w:p w:rsidR="00136657" w:rsidRPr="00D10C35" w:rsidRDefault="00136657" w:rsidP="00136657">
      <w:pPr>
        <w:pStyle w:val="ListParagraph"/>
        <w:numPr>
          <w:ilvl w:val="0"/>
          <w:numId w:val="3"/>
        </w:numPr>
        <w:spacing w:line="480" w:lineRule="auto"/>
        <w:jc w:val="both"/>
        <w:rPr>
          <w:rFonts w:ascii="Times New Roman" w:hAnsi="Times New Roman" w:cs="Times New Roman"/>
          <w:sz w:val="24"/>
          <w:szCs w:val="24"/>
        </w:rPr>
      </w:pPr>
      <w:r w:rsidRPr="00D10C35">
        <w:rPr>
          <w:rFonts w:ascii="Times New Roman" w:hAnsi="Times New Roman" w:cs="Times New Roman"/>
          <w:sz w:val="24"/>
          <w:szCs w:val="24"/>
        </w:rPr>
        <w:t>Bagaimana ko</w:t>
      </w:r>
      <w:r w:rsidR="000F2364">
        <w:rPr>
          <w:rFonts w:ascii="Times New Roman" w:hAnsi="Times New Roman" w:cs="Times New Roman"/>
          <w:sz w:val="24"/>
          <w:szCs w:val="24"/>
        </w:rPr>
        <w:t xml:space="preserve">ndisi </w:t>
      </w:r>
      <w:r w:rsidR="005B5CA0" w:rsidRPr="005B5CA0">
        <w:rPr>
          <w:rFonts w:ascii="Times New Roman" w:hAnsi="Times New Roman" w:cs="Times New Roman"/>
          <w:i/>
          <w:sz w:val="24"/>
          <w:szCs w:val="24"/>
        </w:rPr>
        <w:t>leverage</w:t>
      </w:r>
      <w:r w:rsidR="005B5CA0">
        <w:rPr>
          <w:rFonts w:ascii="Times New Roman" w:hAnsi="Times New Roman" w:cs="Times New Roman"/>
          <w:sz w:val="24"/>
          <w:szCs w:val="24"/>
        </w:rPr>
        <w:t xml:space="preserve"> yang diukur dengan </w:t>
      </w:r>
      <w:r w:rsidR="000F2364" w:rsidRPr="00F3364C">
        <w:rPr>
          <w:rFonts w:ascii="Times New Roman" w:hAnsi="Times New Roman" w:cs="Times New Roman"/>
          <w:i/>
          <w:sz w:val="24"/>
          <w:szCs w:val="24"/>
        </w:rPr>
        <w:t>Debt to Equity Ratio</w:t>
      </w:r>
      <w:r w:rsidR="000F2364">
        <w:rPr>
          <w:rFonts w:ascii="Times New Roman" w:hAnsi="Times New Roman" w:cs="Times New Roman"/>
          <w:sz w:val="24"/>
          <w:szCs w:val="24"/>
        </w:rPr>
        <w:t xml:space="preserve"> </w:t>
      </w:r>
      <w:r w:rsidR="000F2364" w:rsidRPr="00D10C35">
        <w:rPr>
          <w:rFonts w:ascii="Times New Roman" w:hAnsi="Times New Roman" w:cs="Times New Roman"/>
          <w:sz w:val="24"/>
          <w:szCs w:val="24"/>
        </w:rPr>
        <w:t xml:space="preserve">pada </w:t>
      </w:r>
      <w:r w:rsidR="000F2364">
        <w:rPr>
          <w:rFonts w:ascii="Times New Roman" w:hAnsi="Times New Roman" w:cs="Times New Roman"/>
          <w:sz w:val="24"/>
          <w:szCs w:val="24"/>
        </w:rPr>
        <w:t xml:space="preserve">industri barang konsumsi sub sektor makanan dan minuman yang termasuk di ISSI pada tahun </w:t>
      </w:r>
      <w:r w:rsidR="005B5CA0">
        <w:rPr>
          <w:rFonts w:ascii="Times New Roman" w:hAnsi="Times New Roman" w:cs="Times New Roman"/>
          <w:sz w:val="24"/>
          <w:szCs w:val="24"/>
        </w:rPr>
        <w:t>2011</w:t>
      </w:r>
      <w:r w:rsidR="000F2364" w:rsidRPr="00D10C35">
        <w:rPr>
          <w:rFonts w:ascii="Times New Roman" w:hAnsi="Times New Roman" w:cs="Times New Roman"/>
          <w:sz w:val="24"/>
          <w:szCs w:val="24"/>
        </w:rPr>
        <w:t xml:space="preserve"> – 2014.</w:t>
      </w:r>
    </w:p>
    <w:p w:rsidR="000F2364" w:rsidRDefault="00136657" w:rsidP="00136657">
      <w:pPr>
        <w:pStyle w:val="ListParagraph"/>
        <w:numPr>
          <w:ilvl w:val="0"/>
          <w:numId w:val="3"/>
        </w:numPr>
        <w:spacing w:line="480" w:lineRule="auto"/>
        <w:jc w:val="both"/>
        <w:rPr>
          <w:rFonts w:ascii="Times New Roman" w:hAnsi="Times New Roman" w:cs="Times New Roman"/>
          <w:sz w:val="24"/>
          <w:szCs w:val="24"/>
        </w:rPr>
      </w:pPr>
      <w:r w:rsidRPr="000F2364">
        <w:rPr>
          <w:rFonts w:ascii="Times New Roman" w:hAnsi="Times New Roman" w:cs="Times New Roman"/>
          <w:sz w:val="24"/>
          <w:szCs w:val="24"/>
        </w:rPr>
        <w:lastRenderedPageBreak/>
        <w:t>Bagaiman</w:t>
      </w:r>
      <w:r w:rsidR="000F2364">
        <w:rPr>
          <w:rFonts w:ascii="Times New Roman" w:hAnsi="Times New Roman" w:cs="Times New Roman"/>
          <w:sz w:val="24"/>
          <w:szCs w:val="24"/>
        </w:rPr>
        <w:t xml:space="preserve">a kondisi </w:t>
      </w:r>
      <w:r w:rsidR="005B5CA0">
        <w:rPr>
          <w:rFonts w:ascii="Times New Roman" w:hAnsi="Times New Roman" w:cs="Times New Roman"/>
          <w:sz w:val="24"/>
          <w:szCs w:val="24"/>
        </w:rPr>
        <w:t xml:space="preserve">profitabilitas yang diukur dengan </w:t>
      </w:r>
      <w:r w:rsidR="000F2364" w:rsidRPr="00F3364C">
        <w:rPr>
          <w:rFonts w:ascii="Times New Roman" w:hAnsi="Times New Roman" w:cs="Times New Roman"/>
          <w:i/>
          <w:sz w:val="24"/>
          <w:szCs w:val="24"/>
        </w:rPr>
        <w:t xml:space="preserve">Return </w:t>
      </w:r>
      <w:proofErr w:type="gramStart"/>
      <w:r w:rsidR="000F2364" w:rsidRPr="00F3364C">
        <w:rPr>
          <w:rFonts w:ascii="Times New Roman" w:hAnsi="Times New Roman" w:cs="Times New Roman"/>
          <w:i/>
          <w:sz w:val="24"/>
          <w:szCs w:val="24"/>
        </w:rPr>
        <w:t>On</w:t>
      </w:r>
      <w:proofErr w:type="gramEnd"/>
      <w:r w:rsidR="000F2364" w:rsidRPr="00F3364C">
        <w:rPr>
          <w:rFonts w:ascii="Times New Roman" w:hAnsi="Times New Roman" w:cs="Times New Roman"/>
          <w:i/>
          <w:sz w:val="24"/>
          <w:szCs w:val="24"/>
        </w:rPr>
        <w:t xml:space="preserve"> Assets</w:t>
      </w:r>
      <w:r w:rsidR="000F2364">
        <w:rPr>
          <w:rFonts w:ascii="Times New Roman" w:hAnsi="Times New Roman" w:cs="Times New Roman"/>
          <w:sz w:val="24"/>
          <w:szCs w:val="24"/>
        </w:rPr>
        <w:t xml:space="preserve"> </w:t>
      </w:r>
      <w:r w:rsidR="000F2364" w:rsidRPr="00D10C35">
        <w:rPr>
          <w:rFonts w:ascii="Times New Roman" w:hAnsi="Times New Roman" w:cs="Times New Roman"/>
          <w:sz w:val="24"/>
          <w:szCs w:val="24"/>
        </w:rPr>
        <w:t xml:space="preserve">pada </w:t>
      </w:r>
      <w:r w:rsidR="000F2364">
        <w:rPr>
          <w:rFonts w:ascii="Times New Roman" w:hAnsi="Times New Roman" w:cs="Times New Roman"/>
          <w:sz w:val="24"/>
          <w:szCs w:val="24"/>
        </w:rPr>
        <w:t xml:space="preserve">industri barang konsumsi sub sektor makanan dan minuman yang termasuk di ISSI pada tahun </w:t>
      </w:r>
      <w:r w:rsidR="005B5CA0">
        <w:rPr>
          <w:rFonts w:ascii="Times New Roman" w:hAnsi="Times New Roman" w:cs="Times New Roman"/>
          <w:sz w:val="24"/>
          <w:szCs w:val="24"/>
        </w:rPr>
        <w:t>2011</w:t>
      </w:r>
      <w:r w:rsidR="000F2364" w:rsidRPr="00D10C35">
        <w:rPr>
          <w:rFonts w:ascii="Times New Roman" w:hAnsi="Times New Roman" w:cs="Times New Roman"/>
          <w:sz w:val="24"/>
          <w:szCs w:val="24"/>
        </w:rPr>
        <w:t xml:space="preserve"> – 2014.</w:t>
      </w:r>
    </w:p>
    <w:p w:rsidR="00136657" w:rsidRPr="000F2364" w:rsidRDefault="00136657" w:rsidP="00136657">
      <w:pPr>
        <w:pStyle w:val="ListParagraph"/>
        <w:numPr>
          <w:ilvl w:val="0"/>
          <w:numId w:val="3"/>
        </w:numPr>
        <w:spacing w:line="480" w:lineRule="auto"/>
        <w:jc w:val="both"/>
        <w:rPr>
          <w:rFonts w:ascii="Times New Roman" w:hAnsi="Times New Roman" w:cs="Times New Roman"/>
          <w:sz w:val="24"/>
          <w:szCs w:val="24"/>
        </w:rPr>
      </w:pPr>
      <w:r w:rsidRPr="000F2364">
        <w:rPr>
          <w:rFonts w:ascii="Times New Roman" w:hAnsi="Times New Roman" w:cs="Times New Roman"/>
          <w:sz w:val="24"/>
          <w:szCs w:val="24"/>
        </w:rPr>
        <w:t>Bagaimana kondisi harga saham</w:t>
      </w:r>
      <w:r w:rsidR="000F2364">
        <w:rPr>
          <w:rFonts w:ascii="Times New Roman" w:hAnsi="Times New Roman" w:cs="Times New Roman"/>
          <w:sz w:val="24"/>
          <w:szCs w:val="24"/>
        </w:rPr>
        <w:t xml:space="preserve"> </w:t>
      </w:r>
      <w:r w:rsidR="000F2364" w:rsidRPr="00D10C35">
        <w:rPr>
          <w:rFonts w:ascii="Times New Roman" w:hAnsi="Times New Roman" w:cs="Times New Roman"/>
          <w:sz w:val="24"/>
          <w:szCs w:val="24"/>
        </w:rPr>
        <w:t xml:space="preserve">pada </w:t>
      </w:r>
      <w:r w:rsidR="000F2364">
        <w:rPr>
          <w:rFonts w:ascii="Times New Roman" w:hAnsi="Times New Roman" w:cs="Times New Roman"/>
          <w:sz w:val="24"/>
          <w:szCs w:val="24"/>
        </w:rPr>
        <w:t>industri barang konsumsi sub sektor makanan dan minuman yang termasuk di ISSI pada tahun 2010 – 2014</w:t>
      </w:r>
      <w:r w:rsidRPr="000F2364">
        <w:rPr>
          <w:rFonts w:ascii="Times New Roman" w:hAnsi="Times New Roman" w:cs="Times New Roman"/>
          <w:sz w:val="24"/>
          <w:szCs w:val="24"/>
        </w:rPr>
        <w:t>.</w:t>
      </w:r>
    </w:p>
    <w:p w:rsidR="00136657" w:rsidRDefault="00136657" w:rsidP="00136657">
      <w:pPr>
        <w:pStyle w:val="ListParagraph"/>
        <w:numPr>
          <w:ilvl w:val="0"/>
          <w:numId w:val="3"/>
        </w:numPr>
        <w:spacing w:line="480" w:lineRule="auto"/>
        <w:jc w:val="both"/>
        <w:rPr>
          <w:rFonts w:ascii="Times New Roman" w:hAnsi="Times New Roman" w:cs="Times New Roman"/>
          <w:sz w:val="24"/>
          <w:szCs w:val="24"/>
        </w:rPr>
      </w:pPr>
      <w:r w:rsidRPr="00D10C35">
        <w:rPr>
          <w:rFonts w:ascii="Times New Roman" w:hAnsi="Times New Roman" w:cs="Times New Roman"/>
          <w:sz w:val="24"/>
          <w:szCs w:val="24"/>
        </w:rPr>
        <w:t xml:space="preserve">Seberapa besar pengaruh </w:t>
      </w:r>
      <w:r w:rsidR="005B5CA0">
        <w:rPr>
          <w:rFonts w:ascii="Times New Roman" w:hAnsi="Times New Roman" w:cs="Times New Roman"/>
          <w:sz w:val="24"/>
          <w:szCs w:val="24"/>
        </w:rPr>
        <w:t xml:space="preserve">likuiditas yang diukur dengan </w:t>
      </w:r>
      <w:r w:rsidRPr="00F3364C">
        <w:rPr>
          <w:rFonts w:ascii="Times New Roman" w:hAnsi="Times New Roman" w:cs="Times New Roman"/>
          <w:i/>
          <w:sz w:val="24"/>
          <w:szCs w:val="24"/>
        </w:rPr>
        <w:t xml:space="preserve">Current Ratio, </w:t>
      </w:r>
      <w:r w:rsidR="005B5CA0">
        <w:rPr>
          <w:rFonts w:ascii="Times New Roman" w:hAnsi="Times New Roman" w:cs="Times New Roman"/>
          <w:i/>
          <w:sz w:val="24"/>
          <w:szCs w:val="24"/>
        </w:rPr>
        <w:t xml:space="preserve">leverage </w:t>
      </w:r>
      <w:r w:rsidR="005B5CA0">
        <w:rPr>
          <w:rFonts w:ascii="Times New Roman" w:hAnsi="Times New Roman" w:cs="Times New Roman"/>
          <w:sz w:val="24"/>
          <w:szCs w:val="24"/>
        </w:rPr>
        <w:t xml:space="preserve">yang diukur dengan </w:t>
      </w:r>
      <w:r w:rsidRPr="00F3364C">
        <w:rPr>
          <w:rFonts w:ascii="Times New Roman" w:hAnsi="Times New Roman" w:cs="Times New Roman"/>
          <w:i/>
          <w:sz w:val="24"/>
          <w:szCs w:val="24"/>
        </w:rPr>
        <w:t xml:space="preserve">Debt to Equity Ratio, </w:t>
      </w:r>
      <w:r w:rsidRPr="005B5CA0">
        <w:rPr>
          <w:rFonts w:ascii="Times New Roman" w:hAnsi="Times New Roman" w:cs="Times New Roman"/>
          <w:sz w:val="24"/>
          <w:szCs w:val="24"/>
        </w:rPr>
        <w:t>dan</w:t>
      </w:r>
      <w:r w:rsidR="005B5CA0">
        <w:rPr>
          <w:rFonts w:ascii="Times New Roman" w:hAnsi="Times New Roman" w:cs="Times New Roman"/>
          <w:sz w:val="24"/>
          <w:szCs w:val="24"/>
        </w:rPr>
        <w:t xml:space="preserve"> profitabilitas yang diukur dengan</w:t>
      </w:r>
      <w:r w:rsidRPr="00F3364C">
        <w:rPr>
          <w:rFonts w:ascii="Times New Roman" w:hAnsi="Times New Roman" w:cs="Times New Roman"/>
          <w:i/>
          <w:sz w:val="24"/>
          <w:szCs w:val="24"/>
        </w:rPr>
        <w:t xml:space="preserve"> Return On Assets</w:t>
      </w:r>
      <w:r w:rsidR="007F5EBE">
        <w:rPr>
          <w:rFonts w:ascii="Times New Roman" w:hAnsi="Times New Roman" w:cs="Times New Roman"/>
          <w:sz w:val="24"/>
          <w:szCs w:val="24"/>
        </w:rPr>
        <w:t xml:space="preserve"> terhadap harga saham secara </w:t>
      </w:r>
      <w:r w:rsidRPr="00D10C35">
        <w:rPr>
          <w:rFonts w:ascii="Times New Roman" w:hAnsi="Times New Roman" w:cs="Times New Roman"/>
          <w:sz w:val="24"/>
          <w:szCs w:val="24"/>
        </w:rPr>
        <w:t>simultan</w:t>
      </w:r>
      <w:r w:rsidR="007F5EBE">
        <w:rPr>
          <w:rFonts w:ascii="Times New Roman" w:hAnsi="Times New Roman" w:cs="Times New Roman"/>
          <w:sz w:val="24"/>
          <w:szCs w:val="24"/>
        </w:rPr>
        <w:t xml:space="preserve"> dan </w:t>
      </w:r>
      <w:r w:rsidR="007F5EBE" w:rsidRPr="00D10C35">
        <w:rPr>
          <w:rFonts w:ascii="Times New Roman" w:hAnsi="Times New Roman" w:cs="Times New Roman"/>
          <w:sz w:val="24"/>
          <w:szCs w:val="24"/>
        </w:rPr>
        <w:t>parsial</w:t>
      </w:r>
      <w:r w:rsidRPr="00D10C35">
        <w:rPr>
          <w:rFonts w:ascii="Times New Roman" w:hAnsi="Times New Roman" w:cs="Times New Roman"/>
          <w:sz w:val="24"/>
          <w:szCs w:val="24"/>
        </w:rPr>
        <w:t xml:space="preserve"> </w:t>
      </w:r>
      <w:r w:rsidR="000F2364" w:rsidRPr="00D10C35">
        <w:rPr>
          <w:rFonts w:ascii="Times New Roman" w:hAnsi="Times New Roman" w:cs="Times New Roman"/>
          <w:sz w:val="24"/>
          <w:szCs w:val="24"/>
        </w:rPr>
        <w:t xml:space="preserve">pada </w:t>
      </w:r>
      <w:r w:rsidR="000F2364">
        <w:rPr>
          <w:rFonts w:ascii="Times New Roman" w:hAnsi="Times New Roman" w:cs="Times New Roman"/>
          <w:sz w:val="24"/>
          <w:szCs w:val="24"/>
        </w:rPr>
        <w:t xml:space="preserve">industri barang konsumsi sub sektor makanan dan minuman yang termasuk di ISSI pada tahun </w:t>
      </w:r>
      <w:r w:rsidR="00977184">
        <w:rPr>
          <w:rFonts w:ascii="Times New Roman" w:hAnsi="Times New Roman" w:cs="Times New Roman"/>
          <w:sz w:val="24"/>
          <w:szCs w:val="24"/>
        </w:rPr>
        <w:t>2011</w:t>
      </w:r>
      <w:r w:rsidR="000F2364" w:rsidRPr="00D10C35">
        <w:rPr>
          <w:rFonts w:ascii="Times New Roman" w:hAnsi="Times New Roman" w:cs="Times New Roman"/>
          <w:sz w:val="24"/>
          <w:szCs w:val="24"/>
        </w:rPr>
        <w:t xml:space="preserve"> – 2014</w:t>
      </w:r>
      <w:r w:rsidR="00977184">
        <w:rPr>
          <w:rFonts w:ascii="Times New Roman" w:hAnsi="Times New Roman" w:cs="Times New Roman"/>
          <w:sz w:val="24"/>
          <w:szCs w:val="24"/>
        </w:rPr>
        <w:t>.</w:t>
      </w:r>
    </w:p>
    <w:p w:rsidR="00581FD0" w:rsidRPr="00977184" w:rsidRDefault="00581FD0" w:rsidP="00581FD0">
      <w:pPr>
        <w:pStyle w:val="ListParagraph"/>
        <w:spacing w:line="480" w:lineRule="auto"/>
        <w:jc w:val="both"/>
        <w:rPr>
          <w:rFonts w:ascii="Times New Roman" w:hAnsi="Times New Roman" w:cs="Times New Roman"/>
          <w:sz w:val="24"/>
          <w:szCs w:val="24"/>
        </w:rPr>
      </w:pPr>
    </w:p>
    <w:p w:rsidR="00136657" w:rsidRDefault="00136657" w:rsidP="00136657">
      <w:pPr>
        <w:spacing w:line="480" w:lineRule="auto"/>
        <w:rPr>
          <w:rFonts w:ascii="Times New Roman" w:hAnsi="Times New Roman" w:cs="Times New Roman"/>
          <w:b/>
          <w:sz w:val="24"/>
          <w:szCs w:val="24"/>
        </w:rPr>
      </w:pPr>
      <w:r w:rsidRPr="00D10C35">
        <w:rPr>
          <w:rFonts w:ascii="Times New Roman" w:hAnsi="Times New Roman" w:cs="Times New Roman"/>
          <w:b/>
          <w:sz w:val="24"/>
          <w:szCs w:val="24"/>
        </w:rPr>
        <w:t>1.3</w:t>
      </w:r>
      <w:r w:rsidRPr="00D10C35">
        <w:rPr>
          <w:rFonts w:ascii="Times New Roman" w:hAnsi="Times New Roman" w:cs="Times New Roman"/>
          <w:b/>
          <w:sz w:val="24"/>
          <w:szCs w:val="24"/>
        </w:rPr>
        <w:tab/>
        <w:t>Tujuan Penelitian</w:t>
      </w:r>
    </w:p>
    <w:p w:rsidR="007F5EBE" w:rsidRPr="007F5EBE" w:rsidRDefault="007F5EBE" w:rsidP="0013665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Berdasarkan rumusan masalah pada 1.2.2, tujuan penelitian yang hendak dicapai oleh penulis adalah untuk mengetahui, mengkaji, dan </w:t>
      </w:r>
      <w:proofErr w:type="gramStart"/>
      <w:r>
        <w:rPr>
          <w:rFonts w:ascii="Times New Roman" w:hAnsi="Times New Roman" w:cs="Times New Roman"/>
          <w:sz w:val="24"/>
          <w:szCs w:val="24"/>
        </w:rPr>
        <w:t>menganalisis :</w:t>
      </w:r>
      <w:proofErr w:type="gramEnd"/>
    </w:p>
    <w:p w:rsidR="00F3364C" w:rsidRDefault="007F5EBE" w:rsidP="0013665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00136657" w:rsidRPr="00F3364C">
        <w:rPr>
          <w:rFonts w:ascii="Times New Roman" w:hAnsi="Times New Roman" w:cs="Times New Roman"/>
          <w:sz w:val="24"/>
          <w:szCs w:val="24"/>
        </w:rPr>
        <w:t xml:space="preserve">ondisi </w:t>
      </w:r>
      <w:r w:rsidR="00977184">
        <w:rPr>
          <w:rFonts w:ascii="Times New Roman" w:hAnsi="Times New Roman" w:cs="Times New Roman"/>
          <w:sz w:val="24"/>
          <w:szCs w:val="24"/>
        </w:rPr>
        <w:t xml:space="preserve">likuiditas yang diukur dengan </w:t>
      </w:r>
      <w:r w:rsidR="00136657" w:rsidRPr="00F3364C">
        <w:rPr>
          <w:rFonts w:ascii="Times New Roman" w:hAnsi="Times New Roman" w:cs="Times New Roman"/>
          <w:i/>
          <w:sz w:val="24"/>
          <w:szCs w:val="24"/>
        </w:rPr>
        <w:t>Current Ratio</w:t>
      </w:r>
      <w:r w:rsidR="00136657" w:rsidRPr="00F3364C">
        <w:rPr>
          <w:rFonts w:ascii="Times New Roman" w:hAnsi="Times New Roman" w:cs="Times New Roman"/>
          <w:sz w:val="24"/>
          <w:szCs w:val="24"/>
        </w:rPr>
        <w:t xml:space="preserve"> </w:t>
      </w:r>
      <w:r w:rsidR="00F3364C" w:rsidRPr="00D10C35">
        <w:rPr>
          <w:rFonts w:ascii="Times New Roman" w:hAnsi="Times New Roman" w:cs="Times New Roman"/>
          <w:sz w:val="24"/>
          <w:szCs w:val="24"/>
        </w:rPr>
        <w:t xml:space="preserve">pada </w:t>
      </w:r>
      <w:r w:rsidR="00F3364C">
        <w:rPr>
          <w:rFonts w:ascii="Times New Roman" w:hAnsi="Times New Roman" w:cs="Times New Roman"/>
          <w:sz w:val="24"/>
          <w:szCs w:val="24"/>
        </w:rPr>
        <w:t xml:space="preserve">industri barang konsumsi sub sektor makanan dan minuman yang termasuk di ISSI pada tahun </w:t>
      </w:r>
      <w:r w:rsidR="00F3364C" w:rsidRPr="00D10C35">
        <w:rPr>
          <w:rFonts w:ascii="Times New Roman" w:hAnsi="Times New Roman" w:cs="Times New Roman"/>
          <w:sz w:val="24"/>
          <w:szCs w:val="24"/>
        </w:rPr>
        <w:t>2010 – 2014.</w:t>
      </w:r>
    </w:p>
    <w:p w:rsidR="00F3364C" w:rsidRDefault="007F5EBE" w:rsidP="0013665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00136657" w:rsidRPr="00F3364C">
        <w:rPr>
          <w:rFonts w:ascii="Times New Roman" w:hAnsi="Times New Roman" w:cs="Times New Roman"/>
          <w:sz w:val="24"/>
          <w:szCs w:val="24"/>
        </w:rPr>
        <w:t xml:space="preserve">ondisi </w:t>
      </w:r>
      <w:r w:rsidR="00977184" w:rsidRPr="00977184">
        <w:rPr>
          <w:rFonts w:ascii="Times New Roman" w:hAnsi="Times New Roman" w:cs="Times New Roman"/>
          <w:i/>
          <w:sz w:val="24"/>
          <w:szCs w:val="24"/>
        </w:rPr>
        <w:t>leverage</w:t>
      </w:r>
      <w:r w:rsidR="00977184">
        <w:rPr>
          <w:rFonts w:ascii="Times New Roman" w:hAnsi="Times New Roman" w:cs="Times New Roman"/>
          <w:sz w:val="24"/>
          <w:szCs w:val="24"/>
        </w:rPr>
        <w:t xml:space="preserve"> yang diukur dengan </w:t>
      </w:r>
      <w:r w:rsidR="00136657" w:rsidRPr="00F3364C">
        <w:rPr>
          <w:rFonts w:ascii="Times New Roman" w:hAnsi="Times New Roman" w:cs="Times New Roman"/>
          <w:i/>
          <w:sz w:val="24"/>
          <w:szCs w:val="24"/>
        </w:rPr>
        <w:t>Debt to Equity Ratio</w:t>
      </w:r>
      <w:r w:rsidR="00136657" w:rsidRPr="00F3364C">
        <w:rPr>
          <w:rFonts w:ascii="Times New Roman" w:hAnsi="Times New Roman" w:cs="Times New Roman"/>
          <w:sz w:val="24"/>
          <w:szCs w:val="24"/>
        </w:rPr>
        <w:t xml:space="preserve"> </w:t>
      </w:r>
      <w:r w:rsidR="00F3364C" w:rsidRPr="00D10C35">
        <w:rPr>
          <w:rFonts w:ascii="Times New Roman" w:hAnsi="Times New Roman" w:cs="Times New Roman"/>
          <w:sz w:val="24"/>
          <w:szCs w:val="24"/>
        </w:rPr>
        <w:t xml:space="preserve">pada </w:t>
      </w:r>
      <w:r w:rsidR="00F3364C">
        <w:rPr>
          <w:rFonts w:ascii="Times New Roman" w:hAnsi="Times New Roman" w:cs="Times New Roman"/>
          <w:sz w:val="24"/>
          <w:szCs w:val="24"/>
        </w:rPr>
        <w:t xml:space="preserve">industri barang konsumsi sub sektor makanan dan minuman yang termasuk di ISSI pada tahun </w:t>
      </w:r>
      <w:r w:rsidR="00F3364C" w:rsidRPr="00D10C35">
        <w:rPr>
          <w:rFonts w:ascii="Times New Roman" w:hAnsi="Times New Roman" w:cs="Times New Roman"/>
          <w:sz w:val="24"/>
          <w:szCs w:val="24"/>
        </w:rPr>
        <w:t>2010 – 2014.</w:t>
      </w:r>
    </w:p>
    <w:p w:rsidR="00F3364C" w:rsidRDefault="007F5EBE" w:rsidP="0013665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00136657" w:rsidRPr="00F3364C">
        <w:rPr>
          <w:rFonts w:ascii="Times New Roman" w:hAnsi="Times New Roman" w:cs="Times New Roman"/>
          <w:sz w:val="24"/>
          <w:szCs w:val="24"/>
        </w:rPr>
        <w:t xml:space="preserve">ondisi </w:t>
      </w:r>
      <w:r w:rsidR="00977184">
        <w:rPr>
          <w:rFonts w:ascii="Times New Roman" w:hAnsi="Times New Roman" w:cs="Times New Roman"/>
          <w:sz w:val="24"/>
          <w:szCs w:val="24"/>
        </w:rPr>
        <w:t xml:space="preserve">profitabilitas yang diukur dengan </w:t>
      </w:r>
      <w:r w:rsidR="00136657" w:rsidRPr="00F3364C">
        <w:rPr>
          <w:rFonts w:ascii="Times New Roman" w:hAnsi="Times New Roman" w:cs="Times New Roman"/>
          <w:i/>
          <w:sz w:val="24"/>
          <w:szCs w:val="24"/>
        </w:rPr>
        <w:t xml:space="preserve">Return </w:t>
      </w:r>
      <w:proofErr w:type="gramStart"/>
      <w:r w:rsidR="00136657" w:rsidRPr="00F3364C">
        <w:rPr>
          <w:rFonts w:ascii="Times New Roman" w:hAnsi="Times New Roman" w:cs="Times New Roman"/>
          <w:i/>
          <w:sz w:val="24"/>
          <w:szCs w:val="24"/>
        </w:rPr>
        <w:t>On</w:t>
      </w:r>
      <w:proofErr w:type="gramEnd"/>
      <w:r w:rsidR="00136657" w:rsidRPr="00F3364C">
        <w:rPr>
          <w:rFonts w:ascii="Times New Roman" w:hAnsi="Times New Roman" w:cs="Times New Roman"/>
          <w:i/>
          <w:sz w:val="24"/>
          <w:szCs w:val="24"/>
        </w:rPr>
        <w:t xml:space="preserve"> Assets</w:t>
      </w:r>
      <w:r w:rsidR="00136657" w:rsidRPr="00F3364C">
        <w:rPr>
          <w:rFonts w:ascii="Times New Roman" w:hAnsi="Times New Roman" w:cs="Times New Roman"/>
          <w:sz w:val="24"/>
          <w:szCs w:val="24"/>
        </w:rPr>
        <w:t xml:space="preserve"> </w:t>
      </w:r>
      <w:r w:rsidR="00F3364C" w:rsidRPr="00D10C35">
        <w:rPr>
          <w:rFonts w:ascii="Times New Roman" w:hAnsi="Times New Roman" w:cs="Times New Roman"/>
          <w:sz w:val="24"/>
          <w:szCs w:val="24"/>
        </w:rPr>
        <w:t xml:space="preserve">pada </w:t>
      </w:r>
      <w:r w:rsidR="00F3364C">
        <w:rPr>
          <w:rFonts w:ascii="Times New Roman" w:hAnsi="Times New Roman" w:cs="Times New Roman"/>
          <w:sz w:val="24"/>
          <w:szCs w:val="24"/>
        </w:rPr>
        <w:t xml:space="preserve">industri barang konsumsi sub sektor makanan dan minuman yang termasuk di ISSI pada tahun </w:t>
      </w:r>
      <w:r w:rsidR="00F3364C" w:rsidRPr="00D10C35">
        <w:rPr>
          <w:rFonts w:ascii="Times New Roman" w:hAnsi="Times New Roman" w:cs="Times New Roman"/>
          <w:sz w:val="24"/>
          <w:szCs w:val="24"/>
        </w:rPr>
        <w:t>2010 – 2014.</w:t>
      </w:r>
    </w:p>
    <w:p w:rsidR="00136657" w:rsidRPr="00F3364C" w:rsidRDefault="007F5EBE" w:rsidP="0013665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00136657" w:rsidRPr="00F3364C">
        <w:rPr>
          <w:rFonts w:ascii="Times New Roman" w:hAnsi="Times New Roman" w:cs="Times New Roman"/>
          <w:sz w:val="24"/>
          <w:szCs w:val="24"/>
        </w:rPr>
        <w:t xml:space="preserve">ondisi harga saham </w:t>
      </w:r>
      <w:r w:rsidR="00F3364C" w:rsidRPr="00D10C35">
        <w:rPr>
          <w:rFonts w:ascii="Times New Roman" w:hAnsi="Times New Roman" w:cs="Times New Roman"/>
          <w:sz w:val="24"/>
          <w:szCs w:val="24"/>
        </w:rPr>
        <w:t xml:space="preserve">pada </w:t>
      </w:r>
      <w:r w:rsidR="00F3364C">
        <w:rPr>
          <w:rFonts w:ascii="Times New Roman" w:hAnsi="Times New Roman" w:cs="Times New Roman"/>
          <w:sz w:val="24"/>
          <w:szCs w:val="24"/>
        </w:rPr>
        <w:t xml:space="preserve">industri barang konsumsi sub sektor makanan dan minuman yang termasuk di ISSI pada tahun </w:t>
      </w:r>
      <w:r w:rsidR="00F3364C" w:rsidRPr="00D10C35">
        <w:rPr>
          <w:rFonts w:ascii="Times New Roman" w:hAnsi="Times New Roman" w:cs="Times New Roman"/>
          <w:sz w:val="24"/>
          <w:szCs w:val="24"/>
        </w:rPr>
        <w:t>2010 – 2014.</w:t>
      </w:r>
    </w:p>
    <w:p w:rsidR="00F3364C" w:rsidRDefault="007F5EBE" w:rsidP="00F3364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136657" w:rsidRPr="00F3364C">
        <w:rPr>
          <w:rFonts w:ascii="Times New Roman" w:hAnsi="Times New Roman" w:cs="Times New Roman"/>
          <w:sz w:val="24"/>
          <w:szCs w:val="24"/>
        </w:rPr>
        <w:t>esar</w:t>
      </w:r>
      <w:r>
        <w:rPr>
          <w:rFonts w:ascii="Times New Roman" w:hAnsi="Times New Roman" w:cs="Times New Roman"/>
          <w:sz w:val="24"/>
          <w:szCs w:val="24"/>
        </w:rPr>
        <w:t>nya</w:t>
      </w:r>
      <w:r w:rsidR="00136657" w:rsidRPr="00F3364C">
        <w:rPr>
          <w:rFonts w:ascii="Times New Roman" w:hAnsi="Times New Roman" w:cs="Times New Roman"/>
          <w:sz w:val="24"/>
          <w:szCs w:val="24"/>
        </w:rPr>
        <w:t xml:space="preserve"> pengaruh </w:t>
      </w:r>
      <w:r w:rsidR="00977184">
        <w:rPr>
          <w:rFonts w:ascii="Times New Roman" w:hAnsi="Times New Roman" w:cs="Times New Roman"/>
          <w:sz w:val="24"/>
          <w:szCs w:val="24"/>
        </w:rPr>
        <w:t xml:space="preserve">likuiditas yang diukur dengan </w:t>
      </w:r>
      <w:r w:rsidR="00136657" w:rsidRPr="00F3364C">
        <w:rPr>
          <w:rFonts w:ascii="Times New Roman" w:hAnsi="Times New Roman" w:cs="Times New Roman"/>
          <w:i/>
          <w:sz w:val="24"/>
          <w:szCs w:val="24"/>
        </w:rPr>
        <w:t xml:space="preserve">Current Ratio, </w:t>
      </w:r>
      <w:r w:rsidR="00977184">
        <w:rPr>
          <w:rFonts w:ascii="Times New Roman" w:hAnsi="Times New Roman" w:cs="Times New Roman"/>
          <w:i/>
          <w:sz w:val="24"/>
          <w:szCs w:val="24"/>
        </w:rPr>
        <w:t xml:space="preserve">leverage </w:t>
      </w:r>
      <w:r w:rsidR="00977184">
        <w:rPr>
          <w:rFonts w:ascii="Times New Roman" w:hAnsi="Times New Roman" w:cs="Times New Roman"/>
          <w:sz w:val="24"/>
          <w:szCs w:val="24"/>
        </w:rPr>
        <w:t xml:space="preserve">yang diukur dengan </w:t>
      </w:r>
      <w:r w:rsidR="00136657" w:rsidRPr="00F3364C">
        <w:rPr>
          <w:rFonts w:ascii="Times New Roman" w:hAnsi="Times New Roman" w:cs="Times New Roman"/>
          <w:i/>
          <w:sz w:val="24"/>
          <w:szCs w:val="24"/>
        </w:rPr>
        <w:t xml:space="preserve">Debt to Equity Ratio, </w:t>
      </w:r>
      <w:r w:rsidR="00136657" w:rsidRPr="00977184">
        <w:rPr>
          <w:rFonts w:ascii="Times New Roman" w:hAnsi="Times New Roman" w:cs="Times New Roman"/>
          <w:sz w:val="24"/>
          <w:szCs w:val="24"/>
        </w:rPr>
        <w:t>dan</w:t>
      </w:r>
      <w:r w:rsidR="00136657" w:rsidRPr="00F3364C">
        <w:rPr>
          <w:rFonts w:ascii="Times New Roman" w:hAnsi="Times New Roman" w:cs="Times New Roman"/>
          <w:i/>
          <w:sz w:val="24"/>
          <w:szCs w:val="24"/>
        </w:rPr>
        <w:t xml:space="preserve"> </w:t>
      </w:r>
      <w:r w:rsidR="00977184">
        <w:rPr>
          <w:rFonts w:ascii="Times New Roman" w:hAnsi="Times New Roman" w:cs="Times New Roman"/>
          <w:sz w:val="24"/>
          <w:szCs w:val="24"/>
        </w:rPr>
        <w:t>profitabilitas yang diukur dengan</w:t>
      </w:r>
      <w:r w:rsidR="00977184" w:rsidRPr="00F3364C">
        <w:rPr>
          <w:rFonts w:ascii="Times New Roman" w:hAnsi="Times New Roman" w:cs="Times New Roman"/>
          <w:i/>
          <w:sz w:val="24"/>
          <w:szCs w:val="24"/>
        </w:rPr>
        <w:t xml:space="preserve"> </w:t>
      </w:r>
      <w:r w:rsidR="00136657" w:rsidRPr="00F3364C">
        <w:rPr>
          <w:rFonts w:ascii="Times New Roman" w:hAnsi="Times New Roman" w:cs="Times New Roman"/>
          <w:i/>
          <w:sz w:val="24"/>
          <w:szCs w:val="24"/>
        </w:rPr>
        <w:t>Return On Assets</w:t>
      </w:r>
      <w:r w:rsidR="00136657" w:rsidRPr="00F3364C">
        <w:rPr>
          <w:rFonts w:ascii="Times New Roman" w:hAnsi="Times New Roman" w:cs="Times New Roman"/>
          <w:sz w:val="24"/>
          <w:szCs w:val="24"/>
        </w:rPr>
        <w:t xml:space="preserve"> terh</w:t>
      </w:r>
      <w:r w:rsidR="00977184">
        <w:rPr>
          <w:rFonts w:ascii="Times New Roman" w:hAnsi="Times New Roman" w:cs="Times New Roman"/>
          <w:sz w:val="24"/>
          <w:szCs w:val="24"/>
        </w:rPr>
        <w:t xml:space="preserve">adap harga saham secara </w:t>
      </w:r>
      <w:r w:rsidR="00136657" w:rsidRPr="00F3364C">
        <w:rPr>
          <w:rFonts w:ascii="Times New Roman" w:hAnsi="Times New Roman" w:cs="Times New Roman"/>
          <w:sz w:val="24"/>
          <w:szCs w:val="24"/>
        </w:rPr>
        <w:t xml:space="preserve">simultan </w:t>
      </w:r>
      <w:r w:rsidR="00977184">
        <w:rPr>
          <w:rFonts w:ascii="Times New Roman" w:hAnsi="Times New Roman" w:cs="Times New Roman"/>
          <w:sz w:val="24"/>
          <w:szCs w:val="24"/>
        </w:rPr>
        <w:t xml:space="preserve">dan parsial </w:t>
      </w:r>
      <w:r w:rsidR="00F3364C" w:rsidRPr="00D10C35">
        <w:rPr>
          <w:rFonts w:ascii="Times New Roman" w:hAnsi="Times New Roman" w:cs="Times New Roman"/>
          <w:sz w:val="24"/>
          <w:szCs w:val="24"/>
        </w:rPr>
        <w:t xml:space="preserve">pada </w:t>
      </w:r>
      <w:r w:rsidR="00F3364C">
        <w:rPr>
          <w:rFonts w:ascii="Times New Roman" w:hAnsi="Times New Roman" w:cs="Times New Roman"/>
          <w:sz w:val="24"/>
          <w:szCs w:val="24"/>
        </w:rPr>
        <w:t xml:space="preserve">industri barang konsumsi sub sektor makanan dan minuman yang termasuk di ISSI pada tahun </w:t>
      </w:r>
      <w:r w:rsidR="00F3364C" w:rsidRPr="00D10C35">
        <w:rPr>
          <w:rFonts w:ascii="Times New Roman" w:hAnsi="Times New Roman" w:cs="Times New Roman"/>
          <w:sz w:val="24"/>
          <w:szCs w:val="24"/>
        </w:rPr>
        <w:t>2010 – 2014.</w:t>
      </w:r>
    </w:p>
    <w:p w:rsidR="00977184" w:rsidRPr="00F3364C" w:rsidRDefault="00977184" w:rsidP="00F3364C">
      <w:pPr>
        <w:pStyle w:val="ListParagraph"/>
        <w:spacing w:line="480" w:lineRule="auto"/>
        <w:jc w:val="both"/>
        <w:rPr>
          <w:rFonts w:ascii="Times New Roman" w:hAnsi="Times New Roman" w:cs="Times New Roman"/>
          <w:sz w:val="24"/>
          <w:szCs w:val="24"/>
        </w:rPr>
      </w:pPr>
    </w:p>
    <w:p w:rsidR="00197ABD" w:rsidRDefault="00136657" w:rsidP="00136657">
      <w:pPr>
        <w:spacing w:line="480" w:lineRule="auto"/>
        <w:rPr>
          <w:rFonts w:ascii="Times New Roman" w:hAnsi="Times New Roman" w:cs="Times New Roman"/>
          <w:b/>
          <w:sz w:val="24"/>
          <w:szCs w:val="24"/>
        </w:rPr>
      </w:pPr>
      <w:r w:rsidRPr="00D10C35">
        <w:rPr>
          <w:rFonts w:ascii="Times New Roman" w:hAnsi="Times New Roman" w:cs="Times New Roman"/>
          <w:b/>
          <w:sz w:val="24"/>
          <w:szCs w:val="24"/>
        </w:rPr>
        <w:t>1.4</w:t>
      </w:r>
      <w:r w:rsidRPr="00D10C35">
        <w:rPr>
          <w:rFonts w:ascii="Times New Roman" w:hAnsi="Times New Roman" w:cs="Times New Roman"/>
          <w:b/>
          <w:sz w:val="24"/>
          <w:szCs w:val="24"/>
        </w:rPr>
        <w:tab/>
        <w:t>Kegunaan Penelitian</w:t>
      </w:r>
    </w:p>
    <w:p w:rsidR="00197ABD" w:rsidRPr="00197ABD" w:rsidRDefault="001106C4" w:rsidP="001106C4">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197ABD">
        <w:rPr>
          <w:rFonts w:ascii="Times New Roman" w:hAnsi="Times New Roman" w:cs="Times New Roman"/>
          <w:sz w:val="24"/>
          <w:szCs w:val="24"/>
        </w:rPr>
        <w:t xml:space="preserve">Sesuai dengan permasalahan penelitian tersebut, maka dapat diperoleh </w:t>
      </w:r>
      <w:r>
        <w:rPr>
          <w:rFonts w:ascii="Times New Roman" w:hAnsi="Times New Roman" w:cs="Times New Roman"/>
          <w:sz w:val="24"/>
          <w:szCs w:val="24"/>
        </w:rPr>
        <w:t xml:space="preserve">kegunaan dari penelitian ini adalah sebagai </w:t>
      </w:r>
      <w:proofErr w:type="gramStart"/>
      <w:r>
        <w:rPr>
          <w:rFonts w:ascii="Times New Roman" w:hAnsi="Times New Roman" w:cs="Times New Roman"/>
          <w:sz w:val="24"/>
          <w:szCs w:val="24"/>
        </w:rPr>
        <w:t>berikut :</w:t>
      </w:r>
      <w:proofErr w:type="gramEnd"/>
    </w:p>
    <w:p w:rsidR="00136657" w:rsidRPr="00197ABD" w:rsidRDefault="00136657" w:rsidP="00136657">
      <w:pPr>
        <w:spacing w:line="480" w:lineRule="auto"/>
        <w:rPr>
          <w:rFonts w:ascii="Times New Roman" w:hAnsi="Times New Roman" w:cs="Times New Roman"/>
          <w:sz w:val="24"/>
          <w:szCs w:val="24"/>
        </w:rPr>
      </w:pPr>
      <w:r w:rsidRPr="00D10C35">
        <w:rPr>
          <w:rFonts w:ascii="Times New Roman" w:hAnsi="Times New Roman" w:cs="Times New Roman"/>
          <w:b/>
          <w:sz w:val="24"/>
          <w:szCs w:val="24"/>
        </w:rPr>
        <w:t>1.4.1</w:t>
      </w:r>
      <w:r w:rsidRPr="00D10C35">
        <w:rPr>
          <w:rFonts w:ascii="Times New Roman" w:hAnsi="Times New Roman" w:cs="Times New Roman"/>
          <w:b/>
          <w:sz w:val="24"/>
          <w:szCs w:val="24"/>
        </w:rPr>
        <w:tab/>
        <w:t>Kegunaan Teoritis</w:t>
      </w:r>
    </w:p>
    <w:p w:rsidR="00136657" w:rsidRPr="00D10C35" w:rsidRDefault="00136657" w:rsidP="00136657">
      <w:pPr>
        <w:spacing w:line="480" w:lineRule="auto"/>
        <w:jc w:val="both"/>
        <w:rPr>
          <w:rFonts w:ascii="Times New Roman" w:hAnsi="Times New Roman" w:cs="Times New Roman"/>
          <w:sz w:val="24"/>
          <w:szCs w:val="24"/>
        </w:rPr>
      </w:pPr>
      <w:r w:rsidRPr="00D10C35">
        <w:rPr>
          <w:rFonts w:ascii="Times New Roman" w:hAnsi="Times New Roman" w:cs="Times New Roman"/>
          <w:sz w:val="24"/>
          <w:szCs w:val="24"/>
        </w:rPr>
        <w:tab/>
        <w:t xml:space="preserve">Kegunaan teoritis yang diharapkan dalam penelitian ini </w:t>
      </w:r>
      <w:proofErr w:type="gramStart"/>
      <w:r w:rsidRPr="00D10C35">
        <w:rPr>
          <w:rFonts w:ascii="Times New Roman" w:hAnsi="Times New Roman" w:cs="Times New Roman"/>
          <w:sz w:val="24"/>
          <w:szCs w:val="24"/>
        </w:rPr>
        <w:t>adalah :</w:t>
      </w:r>
      <w:proofErr w:type="gramEnd"/>
    </w:p>
    <w:p w:rsidR="00136657" w:rsidRPr="00D10C35" w:rsidRDefault="00136657" w:rsidP="00136657">
      <w:pPr>
        <w:pStyle w:val="ListParagraph"/>
        <w:numPr>
          <w:ilvl w:val="0"/>
          <w:numId w:val="5"/>
        </w:numPr>
        <w:spacing w:line="480" w:lineRule="auto"/>
        <w:jc w:val="both"/>
        <w:rPr>
          <w:rFonts w:ascii="Times New Roman" w:hAnsi="Times New Roman" w:cs="Times New Roman"/>
          <w:sz w:val="24"/>
          <w:szCs w:val="24"/>
        </w:rPr>
      </w:pPr>
      <w:r w:rsidRPr="00D10C35">
        <w:rPr>
          <w:rFonts w:ascii="Times New Roman" w:hAnsi="Times New Roman" w:cs="Times New Roman"/>
          <w:sz w:val="24"/>
          <w:szCs w:val="24"/>
        </w:rPr>
        <w:t xml:space="preserve">Memberikan manfaat khususnya bagi penulis yaitu untuk mengetahui secara teoritis mengenai ilmu manajemen keuangan khususnya mengenai harga saham yang dipengaruhi oleh </w:t>
      </w:r>
      <w:r w:rsidRPr="00F3364C">
        <w:rPr>
          <w:rFonts w:ascii="Times New Roman" w:hAnsi="Times New Roman" w:cs="Times New Roman"/>
          <w:i/>
          <w:sz w:val="24"/>
          <w:szCs w:val="24"/>
        </w:rPr>
        <w:t>current ratio, debt to equity ratio (DER), dan return on asset (ROA).</w:t>
      </w:r>
    </w:p>
    <w:p w:rsidR="00F70C49" w:rsidRPr="001106C4" w:rsidRDefault="00136657" w:rsidP="00F70C49">
      <w:pPr>
        <w:pStyle w:val="ListParagraph"/>
        <w:numPr>
          <w:ilvl w:val="0"/>
          <w:numId w:val="5"/>
        </w:numPr>
        <w:spacing w:line="480" w:lineRule="auto"/>
        <w:jc w:val="both"/>
        <w:rPr>
          <w:rFonts w:ascii="Times New Roman" w:hAnsi="Times New Roman" w:cs="Times New Roman"/>
          <w:sz w:val="24"/>
          <w:szCs w:val="24"/>
        </w:rPr>
      </w:pPr>
      <w:r w:rsidRPr="00D10C35">
        <w:rPr>
          <w:rFonts w:ascii="Times New Roman" w:hAnsi="Times New Roman" w:cs="Times New Roman"/>
          <w:sz w:val="24"/>
          <w:szCs w:val="24"/>
        </w:rPr>
        <w:t xml:space="preserve">Menambah wawasan dan pengetahuan serta pemahaman sebagai proses belajar, sehingga dapat memahami bagaimana aplikasi teori – teori yang </w:t>
      </w:r>
      <w:r w:rsidRPr="00D10C35">
        <w:rPr>
          <w:rFonts w:ascii="Times New Roman" w:hAnsi="Times New Roman" w:cs="Times New Roman"/>
          <w:sz w:val="24"/>
          <w:szCs w:val="24"/>
        </w:rPr>
        <w:lastRenderedPageBreak/>
        <w:t>telah ada dan berkaitan dengan masalah yang diteliti dalam praktek yang sesungguhnya.</w:t>
      </w:r>
    </w:p>
    <w:p w:rsidR="00136657" w:rsidRPr="00D10C35" w:rsidRDefault="00136657" w:rsidP="00136657">
      <w:pPr>
        <w:spacing w:line="480" w:lineRule="auto"/>
        <w:rPr>
          <w:rFonts w:ascii="Times New Roman" w:hAnsi="Times New Roman" w:cs="Times New Roman"/>
          <w:b/>
          <w:sz w:val="24"/>
          <w:szCs w:val="24"/>
        </w:rPr>
      </w:pPr>
      <w:r w:rsidRPr="00D10C35">
        <w:rPr>
          <w:rFonts w:ascii="Times New Roman" w:hAnsi="Times New Roman" w:cs="Times New Roman"/>
          <w:b/>
          <w:sz w:val="24"/>
          <w:szCs w:val="24"/>
        </w:rPr>
        <w:t>1.4.2</w:t>
      </w:r>
      <w:r w:rsidRPr="00D10C35">
        <w:rPr>
          <w:rFonts w:ascii="Times New Roman" w:hAnsi="Times New Roman" w:cs="Times New Roman"/>
          <w:b/>
          <w:sz w:val="24"/>
          <w:szCs w:val="24"/>
        </w:rPr>
        <w:tab/>
        <w:t>Kegunaan Praktis</w:t>
      </w:r>
    </w:p>
    <w:p w:rsidR="00136657" w:rsidRPr="00D10C35" w:rsidRDefault="00136657" w:rsidP="00136657">
      <w:pPr>
        <w:spacing w:line="480" w:lineRule="auto"/>
        <w:jc w:val="both"/>
        <w:rPr>
          <w:rFonts w:ascii="Times New Roman" w:hAnsi="Times New Roman" w:cs="Times New Roman"/>
          <w:sz w:val="24"/>
          <w:szCs w:val="24"/>
        </w:rPr>
      </w:pPr>
      <w:r w:rsidRPr="00D10C35">
        <w:rPr>
          <w:rFonts w:ascii="Times New Roman" w:hAnsi="Times New Roman" w:cs="Times New Roman"/>
          <w:sz w:val="24"/>
          <w:szCs w:val="24"/>
        </w:rPr>
        <w:tab/>
      </w:r>
      <w:proofErr w:type="gramStart"/>
      <w:r w:rsidRPr="00D10C35">
        <w:rPr>
          <w:rFonts w:ascii="Times New Roman" w:hAnsi="Times New Roman" w:cs="Times New Roman"/>
          <w:sz w:val="24"/>
          <w:szCs w:val="24"/>
        </w:rPr>
        <w:t>Penelitian ini bermanfaat bagi pihak – pihak yang berkepentingan terutama para investor sebagai bahan pertimbangan untuk pengambilan keputusan investasi di pasar modal.</w:t>
      </w:r>
      <w:proofErr w:type="gramEnd"/>
      <w:r w:rsidRPr="00D10C35">
        <w:rPr>
          <w:rFonts w:ascii="Times New Roman" w:hAnsi="Times New Roman" w:cs="Times New Roman"/>
          <w:sz w:val="24"/>
          <w:szCs w:val="24"/>
        </w:rPr>
        <w:t xml:space="preserve"> Secara terperinci kegunaan penelitian ini dijelaskan sebagai </w:t>
      </w:r>
      <w:proofErr w:type="gramStart"/>
      <w:r w:rsidRPr="00D10C35">
        <w:rPr>
          <w:rFonts w:ascii="Times New Roman" w:hAnsi="Times New Roman" w:cs="Times New Roman"/>
          <w:sz w:val="24"/>
          <w:szCs w:val="24"/>
        </w:rPr>
        <w:t>berikut :</w:t>
      </w:r>
      <w:proofErr w:type="gramEnd"/>
      <w:r w:rsidRPr="00D10C35">
        <w:rPr>
          <w:rFonts w:ascii="Times New Roman" w:hAnsi="Times New Roman" w:cs="Times New Roman"/>
          <w:sz w:val="24"/>
          <w:szCs w:val="24"/>
        </w:rPr>
        <w:t xml:space="preserve"> </w:t>
      </w:r>
    </w:p>
    <w:p w:rsidR="00136657" w:rsidRPr="00D10C35" w:rsidRDefault="00136657" w:rsidP="00136657">
      <w:pPr>
        <w:pStyle w:val="ListParagraph"/>
        <w:numPr>
          <w:ilvl w:val="0"/>
          <w:numId w:val="2"/>
        </w:numPr>
        <w:spacing w:line="480" w:lineRule="auto"/>
        <w:jc w:val="both"/>
        <w:rPr>
          <w:rFonts w:ascii="Times New Roman" w:hAnsi="Times New Roman" w:cs="Times New Roman"/>
          <w:sz w:val="24"/>
          <w:szCs w:val="24"/>
        </w:rPr>
      </w:pPr>
      <w:r w:rsidRPr="00D10C35">
        <w:rPr>
          <w:rFonts w:ascii="Times New Roman" w:hAnsi="Times New Roman" w:cs="Times New Roman"/>
          <w:sz w:val="24"/>
          <w:szCs w:val="24"/>
        </w:rPr>
        <w:t>Bagi investor, hasil analisis ini dapat menjadi masukan dalam mengambil keputusan bisnis untuk menanamkan dananya dan membeli saham pada perusahaan yang dinilai tepat di pasar modal, sehingga dapat memperkecil risiko yang mungkin dapat terjadi sebagai akibat dalam pembelian saham di pasar modal.</w:t>
      </w:r>
    </w:p>
    <w:p w:rsidR="00136657" w:rsidRPr="00D10C35" w:rsidRDefault="00136657" w:rsidP="00136657">
      <w:pPr>
        <w:pStyle w:val="ListParagraph"/>
        <w:numPr>
          <w:ilvl w:val="0"/>
          <w:numId w:val="2"/>
        </w:numPr>
        <w:spacing w:line="480" w:lineRule="auto"/>
        <w:jc w:val="both"/>
        <w:rPr>
          <w:rFonts w:ascii="Times New Roman" w:hAnsi="Times New Roman" w:cs="Times New Roman"/>
          <w:sz w:val="24"/>
          <w:szCs w:val="24"/>
        </w:rPr>
      </w:pPr>
      <w:r w:rsidRPr="00D10C35">
        <w:rPr>
          <w:rFonts w:ascii="Times New Roman" w:hAnsi="Times New Roman" w:cs="Times New Roman"/>
          <w:sz w:val="24"/>
          <w:szCs w:val="24"/>
        </w:rPr>
        <w:t>Bagi manajemen perusahaan, hasil analisis ini diharapkan dapat menjadi bahan pertimbangan dalam mengambil keputusan terhadap keputusan harga saham agar dapat memaksimalkan nilai perusahaan secara optimal.</w:t>
      </w:r>
    </w:p>
    <w:p w:rsidR="00136657" w:rsidRPr="00D10C35" w:rsidRDefault="00136657" w:rsidP="00136657">
      <w:pPr>
        <w:pStyle w:val="ListParagraph"/>
        <w:numPr>
          <w:ilvl w:val="0"/>
          <w:numId w:val="2"/>
        </w:numPr>
        <w:spacing w:line="480" w:lineRule="auto"/>
        <w:jc w:val="both"/>
        <w:rPr>
          <w:rFonts w:ascii="Times New Roman" w:hAnsi="Times New Roman" w:cs="Times New Roman"/>
          <w:sz w:val="24"/>
          <w:szCs w:val="24"/>
        </w:rPr>
      </w:pPr>
      <w:r w:rsidRPr="00D10C35">
        <w:rPr>
          <w:rFonts w:ascii="Times New Roman" w:hAnsi="Times New Roman" w:cs="Times New Roman"/>
          <w:sz w:val="24"/>
          <w:szCs w:val="24"/>
        </w:rPr>
        <w:t>Bagi akademis, hasil analisis ini diharapkan dapat menjadi bahan acuan dalam referensi pengambilan keputusan penelitian mengenai harga saham.</w:t>
      </w:r>
    </w:p>
    <w:p w:rsidR="00136657" w:rsidRPr="00B8580D" w:rsidRDefault="00136657" w:rsidP="002C4198">
      <w:pPr>
        <w:spacing w:line="480" w:lineRule="auto"/>
        <w:jc w:val="both"/>
        <w:rPr>
          <w:rFonts w:ascii="Times New Roman" w:hAnsi="Times New Roman" w:cs="Times New Roman"/>
          <w:sz w:val="24"/>
          <w:szCs w:val="24"/>
        </w:rPr>
      </w:pPr>
    </w:p>
    <w:sectPr w:rsidR="00136657" w:rsidRPr="00B8580D" w:rsidSect="00B23AFD">
      <w:headerReference w:type="default" r:id="rId23"/>
      <w:footerReference w:type="default" r:id="rId24"/>
      <w:footerReference w:type="first" r:id="rId25"/>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09D" w:rsidRDefault="0082109D" w:rsidP="00B42F05">
      <w:pPr>
        <w:spacing w:after="0" w:line="240" w:lineRule="auto"/>
      </w:pPr>
      <w:r>
        <w:separator/>
      </w:r>
    </w:p>
  </w:endnote>
  <w:endnote w:type="continuationSeparator" w:id="0">
    <w:p w:rsidR="0082109D" w:rsidRDefault="0082109D" w:rsidP="00B42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184" w:rsidRDefault="00977184">
    <w:pPr>
      <w:pStyle w:val="Footer"/>
      <w:jc w:val="right"/>
    </w:pPr>
  </w:p>
  <w:p w:rsidR="00977184" w:rsidRDefault="009771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468"/>
      <w:docPartObj>
        <w:docPartGallery w:val="Page Numbers (Bottom of Page)"/>
        <w:docPartUnique/>
      </w:docPartObj>
    </w:sdtPr>
    <w:sdtContent>
      <w:p w:rsidR="00977184" w:rsidRDefault="00E15485">
        <w:pPr>
          <w:pStyle w:val="Footer"/>
          <w:jc w:val="center"/>
        </w:pPr>
        <w:fldSimple w:instr=" PAGE   \* MERGEFORMAT ">
          <w:r w:rsidR="00EF33F1">
            <w:rPr>
              <w:noProof/>
            </w:rPr>
            <w:t>1</w:t>
          </w:r>
        </w:fldSimple>
      </w:p>
    </w:sdtContent>
  </w:sdt>
  <w:p w:rsidR="00977184" w:rsidRDefault="009771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09D" w:rsidRDefault="0082109D" w:rsidP="00B42F05">
      <w:pPr>
        <w:spacing w:after="0" w:line="240" w:lineRule="auto"/>
      </w:pPr>
      <w:r>
        <w:separator/>
      </w:r>
    </w:p>
  </w:footnote>
  <w:footnote w:type="continuationSeparator" w:id="0">
    <w:p w:rsidR="0082109D" w:rsidRDefault="0082109D" w:rsidP="00B42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472"/>
      <w:docPartObj>
        <w:docPartGallery w:val="Page Numbers (Top of Page)"/>
        <w:docPartUnique/>
      </w:docPartObj>
    </w:sdtPr>
    <w:sdtContent>
      <w:p w:rsidR="00977184" w:rsidRDefault="00E15485">
        <w:pPr>
          <w:pStyle w:val="Header"/>
          <w:jc w:val="right"/>
        </w:pPr>
        <w:fldSimple w:instr=" PAGE   \* MERGEFORMAT ">
          <w:r w:rsidR="00EF33F1">
            <w:rPr>
              <w:noProof/>
            </w:rPr>
            <w:t>12</w:t>
          </w:r>
        </w:fldSimple>
      </w:p>
    </w:sdtContent>
  </w:sdt>
  <w:p w:rsidR="00977184" w:rsidRDefault="009771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69F"/>
    <w:multiLevelType w:val="hybridMultilevel"/>
    <w:tmpl w:val="1B82D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40BC9"/>
    <w:multiLevelType w:val="hybridMultilevel"/>
    <w:tmpl w:val="AAB6A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1067E"/>
    <w:multiLevelType w:val="hybridMultilevel"/>
    <w:tmpl w:val="8924B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A7378"/>
    <w:multiLevelType w:val="hybridMultilevel"/>
    <w:tmpl w:val="2D2C4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F45145"/>
    <w:multiLevelType w:val="hybridMultilevel"/>
    <w:tmpl w:val="32509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45EAA"/>
    <w:multiLevelType w:val="multilevel"/>
    <w:tmpl w:val="F47015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D5AB7"/>
    <w:rsid w:val="00026A56"/>
    <w:rsid w:val="00032136"/>
    <w:rsid w:val="00042DAF"/>
    <w:rsid w:val="00066B08"/>
    <w:rsid w:val="0008418C"/>
    <w:rsid w:val="00087D76"/>
    <w:rsid w:val="00091854"/>
    <w:rsid w:val="000A022A"/>
    <w:rsid w:val="000B478C"/>
    <w:rsid w:val="000D5D4A"/>
    <w:rsid w:val="000F2364"/>
    <w:rsid w:val="001106C4"/>
    <w:rsid w:val="00136657"/>
    <w:rsid w:val="001651A3"/>
    <w:rsid w:val="00197ABD"/>
    <w:rsid w:val="001E1BA6"/>
    <w:rsid w:val="0028044D"/>
    <w:rsid w:val="002975F2"/>
    <w:rsid w:val="002C21DE"/>
    <w:rsid w:val="002C4198"/>
    <w:rsid w:val="002D6891"/>
    <w:rsid w:val="00311735"/>
    <w:rsid w:val="00327D87"/>
    <w:rsid w:val="003520C5"/>
    <w:rsid w:val="003934DF"/>
    <w:rsid w:val="004127ED"/>
    <w:rsid w:val="00415392"/>
    <w:rsid w:val="00420277"/>
    <w:rsid w:val="004512B9"/>
    <w:rsid w:val="004E7281"/>
    <w:rsid w:val="00500836"/>
    <w:rsid w:val="005170AB"/>
    <w:rsid w:val="0056150D"/>
    <w:rsid w:val="00581FD0"/>
    <w:rsid w:val="005B5CA0"/>
    <w:rsid w:val="005B5CA2"/>
    <w:rsid w:val="005E08CA"/>
    <w:rsid w:val="00640CFC"/>
    <w:rsid w:val="006835CF"/>
    <w:rsid w:val="006A0823"/>
    <w:rsid w:val="006A4950"/>
    <w:rsid w:val="006B2A89"/>
    <w:rsid w:val="006D43D4"/>
    <w:rsid w:val="006D5AB7"/>
    <w:rsid w:val="006E5F2F"/>
    <w:rsid w:val="007361A3"/>
    <w:rsid w:val="00757977"/>
    <w:rsid w:val="007A24CF"/>
    <w:rsid w:val="007B7246"/>
    <w:rsid w:val="007D18FB"/>
    <w:rsid w:val="007D1C0D"/>
    <w:rsid w:val="007F5EBE"/>
    <w:rsid w:val="00812F71"/>
    <w:rsid w:val="0082109D"/>
    <w:rsid w:val="008A382A"/>
    <w:rsid w:val="008D27BD"/>
    <w:rsid w:val="008D6F85"/>
    <w:rsid w:val="008F386E"/>
    <w:rsid w:val="00923490"/>
    <w:rsid w:val="00977184"/>
    <w:rsid w:val="00982AFE"/>
    <w:rsid w:val="009A2E78"/>
    <w:rsid w:val="009C0E00"/>
    <w:rsid w:val="009C1D72"/>
    <w:rsid w:val="009C73B3"/>
    <w:rsid w:val="00A01193"/>
    <w:rsid w:val="00A14978"/>
    <w:rsid w:val="00A62098"/>
    <w:rsid w:val="00AF68F4"/>
    <w:rsid w:val="00B23AFD"/>
    <w:rsid w:val="00B2628F"/>
    <w:rsid w:val="00B30F92"/>
    <w:rsid w:val="00B42F05"/>
    <w:rsid w:val="00B5478B"/>
    <w:rsid w:val="00B84A8A"/>
    <w:rsid w:val="00B853DA"/>
    <w:rsid w:val="00B8580D"/>
    <w:rsid w:val="00BC4821"/>
    <w:rsid w:val="00BE1983"/>
    <w:rsid w:val="00BF1DCB"/>
    <w:rsid w:val="00BF2D90"/>
    <w:rsid w:val="00C61486"/>
    <w:rsid w:val="00C9592F"/>
    <w:rsid w:val="00CE49B6"/>
    <w:rsid w:val="00D04E7F"/>
    <w:rsid w:val="00D10D23"/>
    <w:rsid w:val="00DB3488"/>
    <w:rsid w:val="00DD5A71"/>
    <w:rsid w:val="00DF07E6"/>
    <w:rsid w:val="00E15485"/>
    <w:rsid w:val="00E319BE"/>
    <w:rsid w:val="00E32923"/>
    <w:rsid w:val="00E40B6D"/>
    <w:rsid w:val="00E64E24"/>
    <w:rsid w:val="00E7464A"/>
    <w:rsid w:val="00E945E0"/>
    <w:rsid w:val="00EE0202"/>
    <w:rsid w:val="00EF33F1"/>
    <w:rsid w:val="00F3364C"/>
    <w:rsid w:val="00F70C49"/>
    <w:rsid w:val="00F738C3"/>
    <w:rsid w:val="00FB7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AB7"/>
    <w:pPr>
      <w:ind w:left="720"/>
      <w:contextualSpacing/>
    </w:pPr>
  </w:style>
  <w:style w:type="character" w:styleId="Strong">
    <w:name w:val="Strong"/>
    <w:basedOn w:val="DefaultParagraphFont"/>
    <w:uiPriority w:val="22"/>
    <w:qFormat/>
    <w:rsid w:val="00923490"/>
    <w:rPr>
      <w:b/>
      <w:bCs/>
    </w:rPr>
  </w:style>
  <w:style w:type="character" w:styleId="Hyperlink">
    <w:name w:val="Hyperlink"/>
    <w:basedOn w:val="DefaultParagraphFont"/>
    <w:uiPriority w:val="99"/>
    <w:unhideWhenUsed/>
    <w:rsid w:val="00B30F92"/>
    <w:rPr>
      <w:color w:val="0000FF" w:themeColor="hyperlink"/>
      <w:u w:val="single"/>
    </w:rPr>
  </w:style>
  <w:style w:type="paragraph" w:styleId="BalloonText">
    <w:name w:val="Balloon Text"/>
    <w:basedOn w:val="Normal"/>
    <w:link w:val="BalloonTextChar"/>
    <w:uiPriority w:val="99"/>
    <w:semiHidden/>
    <w:unhideWhenUsed/>
    <w:rsid w:val="00B84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A8A"/>
    <w:rPr>
      <w:rFonts w:ascii="Tahoma" w:hAnsi="Tahoma" w:cs="Tahoma"/>
      <w:sz w:val="16"/>
      <w:szCs w:val="16"/>
    </w:rPr>
  </w:style>
  <w:style w:type="table" w:styleId="TableGrid">
    <w:name w:val="Table Grid"/>
    <w:basedOn w:val="TableNormal"/>
    <w:uiPriority w:val="59"/>
    <w:rsid w:val="005E0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2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F05"/>
  </w:style>
  <w:style w:type="paragraph" w:styleId="Footer">
    <w:name w:val="footer"/>
    <w:basedOn w:val="Normal"/>
    <w:link w:val="FooterChar"/>
    <w:uiPriority w:val="99"/>
    <w:unhideWhenUsed/>
    <w:rsid w:val="00B42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F05"/>
  </w:style>
</w:styles>
</file>

<file path=word/webSettings.xml><?xml version="1.0" encoding="utf-8"?>
<w:webSettings xmlns:r="http://schemas.openxmlformats.org/officeDocument/2006/relationships" xmlns:w="http://schemas.openxmlformats.org/wordprocessingml/2006/main">
  <w:divs>
    <w:div w:id="390664538">
      <w:bodyDiv w:val="1"/>
      <w:marLeft w:val="0"/>
      <w:marRight w:val="0"/>
      <w:marTop w:val="0"/>
      <w:marBottom w:val="0"/>
      <w:divBdr>
        <w:top w:val="none" w:sz="0" w:space="0" w:color="auto"/>
        <w:left w:val="none" w:sz="0" w:space="0" w:color="auto"/>
        <w:bottom w:val="none" w:sz="0" w:space="0" w:color="auto"/>
        <w:right w:val="none" w:sz="0" w:space="0" w:color="auto"/>
      </w:divBdr>
    </w:div>
    <w:div w:id="186551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hyperlink" Target="http://www.okezone.com" TargetMode="External"/><Relationship Id="rId18" Type="http://schemas.openxmlformats.org/officeDocument/2006/relationships/hyperlink" Target="http://www.idx.co.i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www.neraca.co.id/article" TargetMode="External"/><Relationship Id="rId17" Type="http://schemas.openxmlformats.org/officeDocument/2006/relationships/chart" Target="charts/chart3.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dx.co.id" TargetMode="External"/><Relationship Id="rId20" Type="http://schemas.openxmlformats.org/officeDocument/2006/relationships/hyperlink" Target="http://www.idx.c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jk.go.i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1.xml"/><Relationship Id="rId10" Type="http://schemas.openxmlformats.org/officeDocument/2006/relationships/hyperlink" Target="http://www.sahamok.com"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ojk.go.id" TargetMode="External"/><Relationship Id="rId22" Type="http://schemas.openxmlformats.org/officeDocument/2006/relationships/hyperlink" Target="http://www.idx.co.id"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ISSI</a:t>
            </a:r>
          </a:p>
        </c:rich>
      </c:tx>
    </c:title>
    <c:plotArea>
      <c:layout/>
      <c:lineChart>
        <c:grouping val="standard"/>
        <c:ser>
          <c:idx val="0"/>
          <c:order val="0"/>
          <c:tx>
            <c:strRef>
              <c:f>Sheet1!$B$1</c:f>
              <c:strCache>
                <c:ptCount val="1"/>
                <c:pt idx="0">
                  <c:v>Jumlah Saham</c:v>
                </c:pt>
              </c:strCache>
            </c:strRef>
          </c:tx>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238</c:v>
                </c:pt>
                <c:pt idx="1">
                  <c:v>301</c:v>
                </c:pt>
                <c:pt idx="2">
                  <c:v>319</c:v>
                </c:pt>
                <c:pt idx="3">
                  <c:v>318</c:v>
                </c:pt>
                <c:pt idx="4">
                  <c:v>317</c:v>
                </c:pt>
              </c:numCache>
            </c:numRef>
          </c:val>
        </c:ser>
        <c:marker val="1"/>
        <c:axId val="89616384"/>
        <c:axId val="89617920"/>
      </c:lineChart>
      <c:catAx>
        <c:axId val="89616384"/>
        <c:scaling>
          <c:orientation val="minMax"/>
        </c:scaling>
        <c:axPos val="b"/>
        <c:numFmt formatCode="General" sourceLinked="1"/>
        <c:tickLblPos val="nextTo"/>
        <c:crossAx val="89617920"/>
        <c:crosses val="autoZero"/>
        <c:auto val="1"/>
        <c:lblAlgn val="ctr"/>
        <c:lblOffset val="100"/>
      </c:catAx>
      <c:valAx>
        <c:axId val="89617920"/>
        <c:scaling>
          <c:orientation val="minMax"/>
          <c:max val="450"/>
        </c:scaling>
        <c:axPos val="l"/>
        <c:majorGridlines/>
        <c:numFmt formatCode="General" sourceLinked="1"/>
        <c:tickLblPos val="nextTo"/>
        <c:crossAx val="89616384"/>
        <c:crosses val="autoZero"/>
        <c:crossBetween val="between"/>
        <c:majorUnit val="150"/>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i="1"/>
              <a:t>Curren</a:t>
            </a:r>
            <a:r>
              <a:rPr lang="en-US" i="1" baseline="0"/>
              <a:t>t Ratio</a:t>
            </a:r>
            <a:endParaRPr lang="en-US" i="1"/>
          </a:p>
        </c:rich>
      </c:tx>
    </c:title>
    <c:plotArea>
      <c:layout/>
      <c:lineChart>
        <c:grouping val="standard"/>
        <c:ser>
          <c:idx val="0"/>
          <c:order val="0"/>
          <c:tx>
            <c:strRef>
              <c:f>Sheet1!$B$1</c:f>
              <c:strCache>
                <c:ptCount val="1"/>
                <c:pt idx="0">
                  <c:v>CR</c:v>
                </c:pt>
              </c:strCache>
            </c:strRef>
          </c:tx>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179.07</c:v>
                </c:pt>
                <c:pt idx="1">
                  <c:v>170.87</c:v>
                </c:pt>
                <c:pt idx="2">
                  <c:v>176.52</c:v>
                </c:pt>
                <c:pt idx="3">
                  <c:v>186.35000000000065</c:v>
                </c:pt>
              </c:numCache>
            </c:numRef>
          </c:val>
        </c:ser>
        <c:marker val="1"/>
        <c:axId val="77898880"/>
        <c:axId val="77900416"/>
      </c:lineChart>
      <c:catAx>
        <c:axId val="77898880"/>
        <c:scaling>
          <c:orientation val="minMax"/>
        </c:scaling>
        <c:axPos val="b"/>
        <c:numFmt formatCode="General" sourceLinked="1"/>
        <c:majorTickMark val="none"/>
        <c:tickLblPos val="nextTo"/>
        <c:crossAx val="77900416"/>
        <c:crosses val="autoZero"/>
        <c:auto val="1"/>
        <c:lblAlgn val="ctr"/>
        <c:lblOffset val="100"/>
      </c:catAx>
      <c:valAx>
        <c:axId val="77900416"/>
        <c:scaling>
          <c:orientation val="minMax"/>
          <c:max val="200"/>
          <c:min val="150"/>
        </c:scaling>
        <c:axPos val="l"/>
        <c:majorGridlines/>
        <c:numFmt formatCode="General" sourceLinked="1"/>
        <c:majorTickMark val="none"/>
        <c:tickLblPos val="nextTo"/>
        <c:crossAx val="77898880"/>
        <c:crosses val="autoZero"/>
        <c:crossBetween val="between"/>
        <c:majorUnit val="25"/>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1" u="none" strike="noStrike" baseline="0"/>
              <a:t>Debt to Equity Ratio </a:t>
            </a:r>
            <a:endParaRPr lang="en-US" i="1"/>
          </a:p>
        </c:rich>
      </c:tx>
    </c:title>
    <c:plotArea>
      <c:layout/>
      <c:lineChart>
        <c:grouping val="standard"/>
        <c:ser>
          <c:idx val="0"/>
          <c:order val="0"/>
          <c:tx>
            <c:strRef>
              <c:f>Sheet1!$B$1</c:f>
              <c:strCache>
                <c:ptCount val="1"/>
                <c:pt idx="0">
                  <c:v>DER</c:v>
                </c:pt>
              </c:strCache>
            </c:strRef>
          </c:tx>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0.82000000000000062</c:v>
                </c:pt>
                <c:pt idx="1">
                  <c:v>0.92</c:v>
                </c:pt>
                <c:pt idx="2">
                  <c:v>1.03</c:v>
                </c:pt>
                <c:pt idx="3">
                  <c:v>1.06</c:v>
                </c:pt>
              </c:numCache>
            </c:numRef>
          </c:val>
        </c:ser>
        <c:marker val="1"/>
        <c:axId val="87427328"/>
        <c:axId val="87461888"/>
      </c:lineChart>
      <c:catAx>
        <c:axId val="87427328"/>
        <c:scaling>
          <c:orientation val="minMax"/>
        </c:scaling>
        <c:axPos val="b"/>
        <c:numFmt formatCode="General" sourceLinked="1"/>
        <c:majorTickMark val="none"/>
        <c:tickLblPos val="nextTo"/>
        <c:crossAx val="87461888"/>
        <c:crosses val="autoZero"/>
        <c:auto val="1"/>
        <c:lblAlgn val="ctr"/>
        <c:lblOffset val="100"/>
      </c:catAx>
      <c:valAx>
        <c:axId val="87461888"/>
        <c:scaling>
          <c:orientation val="minMax"/>
          <c:max val="1.5"/>
          <c:min val="0"/>
        </c:scaling>
        <c:axPos val="l"/>
        <c:majorGridlines/>
        <c:numFmt formatCode="General" sourceLinked="1"/>
        <c:majorTickMark val="none"/>
        <c:tickLblPos val="nextTo"/>
        <c:crossAx val="87427328"/>
        <c:crosses val="autoZero"/>
        <c:crossBetween val="between"/>
        <c:majorUnit val="0.25"/>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1" u="none" strike="noStrike" baseline="0"/>
              <a:t>Return On Assets</a:t>
            </a:r>
            <a:endParaRPr lang="en-US" i="1"/>
          </a:p>
        </c:rich>
      </c:tx>
    </c:title>
    <c:plotArea>
      <c:layout/>
      <c:lineChart>
        <c:grouping val="standard"/>
        <c:ser>
          <c:idx val="0"/>
          <c:order val="0"/>
          <c:tx>
            <c:strRef>
              <c:f>Sheet1!$B$1</c:f>
              <c:strCache>
                <c:ptCount val="1"/>
                <c:pt idx="0">
                  <c:v>ROA</c:v>
                </c:pt>
              </c:strCache>
            </c:strRef>
          </c:tx>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8.129999999999999</c:v>
                </c:pt>
                <c:pt idx="1">
                  <c:v>8.69</c:v>
                </c:pt>
                <c:pt idx="2">
                  <c:v>7.84</c:v>
                </c:pt>
                <c:pt idx="3">
                  <c:v>5.9700000000000024</c:v>
                </c:pt>
              </c:numCache>
            </c:numRef>
          </c:val>
        </c:ser>
        <c:marker val="1"/>
        <c:axId val="87485824"/>
        <c:axId val="89650304"/>
      </c:lineChart>
      <c:catAx>
        <c:axId val="87485824"/>
        <c:scaling>
          <c:orientation val="minMax"/>
        </c:scaling>
        <c:axPos val="b"/>
        <c:numFmt formatCode="General" sourceLinked="1"/>
        <c:majorTickMark val="none"/>
        <c:tickLblPos val="nextTo"/>
        <c:crossAx val="89650304"/>
        <c:crosses val="autoZero"/>
        <c:auto val="1"/>
        <c:lblAlgn val="ctr"/>
        <c:lblOffset val="100"/>
      </c:catAx>
      <c:valAx>
        <c:axId val="89650304"/>
        <c:scaling>
          <c:orientation val="minMax"/>
          <c:max val="15"/>
        </c:scaling>
        <c:axPos val="l"/>
        <c:majorGridlines/>
        <c:numFmt formatCode="General" sourceLinked="1"/>
        <c:majorTickMark val="none"/>
        <c:tickLblPos val="nextTo"/>
        <c:crossAx val="87485824"/>
        <c:crosses val="autoZero"/>
        <c:crossBetween val="between"/>
        <c:majorUnit val="3"/>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Harga Saham</a:t>
            </a:r>
          </a:p>
        </c:rich>
      </c:tx>
    </c:title>
    <c:plotArea>
      <c:layout/>
      <c:lineChart>
        <c:grouping val="standard"/>
        <c:ser>
          <c:idx val="0"/>
          <c:order val="0"/>
          <c:tx>
            <c:strRef>
              <c:f>Sheet1!$B$1</c:f>
              <c:strCache>
                <c:ptCount val="1"/>
                <c:pt idx="0">
                  <c:v>Harga saham</c:v>
                </c:pt>
              </c:strCache>
            </c:strRef>
          </c:tx>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3415</c:v>
                </c:pt>
                <c:pt idx="1">
                  <c:v>5055</c:v>
                </c:pt>
                <c:pt idx="2">
                  <c:v>5849</c:v>
                </c:pt>
                <c:pt idx="3">
                  <c:v>5848</c:v>
                </c:pt>
              </c:numCache>
            </c:numRef>
          </c:val>
        </c:ser>
        <c:marker val="1"/>
        <c:axId val="87474944"/>
        <c:axId val="87476480"/>
      </c:lineChart>
      <c:catAx>
        <c:axId val="87474944"/>
        <c:scaling>
          <c:orientation val="minMax"/>
        </c:scaling>
        <c:axPos val="b"/>
        <c:numFmt formatCode="General" sourceLinked="1"/>
        <c:majorTickMark val="none"/>
        <c:tickLblPos val="nextTo"/>
        <c:crossAx val="87476480"/>
        <c:crosses val="autoZero"/>
        <c:auto val="1"/>
        <c:lblAlgn val="ctr"/>
        <c:lblOffset val="100"/>
      </c:catAx>
      <c:valAx>
        <c:axId val="87476480"/>
        <c:scaling>
          <c:orientation val="minMax"/>
          <c:max val="10000"/>
          <c:min val="0"/>
        </c:scaling>
        <c:axPos val="l"/>
        <c:majorGridlines/>
        <c:numFmt formatCode="General" sourceLinked="1"/>
        <c:majorTickMark val="none"/>
        <c:tickLblPos val="nextTo"/>
        <c:crossAx val="87474944"/>
        <c:crosses val="autoZero"/>
        <c:crossBetween val="between"/>
        <c:majorUnit val="2000"/>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3C0A6-F1CB-4FDE-87AB-15F95EBE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18</Pages>
  <Words>3347</Words>
  <Characters>19080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FADJAR</dc:creator>
  <cp:lastModifiedBy>FADJAR</cp:lastModifiedBy>
  <cp:revision>37</cp:revision>
  <dcterms:created xsi:type="dcterms:W3CDTF">2016-04-20T13:55:00Z</dcterms:created>
  <dcterms:modified xsi:type="dcterms:W3CDTF">2016-08-11T04:59:00Z</dcterms:modified>
</cp:coreProperties>
</file>